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E5877" w:rsidRDefault="003E5877" w:rsidP="003E5877">
      <w:bookmarkStart w:id="0" w:name="_GoBack"/>
      <w:bookmarkEnd w:id="0"/>
    </w:p>
    <w:p w:rsidR="003E5877" w:rsidRDefault="003E5877" w:rsidP="003E5877"/>
    <w:p w:rsidR="003E5877" w:rsidRDefault="003E5877" w:rsidP="003E5877">
      <w:pPr>
        <w:rPr>
          <w:b/>
        </w:rPr>
      </w:pPr>
    </w:p>
    <w:p w:rsidR="00FC01C9" w:rsidRDefault="00FC01C9" w:rsidP="003E5877">
      <w:pPr>
        <w:rPr>
          <w:b/>
        </w:rPr>
      </w:pPr>
    </w:p>
    <w:p w:rsidR="003E5877" w:rsidRPr="0048271A" w:rsidRDefault="003E5877" w:rsidP="00C557CF">
      <w:pPr>
        <w:widowControl w:val="0"/>
        <w:spacing w:before="60" w:after="120"/>
        <w:jc w:val="center"/>
        <w:rPr>
          <w:b/>
          <w:bCs/>
          <w:smallCaps/>
        </w:rPr>
      </w:pPr>
      <w:r w:rsidRPr="00272AFE">
        <w:rPr>
          <w:b/>
          <w:bCs/>
          <w:smallCaps/>
        </w:rPr>
        <w:t xml:space="preserve">PLANO </w:t>
      </w:r>
      <w:r w:rsidRPr="0048271A">
        <w:rPr>
          <w:b/>
          <w:bCs/>
          <w:smallCaps/>
        </w:rPr>
        <w:t>MUNICIPAL DE SANEAMENTO BÁSICO DE</w:t>
      </w:r>
    </w:p>
    <w:p w:rsidR="003E5877" w:rsidRPr="0048271A" w:rsidRDefault="00077E69" w:rsidP="00C557CF">
      <w:pPr>
        <w:widowControl w:val="0"/>
        <w:spacing w:before="60" w:after="120"/>
        <w:jc w:val="center"/>
        <w:rPr>
          <w:b/>
          <w:bCs/>
          <w:smallCaps/>
        </w:rPr>
      </w:pPr>
      <w:r>
        <w:rPr>
          <w:b/>
          <w:bCs/>
          <w:smallCaps/>
        </w:rPr>
        <w:t>CÓRREGO NOVO</w:t>
      </w:r>
      <w:r w:rsidR="001F6F2E" w:rsidRPr="0048271A">
        <w:rPr>
          <w:b/>
          <w:bCs/>
          <w:smallCaps/>
        </w:rPr>
        <w:t xml:space="preserve"> </w:t>
      </w:r>
      <w:r w:rsidR="003E5877" w:rsidRPr="0048271A">
        <w:rPr>
          <w:b/>
          <w:bCs/>
          <w:smallCaps/>
        </w:rPr>
        <w:t>-</w:t>
      </w:r>
      <w:r w:rsidR="001F6F2E" w:rsidRPr="0048271A">
        <w:rPr>
          <w:b/>
          <w:bCs/>
          <w:smallCaps/>
        </w:rPr>
        <w:t xml:space="preserve"> </w:t>
      </w:r>
      <w:r w:rsidR="003E5877" w:rsidRPr="0048271A">
        <w:rPr>
          <w:b/>
          <w:bCs/>
          <w:smallCaps/>
        </w:rPr>
        <w:t>MG</w:t>
      </w:r>
    </w:p>
    <w:p w:rsidR="003E5877" w:rsidRDefault="003E5877" w:rsidP="00C557CF">
      <w:pPr>
        <w:widowControl w:val="0"/>
        <w:spacing w:before="60" w:after="120"/>
        <w:jc w:val="center"/>
        <w:rPr>
          <w:b/>
          <w:bCs/>
          <w:smallCaps/>
        </w:rPr>
      </w:pPr>
    </w:p>
    <w:p w:rsidR="00FC01C9" w:rsidRPr="00272AFE" w:rsidRDefault="00FC01C9" w:rsidP="00C557CF">
      <w:pPr>
        <w:widowControl w:val="0"/>
        <w:spacing w:before="60" w:after="120"/>
        <w:jc w:val="center"/>
        <w:rPr>
          <w:b/>
          <w:bCs/>
          <w:smallCaps/>
        </w:rPr>
      </w:pPr>
    </w:p>
    <w:p w:rsidR="003E5877" w:rsidRPr="00272AFE" w:rsidRDefault="003E5877" w:rsidP="00C557CF">
      <w:pPr>
        <w:widowControl w:val="0"/>
        <w:spacing w:before="60" w:after="120"/>
        <w:jc w:val="center"/>
        <w:rPr>
          <w:b/>
          <w:bCs/>
          <w:smallCaps/>
        </w:rPr>
      </w:pPr>
    </w:p>
    <w:p w:rsidR="00077E69" w:rsidRPr="00FC01C9" w:rsidRDefault="00CD2AA2" w:rsidP="00C557CF">
      <w:pPr>
        <w:spacing w:before="100" w:beforeAutospacing="1" w:after="100" w:afterAutospacing="1"/>
        <w:jc w:val="center"/>
        <w:rPr>
          <w:sz w:val="28"/>
          <w:szCs w:val="28"/>
          <w:lang w:eastAsia="pt-BR"/>
        </w:rPr>
      </w:pPr>
      <w:r w:rsidRPr="00FC01C9">
        <w:rPr>
          <w:sz w:val="28"/>
          <w:szCs w:val="28"/>
          <w:lang w:eastAsia="pt-BR"/>
        </w:rPr>
        <w:t>Relatório Final</w:t>
      </w:r>
      <w:r w:rsidR="00810C89">
        <w:rPr>
          <w:sz w:val="28"/>
          <w:szCs w:val="28"/>
          <w:lang w:eastAsia="pt-BR"/>
        </w:rPr>
        <w:t xml:space="preserve"> </w:t>
      </w:r>
      <w:r w:rsidR="00BC01B1">
        <w:rPr>
          <w:sz w:val="28"/>
          <w:szCs w:val="28"/>
          <w:lang w:eastAsia="pt-BR"/>
        </w:rPr>
        <w:t>–</w:t>
      </w:r>
      <w:r w:rsidR="00810C89">
        <w:rPr>
          <w:sz w:val="28"/>
          <w:szCs w:val="28"/>
          <w:lang w:eastAsia="pt-BR"/>
        </w:rPr>
        <w:t xml:space="preserve"> </w:t>
      </w:r>
      <w:r w:rsidR="00BC01B1">
        <w:rPr>
          <w:sz w:val="28"/>
          <w:szCs w:val="28"/>
          <w:lang w:eastAsia="pt-BR"/>
        </w:rPr>
        <w:t>Revisão 1</w:t>
      </w:r>
    </w:p>
    <w:p w:rsidR="003E5877" w:rsidRPr="00272AFE" w:rsidRDefault="003E5877" w:rsidP="00C557CF">
      <w:pPr>
        <w:spacing w:before="100" w:beforeAutospacing="1" w:after="100" w:afterAutospacing="1"/>
        <w:jc w:val="center"/>
        <w:rPr>
          <w:b/>
          <w:sz w:val="28"/>
          <w:szCs w:val="28"/>
          <w:lang w:eastAsia="pt-BR"/>
        </w:rPr>
      </w:pPr>
    </w:p>
    <w:p w:rsidR="003E5877" w:rsidRPr="00272AFE" w:rsidRDefault="003E5877" w:rsidP="005A52A8">
      <w:pPr>
        <w:pStyle w:val="PargrafodaLista"/>
        <w:tabs>
          <w:tab w:val="left" w:pos="4395"/>
        </w:tabs>
        <w:autoSpaceDE w:val="0"/>
        <w:autoSpaceDN w:val="0"/>
        <w:adjustRightInd w:val="0"/>
        <w:ind w:left="0"/>
        <w:jc w:val="center"/>
        <w:rPr>
          <w:b/>
          <w:sz w:val="28"/>
          <w:szCs w:val="28"/>
          <w:lang w:eastAsia="pt-BR"/>
        </w:rPr>
      </w:pPr>
      <w:r w:rsidRPr="00791E34">
        <w:rPr>
          <w:b/>
          <w:sz w:val="28"/>
          <w:szCs w:val="28"/>
          <w:lang w:eastAsia="pt-BR"/>
        </w:rPr>
        <w:t xml:space="preserve">Volume 2 </w:t>
      </w:r>
      <w:r w:rsidR="00A12D33">
        <w:rPr>
          <w:b/>
          <w:sz w:val="28"/>
          <w:szCs w:val="28"/>
          <w:lang w:eastAsia="pt-BR"/>
        </w:rPr>
        <w:t>–</w:t>
      </w:r>
      <w:r w:rsidRPr="00791E34">
        <w:rPr>
          <w:b/>
          <w:sz w:val="28"/>
          <w:szCs w:val="28"/>
          <w:lang w:eastAsia="pt-BR"/>
        </w:rPr>
        <w:t xml:space="preserve"> </w:t>
      </w:r>
      <w:r w:rsidR="00A12D33">
        <w:rPr>
          <w:b/>
          <w:sz w:val="28"/>
          <w:szCs w:val="28"/>
          <w:lang w:val="pt-BR" w:eastAsia="pt-BR"/>
        </w:rPr>
        <w:t xml:space="preserve">Gestão Integrada do </w:t>
      </w:r>
      <w:r w:rsidR="005A52A8">
        <w:rPr>
          <w:rFonts w:cs="Arial"/>
          <w:b/>
          <w:sz w:val="28"/>
          <w:szCs w:val="28"/>
          <w:lang w:val="pt-BR" w:eastAsia="pt-BR"/>
        </w:rPr>
        <w:t>Saneamento Básico Municipal</w:t>
      </w:r>
    </w:p>
    <w:p w:rsidR="003E5877" w:rsidRPr="00272AFE" w:rsidRDefault="003E5877" w:rsidP="00C557CF">
      <w:pPr>
        <w:spacing w:before="100" w:beforeAutospacing="1" w:after="100" w:afterAutospacing="1"/>
        <w:jc w:val="center"/>
        <w:rPr>
          <w:b/>
          <w:sz w:val="28"/>
          <w:szCs w:val="28"/>
          <w:lang w:eastAsia="pt-BR"/>
        </w:rPr>
      </w:pPr>
    </w:p>
    <w:p w:rsidR="003E5877" w:rsidRPr="00272AFE" w:rsidRDefault="003E5877" w:rsidP="00C557CF">
      <w:pPr>
        <w:spacing w:before="100" w:beforeAutospacing="1" w:after="100" w:afterAutospacing="1"/>
        <w:jc w:val="center"/>
        <w:rPr>
          <w:b/>
          <w:sz w:val="28"/>
          <w:szCs w:val="28"/>
          <w:lang w:eastAsia="pt-BR"/>
        </w:rPr>
      </w:pPr>
    </w:p>
    <w:p w:rsidR="003E5877" w:rsidRDefault="003E5877" w:rsidP="00C557CF">
      <w:pPr>
        <w:spacing w:before="100" w:beforeAutospacing="1" w:after="100" w:afterAutospacing="1"/>
        <w:jc w:val="center"/>
        <w:rPr>
          <w:b/>
          <w:sz w:val="28"/>
          <w:szCs w:val="28"/>
          <w:lang w:eastAsia="pt-BR"/>
        </w:rPr>
      </w:pPr>
    </w:p>
    <w:p w:rsidR="003E5877" w:rsidRDefault="003E5877" w:rsidP="00C557CF">
      <w:pPr>
        <w:spacing w:before="100" w:beforeAutospacing="1" w:after="100" w:afterAutospacing="1"/>
        <w:jc w:val="center"/>
        <w:rPr>
          <w:b/>
          <w:sz w:val="28"/>
          <w:szCs w:val="28"/>
          <w:lang w:eastAsia="pt-BR"/>
        </w:rPr>
      </w:pPr>
    </w:p>
    <w:p w:rsidR="003E5877" w:rsidRDefault="003E5877" w:rsidP="00C557CF">
      <w:pPr>
        <w:spacing w:before="100" w:beforeAutospacing="1" w:after="100" w:afterAutospacing="1"/>
        <w:jc w:val="center"/>
        <w:rPr>
          <w:b/>
          <w:sz w:val="28"/>
          <w:szCs w:val="28"/>
          <w:lang w:eastAsia="pt-BR"/>
        </w:rPr>
      </w:pPr>
    </w:p>
    <w:p w:rsidR="003E5877" w:rsidRPr="00272AFE" w:rsidRDefault="000D4BD5" w:rsidP="00C557CF">
      <w:pPr>
        <w:spacing w:before="100" w:beforeAutospacing="1" w:after="100" w:afterAutospacing="1"/>
        <w:jc w:val="center"/>
        <w:rPr>
          <w:b/>
          <w:lang w:eastAsia="pt-BR"/>
        </w:rPr>
      </w:pPr>
      <w:r>
        <w:rPr>
          <w:b/>
          <w:lang w:eastAsia="pt-BR"/>
        </w:rPr>
        <w:t>ABR</w:t>
      </w:r>
      <w:r w:rsidR="003E5877" w:rsidRPr="00272AFE">
        <w:rPr>
          <w:b/>
          <w:lang w:eastAsia="pt-BR"/>
        </w:rPr>
        <w:t>/201</w:t>
      </w:r>
      <w:r w:rsidR="005A52A8">
        <w:rPr>
          <w:b/>
          <w:lang w:eastAsia="pt-BR"/>
        </w:rPr>
        <w:t>8</w:t>
      </w:r>
    </w:p>
    <w:p w:rsidR="003E5877" w:rsidRDefault="003E5877" w:rsidP="003E5877">
      <w:pPr>
        <w:rPr>
          <w:b/>
        </w:rPr>
      </w:pPr>
    </w:p>
    <w:p w:rsidR="003E5877" w:rsidRDefault="003E5877" w:rsidP="003E5877">
      <w:pPr>
        <w:rPr>
          <w:b/>
        </w:rPr>
      </w:pPr>
    </w:p>
    <w:p w:rsidR="0071672B" w:rsidRDefault="0071672B" w:rsidP="003E5877">
      <w:pPr>
        <w:rPr>
          <w:b/>
        </w:rPr>
      </w:pPr>
    </w:p>
    <w:p w:rsidR="009B0332" w:rsidRDefault="009B0332">
      <w:pPr>
        <w:spacing w:line="240" w:lineRule="auto"/>
        <w:rPr>
          <w:b/>
        </w:rPr>
      </w:pPr>
    </w:p>
    <w:p w:rsidR="009B0332" w:rsidRDefault="009B0332" w:rsidP="003E5877">
      <w:pPr>
        <w:rPr>
          <w:b/>
        </w:rPr>
        <w:sectPr w:rsidR="009B0332" w:rsidSect="00407BB1">
          <w:headerReference w:type="default" r:id="rId9"/>
          <w:footerReference w:type="default" r:id="rId10"/>
          <w:headerReference w:type="first" r:id="rId11"/>
          <w:footerReference w:type="first" r:id="rId12"/>
          <w:pgSz w:w="11906" w:h="16838"/>
          <w:pgMar w:top="1134" w:right="1134" w:bottom="1134" w:left="1418" w:header="708" w:footer="708" w:gutter="0"/>
          <w:pgNumType w:fmt="lowerRoman"/>
          <w:cols w:space="708"/>
          <w:titlePg/>
          <w:docGrid w:linePitch="360"/>
        </w:sectPr>
      </w:pPr>
    </w:p>
    <w:p w:rsidR="009B0332" w:rsidRDefault="009B0332" w:rsidP="003E5877">
      <w:pPr>
        <w:rPr>
          <w:b/>
        </w:rPr>
        <w:sectPr w:rsidR="009B0332" w:rsidSect="00407BB1">
          <w:headerReference w:type="first" r:id="rId13"/>
          <w:footerReference w:type="first" r:id="rId14"/>
          <w:pgSz w:w="11906" w:h="16838"/>
          <w:pgMar w:top="1134" w:right="1134" w:bottom="1134" w:left="1418" w:header="708" w:footer="708" w:gutter="0"/>
          <w:pgNumType w:fmt="lowerRoman"/>
          <w:cols w:space="708"/>
          <w:titlePg/>
          <w:docGrid w:linePitch="360"/>
        </w:sectPr>
      </w:pPr>
    </w:p>
    <w:p w:rsidR="00F87238" w:rsidRDefault="00F87238" w:rsidP="003E5877">
      <w:pPr>
        <w:rPr>
          <w:b/>
        </w:rPr>
      </w:pPr>
    </w:p>
    <w:p w:rsidR="00D536C4" w:rsidRDefault="00D536C4" w:rsidP="003E5877">
      <w:pPr>
        <w:rPr>
          <w:b/>
        </w:rPr>
      </w:pPr>
    </w:p>
    <w:p w:rsidR="0007281C" w:rsidRPr="0007281C" w:rsidRDefault="0007281C" w:rsidP="0007281C">
      <w:pPr>
        <w:spacing w:before="120" w:after="120" w:line="276" w:lineRule="auto"/>
        <w:rPr>
          <w:rFonts w:cs="Arial"/>
          <w:b/>
          <w:szCs w:val="24"/>
        </w:rPr>
      </w:pPr>
      <w:r w:rsidRPr="0007281C">
        <w:rPr>
          <w:rFonts w:cs="Arial"/>
          <w:b/>
          <w:szCs w:val="24"/>
        </w:rPr>
        <w:t>Realização:</w:t>
      </w:r>
    </w:p>
    <w:tbl>
      <w:tblPr>
        <w:tblStyle w:val="Tabelacomgrade"/>
        <w:tblW w:w="0" w:type="auto"/>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7685"/>
      </w:tblGrid>
      <w:tr w:rsidR="000A56AA" w:rsidRPr="000A56AA" w:rsidTr="0007281C">
        <w:trPr>
          <w:trHeight w:val="1777"/>
        </w:trPr>
        <w:tc>
          <w:tcPr>
            <w:tcW w:w="2268" w:type="dxa"/>
            <w:vAlign w:val="center"/>
          </w:tcPr>
          <w:p w:rsidR="0007281C" w:rsidRPr="0007281C" w:rsidRDefault="0007281C" w:rsidP="0007281C">
            <w:pPr>
              <w:spacing w:after="200" w:line="276" w:lineRule="auto"/>
              <w:rPr>
                <w:rFonts w:cs="Arial"/>
                <w:szCs w:val="24"/>
              </w:rPr>
            </w:pPr>
            <w:r w:rsidRPr="0007281C">
              <w:rPr>
                <w:rFonts w:cs="Arial"/>
                <w:noProof/>
                <w:szCs w:val="24"/>
                <w:lang w:eastAsia="pt-BR"/>
              </w:rPr>
              <w:drawing>
                <wp:anchor distT="0" distB="0" distL="114300" distR="114300" simplePos="0" relativeHeight="251662336" behindDoc="0" locked="0" layoutInCell="1" allowOverlap="1" wp14:anchorId="3E69A6F5" wp14:editId="7636C913">
                  <wp:simplePos x="0" y="0"/>
                  <wp:positionH relativeFrom="column">
                    <wp:posOffset>149860</wp:posOffset>
                  </wp:positionH>
                  <wp:positionV relativeFrom="paragraph">
                    <wp:posOffset>262890</wp:posOffset>
                  </wp:positionV>
                  <wp:extent cx="809625" cy="786765"/>
                  <wp:effectExtent l="0" t="0" r="9525" b="0"/>
                  <wp:wrapSquare wrapText="bothSides"/>
                  <wp:docPr id="249"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09625" cy="78676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685" w:type="dxa"/>
            <w:vAlign w:val="center"/>
          </w:tcPr>
          <w:p w:rsidR="0007281C" w:rsidRPr="000A56AA" w:rsidRDefault="0007281C" w:rsidP="0007281C">
            <w:pPr>
              <w:spacing w:after="120" w:line="240" w:lineRule="auto"/>
              <w:jc w:val="right"/>
              <w:rPr>
                <w:rFonts w:cs="Arial"/>
                <w:b/>
                <w:szCs w:val="24"/>
              </w:rPr>
            </w:pPr>
            <w:r w:rsidRPr="000A56AA">
              <w:rPr>
                <w:rFonts w:cs="Arial"/>
                <w:b/>
                <w:szCs w:val="24"/>
              </w:rPr>
              <w:t>Instituto BioAtlântica IBIO AGB Doce</w:t>
            </w:r>
          </w:p>
          <w:p w:rsidR="0007281C" w:rsidRPr="000A56AA" w:rsidRDefault="0007281C" w:rsidP="0007281C">
            <w:pPr>
              <w:spacing w:after="120" w:line="240" w:lineRule="auto"/>
              <w:jc w:val="right"/>
              <w:rPr>
                <w:rFonts w:cs="Arial"/>
                <w:sz w:val="20"/>
                <w:szCs w:val="20"/>
              </w:rPr>
            </w:pPr>
            <w:r w:rsidRPr="000A56AA">
              <w:rPr>
                <w:rFonts w:cs="Arial"/>
                <w:sz w:val="20"/>
                <w:szCs w:val="20"/>
              </w:rPr>
              <w:t>Rua Afonso Pena, 2590, Esplanada - Governador Valadares/MG - 35.020-010</w:t>
            </w:r>
          </w:p>
          <w:p w:rsidR="0007281C" w:rsidRPr="000A56AA" w:rsidRDefault="0007281C" w:rsidP="0007281C">
            <w:pPr>
              <w:spacing w:after="120" w:line="240" w:lineRule="auto"/>
              <w:jc w:val="right"/>
              <w:rPr>
                <w:rFonts w:cs="Arial"/>
                <w:sz w:val="20"/>
                <w:szCs w:val="20"/>
              </w:rPr>
            </w:pPr>
            <w:r w:rsidRPr="000A56AA">
              <w:rPr>
                <w:rFonts w:cs="Arial"/>
                <w:sz w:val="20"/>
                <w:szCs w:val="20"/>
              </w:rPr>
              <w:t xml:space="preserve">Tel.: 55 33 3212-4350 </w:t>
            </w:r>
            <w:hyperlink r:id="rId16" w:history="1">
              <w:r w:rsidRPr="000A56AA">
                <w:rPr>
                  <w:rFonts w:cs="Arial"/>
                  <w:sz w:val="20"/>
                  <w:szCs w:val="20"/>
                  <w:u w:val="single"/>
                </w:rPr>
                <w:t>www.ibioagbdoce.org.br</w:t>
              </w:r>
            </w:hyperlink>
          </w:p>
        </w:tc>
      </w:tr>
    </w:tbl>
    <w:p w:rsidR="0007281C" w:rsidRPr="0007281C" w:rsidRDefault="0007281C" w:rsidP="0007281C">
      <w:pPr>
        <w:spacing w:before="120" w:after="120" w:line="276" w:lineRule="auto"/>
        <w:rPr>
          <w:rFonts w:cs="Arial"/>
          <w:szCs w:val="24"/>
        </w:rPr>
      </w:pPr>
    </w:p>
    <w:p w:rsidR="0007281C" w:rsidRPr="0080531A" w:rsidRDefault="0007281C" w:rsidP="0007281C">
      <w:pPr>
        <w:spacing w:before="120" w:after="120" w:line="276" w:lineRule="auto"/>
        <w:rPr>
          <w:rFonts w:cs="Arial"/>
          <w:color w:val="FF0000"/>
          <w:szCs w:val="24"/>
        </w:rPr>
      </w:pPr>
    </w:p>
    <w:tbl>
      <w:tblPr>
        <w:tblStyle w:val="Tabelacomgrade"/>
        <w:tblW w:w="0" w:type="auto"/>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6"/>
        <w:gridCol w:w="7700"/>
      </w:tblGrid>
      <w:tr w:rsidR="0080531A" w:rsidRPr="0080531A" w:rsidTr="0007281C">
        <w:tc>
          <w:tcPr>
            <w:tcW w:w="2256" w:type="dxa"/>
            <w:vAlign w:val="center"/>
          </w:tcPr>
          <w:p w:rsidR="0007281C" w:rsidRPr="0080531A" w:rsidRDefault="00077E69" w:rsidP="0007281C">
            <w:pPr>
              <w:spacing w:after="200" w:line="240" w:lineRule="auto"/>
              <w:jc w:val="center"/>
              <w:rPr>
                <w:rFonts w:cs="Arial"/>
                <w:color w:val="FF0000"/>
                <w:szCs w:val="24"/>
                <w:highlight w:val="yellow"/>
              </w:rPr>
            </w:pPr>
            <w:r w:rsidRPr="005250C2">
              <w:rPr>
                <w:rFonts w:eastAsia="Times New Roman"/>
                <w:noProof/>
                <w:szCs w:val="20"/>
                <w:lang w:eastAsia="pt-BR"/>
              </w:rPr>
              <w:drawing>
                <wp:inline distT="0" distB="0" distL="0" distR="0" wp14:anchorId="2ECCCBC0" wp14:editId="01B14352">
                  <wp:extent cx="1076359" cy="861238"/>
                  <wp:effectExtent l="0" t="0" r="0" b="0"/>
                  <wp:docPr id="12"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78623" cy="863050"/>
                          </a:xfrm>
                          <a:prstGeom prst="rect">
                            <a:avLst/>
                          </a:prstGeom>
                          <a:noFill/>
                          <a:ln>
                            <a:noFill/>
                          </a:ln>
                        </pic:spPr>
                      </pic:pic>
                    </a:graphicData>
                  </a:graphic>
                </wp:inline>
              </w:drawing>
            </w:r>
          </w:p>
        </w:tc>
        <w:tc>
          <w:tcPr>
            <w:tcW w:w="7700" w:type="dxa"/>
            <w:vAlign w:val="center"/>
          </w:tcPr>
          <w:p w:rsidR="00077E69" w:rsidRPr="00077E69" w:rsidRDefault="00077E69" w:rsidP="00077E69">
            <w:pPr>
              <w:spacing w:before="120" w:after="120" w:line="240" w:lineRule="auto"/>
              <w:jc w:val="right"/>
              <w:rPr>
                <w:rFonts w:ascii="Times New Roman" w:eastAsia="Times New Roman" w:hAnsi="Times New Roman" w:cs="Arial"/>
                <w:szCs w:val="24"/>
                <w:lang w:eastAsia="pt-BR"/>
              </w:rPr>
            </w:pPr>
            <w:r w:rsidRPr="00077E69">
              <w:rPr>
                <w:rFonts w:cs="Arial"/>
                <w:b/>
                <w:szCs w:val="24"/>
              </w:rPr>
              <w:t>Comitê da Bacia Hidrográfica do Rio Piranga - D01</w:t>
            </w:r>
          </w:p>
          <w:p w:rsidR="00077E69" w:rsidRPr="00077E69" w:rsidRDefault="00077E69" w:rsidP="00077E69">
            <w:pPr>
              <w:shd w:val="clear" w:color="auto" w:fill="FFFFFF"/>
              <w:spacing w:before="120" w:after="120" w:line="240" w:lineRule="auto"/>
              <w:jc w:val="right"/>
              <w:rPr>
                <w:rFonts w:eastAsia="Times New Roman" w:cs="Arial"/>
                <w:sz w:val="20"/>
                <w:szCs w:val="20"/>
                <w:lang w:eastAsia="pt-BR"/>
              </w:rPr>
            </w:pPr>
            <w:r w:rsidRPr="00077E69">
              <w:rPr>
                <w:rFonts w:eastAsia="Times New Roman" w:cs="Arial"/>
                <w:sz w:val="20"/>
                <w:szCs w:val="20"/>
                <w:lang w:eastAsia="pt-BR"/>
              </w:rPr>
              <w:t xml:space="preserve">Rua João Vidal de Carvalho, 295 – Guarapiranga – Ponte Nova/MG – </w:t>
            </w:r>
            <w:r w:rsidRPr="00077E69">
              <w:rPr>
                <w:rFonts w:cs="Arial"/>
                <w:sz w:val="20"/>
                <w:szCs w:val="20"/>
              </w:rPr>
              <w:t>35430-186</w:t>
            </w:r>
          </w:p>
          <w:p w:rsidR="00077E69" w:rsidRPr="00077E69" w:rsidRDefault="00077E69" w:rsidP="00077E69">
            <w:pPr>
              <w:shd w:val="clear" w:color="auto" w:fill="FFFFFF"/>
              <w:spacing w:before="120" w:after="120" w:line="240" w:lineRule="auto"/>
              <w:ind w:left="1844" w:firstLine="3"/>
              <w:jc w:val="right"/>
              <w:rPr>
                <w:rFonts w:eastAsia="Times New Roman" w:cs="Arial"/>
                <w:sz w:val="20"/>
                <w:szCs w:val="20"/>
                <w:lang w:eastAsia="pt-BR"/>
              </w:rPr>
            </w:pPr>
            <w:r w:rsidRPr="00077E69">
              <w:rPr>
                <w:rFonts w:eastAsia="Times New Roman" w:cs="Arial"/>
                <w:sz w:val="20"/>
                <w:szCs w:val="20"/>
                <w:lang w:eastAsia="pt-BR"/>
              </w:rPr>
              <w:t>Tel.: 55 33 3212-4350</w:t>
            </w:r>
          </w:p>
          <w:p w:rsidR="0007281C" w:rsidRPr="0080531A" w:rsidRDefault="00077E69" w:rsidP="00077E69">
            <w:pPr>
              <w:shd w:val="clear" w:color="auto" w:fill="FFFFFF"/>
              <w:spacing w:before="120" w:after="120" w:line="276" w:lineRule="auto"/>
              <w:jc w:val="right"/>
              <w:rPr>
                <w:rFonts w:eastAsia="Times New Roman" w:cs="Arial"/>
                <w:color w:val="FF0000"/>
                <w:sz w:val="20"/>
                <w:szCs w:val="20"/>
                <w:lang w:eastAsia="pt-BR"/>
              </w:rPr>
            </w:pPr>
            <w:r w:rsidRPr="00077E69">
              <w:rPr>
                <w:rFonts w:eastAsia="Times New Roman" w:cs="Arial"/>
                <w:sz w:val="20"/>
                <w:szCs w:val="20"/>
                <w:lang w:eastAsia="pt-BR"/>
              </w:rPr>
              <w:t>E-mail: contato@cbhpiranga.org.br</w:t>
            </w:r>
          </w:p>
        </w:tc>
      </w:tr>
    </w:tbl>
    <w:p w:rsidR="0007281C" w:rsidRPr="0080531A" w:rsidRDefault="0007281C" w:rsidP="0007281C">
      <w:pPr>
        <w:spacing w:before="120" w:after="120" w:line="276" w:lineRule="auto"/>
        <w:rPr>
          <w:rFonts w:cs="Arial"/>
          <w:color w:val="FF0000"/>
          <w:szCs w:val="24"/>
        </w:rPr>
      </w:pPr>
    </w:p>
    <w:p w:rsidR="0007281C" w:rsidRPr="0080531A" w:rsidRDefault="0007281C" w:rsidP="0007281C">
      <w:pPr>
        <w:spacing w:before="120" w:after="120" w:line="276" w:lineRule="auto"/>
        <w:rPr>
          <w:rFonts w:cs="Arial"/>
          <w:b/>
          <w:color w:val="FF0000"/>
          <w:szCs w:val="24"/>
        </w:rPr>
      </w:pPr>
    </w:p>
    <w:p w:rsidR="0007281C" w:rsidRPr="0080531A" w:rsidRDefault="0007281C" w:rsidP="0007281C">
      <w:pPr>
        <w:spacing w:before="120" w:after="120" w:line="276" w:lineRule="auto"/>
        <w:rPr>
          <w:rFonts w:cs="Arial"/>
          <w:b/>
          <w:color w:val="FF0000"/>
          <w:szCs w:val="24"/>
        </w:rPr>
      </w:pPr>
    </w:p>
    <w:p w:rsidR="0007281C" w:rsidRPr="00077E69" w:rsidRDefault="0007281C" w:rsidP="0007281C">
      <w:pPr>
        <w:spacing w:before="120" w:after="120" w:line="276" w:lineRule="auto"/>
        <w:rPr>
          <w:rFonts w:cs="Arial"/>
          <w:b/>
          <w:szCs w:val="24"/>
        </w:rPr>
      </w:pPr>
      <w:r w:rsidRPr="00077E69">
        <w:rPr>
          <w:rFonts w:cs="Arial"/>
          <w:b/>
          <w:szCs w:val="24"/>
        </w:rPr>
        <w:t>Execução:</w:t>
      </w:r>
    </w:p>
    <w:tbl>
      <w:tblPr>
        <w:tblStyle w:val="Tabelacomgrade"/>
        <w:tblW w:w="0" w:type="auto"/>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16"/>
        <w:gridCol w:w="7937"/>
      </w:tblGrid>
      <w:tr w:rsidR="0080531A" w:rsidRPr="0080531A" w:rsidTr="0007281C">
        <w:tc>
          <w:tcPr>
            <w:tcW w:w="2016" w:type="dxa"/>
            <w:vAlign w:val="center"/>
          </w:tcPr>
          <w:p w:rsidR="0007281C" w:rsidRPr="0080531A" w:rsidRDefault="00077E69" w:rsidP="0007281C">
            <w:pPr>
              <w:spacing w:before="120" w:after="120" w:line="276" w:lineRule="auto"/>
              <w:jc w:val="center"/>
              <w:rPr>
                <w:rFonts w:cs="Arial"/>
                <w:color w:val="FF0000"/>
                <w:szCs w:val="24"/>
                <w:highlight w:val="yellow"/>
              </w:rPr>
            </w:pPr>
            <w:r w:rsidRPr="005250C2">
              <w:rPr>
                <w:rFonts w:eastAsia="Times New Roman"/>
                <w:noProof/>
                <w:szCs w:val="20"/>
                <w:lang w:eastAsia="pt-BR"/>
              </w:rPr>
              <w:drawing>
                <wp:inline distT="0" distB="0" distL="0" distR="0" wp14:anchorId="0870479B" wp14:editId="5677BC3B">
                  <wp:extent cx="793750" cy="724535"/>
                  <wp:effectExtent l="0" t="0" r="6350" b="0"/>
                  <wp:docPr id="3" name="Imagem 3" descr="Descrição: mg-corrego-novo-bras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mg-corrego-novo-brasa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93750" cy="724535"/>
                          </a:xfrm>
                          <a:prstGeom prst="rect">
                            <a:avLst/>
                          </a:prstGeom>
                          <a:noFill/>
                          <a:ln>
                            <a:noFill/>
                          </a:ln>
                        </pic:spPr>
                      </pic:pic>
                    </a:graphicData>
                  </a:graphic>
                </wp:inline>
              </w:drawing>
            </w:r>
          </w:p>
        </w:tc>
        <w:tc>
          <w:tcPr>
            <w:tcW w:w="7937" w:type="dxa"/>
            <w:vAlign w:val="center"/>
          </w:tcPr>
          <w:p w:rsidR="00077E69" w:rsidRPr="00077E69" w:rsidRDefault="00077E69" w:rsidP="00077E69">
            <w:pPr>
              <w:spacing w:before="120" w:after="120"/>
              <w:jc w:val="right"/>
              <w:rPr>
                <w:rFonts w:cs="Arial"/>
                <w:b/>
                <w:szCs w:val="24"/>
              </w:rPr>
            </w:pPr>
            <w:r w:rsidRPr="00077E69">
              <w:rPr>
                <w:rFonts w:cs="Arial"/>
                <w:b/>
                <w:szCs w:val="24"/>
              </w:rPr>
              <w:t>Prefeitura Municipal de Córrego Novo – MG</w:t>
            </w:r>
          </w:p>
          <w:p w:rsidR="00077E69" w:rsidRPr="00077E69" w:rsidRDefault="00077E69" w:rsidP="00077E69">
            <w:pPr>
              <w:shd w:val="clear" w:color="auto" w:fill="FFFFFF"/>
              <w:spacing w:before="120" w:after="120" w:line="240" w:lineRule="auto"/>
              <w:jc w:val="right"/>
              <w:rPr>
                <w:rFonts w:eastAsia="Times New Roman" w:cs="Arial"/>
                <w:sz w:val="20"/>
                <w:szCs w:val="20"/>
                <w:lang w:eastAsia="pt-BR"/>
              </w:rPr>
            </w:pPr>
            <w:r w:rsidRPr="00077E69">
              <w:rPr>
                <w:rFonts w:eastAsia="Times New Roman" w:cs="Arial"/>
                <w:sz w:val="20"/>
                <w:szCs w:val="20"/>
                <w:lang w:eastAsia="pt-BR"/>
              </w:rPr>
              <w:t xml:space="preserve">Avenida Doutor Mauro Lobo Martins, 127 – Centro – Córrego Novo/ MG – </w:t>
            </w:r>
            <w:r w:rsidRPr="00077E69">
              <w:rPr>
                <w:rFonts w:cs="Arial"/>
                <w:sz w:val="20"/>
                <w:szCs w:val="20"/>
              </w:rPr>
              <w:t>35.345-000</w:t>
            </w:r>
          </w:p>
          <w:p w:rsidR="00077E69" w:rsidRPr="00077E69" w:rsidRDefault="00077E69" w:rsidP="00077E69">
            <w:pPr>
              <w:shd w:val="clear" w:color="auto" w:fill="FFFFFF"/>
              <w:spacing w:before="120" w:after="120" w:line="240" w:lineRule="auto"/>
              <w:jc w:val="right"/>
              <w:rPr>
                <w:rFonts w:eastAsia="Times New Roman" w:cs="Arial"/>
                <w:sz w:val="20"/>
                <w:szCs w:val="20"/>
                <w:lang w:eastAsia="pt-BR"/>
              </w:rPr>
            </w:pPr>
            <w:r w:rsidRPr="00077E69">
              <w:rPr>
                <w:rFonts w:eastAsia="Times New Roman" w:cs="Arial"/>
                <w:sz w:val="20"/>
                <w:szCs w:val="20"/>
                <w:lang w:eastAsia="pt-BR"/>
              </w:rPr>
              <w:t>Telefone: 55 33 3353-1184</w:t>
            </w:r>
          </w:p>
          <w:p w:rsidR="00077E69" w:rsidRPr="00077E69" w:rsidRDefault="00077E69" w:rsidP="00077E69">
            <w:pPr>
              <w:shd w:val="clear" w:color="auto" w:fill="FFFFFF"/>
              <w:spacing w:before="120" w:after="120" w:line="240" w:lineRule="auto"/>
              <w:jc w:val="right"/>
              <w:rPr>
                <w:rFonts w:eastAsia="Times New Roman" w:cs="Arial"/>
                <w:sz w:val="20"/>
                <w:szCs w:val="20"/>
                <w:lang w:eastAsia="pt-BR"/>
              </w:rPr>
            </w:pPr>
            <w:r w:rsidRPr="00077E69">
              <w:rPr>
                <w:rFonts w:eastAsia="Times New Roman" w:cs="Arial"/>
                <w:sz w:val="20"/>
                <w:szCs w:val="20"/>
                <w:lang w:eastAsia="pt-BR"/>
              </w:rPr>
              <w:t>E-mail: corregonovo@corregonovo.mg.gov.br </w:t>
            </w:r>
          </w:p>
          <w:p w:rsidR="0007281C" w:rsidRPr="0080531A" w:rsidRDefault="0007281C" w:rsidP="0007281C">
            <w:pPr>
              <w:shd w:val="clear" w:color="auto" w:fill="FFFFFF"/>
              <w:spacing w:before="120" w:after="120" w:line="240" w:lineRule="auto"/>
              <w:ind w:firstLine="3"/>
              <w:jc w:val="right"/>
              <w:rPr>
                <w:rFonts w:eastAsia="Times New Roman" w:cs="Arial"/>
                <w:color w:val="FF0000"/>
                <w:sz w:val="20"/>
                <w:szCs w:val="20"/>
                <w:lang w:eastAsia="pt-BR"/>
              </w:rPr>
            </w:pPr>
          </w:p>
        </w:tc>
      </w:tr>
    </w:tbl>
    <w:p w:rsidR="0007281C" w:rsidRPr="0080531A" w:rsidRDefault="0007281C" w:rsidP="0007281C">
      <w:pPr>
        <w:shd w:val="clear" w:color="auto" w:fill="FFFFFF"/>
        <w:spacing w:before="120" w:after="120" w:line="240" w:lineRule="auto"/>
        <w:ind w:firstLine="6"/>
        <w:rPr>
          <w:rFonts w:eastAsia="Times New Roman" w:cs="Arial"/>
          <w:color w:val="FF0000"/>
          <w:sz w:val="20"/>
          <w:szCs w:val="20"/>
          <w:highlight w:val="yellow"/>
          <w:u w:val="single"/>
          <w:lang w:eastAsia="pt-BR"/>
        </w:rPr>
      </w:pPr>
    </w:p>
    <w:p w:rsidR="0007281C" w:rsidRPr="0080531A" w:rsidRDefault="0007281C" w:rsidP="0007281C">
      <w:pPr>
        <w:shd w:val="clear" w:color="auto" w:fill="FFFFFF"/>
        <w:spacing w:before="120" w:after="120" w:line="240" w:lineRule="auto"/>
        <w:ind w:firstLine="6"/>
        <w:rPr>
          <w:rFonts w:eastAsia="Times New Roman" w:cs="Arial"/>
          <w:color w:val="FF0000"/>
          <w:sz w:val="20"/>
          <w:szCs w:val="20"/>
          <w:highlight w:val="yellow"/>
          <w:u w:val="single"/>
          <w:lang w:eastAsia="pt-BR"/>
        </w:rPr>
      </w:pPr>
    </w:p>
    <w:p w:rsidR="00077E69" w:rsidRPr="00E67F27" w:rsidRDefault="00077E69" w:rsidP="00077E69">
      <w:pPr>
        <w:shd w:val="clear" w:color="auto" w:fill="FFFFFF"/>
        <w:spacing w:before="120" w:after="120" w:line="240" w:lineRule="auto"/>
        <w:ind w:firstLine="6"/>
        <w:rPr>
          <w:rFonts w:eastAsia="Times New Roman"/>
          <w:color w:val="FF0000"/>
          <w:lang w:eastAsia="pt-BR"/>
        </w:rPr>
      </w:pPr>
      <w:r w:rsidRPr="00490A0A">
        <w:rPr>
          <w:rFonts w:eastAsia="Times New Roman"/>
          <w:u w:val="single"/>
          <w:lang w:eastAsia="pt-BR"/>
        </w:rPr>
        <w:t>Prefeito</w:t>
      </w:r>
      <w:r w:rsidRPr="00490A0A">
        <w:rPr>
          <w:rFonts w:eastAsia="Times New Roman"/>
          <w:lang w:eastAsia="pt-BR"/>
        </w:rPr>
        <w:t xml:space="preserve">: </w:t>
      </w:r>
      <w:r>
        <w:rPr>
          <w:rFonts w:eastAsia="Times New Roman"/>
          <w:lang w:eastAsia="pt-BR"/>
        </w:rPr>
        <w:t>Ailton Lima de Paula</w:t>
      </w:r>
    </w:p>
    <w:p w:rsidR="0007281C" w:rsidRDefault="0007281C" w:rsidP="0007281C">
      <w:pPr>
        <w:shd w:val="clear" w:color="auto" w:fill="FFFFFF"/>
        <w:spacing w:before="120" w:after="120" w:line="240" w:lineRule="auto"/>
        <w:ind w:firstLine="6"/>
        <w:rPr>
          <w:rFonts w:eastAsia="Times New Roman" w:cs="Arial"/>
          <w:color w:val="FF0000"/>
          <w:szCs w:val="24"/>
          <w:lang w:eastAsia="pt-BR"/>
        </w:rPr>
      </w:pPr>
    </w:p>
    <w:p w:rsidR="005111A6" w:rsidRDefault="005111A6" w:rsidP="00077E69">
      <w:pPr>
        <w:shd w:val="clear" w:color="auto" w:fill="FFFFFF"/>
        <w:spacing w:before="120" w:after="120" w:line="240" w:lineRule="auto"/>
        <w:rPr>
          <w:rFonts w:eastAsia="Times New Roman" w:cs="Arial"/>
          <w:color w:val="FF0000"/>
          <w:szCs w:val="24"/>
          <w:lang w:eastAsia="pt-BR"/>
        </w:rPr>
      </w:pPr>
    </w:p>
    <w:p w:rsidR="00810C89" w:rsidRDefault="00810C89" w:rsidP="00077E69">
      <w:pPr>
        <w:shd w:val="clear" w:color="auto" w:fill="FFFFFF"/>
        <w:spacing w:before="120" w:after="120" w:line="240" w:lineRule="auto"/>
        <w:rPr>
          <w:rFonts w:eastAsia="Times New Roman" w:cs="Arial"/>
          <w:color w:val="FF0000"/>
          <w:szCs w:val="24"/>
          <w:lang w:eastAsia="pt-BR"/>
        </w:rPr>
      </w:pPr>
    </w:p>
    <w:p w:rsidR="00810C89" w:rsidRDefault="00810C89" w:rsidP="00077E69">
      <w:pPr>
        <w:shd w:val="clear" w:color="auto" w:fill="FFFFFF"/>
        <w:spacing w:before="120" w:after="120" w:line="240" w:lineRule="auto"/>
        <w:rPr>
          <w:rFonts w:eastAsia="Times New Roman" w:cs="Arial"/>
          <w:color w:val="FF0000"/>
          <w:szCs w:val="24"/>
          <w:lang w:eastAsia="pt-BR"/>
        </w:rPr>
      </w:pPr>
    </w:p>
    <w:p w:rsidR="005111A6" w:rsidRPr="005111A6" w:rsidRDefault="005111A6" w:rsidP="005111A6">
      <w:pPr>
        <w:spacing w:before="120" w:after="120" w:line="276" w:lineRule="auto"/>
        <w:rPr>
          <w:rFonts w:cs="Arial"/>
          <w:b/>
          <w:szCs w:val="24"/>
        </w:rPr>
      </w:pPr>
      <w:r w:rsidRPr="005111A6">
        <w:rPr>
          <w:rFonts w:cs="Arial"/>
          <w:b/>
          <w:szCs w:val="24"/>
        </w:rPr>
        <w:lastRenderedPageBreak/>
        <w:t>Consultoria especializada para apoio na elaboração dos Planos Municipais de Saneamento Básico:</w:t>
      </w:r>
    </w:p>
    <w:p w:rsidR="0007281C" w:rsidRDefault="0007281C" w:rsidP="0007281C">
      <w:pPr>
        <w:shd w:val="clear" w:color="auto" w:fill="FFFFFF"/>
        <w:spacing w:before="120" w:after="120" w:line="240" w:lineRule="auto"/>
        <w:ind w:firstLine="6"/>
        <w:rPr>
          <w:rFonts w:eastAsia="Times New Roman" w:cs="Arial"/>
          <w:color w:val="FF0000"/>
          <w:szCs w:val="24"/>
          <w:lang w:eastAsia="pt-BR"/>
        </w:rPr>
      </w:pPr>
    </w:p>
    <w:p w:rsidR="00BB6785" w:rsidRDefault="00BB6785" w:rsidP="00BB6785">
      <w:pPr>
        <w:shd w:val="clear" w:color="auto" w:fill="FFFFFF"/>
        <w:spacing w:line="240" w:lineRule="auto"/>
        <w:ind w:right="140"/>
        <w:rPr>
          <w:rFonts w:ascii="Times New Roman" w:hAnsi="Times New Roman"/>
          <w:color w:val="444444"/>
          <w:lang w:eastAsia="pt-BR"/>
        </w:rPr>
      </w:pPr>
      <w:r>
        <w:rPr>
          <w:noProof/>
          <w:lang w:eastAsia="pt-BR"/>
        </w:rPr>
        <w:drawing>
          <wp:anchor distT="0" distB="0" distL="114300" distR="114300" simplePos="0" relativeHeight="251660288" behindDoc="0" locked="0" layoutInCell="1" allowOverlap="1" wp14:anchorId="4A7D19BC" wp14:editId="3C512AF2">
            <wp:simplePos x="0" y="0"/>
            <wp:positionH relativeFrom="column">
              <wp:posOffset>5080</wp:posOffset>
            </wp:positionH>
            <wp:positionV relativeFrom="paragraph">
              <wp:posOffset>107315</wp:posOffset>
            </wp:positionV>
            <wp:extent cx="799465" cy="892810"/>
            <wp:effectExtent l="0" t="0" r="635" b="2540"/>
            <wp:wrapSquare wrapText="bothSides"/>
            <wp:docPr id="32" name="Imagem 60" descr="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0" descr="logotipo"/>
                    <pic:cNvPicPr>
                      <a:picLocks noChangeAspect="1" noChangeArrowheads="1"/>
                    </pic:cNvPicPr>
                  </pic:nvPicPr>
                  <pic:blipFill>
                    <a:blip r:embed="rId19">
                      <a:extLst>
                        <a:ext uri="{28A0092B-C50C-407E-A947-70E740481C1C}">
                          <a14:useLocalDpi xmlns:a14="http://schemas.microsoft.com/office/drawing/2010/main" val="0"/>
                        </a:ext>
                      </a:extLst>
                    </a:blip>
                    <a:srcRect t="10101" b="10101"/>
                    <a:stretch>
                      <a:fillRect/>
                    </a:stretch>
                  </pic:blipFill>
                  <pic:spPr bwMode="auto">
                    <a:xfrm>
                      <a:off x="0" y="0"/>
                      <a:ext cx="799465" cy="8928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7281C" w:rsidRPr="0007281C" w:rsidRDefault="0007281C" w:rsidP="0007281C">
      <w:pPr>
        <w:shd w:val="clear" w:color="auto" w:fill="FFFFFF"/>
        <w:spacing w:before="120" w:after="120" w:line="240" w:lineRule="auto"/>
        <w:ind w:right="142" w:firstLine="6"/>
        <w:jc w:val="right"/>
        <w:rPr>
          <w:rFonts w:eastAsia="Times New Roman" w:cs="Arial"/>
          <w:b/>
          <w:color w:val="444444"/>
          <w:szCs w:val="24"/>
          <w:lang w:eastAsia="pt-BR"/>
        </w:rPr>
      </w:pPr>
      <w:r w:rsidRPr="0007281C">
        <w:rPr>
          <w:rFonts w:eastAsia="Times New Roman" w:cs="Arial"/>
          <w:b/>
          <w:color w:val="444444"/>
          <w:szCs w:val="24"/>
          <w:lang w:eastAsia="pt-BR"/>
        </w:rPr>
        <w:t>SHS - Consultoria e Projetos de Engenharia Ltda. EP</w:t>
      </w:r>
    </w:p>
    <w:p w:rsidR="0007281C" w:rsidRPr="0007281C" w:rsidRDefault="0007281C" w:rsidP="0007281C">
      <w:pPr>
        <w:shd w:val="clear" w:color="auto" w:fill="FFFFFF"/>
        <w:spacing w:before="120" w:after="120" w:line="240" w:lineRule="auto"/>
        <w:ind w:left="2124" w:right="142" w:firstLine="708"/>
        <w:jc w:val="right"/>
        <w:rPr>
          <w:rFonts w:eastAsia="Times New Roman" w:cs="Arial"/>
          <w:color w:val="444444"/>
          <w:sz w:val="20"/>
          <w:szCs w:val="20"/>
          <w:lang w:eastAsia="pt-BR"/>
        </w:rPr>
      </w:pPr>
      <w:r w:rsidRPr="0007281C">
        <w:rPr>
          <w:rFonts w:eastAsia="Times New Roman" w:cs="Arial"/>
          <w:color w:val="444444"/>
          <w:sz w:val="20"/>
          <w:szCs w:val="20"/>
          <w:lang w:eastAsia="pt-BR"/>
        </w:rPr>
        <w:t>Rua Padre Teixeira, 1772, Centro - São Carlos/SP - 13.560-210</w:t>
      </w:r>
    </w:p>
    <w:p w:rsidR="0007281C" w:rsidRPr="0007281C" w:rsidRDefault="0007281C" w:rsidP="0007281C">
      <w:pPr>
        <w:shd w:val="clear" w:color="auto" w:fill="FFFFFF"/>
        <w:spacing w:before="120" w:after="120" w:line="240" w:lineRule="auto"/>
        <w:ind w:left="4956" w:right="142" w:firstLine="708"/>
        <w:jc w:val="right"/>
        <w:rPr>
          <w:rFonts w:eastAsia="Times New Roman" w:cs="Arial"/>
          <w:color w:val="444444"/>
          <w:sz w:val="20"/>
          <w:szCs w:val="20"/>
          <w:lang w:eastAsia="pt-BR"/>
        </w:rPr>
      </w:pPr>
      <w:r w:rsidRPr="0007281C">
        <w:rPr>
          <w:rFonts w:eastAsia="Times New Roman" w:cs="Arial"/>
          <w:color w:val="444444"/>
          <w:sz w:val="20"/>
          <w:szCs w:val="20"/>
          <w:lang w:eastAsia="pt-BR"/>
        </w:rPr>
        <w:t>Tel.: 55 16 33741755 www.shs.com.br</w:t>
      </w:r>
    </w:p>
    <w:p w:rsidR="0007281C" w:rsidRPr="0007281C" w:rsidRDefault="0007281C" w:rsidP="0007281C">
      <w:pPr>
        <w:shd w:val="clear" w:color="auto" w:fill="FFFFFF"/>
        <w:spacing w:before="120" w:after="120"/>
        <w:ind w:firstLine="3"/>
        <w:rPr>
          <w:rFonts w:eastAsia="Times New Roman" w:cs="Arial"/>
          <w:sz w:val="20"/>
          <w:szCs w:val="20"/>
          <w:lang w:eastAsia="pt-BR"/>
        </w:rPr>
      </w:pPr>
    </w:p>
    <w:p w:rsidR="0007281C" w:rsidRPr="0007281C" w:rsidRDefault="0007281C" w:rsidP="0007281C">
      <w:pPr>
        <w:shd w:val="clear" w:color="auto" w:fill="FFFFFF"/>
        <w:spacing w:before="120" w:after="120"/>
        <w:ind w:firstLine="3"/>
        <w:rPr>
          <w:rFonts w:eastAsia="Times New Roman" w:cs="Arial"/>
          <w:szCs w:val="24"/>
          <w:lang w:eastAsia="pt-BR"/>
        </w:rPr>
      </w:pPr>
      <w:r w:rsidRPr="0007281C">
        <w:rPr>
          <w:rFonts w:eastAsia="Times New Roman" w:cs="Arial"/>
          <w:szCs w:val="24"/>
          <w:u w:val="single"/>
          <w:lang w:eastAsia="pt-BR"/>
        </w:rPr>
        <w:t>Equipe-chave</w:t>
      </w:r>
      <w:r w:rsidRPr="0007281C">
        <w:rPr>
          <w:rFonts w:eastAsia="Times New Roman" w:cs="Arial"/>
          <w:szCs w:val="24"/>
          <w:lang w:eastAsia="pt-BR"/>
        </w:rPr>
        <w:t>:</w:t>
      </w:r>
    </w:p>
    <w:p w:rsidR="0007281C" w:rsidRPr="0007281C" w:rsidRDefault="0007281C" w:rsidP="0007281C">
      <w:pPr>
        <w:shd w:val="clear" w:color="auto" w:fill="FFFFFF"/>
        <w:spacing w:before="120" w:after="120"/>
        <w:ind w:firstLine="6"/>
        <w:jc w:val="both"/>
        <w:rPr>
          <w:rFonts w:eastAsia="Times New Roman" w:cs="Arial"/>
          <w:szCs w:val="24"/>
          <w:lang w:eastAsia="pt-BR"/>
        </w:rPr>
      </w:pPr>
      <w:r w:rsidRPr="0007281C">
        <w:rPr>
          <w:rFonts w:eastAsia="Times New Roman" w:cs="Arial"/>
          <w:b/>
          <w:szCs w:val="24"/>
          <w:lang w:eastAsia="pt-BR"/>
        </w:rPr>
        <w:t>Lívia Cristina Holmo Villela</w:t>
      </w:r>
      <w:r w:rsidRPr="0007281C">
        <w:rPr>
          <w:rFonts w:eastAsia="Times New Roman" w:cs="Arial"/>
          <w:szCs w:val="24"/>
          <w:lang w:eastAsia="pt-BR"/>
        </w:rPr>
        <w:t xml:space="preserve"> - Engenheira Civil Sênior / Doutora em Engenharia Hidráulica e Saneamento - Coordenação e revisão geral.</w:t>
      </w:r>
    </w:p>
    <w:p w:rsidR="0007281C" w:rsidRPr="0007281C" w:rsidRDefault="0007281C" w:rsidP="0007281C">
      <w:pPr>
        <w:shd w:val="clear" w:color="auto" w:fill="FFFFFF"/>
        <w:spacing w:before="120" w:after="120"/>
        <w:ind w:firstLine="6"/>
        <w:jc w:val="both"/>
        <w:rPr>
          <w:rFonts w:eastAsia="Times New Roman" w:cs="Arial"/>
          <w:szCs w:val="24"/>
          <w:lang w:eastAsia="pt-BR"/>
        </w:rPr>
      </w:pPr>
      <w:r w:rsidRPr="0007281C">
        <w:rPr>
          <w:rFonts w:eastAsia="Times New Roman" w:cs="Arial"/>
          <w:b/>
          <w:szCs w:val="24"/>
          <w:lang w:eastAsia="pt-BR"/>
        </w:rPr>
        <w:t>Iveti Ap. Pavão Macedo da Silva</w:t>
      </w:r>
      <w:r w:rsidRPr="0007281C">
        <w:rPr>
          <w:rFonts w:eastAsia="Times New Roman" w:cs="Arial"/>
          <w:szCs w:val="24"/>
          <w:lang w:eastAsia="pt-BR"/>
        </w:rPr>
        <w:t xml:space="preserve"> - Engenheira Civil Sênior / Especialista em projetos de saneamento - Responsável pelos setores de abastecimento de água; esgotamento sanitário; drenagem urbana e manejo de águas pluviais; limpeza urbana e manejo de resíduos sólidos.</w:t>
      </w:r>
    </w:p>
    <w:p w:rsidR="0007281C" w:rsidRPr="0007281C" w:rsidRDefault="0007281C" w:rsidP="0007281C">
      <w:pPr>
        <w:shd w:val="clear" w:color="auto" w:fill="FFFFFF"/>
        <w:spacing w:before="120" w:after="120"/>
        <w:ind w:firstLine="6"/>
        <w:jc w:val="both"/>
        <w:rPr>
          <w:rFonts w:eastAsia="Times New Roman" w:cs="Arial"/>
          <w:szCs w:val="24"/>
          <w:lang w:eastAsia="pt-BR"/>
        </w:rPr>
      </w:pPr>
      <w:r w:rsidRPr="0007281C">
        <w:rPr>
          <w:rFonts w:eastAsia="Times New Roman" w:cs="Arial"/>
          <w:b/>
          <w:szCs w:val="24"/>
          <w:lang w:eastAsia="pt-BR"/>
        </w:rPr>
        <w:t>Larissa Nogueira Olmo Margarido</w:t>
      </w:r>
      <w:r w:rsidRPr="0007281C">
        <w:rPr>
          <w:rFonts w:eastAsia="Times New Roman" w:cs="Arial"/>
          <w:szCs w:val="24"/>
          <w:lang w:eastAsia="pt-BR"/>
        </w:rPr>
        <w:t xml:space="preserve"> - Engenheira Civil Sênior / Mestre em Engenharia Hidráulica e Saneamento - </w:t>
      </w:r>
      <w:r w:rsidRPr="0007281C">
        <w:rPr>
          <w:rFonts w:eastAsia="Times New Roman" w:cs="Arial"/>
          <w:szCs w:val="24"/>
        </w:rPr>
        <w:t>Responsável pelos setores de abastecimento de água; esgotamento sanitário; drenagem urbana e manejo de águas pluviais; limpeza urbana e manejo de resíduos sólidos. Responsável pelos estudos populacionais</w:t>
      </w:r>
      <w:r w:rsidRPr="0007281C">
        <w:rPr>
          <w:rFonts w:eastAsia="Times New Roman" w:cs="Arial"/>
          <w:szCs w:val="24"/>
          <w:lang w:eastAsia="pt-BR"/>
        </w:rPr>
        <w:t>.</w:t>
      </w:r>
    </w:p>
    <w:p w:rsidR="0007281C" w:rsidRPr="0007281C" w:rsidRDefault="0007281C" w:rsidP="0007281C">
      <w:pPr>
        <w:shd w:val="clear" w:color="auto" w:fill="FFFFFF"/>
        <w:spacing w:before="120" w:after="120"/>
        <w:ind w:firstLine="6"/>
        <w:jc w:val="both"/>
        <w:rPr>
          <w:rFonts w:eastAsia="Times New Roman" w:cs="Arial"/>
          <w:szCs w:val="24"/>
          <w:lang w:eastAsia="pt-BR"/>
        </w:rPr>
      </w:pPr>
      <w:r w:rsidRPr="0007281C">
        <w:rPr>
          <w:rFonts w:eastAsia="Times New Roman" w:cs="Arial"/>
          <w:b/>
          <w:szCs w:val="24"/>
          <w:lang w:eastAsia="pt-BR"/>
        </w:rPr>
        <w:t>Swami Marcondes Villela</w:t>
      </w:r>
      <w:r w:rsidRPr="0007281C">
        <w:rPr>
          <w:rFonts w:eastAsia="Times New Roman" w:cs="Arial"/>
          <w:szCs w:val="24"/>
          <w:lang w:eastAsia="pt-BR"/>
        </w:rPr>
        <w:t xml:space="preserve"> - Engenheiro Civil Sênior / Livre-docente da Universidade de São Paulo - Responsável pelos setores de abastecimento de água; esgotamento sanitário; drenagem urbana e manejo de águas pluviais; limpeza urbana e manejo de resíduos sólidos.</w:t>
      </w:r>
    </w:p>
    <w:p w:rsidR="0007281C" w:rsidRPr="0007281C" w:rsidRDefault="0007281C" w:rsidP="0007281C">
      <w:pPr>
        <w:shd w:val="clear" w:color="auto" w:fill="FFFFFF"/>
        <w:spacing w:before="120" w:after="120"/>
        <w:ind w:firstLine="6"/>
        <w:jc w:val="both"/>
        <w:rPr>
          <w:rFonts w:eastAsia="Times New Roman" w:cs="Arial"/>
          <w:szCs w:val="24"/>
          <w:lang w:eastAsia="pt-BR"/>
        </w:rPr>
      </w:pPr>
      <w:r w:rsidRPr="0007281C">
        <w:rPr>
          <w:rFonts w:eastAsia="Times New Roman" w:cs="Arial"/>
          <w:b/>
          <w:szCs w:val="24"/>
          <w:lang w:eastAsia="pt-BR"/>
        </w:rPr>
        <w:t>Ana Carolina do Prado Whitaker Medeiros</w:t>
      </w:r>
      <w:r w:rsidRPr="0007281C">
        <w:rPr>
          <w:rFonts w:eastAsia="Times New Roman" w:cs="Arial"/>
          <w:szCs w:val="24"/>
          <w:lang w:eastAsia="pt-BR"/>
        </w:rPr>
        <w:t xml:space="preserve"> - Bacharel em Comunicação Social – Jornalismo / Pós-graduada em Gestão Ambiental - Responsável pelo Plano de Comunicação e Mobilização Social.</w:t>
      </w:r>
    </w:p>
    <w:p w:rsidR="00DF3739" w:rsidRPr="00DF3739" w:rsidRDefault="00DF3739" w:rsidP="00DF3739">
      <w:pPr>
        <w:shd w:val="clear" w:color="auto" w:fill="FFFFFF"/>
        <w:spacing w:before="120" w:after="120"/>
        <w:ind w:firstLine="6"/>
        <w:jc w:val="both"/>
        <w:rPr>
          <w:rFonts w:eastAsia="Times New Roman" w:cs="Arial"/>
          <w:szCs w:val="24"/>
          <w:lang w:eastAsia="pt-BR"/>
        </w:rPr>
      </w:pPr>
      <w:r w:rsidRPr="00DF3739">
        <w:rPr>
          <w:rFonts w:eastAsia="Times New Roman" w:cs="Arial"/>
          <w:b/>
          <w:szCs w:val="24"/>
          <w:lang w:eastAsia="pt-BR"/>
        </w:rPr>
        <w:t xml:space="preserve">Wlamir José Paschoalino </w:t>
      </w:r>
      <w:r w:rsidRPr="00DF3739">
        <w:rPr>
          <w:rFonts w:eastAsia="Times New Roman" w:cs="Arial"/>
          <w:szCs w:val="24"/>
          <w:lang w:eastAsia="pt-BR"/>
        </w:rPr>
        <w:t>- Economista / Mestre em Política Científica e Tecnológica – Consultor na área de Economia.</w:t>
      </w:r>
    </w:p>
    <w:p w:rsidR="0007281C" w:rsidRDefault="0007281C" w:rsidP="0007281C">
      <w:pPr>
        <w:shd w:val="clear" w:color="auto" w:fill="FFFFFF"/>
        <w:spacing w:before="120" w:after="120"/>
        <w:ind w:firstLine="6"/>
        <w:jc w:val="both"/>
        <w:rPr>
          <w:rFonts w:eastAsia="Times New Roman" w:cs="Arial"/>
          <w:szCs w:val="24"/>
          <w:lang w:eastAsia="pt-BR"/>
        </w:rPr>
      </w:pPr>
      <w:r w:rsidRPr="0007281C">
        <w:rPr>
          <w:rFonts w:eastAsia="Times New Roman" w:cs="Arial"/>
          <w:b/>
          <w:szCs w:val="24"/>
          <w:lang w:eastAsia="pt-BR"/>
        </w:rPr>
        <w:t>Isabel Cristina Inocente Pavão</w:t>
      </w:r>
      <w:r w:rsidRPr="0007281C">
        <w:rPr>
          <w:rFonts w:eastAsia="Times New Roman" w:cs="Arial"/>
          <w:szCs w:val="24"/>
          <w:lang w:eastAsia="pt-BR"/>
        </w:rPr>
        <w:t xml:space="preserve"> – Advogada - Responsável pelos trabalhos na área jurídica.</w:t>
      </w:r>
    </w:p>
    <w:p w:rsidR="0007281C" w:rsidRPr="0007281C" w:rsidRDefault="0007281C" w:rsidP="0007281C">
      <w:pPr>
        <w:shd w:val="clear" w:color="auto" w:fill="FFFFFF"/>
        <w:spacing w:before="120" w:after="120"/>
        <w:ind w:firstLine="3"/>
        <w:rPr>
          <w:rFonts w:eastAsia="Times New Roman" w:cs="Arial"/>
          <w:szCs w:val="24"/>
          <w:lang w:eastAsia="pt-BR"/>
        </w:rPr>
      </w:pPr>
      <w:r w:rsidRPr="0007281C">
        <w:rPr>
          <w:rFonts w:eastAsia="Times New Roman" w:cs="Arial"/>
          <w:szCs w:val="24"/>
          <w:u w:val="single"/>
          <w:lang w:eastAsia="pt-BR"/>
        </w:rPr>
        <w:lastRenderedPageBreak/>
        <w:t>Equipe Complementar</w:t>
      </w:r>
      <w:r w:rsidRPr="0007281C">
        <w:rPr>
          <w:rFonts w:eastAsia="Times New Roman" w:cs="Arial"/>
          <w:szCs w:val="24"/>
          <w:lang w:eastAsia="pt-BR"/>
        </w:rPr>
        <w:t>:</w:t>
      </w:r>
    </w:p>
    <w:p w:rsidR="0007281C" w:rsidRPr="0007281C" w:rsidRDefault="0007281C" w:rsidP="0007281C">
      <w:pPr>
        <w:shd w:val="clear" w:color="auto" w:fill="FFFFFF"/>
        <w:spacing w:before="120" w:after="120"/>
        <w:ind w:firstLine="6"/>
        <w:jc w:val="both"/>
        <w:rPr>
          <w:rFonts w:eastAsia="Times New Roman" w:cs="Arial"/>
          <w:szCs w:val="24"/>
          <w:highlight w:val="yellow"/>
          <w:lang w:eastAsia="pt-BR"/>
        </w:rPr>
      </w:pPr>
      <w:r w:rsidRPr="0007281C">
        <w:rPr>
          <w:rFonts w:eastAsia="Times New Roman" w:cs="Arial"/>
          <w:b/>
          <w:szCs w:val="24"/>
          <w:lang w:eastAsia="pt-BR"/>
        </w:rPr>
        <w:t>Sheila Holmo Villela</w:t>
      </w:r>
      <w:r w:rsidRPr="0007281C">
        <w:rPr>
          <w:rFonts w:eastAsia="Times New Roman" w:cs="Arial"/>
          <w:szCs w:val="24"/>
          <w:lang w:eastAsia="pt-BR"/>
        </w:rPr>
        <w:t xml:space="preserve"> - Bacharel em Psicologia / Mestre e Doutora em Ciências da Engenharia Ambiental - Coordenadora operacional dos PMSBs nos quatro setores do saneamento (água, esgoto, drenagem e resíduos sólidos); responsável pela configuração dos eventos públicos (Seminários, Oficinas, Audiências) e pelas equipes de campo</w:t>
      </w:r>
      <w:r w:rsidRPr="0007281C">
        <w:rPr>
          <w:rFonts w:eastAsia="Times New Roman" w:cs="Arial"/>
          <w:szCs w:val="24"/>
        </w:rPr>
        <w:t>.</w:t>
      </w:r>
    </w:p>
    <w:p w:rsidR="0007281C" w:rsidRPr="0007281C" w:rsidRDefault="0007281C" w:rsidP="0007281C">
      <w:pPr>
        <w:shd w:val="clear" w:color="auto" w:fill="FFFFFF"/>
        <w:spacing w:before="120" w:after="120"/>
        <w:ind w:firstLine="6"/>
        <w:jc w:val="both"/>
        <w:rPr>
          <w:rFonts w:eastAsia="Times New Roman" w:cs="Arial"/>
          <w:szCs w:val="24"/>
          <w:lang w:eastAsia="pt-BR"/>
        </w:rPr>
      </w:pPr>
      <w:r w:rsidRPr="0007281C">
        <w:rPr>
          <w:rFonts w:eastAsia="Times New Roman" w:cs="Arial"/>
          <w:b/>
          <w:szCs w:val="24"/>
          <w:lang w:eastAsia="pt-BR"/>
        </w:rPr>
        <w:t>João Paulo Freitas Alves Pereira</w:t>
      </w:r>
      <w:r w:rsidRPr="0007281C">
        <w:rPr>
          <w:rFonts w:eastAsia="Times New Roman" w:cs="Arial"/>
          <w:szCs w:val="24"/>
          <w:lang w:eastAsia="pt-BR"/>
        </w:rPr>
        <w:t xml:space="preserve"> – Engenheiro Ambiental Junior - </w:t>
      </w:r>
      <w:r w:rsidRPr="0007281C">
        <w:rPr>
          <w:rFonts w:eastAsia="Times New Roman" w:cs="Arial"/>
          <w:szCs w:val="24"/>
        </w:rPr>
        <w:t>Coordenador operacional dos quatro setores do saneamento básico (água, esgoto, drenagem e resíduos sólidos); responsável pelo Sistema de Informação e Bases Cartográficas elaboradas utilizando técnicas de geoprocessamento (SIG).</w:t>
      </w:r>
    </w:p>
    <w:p w:rsidR="0007281C" w:rsidRPr="0007281C" w:rsidRDefault="0007281C" w:rsidP="0007281C">
      <w:pPr>
        <w:shd w:val="clear" w:color="auto" w:fill="FFFFFF"/>
        <w:spacing w:before="120" w:after="120"/>
        <w:ind w:firstLine="6"/>
        <w:jc w:val="both"/>
        <w:rPr>
          <w:rFonts w:eastAsia="Times New Roman" w:cs="Arial"/>
          <w:szCs w:val="24"/>
          <w:lang w:eastAsia="pt-BR"/>
        </w:rPr>
      </w:pPr>
      <w:r w:rsidRPr="0007281C">
        <w:rPr>
          <w:rFonts w:eastAsia="Times New Roman" w:cs="Arial"/>
          <w:b/>
          <w:szCs w:val="24"/>
          <w:lang w:eastAsia="pt-BR"/>
        </w:rPr>
        <w:t>Darci Pereira</w:t>
      </w:r>
      <w:r w:rsidRPr="0007281C">
        <w:rPr>
          <w:rFonts w:eastAsia="Times New Roman" w:cs="Arial"/>
          <w:szCs w:val="24"/>
          <w:lang w:eastAsia="pt-BR"/>
        </w:rPr>
        <w:t xml:space="preserve"> - Engenheiro Civil Pleno / Especialista em projetos de saneamento - Corresponsável pelo setor de drenagem urbana e manejo de águas pluviais.</w:t>
      </w:r>
    </w:p>
    <w:p w:rsidR="0007281C" w:rsidRPr="0007281C" w:rsidRDefault="0007281C" w:rsidP="0007281C">
      <w:pPr>
        <w:spacing w:before="120" w:after="120"/>
        <w:jc w:val="both"/>
        <w:rPr>
          <w:rFonts w:cs="Arial"/>
          <w:szCs w:val="24"/>
          <w:highlight w:val="yellow"/>
        </w:rPr>
      </w:pPr>
      <w:r w:rsidRPr="0007281C">
        <w:rPr>
          <w:rFonts w:cs="Arial"/>
          <w:b/>
          <w:szCs w:val="24"/>
        </w:rPr>
        <w:t>Vítor Catoia</w:t>
      </w:r>
      <w:r w:rsidRPr="0007281C">
        <w:rPr>
          <w:rFonts w:cs="Arial"/>
          <w:szCs w:val="24"/>
        </w:rPr>
        <w:t xml:space="preserve"> – Biólogo - </w:t>
      </w:r>
      <w:r w:rsidRPr="0007281C">
        <w:rPr>
          <w:rFonts w:eastAsia="Times New Roman" w:cs="Arial"/>
          <w:szCs w:val="24"/>
        </w:rPr>
        <w:t>Corresponsável pela caracterização geral dos municípios e Sistema de Informação e Bases Cartográficas elaboradas utilizando técnicas de geoprocessamento (SIG).</w:t>
      </w:r>
    </w:p>
    <w:p w:rsidR="0007281C" w:rsidRPr="0007281C" w:rsidRDefault="0007281C" w:rsidP="0007281C">
      <w:pPr>
        <w:shd w:val="clear" w:color="auto" w:fill="FFFFFF"/>
        <w:spacing w:before="120" w:after="120"/>
        <w:ind w:firstLine="6"/>
        <w:jc w:val="both"/>
        <w:rPr>
          <w:rFonts w:eastAsia="Times New Roman" w:cs="Arial"/>
          <w:szCs w:val="24"/>
          <w:lang w:eastAsia="pt-BR"/>
        </w:rPr>
      </w:pPr>
      <w:r w:rsidRPr="0007281C">
        <w:rPr>
          <w:rFonts w:eastAsia="Times New Roman" w:cs="Arial"/>
          <w:b/>
          <w:szCs w:val="24"/>
          <w:lang w:eastAsia="pt-BR"/>
        </w:rPr>
        <w:t>Paloma Fernandes Paulino</w:t>
      </w:r>
      <w:r w:rsidRPr="0007281C">
        <w:rPr>
          <w:rFonts w:eastAsia="Times New Roman" w:cs="Arial"/>
          <w:szCs w:val="24"/>
          <w:lang w:eastAsia="pt-BR"/>
        </w:rPr>
        <w:t xml:space="preserve"> - Engenheira Ambiental Plena / Mestre em Engenharia Hidráulica e Saneamento - </w:t>
      </w:r>
      <w:r w:rsidRPr="0007281C">
        <w:rPr>
          <w:rFonts w:eastAsia="Times New Roman" w:cs="Arial"/>
          <w:szCs w:val="24"/>
        </w:rPr>
        <w:t>Responsável pelo setor de drenagem; responsável pelo Sistema de Informação e Bases Cartográficas elaboradas utilizando técnicas de geoprocessamento (SIG).</w:t>
      </w:r>
    </w:p>
    <w:p w:rsidR="0007281C" w:rsidRPr="0007281C" w:rsidRDefault="0007281C" w:rsidP="0007281C">
      <w:pPr>
        <w:shd w:val="clear" w:color="auto" w:fill="FFFFFF"/>
        <w:spacing w:before="120" w:after="120"/>
        <w:ind w:firstLine="6"/>
        <w:jc w:val="both"/>
        <w:rPr>
          <w:rFonts w:eastAsia="Times New Roman" w:cs="Arial"/>
          <w:szCs w:val="24"/>
          <w:lang w:eastAsia="pt-BR"/>
        </w:rPr>
      </w:pPr>
      <w:r w:rsidRPr="0007281C">
        <w:rPr>
          <w:rFonts w:eastAsia="Times New Roman" w:cs="Arial"/>
          <w:b/>
          <w:szCs w:val="24"/>
          <w:lang w:eastAsia="pt-BR"/>
        </w:rPr>
        <w:t>Vilma Matias</w:t>
      </w:r>
      <w:r w:rsidRPr="0007281C">
        <w:rPr>
          <w:rFonts w:eastAsia="Times New Roman" w:cs="Arial"/>
          <w:szCs w:val="24"/>
          <w:lang w:eastAsia="pt-BR"/>
        </w:rPr>
        <w:t xml:space="preserve"> – Bióloga - </w:t>
      </w:r>
      <w:r w:rsidRPr="0007281C">
        <w:rPr>
          <w:rFonts w:eastAsia="Times New Roman" w:cs="Arial"/>
          <w:szCs w:val="24"/>
        </w:rPr>
        <w:t>Levantamento de dados e apoio aos gestores municipais quanto aos procedimentos de comunicação e mobilização social.</w:t>
      </w:r>
    </w:p>
    <w:p w:rsidR="0007281C" w:rsidRPr="0007281C" w:rsidRDefault="0007281C" w:rsidP="0007281C">
      <w:pPr>
        <w:shd w:val="clear" w:color="auto" w:fill="FFFFFF"/>
        <w:spacing w:before="120" w:after="120"/>
        <w:ind w:firstLine="6"/>
        <w:jc w:val="both"/>
        <w:rPr>
          <w:rFonts w:eastAsia="Times New Roman" w:cs="Arial"/>
          <w:szCs w:val="24"/>
          <w:lang w:eastAsia="pt-BR"/>
        </w:rPr>
      </w:pPr>
      <w:r w:rsidRPr="0007281C">
        <w:rPr>
          <w:rFonts w:eastAsia="Times New Roman" w:cs="Arial"/>
          <w:b/>
          <w:szCs w:val="24"/>
          <w:lang w:eastAsia="pt-BR"/>
        </w:rPr>
        <w:t>Flávia B. Feliciano de Lima</w:t>
      </w:r>
      <w:r w:rsidRPr="0007281C">
        <w:rPr>
          <w:rFonts w:eastAsia="Times New Roman" w:cs="Arial"/>
          <w:szCs w:val="24"/>
          <w:lang w:eastAsia="pt-BR"/>
        </w:rPr>
        <w:t xml:space="preserve"> – Pedagoga - </w:t>
      </w:r>
      <w:r w:rsidRPr="0007281C">
        <w:rPr>
          <w:rFonts w:eastAsia="Times New Roman" w:cs="Arial"/>
          <w:szCs w:val="24"/>
        </w:rPr>
        <w:t>Responsável pela revisão e edição geral dos textos e corresponsável pela área de comunicação e mobilização social.</w:t>
      </w:r>
    </w:p>
    <w:p w:rsidR="0007281C" w:rsidRPr="0007281C" w:rsidRDefault="0007281C" w:rsidP="0007281C">
      <w:pPr>
        <w:shd w:val="clear" w:color="auto" w:fill="FFFFFF"/>
        <w:spacing w:before="120" w:after="120"/>
        <w:ind w:firstLine="6"/>
        <w:jc w:val="both"/>
        <w:rPr>
          <w:rFonts w:eastAsia="Times New Roman" w:cs="Arial"/>
          <w:szCs w:val="24"/>
          <w:lang w:eastAsia="pt-BR"/>
        </w:rPr>
      </w:pPr>
      <w:r w:rsidRPr="0007281C">
        <w:rPr>
          <w:rFonts w:eastAsia="Times New Roman" w:cs="Arial"/>
          <w:b/>
          <w:szCs w:val="24"/>
          <w:lang w:eastAsia="pt-BR"/>
        </w:rPr>
        <w:t xml:space="preserve">Danilo Gustavo - </w:t>
      </w:r>
      <w:r w:rsidRPr="0007281C">
        <w:rPr>
          <w:rFonts w:eastAsia="Times New Roman" w:cs="Arial"/>
          <w:szCs w:val="24"/>
          <w:lang w:eastAsia="pt-BR"/>
        </w:rPr>
        <w:t>Desenhista / Projetista - Responsável pelos desenhos técnicos.</w:t>
      </w:r>
    </w:p>
    <w:p w:rsidR="0007281C" w:rsidRPr="0007281C" w:rsidRDefault="0007281C" w:rsidP="0007281C">
      <w:pPr>
        <w:shd w:val="clear" w:color="auto" w:fill="FFFFFF"/>
        <w:spacing w:before="120" w:after="120"/>
        <w:ind w:firstLine="6"/>
        <w:jc w:val="both"/>
        <w:rPr>
          <w:rFonts w:eastAsia="Times New Roman" w:cs="Arial"/>
          <w:b/>
          <w:szCs w:val="24"/>
          <w:lang w:eastAsia="pt-BR"/>
        </w:rPr>
      </w:pPr>
      <w:r w:rsidRPr="0007281C">
        <w:rPr>
          <w:rFonts w:eastAsia="Times New Roman" w:cs="Arial"/>
          <w:b/>
          <w:szCs w:val="24"/>
          <w:lang w:eastAsia="pt-BR"/>
        </w:rPr>
        <w:t xml:space="preserve">Simone Pavão – </w:t>
      </w:r>
      <w:r w:rsidRPr="0007281C">
        <w:rPr>
          <w:rFonts w:eastAsia="Times New Roman" w:cs="Arial"/>
          <w:szCs w:val="24"/>
          <w:lang w:eastAsia="pt-BR"/>
        </w:rPr>
        <w:t>Técnica em Gestão – Responsável pela área administrativa.</w:t>
      </w:r>
    </w:p>
    <w:p w:rsidR="0007281C" w:rsidRPr="0007281C" w:rsidRDefault="0007281C" w:rsidP="0007281C">
      <w:pPr>
        <w:spacing w:before="120" w:after="120"/>
        <w:jc w:val="both"/>
        <w:rPr>
          <w:rFonts w:cs="Arial"/>
          <w:szCs w:val="24"/>
        </w:rPr>
      </w:pPr>
      <w:r w:rsidRPr="0007281C">
        <w:rPr>
          <w:rFonts w:cs="Arial"/>
          <w:b/>
          <w:szCs w:val="24"/>
        </w:rPr>
        <w:t>Ana Carolina Ferrari dos Santos</w:t>
      </w:r>
      <w:r w:rsidRPr="0007281C">
        <w:rPr>
          <w:rFonts w:cs="Arial"/>
          <w:szCs w:val="24"/>
        </w:rPr>
        <w:t xml:space="preserve"> - Engenharia Ambiental - </w:t>
      </w:r>
      <w:r w:rsidRPr="0007281C">
        <w:rPr>
          <w:rFonts w:eastAsia="Times New Roman" w:cs="Arial"/>
          <w:szCs w:val="24"/>
        </w:rPr>
        <w:t>Colaboradora técnica no setor de Esgotamento Sanitário.</w:t>
      </w:r>
    </w:p>
    <w:p w:rsidR="0007281C" w:rsidRPr="0007281C" w:rsidRDefault="0007281C" w:rsidP="0007281C">
      <w:pPr>
        <w:spacing w:before="120" w:after="120"/>
        <w:rPr>
          <w:rFonts w:cs="Arial"/>
          <w:szCs w:val="24"/>
        </w:rPr>
      </w:pPr>
      <w:r w:rsidRPr="0007281C">
        <w:rPr>
          <w:rFonts w:cs="Arial"/>
          <w:b/>
          <w:szCs w:val="24"/>
        </w:rPr>
        <w:lastRenderedPageBreak/>
        <w:t>Junio da Silva Luiz</w:t>
      </w:r>
      <w:r w:rsidRPr="0007281C">
        <w:rPr>
          <w:rFonts w:cs="Arial"/>
          <w:szCs w:val="24"/>
        </w:rPr>
        <w:t xml:space="preserve"> - Engenheiro Ambiental - </w:t>
      </w:r>
      <w:r w:rsidRPr="0007281C">
        <w:rPr>
          <w:rFonts w:eastAsia="Times New Roman" w:cs="Arial"/>
          <w:szCs w:val="24"/>
        </w:rPr>
        <w:t>Corresponsável pelo setor de drenagem urbana e manejo de águas pluviais.</w:t>
      </w:r>
    </w:p>
    <w:p w:rsidR="0007281C" w:rsidRPr="0007281C" w:rsidRDefault="0007281C" w:rsidP="0007281C">
      <w:pPr>
        <w:shd w:val="clear" w:color="auto" w:fill="FFFFFF"/>
        <w:spacing w:before="120" w:after="120"/>
        <w:ind w:firstLine="6"/>
        <w:jc w:val="both"/>
        <w:rPr>
          <w:rFonts w:eastAsia="Times New Roman" w:cs="Arial"/>
          <w:szCs w:val="24"/>
          <w:highlight w:val="yellow"/>
          <w:lang w:eastAsia="pt-BR"/>
        </w:rPr>
      </w:pPr>
      <w:r w:rsidRPr="0007281C">
        <w:rPr>
          <w:rFonts w:cs="Arial"/>
          <w:b/>
          <w:szCs w:val="24"/>
        </w:rPr>
        <w:t>Marina da Costa Ribeiro de Almeida</w:t>
      </w:r>
      <w:r w:rsidRPr="0007281C">
        <w:rPr>
          <w:rFonts w:cs="Arial"/>
          <w:szCs w:val="24"/>
        </w:rPr>
        <w:t xml:space="preserve"> – Aluna de Engenharia Ambiental – USP - </w:t>
      </w:r>
      <w:r w:rsidRPr="0007281C">
        <w:rPr>
          <w:rFonts w:eastAsia="Times New Roman" w:cs="Arial"/>
          <w:szCs w:val="24"/>
        </w:rPr>
        <w:t>Estagiária - Colaboradora técnica no setor de Drenagem.</w:t>
      </w:r>
    </w:p>
    <w:p w:rsidR="0007281C" w:rsidRPr="0007281C" w:rsidRDefault="0007281C" w:rsidP="0007281C">
      <w:pPr>
        <w:shd w:val="clear" w:color="auto" w:fill="FFFFFF"/>
        <w:spacing w:before="120" w:after="120"/>
        <w:ind w:firstLine="6"/>
        <w:jc w:val="both"/>
        <w:rPr>
          <w:rFonts w:cs="Arial"/>
          <w:szCs w:val="24"/>
        </w:rPr>
      </w:pPr>
      <w:r w:rsidRPr="0007281C">
        <w:rPr>
          <w:rFonts w:cs="Arial"/>
          <w:b/>
          <w:szCs w:val="24"/>
        </w:rPr>
        <w:t xml:space="preserve">Erik Vieira de Melo - </w:t>
      </w:r>
      <w:r w:rsidRPr="0007281C">
        <w:rPr>
          <w:rFonts w:cs="Arial"/>
          <w:szCs w:val="24"/>
        </w:rPr>
        <w:t>Aluno de Engenharia Ambiental – USP - Estagiário - Colaborador técnico na caracterização geral dos municípios e no setor de Drenagem.</w:t>
      </w:r>
    </w:p>
    <w:p w:rsidR="0007281C" w:rsidRPr="0007281C" w:rsidRDefault="0007281C" w:rsidP="0007281C">
      <w:pPr>
        <w:shd w:val="clear" w:color="auto" w:fill="FFFFFF"/>
        <w:spacing w:before="120" w:after="120"/>
        <w:ind w:firstLine="6"/>
        <w:jc w:val="both"/>
        <w:rPr>
          <w:rFonts w:cs="Arial"/>
          <w:szCs w:val="24"/>
        </w:rPr>
      </w:pPr>
      <w:r w:rsidRPr="0007281C">
        <w:rPr>
          <w:rFonts w:cs="Arial"/>
          <w:b/>
          <w:szCs w:val="24"/>
        </w:rPr>
        <w:t xml:space="preserve">Julia Villela Berlingeri - </w:t>
      </w:r>
      <w:r w:rsidRPr="0007281C">
        <w:rPr>
          <w:rFonts w:cs="Arial"/>
          <w:szCs w:val="24"/>
        </w:rPr>
        <w:t>Aluna de Engenharia de Produção – UFSCar - Estagiária - Colaboradora técnica no setor de caracterização institucional dos municípios.</w:t>
      </w:r>
    </w:p>
    <w:p w:rsidR="0007281C" w:rsidRPr="0007281C" w:rsidRDefault="0007281C" w:rsidP="0007281C">
      <w:pPr>
        <w:shd w:val="clear" w:color="auto" w:fill="FFFFFF"/>
        <w:spacing w:before="120" w:after="120"/>
        <w:ind w:firstLine="6"/>
        <w:jc w:val="both"/>
        <w:rPr>
          <w:rFonts w:eastAsia="Times New Roman" w:cs="Arial"/>
          <w:szCs w:val="24"/>
          <w:highlight w:val="yellow"/>
          <w:lang w:eastAsia="pt-BR"/>
        </w:rPr>
      </w:pPr>
      <w:r w:rsidRPr="0007281C">
        <w:rPr>
          <w:rFonts w:eastAsia="Times New Roman" w:cs="Arial"/>
          <w:b/>
          <w:bCs/>
          <w:szCs w:val="24"/>
        </w:rPr>
        <w:t xml:space="preserve">Flávia Arlette Oliveira - </w:t>
      </w:r>
      <w:r w:rsidRPr="0007281C">
        <w:rPr>
          <w:rFonts w:eastAsia="Times New Roman" w:cs="Arial"/>
          <w:szCs w:val="24"/>
        </w:rPr>
        <w:t>Aluna do Curso de Gestão e Análise Ambiental – UFSCar - Estagiária - Colaboradora técnica no setor de Esgotamento Sanitário.</w:t>
      </w:r>
    </w:p>
    <w:p w:rsidR="00BB6785" w:rsidRPr="00641709" w:rsidRDefault="00BB6785" w:rsidP="00BB6785">
      <w:pPr>
        <w:shd w:val="clear" w:color="auto" w:fill="FFFFFF"/>
        <w:spacing w:line="240" w:lineRule="auto"/>
        <w:ind w:left="4956" w:right="140" w:firstLine="708"/>
        <w:rPr>
          <w:sz w:val="20"/>
          <w:szCs w:val="20"/>
        </w:rPr>
      </w:pPr>
      <w:r>
        <w:rPr>
          <w:sz w:val="20"/>
          <w:szCs w:val="20"/>
        </w:rPr>
        <w:br w:type="page"/>
      </w:r>
    </w:p>
    <w:p w:rsidR="003E5877" w:rsidRPr="0091614A" w:rsidRDefault="003E5877" w:rsidP="003E5877">
      <w:pPr>
        <w:jc w:val="center"/>
        <w:rPr>
          <w:b/>
        </w:rPr>
      </w:pPr>
      <w:r w:rsidRPr="0091614A">
        <w:rPr>
          <w:b/>
        </w:rPr>
        <w:lastRenderedPageBreak/>
        <w:t>SUMÁRIO</w:t>
      </w:r>
    </w:p>
    <w:p w:rsidR="00BC01B1" w:rsidRDefault="00FF7681">
      <w:pPr>
        <w:pStyle w:val="Sumrio1"/>
        <w:rPr>
          <w:rFonts w:asciiTheme="minorHAnsi" w:eastAsiaTheme="minorEastAsia" w:hAnsiTheme="minorHAnsi" w:cstheme="minorBidi"/>
          <w:b w:val="0"/>
          <w:noProof/>
          <w:sz w:val="22"/>
          <w:szCs w:val="22"/>
        </w:rPr>
      </w:pPr>
      <w:r>
        <w:fldChar w:fldCharType="begin"/>
      </w:r>
      <w:r>
        <w:instrText xml:space="preserve"> TOC \o "1-5" \h \z \u </w:instrText>
      </w:r>
      <w:r>
        <w:fldChar w:fldCharType="separate"/>
      </w:r>
      <w:hyperlink w:anchor="_Toc509935449" w:history="1">
        <w:r w:rsidR="00BC01B1" w:rsidRPr="005D5DCB">
          <w:rPr>
            <w:rStyle w:val="Hyperlink"/>
            <w:noProof/>
          </w:rPr>
          <w:t>Lista de Figuras</w:t>
        </w:r>
        <w:r w:rsidR="00BC01B1">
          <w:rPr>
            <w:noProof/>
            <w:webHidden/>
          </w:rPr>
          <w:tab/>
        </w:r>
        <w:r w:rsidR="00BC01B1">
          <w:rPr>
            <w:noProof/>
            <w:webHidden/>
          </w:rPr>
          <w:fldChar w:fldCharType="begin"/>
        </w:r>
        <w:r w:rsidR="00BC01B1">
          <w:rPr>
            <w:noProof/>
            <w:webHidden/>
          </w:rPr>
          <w:instrText xml:space="preserve"> PAGEREF _Toc509935449 \h </w:instrText>
        </w:r>
        <w:r w:rsidR="00BC01B1">
          <w:rPr>
            <w:noProof/>
            <w:webHidden/>
          </w:rPr>
        </w:r>
        <w:r w:rsidR="00BC01B1">
          <w:rPr>
            <w:noProof/>
            <w:webHidden/>
          </w:rPr>
          <w:fldChar w:fldCharType="separate"/>
        </w:r>
        <w:r w:rsidR="001B481B">
          <w:rPr>
            <w:noProof/>
            <w:webHidden/>
          </w:rPr>
          <w:t>xx</w:t>
        </w:r>
        <w:r w:rsidR="00BC01B1">
          <w:rPr>
            <w:noProof/>
            <w:webHidden/>
          </w:rPr>
          <w:fldChar w:fldCharType="end"/>
        </w:r>
      </w:hyperlink>
    </w:p>
    <w:p w:rsidR="00BC01B1" w:rsidRDefault="001B481B">
      <w:pPr>
        <w:pStyle w:val="Sumrio1"/>
        <w:rPr>
          <w:rFonts w:asciiTheme="minorHAnsi" w:eastAsiaTheme="minorEastAsia" w:hAnsiTheme="minorHAnsi" w:cstheme="minorBidi"/>
          <w:b w:val="0"/>
          <w:noProof/>
          <w:sz w:val="22"/>
          <w:szCs w:val="22"/>
        </w:rPr>
      </w:pPr>
      <w:hyperlink w:anchor="_Toc509935450" w:history="1">
        <w:r w:rsidR="00BC01B1" w:rsidRPr="005D5DCB">
          <w:rPr>
            <w:rStyle w:val="Hyperlink"/>
            <w:noProof/>
          </w:rPr>
          <w:t>Lista de Quadros</w:t>
        </w:r>
        <w:r w:rsidR="00BC01B1">
          <w:rPr>
            <w:noProof/>
            <w:webHidden/>
          </w:rPr>
          <w:tab/>
        </w:r>
        <w:r w:rsidR="00BC01B1">
          <w:rPr>
            <w:noProof/>
            <w:webHidden/>
          </w:rPr>
          <w:fldChar w:fldCharType="begin"/>
        </w:r>
        <w:r w:rsidR="00BC01B1">
          <w:rPr>
            <w:noProof/>
            <w:webHidden/>
          </w:rPr>
          <w:instrText xml:space="preserve"> PAGEREF _Toc509935450 \h </w:instrText>
        </w:r>
        <w:r w:rsidR="00BC01B1">
          <w:rPr>
            <w:noProof/>
            <w:webHidden/>
          </w:rPr>
        </w:r>
        <w:r w:rsidR="00BC01B1">
          <w:rPr>
            <w:noProof/>
            <w:webHidden/>
          </w:rPr>
          <w:fldChar w:fldCharType="separate"/>
        </w:r>
        <w:r>
          <w:rPr>
            <w:noProof/>
            <w:webHidden/>
          </w:rPr>
          <w:t>xxi</w:t>
        </w:r>
        <w:r w:rsidR="00BC01B1">
          <w:rPr>
            <w:noProof/>
            <w:webHidden/>
          </w:rPr>
          <w:fldChar w:fldCharType="end"/>
        </w:r>
      </w:hyperlink>
    </w:p>
    <w:p w:rsidR="00BC01B1" w:rsidRDefault="001B481B">
      <w:pPr>
        <w:pStyle w:val="Sumrio1"/>
        <w:rPr>
          <w:rFonts w:asciiTheme="minorHAnsi" w:eastAsiaTheme="minorEastAsia" w:hAnsiTheme="minorHAnsi" w:cstheme="minorBidi"/>
          <w:b w:val="0"/>
          <w:noProof/>
          <w:sz w:val="22"/>
          <w:szCs w:val="22"/>
        </w:rPr>
      </w:pPr>
      <w:hyperlink w:anchor="_Toc509935451" w:history="1">
        <w:r w:rsidR="00BC01B1" w:rsidRPr="005D5DCB">
          <w:rPr>
            <w:rStyle w:val="Hyperlink"/>
            <w:noProof/>
          </w:rPr>
          <w:t>Lista de Tabelas</w:t>
        </w:r>
        <w:r w:rsidR="00BC01B1">
          <w:rPr>
            <w:noProof/>
            <w:webHidden/>
          </w:rPr>
          <w:tab/>
        </w:r>
        <w:r w:rsidR="00BC01B1">
          <w:rPr>
            <w:noProof/>
            <w:webHidden/>
          </w:rPr>
          <w:fldChar w:fldCharType="begin"/>
        </w:r>
        <w:r w:rsidR="00BC01B1">
          <w:rPr>
            <w:noProof/>
            <w:webHidden/>
          </w:rPr>
          <w:instrText xml:space="preserve"> PAGEREF _Toc509935451 \h </w:instrText>
        </w:r>
        <w:r w:rsidR="00BC01B1">
          <w:rPr>
            <w:noProof/>
            <w:webHidden/>
          </w:rPr>
        </w:r>
        <w:r w:rsidR="00BC01B1">
          <w:rPr>
            <w:noProof/>
            <w:webHidden/>
          </w:rPr>
          <w:fldChar w:fldCharType="separate"/>
        </w:r>
        <w:r>
          <w:rPr>
            <w:noProof/>
            <w:webHidden/>
          </w:rPr>
          <w:t>xxvii</w:t>
        </w:r>
        <w:r w:rsidR="00BC01B1">
          <w:rPr>
            <w:noProof/>
            <w:webHidden/>
          </w:rPr>
          <w:fldChar w:fldCharType="end"/>
        </w:r>
      </w:hyperlink>
    </w:p>
    <w:p w:rsidR="00BC01B1" w:rsidRDefault="001B481B">
      <w:pPr>
        <w:pStyle w:val="Sumrio1"/>
        <w:rPr>
          <w:rFonts w:asciiTheme="minorHAnsi" w:eastAsiaTheme="minorEastAsia" w:hAnsiTheme="minorHAnsi" w:cstheme="minorBidi"/>
          <w:b w:val="0"/>
          <w:noProof/>
          <w:sz w:val="22"/>
          <w:szCs w:val="22"/>
        </w:rPr>
      </w:pPr>
      <w:hyperlink w:anchor="_Toc509935452" w:history="1">
        <w:r w:rsidR="00BC01B1" w:rsidRPr="005D5DCB">
          <w:rPr>
            <w:rStyle w:val="Hyperlink"/>
            <w:noProof/>
          </w:rPr>
          <w:t>Lista de Anexos</w:t>
        </w:r>
        <w:r w:rsidR="00BC01B1">
          <w:rPr>
            <w:noProof/>
            <w:webHidden/>
          </w:rPr>
          <w:tab/>
        </w:r>
        <w:r w:rsidR="00BC01B1">
          <w:rPr>
            <w:noProof/>
            <w:webHidden/>
          </w:rPr>
          <w:fldChar w:fldCharType="begin"/>
        </w:r>
        <w:r w:rsidR="00BC01B1">
          <w:rPr>
            <w:noProof/>
            <w:webHidden/>
          </w:rPr>
          <w:instrText xml:space="preserve"> PAGEREF _Toc509935452 \h </w:instrText>
        </w:r>
        <w:r w:rsidR="00BC01B1">
          <w:rPr>
            <w:noProof/>
            <w:webHidden/>
          </w:rPr>
        </w:r>
        <w:r w:rsidR="00BC01B1">
          <w:rPr>
            <w:noProof/>
            <w:webHidden/>
          </w:rPr>
          <w:fldChar w:fldCharType="separate"/>
        </w:r>
        <w:r>
          <w:rPr>
            <w:noProof/>
            <w:webHidden/>
          </w:rPr>
          <w:t>xxvii</w:t>
        </w:r>
        <w:r w:rsidR="00BC01B1">
          <w:rPr>
            <w:noProof/>
            <w:webHidden/>
          </w:rPr>
          <w:fldChar w:fldCharType="end"/>
        </w:r>
      </w:hyperlink>
    </w:p>
    <w:p w:rsidR="00BC01B1" w:rsidRDefault="001B481B">
      <w:pPr>
        <w:pStyle w:val="Sumrio1"/>
        <w:rPr>
          <w:rFonts w:asciiTheme="minorHAnsi" w:eastAsiaTheme="minorEastAsia" w:hAnsiTheme="minorHAnsi" w:cstheme="minorBidi"/>
          <w:b w:val="0"/>
          <w:noProof/>
          <w:sz w:val="22"/>
          <w:szCs w:val="22"/>
        </w:rPr>
      </w:pPr>
      <w:hyperlink w:anchor="_Toc509935453" w:history="1">
        <w:r w:rsidR="00BC01B1" w:rsidRPr="005D5DCB">
          <w:rPr>
            <w:rStyle w:val="Hyperlink"/>
            <w:noProof/>
          </w:rPr>
          <w:t>Abreviaturas e Siglas</w:t>
        </w:r>
        <w:r w:rsidR="00BC01B1">
          <w:rPr>
            <w:noProof/>
            <w:webHidden/>
          </w:rPr>
          <w:tab/>
        </w:r>
        <w:r w:rsidR="00BC01B1">
          <w:rPr>
            <w:noProof/>
            <w:webHidden/>
          </w:rPr>
          <w:fldChar w:fldCharType="begin"/>
        </w:r>
        <w:r w:rsidR="00BC01B1">
          <w:rPr>
            <w:noProof/>
            <w:webHidden/>
          </w:rPr>
          <w:instrText xml:space="preserve"> PAGEREF _Toc509935453 \h </w:instrText>
        </w:r>
        <w:r w:rsidR="00BC01B1">
          <w:rPr>
            <w:noProof/>
            <w:webHidden/>
          </w:rPr>
        </w:r>
        <w:r w:rsidR="00BC01B1">
          <w:rPr>
            <w:noProof/>
            <w:webHidden/>
          </w:rPr>
          <w:fldChar w:fldCharType="separate"/>
        </w:r>
        <w:r>
          <w:rPr>
            <w:noProof/>
            <w:webHidden/>
          </w:rPr>
          <w:t>xxviii</w:t>
        </w:r>
        <w:r w:rsidR="00BC01B1">
          <w:rPr>
            <w:noProof/>
            <w:webHidden/>
          </w:rPr>
          <w:fldChar w:fldCharType="end"/>
        </w:r>
      </w:hyperlink>
    </w:p>
    <w:p w:rsidR="00BC01B1" w:rsidRDefault="001B481B">
      <w:pPr>
        <w:pStyle w:val="Sumrio1"/>
        <w:rPr>
          <w:rFonts w:asciiTheme="minorHAnsi" w:eastAsiaTheme="minorEastAsia" w:hAnsiTheme="minorHAnsi" w:cstheme="minorBidi"/>
          <w:b w:val="0"/>
          <w:noProof/>
          <w:sz w:val="22"/>
          <w:szCs w:val="22"/>
        </w:rPr>
      </w:pPr>
      <w:hyperlink w:anchor="_Toc509935454" w:history="1">
        <w:r w:rsidR="00BC01B1" w:rsidRPr="005D5DCB">
          <w:rPr>
            <w:rStyle w:val="Hyperlink"/>
            <w:noProof/>
          </w:rPr>
          <w:t>Glossário</w:t>
        </w:r>
        <w:r w:rsidR="00BC01B1">
          <w:rPr>
            <w:noProof/>
            <w:webHidden/>
          </w:rPr>
          <w:tab/>
        </w:r>
        <w:r w:rsidR="00BC01B1">
          <w:rPr>
            <w:noProof/>
            <w:webHidden/>
          </w:rPr>
          <w:fldChar w:fldCharType="begin"/>
        </w:r>
        <w:r w:rsidR="00BC01B1">
          <w:rPr>
            <w:noProof/>
            <w:webHidden/>
          </w:rPr>
          <w:instrText xml:space="preserve"> PAGEREF _Toc509935454 \h </w:instrText>
        </w:r>
        <w:r w:rsidR="00BC01B1">
          <w:rPr>
            <w:noProof/>
            <w:webHidden/>
          </w:rPr>
        </w:r>
        <w:r w:rsidR="00BC01B1">
          <w:rPr>
            <w:noProof/>
            <w:webHidden/>
          </w:rPr>
          <w:fldChar w:fldCharType="separate"/>
        </w:r>
        <w:r>
          <w:rPr>
            <w:noProof/>
            <w:webHidden/>
          </w:rPr>
          <w:t>xxxi</w:t>
        </w:r>
        <w:r w:rsidR="00BC01B1">
          <w:rPr>
            <w:noProof/>
            <w:webHidden/>
          </w:rPr>
          <w:fldChar w:fldCharType="end"/>
        </w:r>
      </w:hyperlink>
    </w:p>
    <w:p w:rsidR="00BC01B1" w:rsidRDefault="001B481B">
      <w:pPr>
        <w:pStyle w:val="Sumrio1"/>
        <w:rPr>
          <w:rFonts w:asciiTheme="minorHAnsi" w:eastAsiaTheme="minorEastAsia" w:hAnsiTheme="minorHAnsi" w:cstheme="minorBidi"/>
          <w:b w:val="0"/>
          <w:noProof/>
          <w:sz w:val="22"/>
          <w:szCs w:val="22"/>
        </w:rPr>
      </w:pPr>
      <w:hyperlink w:anchor="_Toc509935455" w:history="1">
        <w:r w:rsidR="00BC01B1" w:rsidRPr="005D5DCB">
          <w:rPr>
            <w:rStyle w:val="Hyperlink"/>
            <w:noProof/>
          </w:rPr>
          <w:t>Apresentação</w:t>
        </w:r>
        <w:r w:rsidR="00BC01B1">
          <w:rPr>
            <w:noProof/>
            <w:webHidden/>
          </w:rPr>
          <w:tab/>
        </w:r>
        <w:r w:rsidR="00BC01B1">
          <w:rPr>
            <w:noProof/>
            <w:webHidden/>
          </w:rPr>
          <w:fldChar w:fldCharType="begin"/>
        </w:r>
        <w:r w:rsidR="00BC01B1">
          <w:rPr>
            <w:noProof/>
            <w:webHidden/>
          </w:rPr>
          <w:instrText xml:space="preserve"> PAGEREF _Toc509935455 \h </w:instrText>
        </w:r>
        <w:r w:rsidR="00BC01B1">
          <w:rPr>
            <w:noProof/>
            <w:webHidden/>
          </w:rPr>
        </w:r>
        <w:r w:rsidR="00BC01B1">
          <w:rPr>
            <w:noProof/>
            <w:webHidden/>
          </w:rPr>
          <w:fldChar w:fldCharType="separate"/>
        </w:r>
        <w:r>
          <w:rPr>
            <w:noProof/>
            <w:webHidden/>
          </w:rPr>
          <w:t>xxxiv</w:t>
        </w:r>
        <w:r w:rsidR="00BC01B1">
          <w:rPr>
            <w:noProof/>
            <w:webHidden/>
          </w:rPr>
          <w:fldChar w:fldCharType="end"/>
        </w:r>
      </w:hyperlink>
    </w:p>
    <w:p w:rsidR="00BC01B1" w:rsidRDefault="001B481B">
      <w:pPr>
        <w:pStyle w:val="Sumrio1"/>
        <w:tabs>
          <w:tab w:val="left" w:pos="567"/>
        </w:tabs>
        <w:rPr>
          <w:rFonts w:asciiTheme="minorHAnsi" w:eastAsiaTheme="minorEastAsia" w:hAnsiTheme="minorHAnsi" w:cstheme="minorBidi"/>
          <w:b w:val="0"/>
          <w:noProof/>
          <w:sz w:val="22"/>
          <w:szCs w:val="22"/>
        </w:rPr>
      </w:pPr>
      <w:hyperlink w:anchor="_Toc509935456" w:history="1">
        <w:r w:rsidR="00BC01B1" w:rsidRPr="005D5DCB">
          <w:rPr>
            <w:rStyle w:val="Hyperlink"/>
            <w:noProof/>
          </w:rPr>
          <w:t>1.</w:t>
        </w:r>
        <w:r w:rsidR="00BC01B1">
          <w:rPr>
            <w:rFonts w:asciiTheme="minorHAnsi" w:eastAsiaTheme="minorEastAsia" w:hAnsiTheme="minorHAnsi" w:cstheme="minorBidi"/>
            <w:b w:val="0"/>
            <w:noProof/>
            <w:sz w:val="22"/>
            <w:szCs w:val="22"/>
          </w:rPr>
          <w:tab/>
        </w:r>
        <w:r w:rsidR="00BC01B1" w:rsidRPr="005D5DCB">
          <w:rPr>
            <w:rStyle w:val="Hyperlink"/>
            <w:noProof/>
          </w:rPr>
          <w:t>Princípios norteadores para a gestão do saneamento básico</w:t>
        </w:r>
        <w:r w:rsidR="00BC01B1">
          <w:rPr>
            <w:noProof/>
            <w:webHidden/>
          </w:rPr>
          <w:tab/>
        </w:r>
        <w:r w:rsidR="00BC01B1">
          <w:rPr>
            <w:noProof/>
            <w:webHidden/>
          </w:rPr>
          <w:fldChar w:fldCharType="begin"/>
        </w:r>
        <w:r w:rsidR="00BC01B1">
          <w:rPr>
            <w:noProof/>
            <w:webHidden/>
          </w:rPr>
          <w:instrText xml:space="preserve"> PAGEREF _Toc509935456 \h </w:instrText>
        </w:r>
        <w:r w:rsidR="00BC01B1">
          <w:rPr>
            <w:noProof/>
            <w:webHidden/>
          </w:rPr>
        </w:r>
        <w:r w:rsidR="00BC01B1">
          <w:rPr>
            <w:noProof/>
            <w:webHidden/>
          </w:rPr>
          <w:fldChar w:fldCharType="separate"/>
        </w:r>
        <w:r>
          <w:rPr>
            <w:noProof/>
            <w:webHidden/>
          </w:rPr>
          <w:t>35</w:t>
        </w:r>
        <w:r w:rsidR="00BC01B1">
          <w:rPr>
            <w:noProof/>
            <w:webHidden/>
          </w:rPr>
          <w:fldChar w:fldCharType="end"/>
        </w:r>
      </w:hyperlink>
    </w:p>
    <w:p w:rsidR="00BC01B1" w:rsidRDefault="001B481B">
      <w:pPr>
        <w:pStyle w:val="Sumrio1"/>
        <w:tabs>
          <w:tab w:val="left" w:pos="567"/>
        </w:tabs>
        <w:rPr>
          <w:rFonts w:asciiTheme="minorHAnsi" w:eastAsiaTheme="minorEastAsia" w:hAnsiTheme="minorHAnsi" w:cstheme="minorBidi"/>
          <w:b w:val="0"/>
          <w:noProof/>
          <w:sz w:val="22"/>
          <w:szCs w:val="22"/>
        </w:rPr>
      </w:pPr>
      <w:hyperlink w:anchor="_Toc509935457" w:history="1">
        <w:r w:rsidR="00BC01B1" w:rsidRPr="005D5DCB">
          <w:rPr>
            <w:rStyle w:val="Hyperlink"/>
            <w:noProof/>
          </w:rPr>
          <w:t>2.</w:t>
        </w:r>
        <w:r w:rsidR="00BC01B1">
          <w:rPr>
            <w:rFonts w:asciiTheme="minorHAnsi" w:eastAsiaTheme="minorEastAsia" w:hAnsiTheme="minorHAnsi" w:cstheme="minorBidi"/>
            <w:b w:val="0"/>
            <w:noProof/>
            <w:sz w:val="22"/>
            <w:szCs w:val="22"/>
          </w:rPr>
          <w:tab/>
        </w:r>
        <w:r w:rsidR="00BC01B1" w:rsidRPr="005D5DCB">
          <w:rPr>
            <w:rStyle w:val="Hyperlink"/>
            <w:noProof/>
          </w:rPr>
          <w:t>Obrigações do poder público municipal</w:t>
        </w:r>
        <w:r w:rsidR="00BC01B1">
          <w:rPr>
            <w:noProof/>
            <w:webHidden/>
          </w:rPr>
          <w:tab/>
        </w:r>
        <w:r w:rsidR="00BC01B1">
          <w:rPr>
            <w:noProof/>
            <w:webHidden/>
          </w:rPr>
          <w:fldChar w:fldCharType="begin"/>
        </w:r>
        <w:r w:rsidR="00BC01B1">
          <w:rPr>
            <w:noProof/>
            <w:webHidden/>
          </w:rPr>
          <w:instrText xml:space="preserve"> PAGEREF _Toc509935457 \h </w:instrText>
        </w:r>
        <w:r w:rsidR="00BC01B1">
          <w:rPr>
            <w:noProof/>
            <w:webHidden/>
          </w:rPr>
        </w:r>
        <w:r w:rsidR="00BC01B1">
          <w:rPr>
            <w:noProof/>
            <w:webHidden/>
          </w:rPr>
          <w:fldChar w:fldCharType="separate"/>
        </w:r>
        <w:r>
          <w:rPr>
            <w:noProof/>
            <w:webHidden/>
          </w:rPr>
          <w:t>37</w:t>
        </w:r>
        <w:r w:rsidR="00BC01B1">
          <w:rPr>
            <w:noProof/>
            <w:webHidden/>
          </w:rPr>
          <w:fldChar w:fldCharType="end"/>
        </w:r>
      </w:hyperlink>
    </w:p>
    <w:p w:rsidR="00BC01B1" w:rsidRDefault="001B481B">
      <w:pPr>
        <w:pStyle w:val="Sumrio1"/>
        <w:tabs>
          <w:tab w:val="left" w:pos="567"/>
        </w:tabs>
        <w:rPr>
          <w:rFonts w:asciiTheme="minorHAnsi" w:eastAsiaTheme="minorEastAsia" w:hAnsiTheme="minorHAnsi" w:cstheme="minorBidi"/>
          <w:b w:val="0"/>
          <w:noProof/>
          <w:sz w:val="22"/>
          <w:szCs w:val="22"/>
        </w:rPr>
      </w:pPr>
      <w:hyperlink w:anchor="_Toc509935458" w:history="1">
        <w:r w:rsidR="00BC01B1" w:rsidRPr="005D5DCB">
          <w:rPr>
            <w:rStyle w:val="Hyperlink"/>
            <w:noProof/>
          </w:rPr>
          <w:t>3.</w:t>
        </w:r>
        <w:r w:rsidR="00BC01B1">
          <w:rPr>
            <w:rFonts w:asciiTheme="minorHAnsi" w:eastAsiaTheme="minorEastAsia" w:hAnsiTheme="minorHAnsi" w:cstheme="minorBidi"/>
            <w:b w:val="0"/>
            <w:noProof/>
            <w:sz w:val="22"/>
            <w:szCs w:val="22"/>
          </w:rPr>
          <w:tab/>
        </w:r>
        <w:r w:rsidR="00BC01B1" w:rsidRPr="005D5DCB">
          <w:rPr>
            <w:rStyle w:val="Hyperlink"/>
            <w:noProof/>
          </w:rPr>
          <w:t>Prestação, fiscalização e regulação dos serviços públicos de saneamento básico</w:t>
        </w:r>
        <w:r w:rsidR="00BC01B1">
          <w:rPr>
            <w:noProof/>
            <w:webHidden/>
          </w:rPr>
          <w:tab/>
        </w:r>
        <w:r w:rsidR="00BC01B1">
          <w:rPr>
            <w:noProof/>
            <w:webHidden/>
          </w:rPr>
          <w:fldChar w:fldCharType="begin"/>
        </w:r>
        <w:r w:rsidR="00BC01B1">
          <w:rPr>
            <w:noProof/>
            <w:webHidden/>
          </w:rPr>
          <w:instrText xml:space="preserve"> PAGEREF _Toc509935458 \h </w:instrText>
        </w:r>
        <w:r w:rsidR="00BC01B1">
          <w:rPr>
            <w:noProof/>
            <w:webHidden/>
          </w:rPr>
        </w:r>
        <w:r w:rsidR="00BC01B1">
          <w:rPr>
            <w:noProof/>
            <w:webHidden/>
          </w:rPr>
          <w:fldChar w:fldCharType="separate"/>
        </w:r>
        <w:r>
          <w:rPr>
            <w:noProof/>
            <w:webHidden/>
          </w:rPr>
          <w:t>44</w:t>
        </w:r>
        <w:r w:rsidR="00BC01B1">
          <w:rPr>
            <w:noProof/>
            <w:webHidden/>
          </w:rPr>
          <w:fldChar w:fldCharType="end"/>
        </w:r>
      </w:hyperlink>
    </w:p>
    <w:p w:rsidR="00BC01B1" w:rsidRDefault="001B481B">
      <w:pPr>
        <w:pStyle w:val="Sumrio2"/>
        <w:tabs>
          <w:tab w:val="left" w:pos="1134"/>
        </w:tabs>
        <w:rPr>
          <w:rFonts w:asciiTheme="minorHAnsi" w:eastAsiaTheme="minorEastAsia" w:hAnsiTheme="minorHAnsi" w:cstheme="minorBidi"/>
          <w:noProof/>
          <w:sz w:val="22"/>
          <w:lang w:eastAsia="pt-BR"/>
        </w:rPr>
      </w:pPr>
      <w:hyperlink w:anchor="_Toc509935459" w:history="1">
        <w:r w:rsidR="00BC01B1" w:rsidRPr="005D5DCB">
          <w:rPr>
            <w:rStyle w:val="Hyperlink"/>
            <w:noProof/>
          </w:rPr>
          <w:t>3.1.</w:t>
        </w:r>
        <w:r w:rsidR="00BC01B1">
          <w:rPr>
            <w:rFonts w:asciiTheme="minorHAnsi" w:eastAsiaTheme="minorEastAsia" w:hAnsiTheme="minorHAnsi" w:cstheme="minorBidi"/>
            <w:noProof/>
            <w:sz w:val="22"/>
            <w:lang w:eastAsia="pt-BR"/>
          </w:rPr>
          <w:tab/>
        </w:r>
        <w:r w:rsidR="00BC01B1" w:rsidRPr="005D5DCB">
          <w:rPr>
            <w:rStyle w:val="Hyperlink"/>
            <w:noProof/>
          </w:rPr>
          <w:t>Modelos de prestação de serviços</w:t>
        </w:r>
        <w:r w:rsidR="00BC01B1">
          <w:rPr>
            <w:noProof/>
            <w:webHidden/>
          </w:rPr>
          <w:tab/>
        </w:r>
        <w:r w:rsidR="00BC01B1">
          <w:rPr>
            <w:noProof/>
            <w:webHidden/>
          </w:rPr>
          <w:fldChar w:fldCharType="begin"/>
        </w:r>
        <w:r w:rsidR="00BC01B1">
          <w:rPr>
            <w:noProof/>
            <w:webHidden/>
          </w:rPr>
          <w:instrText xml:space="preserve"> PAGEREF _Toc509935459 \h </w:instrText>
        </w:r>
        <w:r w:rsidR="00BC01B1">
          <w:rPr>
            <w:noProof/>
            <w:webHidden/>
          </w:rPr>
        </w:r>
        <w:r w:rsidR="00BC01B1">
          <w:rPr>
            <w:noProof/>
            <w:webHidden/>
          </w:rPr>
          <w:fldChar w:fldCharType="separate"/>
        </w:r>
        <w:r>
          <w:rPr>
            <w:noProof/>
            <w:webHidden/>
          </w:rPr>
          <w:t>44</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460" w:history="1">
        <w:r w:rsidR="00BC01B1" w:rsidRPr="005D5DCB">
          <w:rPr>
            <w:rStyle w:val="Hyperlink"/>
            <w:noProof/>
          </w:rPr>
          <w:t>3.1.1.</w:t>
        </w:r>
        <w:r w:rsidR="00BC01B1">
          <w:rPr>
            <w:rFonts w:asciiTheme="minorHAnsi" w:eastAsiaTheme="minorEastAsia" w:hAnsiTheme="minorHAnsi" w:cstheme="minorBidi"/>
            <w:i w:val="0"/>
            <w:noProof/>
            <w:sz w:val="22"/>
            <w:lang w:eastAsia="pt-BR"/>
          </w:rPr>
          <w:tab/>
        </w:r>
        <w:r w:rsidR="00BC01B1" w:rsidRPr="005D5DCB">
          <w:rPr>
            <w:rStyle w:val="Hyperlink"/>
            <w:noProof/>
          </w:rPr>
          <w:t>Prestação direta</w:t>
        </w:r>
        <w:r w:rsidR="00BC01B1">
          <w:rPr>
            <w:noProof/>
            <w:webHidden/>
          </w:rPr>
          <w:tab/>
        </w:r>
        <w:r w:rsidR="00BC01B1">
          <w:rPr>
            <w:noProof/>
            <w:webHidden/>
          </w:rPr>
          <w:fldChar w:fldCharType="begin"/>
        </w:r>
        <w:r w:rsidR="00BC01B1">
          <w:rPr>
            <w:noProof/>
            <w:webHidden/>
          </w:rPr>
          <w:instrText xml:space="preserve"> PAGEREF _Toc509935460 \h </w:instrText>
        </w:r>
        <w:r w:rsidR="00BC01B1">
          <w:rPr>
            <w:noProof/>
            <w:webHidden/>
          </w:rPr>
        </w:r>
        <w:r w:rsidR="00BC01B1">
          <w:rPr>
            <w:noProof/>
            <w:webHidden/>
          </w:rPr>
          <w:fldChar w:fldCharType="separate"/>
        </w:r>
        <w:r>
          <w:rPr>
            <w:noProof/>
            <w:webHidden/>
          </w:rPr>
          <w:t>45</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461" w:history="1">
        <w:r w:rsidR="00BC01B1" w:rsidRPr="005D5DCB">
          <w:rPr>
            <w:rStyle w:val="Hyperlink"/>
            <w:noProof/>
          </w:rPr>
          <w:t>3.1.2.</w:t>
        </w:r>
        <w:r w:rsidR="00BC01B1">
          <w:rPr>
            <w:rFonts w:asciiTheme="minorHAnsi" w:eastAsiaTheme="minorEastAsia" w:hAnsiTheme="minorHAnsi" w:cstheme="minorBidi"/>
            <w:i w:val="0"/>
            <w:noProof/>
            <w:sz w:val="22"/>
            <w:lang w:eastAsia="pt-BR"/>
          </w:rPr>
          <w:tab/>
        </w:r>
        <w:r w:rsidR="00BC01B1" w:rsidRPr="005D5DCB">
          <w:rPr>
            <w:rStyle w:val="Hyperlink"/>
            <w:noProof/>
          </w:rPr>
          <w:t>Prestação indireta</w:t>
        </w:r>
        <w:r w:rsidR="00BC01B1">
          <w:rPr>
            <w:noProof/>
            <w:webHidden/>
          </w:rPr>
          <w:tab/>
        </w:r>
        <w:r w:rsidR="00BC01B1">
          <w:rPr>
            <w:noProof/>
            <w:webHidden/>
          </w:rPr>
          <w:fldChar w:fldCharType="begin"/>
        </w:r>
        <w:r w:rsidR="00BC01B1">
          <w:rPr>
            <w:noProof/>
            <w:webHidden/>
          </w:rPr>
          <w:instrText xml:space="preserve"> PAGEREF _Toc509935461 \h </w:instrText>
        </w:r>
        <w:r w:rsidR="00BC01B1">
          <w:rPr>
            <w:noProof/>
            <w:webHidden/>
          </w:rPr>
        </w:r>
        <w:r w:rsidR="00BC01B1">
          <w:rPr>
            <w:noProof/>
            <w:webHidden/>
          </w:rPr>
          <w:fldChar w:fldCharType="separate"/>
        </w:r>
        <w:r>
          <w:rPr>
            <w:noProof/>
            <w:webHidden/>
          </w:rPr>
          <w:t>46</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462" w:history="1">
        <w:r w:rsidR="00BC01B1" w:rsidRPr="005D5DCB">
          <w:rPr>
            <w:rStyle w:val="Hyperlink"/>
            <w:noProof/>
          </w:rPr>
          <w:t>3.1.2.1.</w:t>
        </w:r>
        <w:r w:rsidR="00BC01B1">
          <w:rPr>
            <w:rFonts w:asciiTheme="minorHAnsi" w:eastAsiaTheme="minorEastAsia" w:hAnsiTheme="minorHAnsi" w:cstheme="minorBidi"/>
            <w:noProof/>
          </w:rPr>
          <w:tab/>
        </w:r>
        <w:r w:rsidR="00BC01B1" w:rsidRPr="005D5DCB">
          <w:rPr>
            <w:rStyle w:val="Hyperlink"/>
            <w:noProof/>
          </w:rPr>
          <w:t>Prestação por concessão</w:t>
        </w:r>
        <w:r w:rsidR="00BC01B1">
          <w:rPr>
            <w:noProof/>
            <w:webHidden/>
          </w:rPr>
          <w:tab/>
        </w:r>
        <w:r w:rsidR="00BC01B1">
          <w:rPr>
            <w:noProof/>
            <w:webHidden/>
          </w:rPr>
          <w:fldChar w:fldCharType="begin"/>
        </w:r>
        <w:r w:rsidR="00BC01B1">
          <w:rPr>
            <w:noProof/>
            <w:webHidden/>
          </w:rPr>
          <w:instrText xml:space="preserve"> PAGEREF _Toc509935462 \h </w:instrText>
        </w:r>
        <w:r w:rsidR="00BC01B1">
          <w:rPr>
            <w:noProof/>
            <w:webHidden/>
          </w:rPr>
        </w:r>
        <w:r w:rsidR="00BC01B1">
          <w:rPr>
            <w:noProof/>
            <w:webHidden/>
          </w:rPr>
          <w:fldChar w:fldCharType="separate"/>
        </w:r>
        <w:r>
          <w:rPr>
            <w:noProof/>
            <w:webHidden/>
          </w:rPr>
          <w:t>46</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463" w:history="1">
        <w:r w:rsidR="00BC01B1" w:rsidRPr="005D5DCB">
          <w:rPr>
            <w:rStyle w:val="Hyperlink"/>
            <w:noProof/>
          </w:rPr>
          <w:t>3.1.2.2.</w:t>
        </w:r>
        <w:r w:rsidR="00BC01B1">
          <w:rPr>
            <w:rFonts w:asciiTheme="minorHAnsi" w:eastAsiaTheme="minorEastAsia" w:hAnsiTheme="minorHAnsi" w:cstheme="minorBidi"/>
            <w:noProof/>
          </w:rPr>
          <w:tab/>
        </w:r>
        <w:r w:rsidR="00BC01B1" w:rsidRPr="005D5DCB">
          <w:rPr>
            <w:rStyle w:val="Hyperlink"/>
            <w:noProof/>
          </w:rPr>
          <w:t>Prestação público-privada</w:t>
        </w:r>
        <w:r w:rsidR="00BC01B1">
          <w:rPr>
            <w:noProof/>
            <w:webHidden/>
          </w:rPr>
          <w:tab/>
        </w:r>
        <w:r w:rsidR="00BC01B1">
          <w:rPr>
            <w:noProof/>
            <w:webHidden/>
          </w:rPr>
          <w:fldChar w:fldCharType="begin"/>
        </w:r>
        <w:r w:rsidR="00BC01B1">
          <w:rPr>
            <w:noProof/>
            <w:webHidden/>
          </w:rPr>
          <w:instrText xml:space="preserve"> PAGEREF _Toc509935463 \h </w:instrText>
        </w:r>
        <w:r w:rsidR="00BC01B1">
          <w:rPr>
            <w:noProof/>
            <w:webHidden/>
          </w:rPr>
        </w:r>
        <w:r w:rsidR="00BC01B1">
          <w:rPr>
            <w:noProof/>
            <w:webHidden/>
          </w:rPr>
          <w:fldChar w:fldCharType="separate"/>
        </w:r>
        <w:r>
          <w:rPr>
            <w:noProof/>
            <w:webHidden/>
          </w:rPr>
          <w:t>47</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464" w:history="1">
        <w:r w:rsidR="00BC01B1" w:rsidRPr="005D5DCB">
          <w:rPr>
            <w:rStyle w:val="Hyperlink"/>
            <w:noProof/>
          </w:rPr>
          <w:t>3.1.2.3.</w:t>
        </w:r>
        <w:r w:rsidR="00BC01B1">
          <w:rPr>
            <w:rFonts w:asciiTheme="minorHAnsi" w:eastAsiaTheme="minorEastAsia" w:hAnsiTheme="minorHAnsi" w:cstheme="minorBidi"/>
            <w:noProof/>
          </w:rPr>
          <w:tab/>
        </w:r>
        <w:r w:rsidR="00BC01B1" w:rsidRPr="005D5DCB">
          <w:rPr>
            <w:rStyle w:val="Hyperlink"/>
            <w:noProof/>
          </w:rPr>
          <w:t>Prestação privada</w:t>
        </w:r>
        <w:r w:rsidR="00BC01B1">
          <w:rPr>
            <w:noProof/>
            <w:webHidden/>
          </w:rPr>
          <w:tab/>
        </w:r>
        <w:r w:rsidR="00BC01B1">
          <w:rPr>
            <w:noProof/>
            <w:webHidden/>
          </w:rPr>
          <w:fldChar w:fldCharType="begin"/>
        </w:r>
        <w:r w:rsidR="00BC01B1">
          <w:rPr>
            <w:noProof/>
            <w:webHidden/>
          </w:rPr>
          <w:instrText xml:space="preserve"> PAGEREF _Toc509935464 \h </w:instrText>
        </w:r>
        <w:r w:rsidR="00BC01B1">
          <w:rPr>
            <w:noProof/>
            <w:webHidden/>
          </w:rPr>
        </w:r>
        <w:r w:rsidR="00BC01B1">
          <w:rPr>
            <w:noProof/>
            <w:webHidden/>
          </w:rPr>
          <w:fldChar w:fldCharType="separate"/>
        </w:r>
        <w:r>
          <w:rPr>
            <w:noProof/>
            <w:webHidden/>
          </w:rPr>
          <w:t>47</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465" w:history="1">
        <w:r w:rsidR="00BC01B1" w:rsidRPr="005D5DCB">
          <w:rPr>
            <w:rStyle w:val="Hyperlink"/>
            <w:noProof/>
          </w:rPr>
          <w:t>3.1.3.</w:t>
        </w:r>
        <w:r w:rsidR="00BC01B1">
          <w:rPr>
            <w:rFonts w:asciiTheme="minorHAnsi" w:eastAsiaTheme="minorEastAsia" w:hAnsiTheme="minorHAnsi" w:cstheme="minorBidi"/>
            <w:i w:val="0"/>
            <w:noProof/>
            <w:sz w:val="22"/>
            <w:lang w:eastAsia="pt-BR"/>
          </w:rPr>
          <w:tab/>
        </w:r>
        <w:r w:rsidR="00BC01B1" w:rsidRPr="005D5DCB">
          <w:rPr>
            <w:rStyle w:val="Hyperlink"/>
            <w:noProof/>
          </w:rPr>
          <w:t>Gestão associada</w:t>
        </w:r>
        <w:r w:rsidR="00BC01B1">
          <w:rPr>
            <w:noProof/>
            <w:webHidden/>
          </w:rPr>
          <w:tab/>
        </w:r>
        <w:r w:rsidR="00BC01B1">
          <w:rPr>
            <w:noProof/>
            <w:webHidden/>
          </w:rPr>
          <w:fldChar w:fldCharType="begin"/>
        </w:r>
        <w:r w:rsidR="00BC01B1">
          <w:rPr>
            <w:noProof/>
            <w:webHidden/>
          </w:rPr>
          <w:instrText xml:space="preserve"> PAGEREF _Toc509935465 \h </w:instrText>
        </w:r>
        <w:r w:rsidR="00BC01B1">
          <w:rPr>
            <w:noProof/>
            <w:webHidden/>
          </w:rPr>
        </w:r>
        <w:r w:rsidR="00BC01B1">
          <w:rPr>
            <w:noProof/>
            <w:webHidden/>
          </w:rPr>
          <w:fldChar w:fldCharType="separate"/>
        </w:r>
        <w:r>
          <w:rPr>
            <w:noProof/>
            <w:webHidden/>
          </w:rPr>
          <w:t>48</w:t>
        </w:r>
        <w:r w:rsidR="00BC01B1">
          <w:rPr>
            <w:noProof/>
            <w:webHidden/>
          </w:rPr>
          <w:fldChar w:fldCharType="end"/>
        </w:r>
      </w:hyperlink>
    </w:p>
    <w:p w:rsidR="00BC01B1" w:rsidRDefault="001B481B">
      <w:pPr>
        <w:pStyle w:val="Sumrio2"/>
        <w:tabs>
          <w:tab w:val="left" w:pos="1134"/>
        </w:tabs>
        <w:rPr>
          <w:rFonts w:asciiTheme="minorHAnsi" w:eastAsiaTheme="minorEastAsia" w:hAnsiTheme="minorHAnsi" w:cstheme="minorBidi"/>
          <w:noProof/>
          <w:sz w:val="22"/>
          <w:lang w:eastAsia="pt-BR"/>
        </w:rPr>
      </w:pPr>
      <w:hyperlink w:anchor="_Toc509935466" w:history="1">
        <w:r w:rsidR="00BC01B1" w:rsidRPr="005D5DCB">
          <w:rPr>
            <w:rStyle w:val="Hyperlink"/>
            <w:noProof/>
          </w:rPr>
          <w:t>3.2.</w:t>
        </w:r>
        <w:r w:rsidR="00BC01B1">
          <w:rPr>
            <w:rFonts w:asciiTheme="minorHAnsi" w:eastAsiaTheme="minorEastAsia" w:hAnsiTheme="minorHAnsi" w:cstheme="minorBidi"/>
            <w:noProof/>
            <w:sz w:val="22"/>
            <w:lang w:eastAsia="pt-BR"/>
          </w:rPr>
          <w:tab/>
        </w:r>
        <w:r w:rsidR="00BC01B1" w:rsidRPr="005D5DCB">
          <w:rPr>
            <w:rStyle w:val="Hyperlink"/>
            <w:noProof/>
          </w:rPr>
          <w:t>Avaliação dos modelos de prestação de serviços</w:t>
        </w:r>
        <w:r w:rsidR="00BC01B1">
          <w:rPr>
            <w:noProof/>
            <w:webHidden/>
          </w:rPr>
          <w:tab/>
        </w:r>
        <w:r w:rsidR="00BC01B1">
          <w:rPr>
            <w:noProof/>
            <w:webHidden/>
          </w:rPr>
          <w:fldChar w:fldCharType="begin"/>
        </w:r>
        <w:r w:rsidR="00BC01B1">
          <w:rPr>
            <w:noProof/>
            <w:webHidden/>
          </w:rPr>
          <w:instrText xml:space="preserve"> PAGEREF _Toc509935466 \h </w:instrText>
        </w:r>
        <w:r w:rsidR="00BC01B1">
          <w:rPr>
            <w:noProof/>
            <w:webHidden/>
          </w:rPr>
        </w:r>
        <w:r w:rsidR="00BC01B1">
          <w:rPr>
            <w:noProof/>
            <w:webHidden/>
          </w:rPr>
          <w:fldChar w:fldCharType="separate"/>
        </w:r>
        <w:r>
          <w:rPr>
            <w:noProof/>
            <w:webHidden/>
          </w:rPr>
          <w:t>50</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467" w:history="1">
        <w:r w:rsidR="00BC01B1" w:rsidRPr="005D5DCB">
          <w:rPr>
            <w:rStyle w:val="Hyperlink"/>
            <w:noProof/>
          </w:rPr>
          <w:t>3.2.1.</w:t>
        </w:r>
        <w:r w:rsidR="00BC01B1">
          <w:rPr>
            <w:rFonts w:asciiTheme="minorHAnsi" w:eastAsiaTheme="minorEastAsia" w:hAnsiTheme="minorHAnsi" w:cstheme="minorBidi"/>
            <w:i w:val="0"/>
            <w:noProof/>
            <w:sz w:val="22"/>
            <w:lang w:eastAsia="pt-BR"/>
          </w:rPr>
          <w:tab/>
        </w:r>
        <w:r w:rsidR="00BC01B1" w:rsidRPr="005D5DCB">
          <w:rPr>
            <w:rStyle w:val="Hyperlink"/>
            <w:noProof/>
          </w:rPr>
          <w:t>Administração direta centralizada e descentralizada</w:t>
        </w:r>
        <w:r w:rsidR="00BC01B1">
          <w:rPr>
            <w:noProof/>
            <w:webHidden/>
          </w:rPr>
          <w:tab/>
        </w:r>
        <w:r w:rsidR="00BC01B1">
          <w:rPr>
            <w:noProof/>
            <w:webHidden/>
          </w:rPr>
          <w:fldChar w:fldCharType="begin"/>
        </w:r>
        <w:r w:rsidR="00BC01B1">
          <w:rPr>
            <w:noProof/>
            <w:webHidden/>
          </w:rPr>
          <w:instrText xml:space="preserve"> PAGEREF _Toc509935467 \h </w:instrText>
        </w:r>
        <w:r w:rsidR="00BC01B1">
          <w:rPr>
            <w:noProof/>
            <w:webHidden/>
          </w:rPr>
        </w:r>
        <w:r w:rsidR="00BC01B1">
          <w:rPr>
            <w:noProof/>
            <w:webHidden/>
          </w:rPr>
          <w:fldChar w:fldCharType="separate"/>
        </w:r>
        <w:r>
          <w:rPr>
            <w:noProof/>
            <w:webHidden/>
          </w:rPr>
          <w:t>50</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468" w:history="1">
        <w:r w:rsidR="00BC01B1" w:rsidRPr="005D5DCB">
          <w:rPr>
            <w:rStyle w:val="Hyperlink"/>
            <w:noProof/>
          </w:rPr>
          <w:t>3.2.2.</w:t>
        </w:r>
        <w:r w:rsidR="00BC01B1">
          <w:rPr>
            <w:rFonts w:asciiTheme="minorHAnsi" w:eastAsiaTheme="minorEastAsia" w:hAnsiTheme="minorHAnsi" w:cstheme="minorBidi"/>
            <w:i w:val="0"/>
            <w:noProof/>
            <w:sz w:val="22"/>
            <w:lang w:eastAsia="pt-BR"/>
          </w:rPr>
          <w:tab/>
        </w:r>
        <w:r w:rsidR="00BC01B1" w:rsidRPr="005D5DCB">
          <w:rPr>
            <w:rStyle w:val="Hyperlink"/>
            <w:noProof/>
          </w:rPr>
          <w:t>Administração indireta</w:t>
        </w:r>
        <w:r w:rsidR="00BC01B1">
          <w:rPr>
            <w:noProof/>
            <w:webHidden/>
          </w:rPr>
          <w:tab/>
        </w:r>
        <w:r w:rsidR="00BC01B1">
          <w:rPr>
            <w:noProof/>
            <w:webHidden/>
          </w:rPr>
          <w:fldChar w:fldCharType="begin"/>
        </w:r>
        <w:r w:rsidR="00BC01B1">
          <w:rPr>
            <w:noProof/>
            <w:webHidden/>
          </w:rPr>
          <w:instrText xml:space="preserve"> PAGEREF _Toc509935468 \h </w:instrText>
        </w:r>
        <w:r w:rsidR="00BC01B1">
          <w:rPr>
            <w:noProof/>
            <w:webHidden/>
          </w:rPr>
        </w:r>
        <w:r w:rsidR="00BC01B1">
          <w:rPr>
            <w:noProof/>
            <w:webHidden/>
          </w:rPr>
          <w:fldChar w:fldCharType="separate"/>
        </w:r>
        <w:r>
          <w:rPr>
            <w:noProof/>
            <w:webHidden/>
          </w:rPr>
          <w:t>52</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469" w:history="1">
        <w:r w:rsidR="00BC01B1" w:rsidRPr="005D5DCB">
          <w:rPr>
            <w:rStyle w:val="Hyperlink"/>
            <w:noProof/>
          </w:rPr>
          <w:t>3.2.3.</w:t>
        </w:r>
        <w:r w:rsidR="00BC01B1">
          <w:rPr>
            <w:rFonts w:asciiTheme="minorHAnsi" w:eastAsiaTheme="minorEastAsia" w:hAnsiTheme="minorHAnsi" w:cstheme="minorBidi"/>
            <w:i w:val="0"/>
            <w:noProof/>
            <w:sz w:val="22"/>
            <w:lang w:eastAsia="pt-BR"/>
          </w:rPr>
          <w:tab/>
        </w:r>
        <w:r w:rsidR="00BC01B1" w:rsidRPr="005D5DCB">
          <w:rPr>
            <w:rStyle w:val="Hyperlink"/>
            <w:noProof/>
          </w:rPr>
          <w:t>Gestão associada</w:t>
        </w:r>
        <w:r w:rsidR="00BC01B1">
          <w:rPr>
            <w:noProof/>
            <w:webHidden/>
          </w:rPr>
          <w:tab/>
        </w:r>
        <w:r w:rsidR="00BC01B1">
          <w:rPr>
            <w:noProof/>
            <w:webHidden/>
          </w:rPr>
          <w:fldChar w:fldCharType="begin"/>
        </w:r>
        <w:r w:rsidR="00BC01B1">
          <w:rPr>
            <w:noProof/>
            <w:webHidden/>
          </w:rPr>
          <w:instrText xml:space="preserve"> PAGEREF _Toc509935469 \h </w:instrText>
        </w:r>
        <w:r w:rsidR="00BC01B1">
          <w:rPr>
            <w:noProof/>
            <w:webHidden/>
          </w:rPr>
        </w:r>
        <w:r w:rsidR="00BC01B1">
          <w:rPr>
            <w:noProof/>
            <w:webHidden/>
          </w:rPr>
          <w:fldChar w:fldCharType="separate"/>
        </w:r>
        <w:r>
          <w:rPr>
            <w:noProof/>
            <w:webHidden/>
          </w:rPr>
          <w:t>54</w:t>
        </w:r>
        <w:r w:rsidR="00BC01B1">
          <w:rPr>
            <w:noProof/>
            <w:webHidden/>
          </w:rPr>
          <w:fldChar w:fldCharType="end"/>
        </w:r>
      </w:hyperlink>
    </w:p>
    <w:p w:rsidR="00BC01B1" w:rsidRDefault="001B481B">
      <w:pPr>
        <w:pStyle w:val="Sumrio2"/>
        <w:tabs>
          <w:tab w:val="left" w:pos="1134"/>
        </w:tabs>
        <w:rPr>
          <w:rFonts w:asciiTheme="minorHAnsi" w:eastAsiaTheme="minorEastAsia" w:hAnsiTheme="minorHAnsi" w:cstheme="minorBidi"/>
          <w:noProof/>
          <w:sz w:val="22"/>
          <w:lang w:eastAsia="pt-BR"/>
        </w:rPr>
      </w:pPr>
      <w:hyperlink w:anchor="_Toc509935470" w:history="1">
        <w:r w:rsidR="00BC01B1" w:rsidRPr="005D5DCB">
          <w:rPr>
            <w:rStyle w:val="Hyperlink"/>
            <w:noProof/>
          </w:rPr>
          <w:t>3.3.</w:t>
        </w:r>
        <w:r w:rsidR="00BC01B1">
          <w:rPr>
            <w:rFonts w:asciiTheme="minorHAnsi" w:eastAsiaTheme="minorEastAsia" w:hAnsiTheme="minorHAnsi" w:cstheme="minorBidi"/>
            <w:noProof/>
            <w:sz w:val="22"/>
            <w:lang w:eastAsia="pt-BR"/>
          </w:rPr>
          <w:tab/>
        </w:r>
        <w:r w:rsidR="00BC01B1" w:rsidRPr="005D5DCB">
          <w:rPr>
            <w:rStyle w:val="Hyperlink"/>
            <w:noProof/>
          </w:rPr>
          <w:t>Alternativas de regulação e fiscalização</w:t>
        </w:r>
        <w:r w:rsidR="00BC01B1">
          <w:rPr>
            <w:noProof/>
            <w:webHidden/>
          </w:rPr>
          <w:tab/>
        </w:r>
        <w:r w:rsidR="00BC01B1">
          <w:rPr>
            <w:noProof/>
            <w:webHidden/>
          </w:rPr>
          <w:fldChar w:fldCharType="begin"/>
        </w:r>
        <w:r w:rsidR="00BC01B1">
          <w:rPr>
            <w:noProof/>
            <w:webHidden/>
          </w:rPr>
          <w:instrText xml:space="preserve"> PAGEREF _Toc509935470 \h </w:instrText>
        </w:r>
        <w:r w:rsidR="00BC01B1">
          <w:rPr>
            <w:noProof/>
            <w:webHidden/>
          </w:rPr>
        </w:r>
        <w:r w:rsidR="00BC01B1">
          <w:rPr>
            <w:noProof/>
            <w:webHidden/>
          </w:rPr>
          <w:fldChar w:fldCharType="separate"/>
        </w:r>
        <w:r>
          <w:rPr>
            <w:noProof/>
            <w:webHidden/>
          </w:rPr>
          <w:t>54</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471" w:history="1">
        <w:r w:rsidR="00BC01B1" w:rsidRPr="005D5DCB">
          <w:rPr>
            <w:rStyle w:val="Hyperlink"/>
            <w:noProof/>
          </w:rPr>
          <w:t>3.3.1.</w:t>
        </w:r>
        <w:r w:rsidR="00BC01B1">
          <w:rPr>
            <w:rFonts w:asciiTheme="minorHAnsi" w:eastAsiaTheme="minorEastAsia" w:hAnsiTheme="minorHAnsi" w:cstheme="minorBidi"/>
            <w:i w:val="0"/>
            <w:noProof/>
            <w:sz w:val="22"/>
            <w:lang w:eastAsia="pt-BR"/>
          </w:rPr>
          <w:tab/>
        </w:r>
        <w:r w:rsidR="00BC01B1" w:rsidRPr="005D5DCB">
          <w:rPr>
            <w:rStyle w:val="Hyperlink"/>
            <w:noProof/>
          </w:rPr>
          <w:t>Regulação</w:t>
        </w:r>
        <w:r w:rsidR="00BC01B1">
          <w:rPr>
            <w:noProof/>
            <w:webHidden/>
          </w:rPr>
          <w:tab/>
        </w:r>
        <w:r w:rsidR="00BC01B1">
          <w:rPr>
            <w:noProof/>
            <w:webHidden/>
          </w:rPr>
          <w:fldChar w:fldCharType="begin"/>
        </w:r>
        <w:r w:rsidR="00BC01B1">
          <w:rPr>
            <w:noProof/>
            <w:webHidden/>
          </w:rPr>
          <w:instrText xml:space="preserve"> PAGEREF _Toc509935471 \h </w:instrText>
        </w:r>
        <w:r w:rsidR="00BC01B1">
          <w:rPr>
            <w:noProof/>
            <w:webHidden/>
          </w:rPr>
        </w:r>
        <w:r w:rsidR="00BC01B1">
          <w:rPr>
            <w:noProof/>
            <w:webHidden/>
          </w:rPr>
          <w:fldChar w:fldCharType="separate"/>
        </w:r>
        <w:r>
          <w:rPr>
            <w:noProof/>
            <w:webHidden/>
          </w:rPr>
          <w:t>54</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472" w:history="1">
        <w:r w:rsidR="00BC01B1" w:rsidRPr="005D5DCB">
          <w:rPr>
            <w:rStyle w:val="Hyperlink"/>
            <w:noProof/>
          </w:rPr>
          <w:t>3.3.2.</w:t>
        </w:r>
        <w:r w:rsidR="00BC01B1">
          <w:rPr>
            <w:rFonts w:asciiTheme="minorHAnsi" w:eastAsiaTheme="minorEastAsia" w:hAnsiTheme="minorHAnsi" w:cstheme="minorBidi"/>
            <w:i w:val="0"/>
            <w:noProof/>
            <w:sz w:val="22"/>
            <w:lang w:eastAsia="pt-BR"/>
          </w:rPr>
          <w:tab/>
        </w:r>
        <w:r w:rsidR="00BC01B1" w:rsidRPr="005D5DCB">
          <w:rPr>
            <w:rStyle w:val="Hyperlink"/>
            <w:noProof/>
          </w:rPr>
          <w:t>Fiscalização</w:t>
        </w:r>
        <w:r w:rsidR="00BC01B1">
          <w:rPr>
            <w:noProof/>
            <w:webHidden/>
          </w:rPr>
          <w:tab/>
        </w:r>
        <w:r w:rsidR="00BC01B1">
          <w:rPr>
            <w:noProof/>
            <w:webHidden/>
          </w:rPr>
          <w:fldChar w:fldCharType="begin"/>
        </w:r>
        <w:r w:rsidR="00BC01B1">
          <w:rPr>
            <w:noProof/>
            <w:webHidden/>
          </w:rPr>
          <w:instrText xml:space="preserve"> PAGEREF _Toc509935472 \h </w:instrText>
        </w:r>
        <w:r w:rsidR="00BC01B1">
          <w:rPr>
            <w:noProof/>
            <w:webHidden/>
          </w:rPr>
        </w:r>
        <w:r w:rsidR="00BC01B1">
          <w:rPr>
            <w:noProof/>
            <w:webHidden/>
          </w:rPr>
          <w:fldChar w:fldCharType="separate"/>
        </w:r>
        <w:r>
          <w:rPr>
            <w:noProof/>
            <w:webHidden/>
          </w:rPr>
          <w:t>58</w:t>
        </w:r>
        <w:r w:rsidR="00BC01B1">
          <w:rPr>
            <w:noProof/>
            <w:webHidden/>
          </w:rPr>
          <w:fldChar w:fldCharType="end"/>
        </w:r>
      </w:hyperlink>
    </w:p>
    <w:p w:rsidR="00BC01B1" w:rsidRDefault="001B481B">
      <w:pPr>
        <w:pStyle w:val="Sumrio2"/>
        <w:tabs>
          <w:tab w:val="left" w:pos="1134"/>
        </w:tabs>
        <w:rPr>
          <w:rFonts w:asciiTheme="minorHAnsi" w:eastAsiaTheme="minorEastAsia" w:hAnsiTheme="minorHAnsi" w:cstheme="minorBidi"/>
          <w:noProof/>
          <w:sz w:val="22"/>
          <w:lang w:eastAsia="pt-BR"/>
        </w:rPr>
      </w:pPr>
      <w:hyperlink w:anchor="_Toc509935473" w:history="1">
        <w:r w:rsidR="00BC01B1" w:rsidRPr="005D5DCB">
          <w:rPr>
            <w:rStyle w:val="Hyperlink"/>
            <w:noProof/>
          </w:rPr>
          <w:t>3.4.</w:t>
        </w:r>
        <w:r w:rsidR="00BC01B1">
          <w:rPr>
            <w:rFonts w:asciiTheme="minorHAnsi" w:eastAsiaTheme="minorEastAsia" w:hAnsiTheme="minorHAnsi" w:cstheme="minorBidi"/>
            <w:noProof/>
            <w:sz w:val="22"/>
            <w:lang w:eastAsia="pt-BR"/>
          </w:rPr>
          <w:tab/>
        </w:r>
        <w:r w:rsidR="00BC01B1" w:rsidRPr="005D5DCB">
          <w:rPr>
            <w:rStyle w:val="Hyperlink"/>
            <w:noProof/>
          </w:rPr>
          <w:t>Regulamentação do setor de limpeza urbana e manejo de resíduos sólidos considerando o PMGIRS</w:t>
        </w:r>
        <w:r w:rsidR="00BC01B1">
          <w:rPr>
            <w:noProof/>
            <w:webHidden/>
          </w:rPr>
          <w:tab/>
        </w:r>
        <w:r w:rsidR="00BC01B1">
          <w:rPr>
            <w:noProof/>
            <w:webHidden/>
          </w:rPr>
          <w:fldChar w:fldCharType="begin"/>
        </w:r>
        <w:r w:rsidR="00BC01B1">
          <w:rPr>
            <w:noProof/>
            <w:webHidden/>
          </w:rPr>
          <w:instrText xml:space="preserve"> PAGEREF _Toc509935473 \h </w:instrText>
        </w:r>
        <w:r w:rsidR="00BC01B1">
          <w:rPr>
            <w:noProof/>
            <w:webHidden/>
          </w:rPr>
        </w:r>
        <w:r w:rsidR="00BC01B1">
          <w:rPr>
            <w:noProof/>
            <w:webHidden/>
          </w:rPr>
          <w:fldChar w:fldCharType="separate"/>
        </w:r>
        <w:r>
          <w:rPr>
            <w:noProof/>
            <w:webHidden/>
          </w:rPr>
          <w:t>59</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474" w:history="1">
        <w:r w:rsidR="00BC01B1" w:rsidRPr="005D5DCB">
          <w:rPr>
            <w:rStyle w:val="Hyperlink"/>
            <w:noProof/>
          </w:rPr>
          <w:t>3.4.1.</w:t>
        </w:r>
        <w:r w:rsidR="00BC01B1">
          <w:rPr>
            <w:rFonts w:asciiTheme="minorHAnsi" w:eastAsiaTheme="minorEastAsia" w:hAnsiTheme="minorHAnsi" w:cstheme="minorBidi"/>
            <w:i w:val="0"/>
            <w:noProof/>
            <w:sz w:val="22"/>
            <w:lang w:eastAsia="pt-BR"/>
          </w:rPr>
          <w:tab/>
        </w:r>
        <w:r w:rsidR="00BC01B1" w:rsidRPr="005D5DCB">
          <w:rPr>
            <w:rStyle w:val="Hyperlink"/>
            <w:noProof/>
          </w:rPr>
          <w:t>Regras para o transporte e outras etapas do gerenciamento de resíduos sólidos</w:t>
        </w:r>
        <w:r w:rsidR="00BC01B1">
          <w:rPr>
            <w:noProof/>
            <w:webHidden/>
          </w:rPr>
          <w:tab/>
        </w:r>
        <w:r w:rsidR="00BC01B1">
          <w:rPr>
            <w:noProof/>
            <w:webHidden/>
          </w:rPr>
          <w:fldChar w:fldCharType="begin"/>
        </w:r>
        <w:r w:rsidR="00BC01B1">
          <w:rPr>
            <w:noProof/>
            <w:webHidden/>
          </w:rPr>
          <w:instrText xml:space="preserve"> PAGEREF _Toc509935474 \h </w:instrText>
        </w:r>
        <w:r w:rsidR="00BC01B1">
          <w:rPr>
            <w:noProof/>
            <w:webHidden/>
          </w:rPr>
        </w:r>
        <w:r w:rsidR="00BC01B1">
          <w:rPr>
            <w:noProof/>
            <w:webHidden/>
          </w:rPr>
          <w:fldChar w:fldCharType="separate"/>
        </w:r>
        <w:r>
          <w:rPr>
            <w:noProof/>
            <w:webHidden/>
          </w:rPr>
          <w:t>59</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475" w:history="1">
        <w:r w:rsidR="00BC01B1" w:rsidRPr="005D5DCB">
          <w:rPr>
            <w:rStyle w:val="Hyperlink"/>
            <w:noProof/>
          </w:rPr>
          <w:t>3.4.1.1.</w:t>
        </w:r>
        <w:r w:rsidR="00BC01B1">
          <w:rPr>
            <w:rFonts w:asciiTheme="minorHAnsi" w:eastAsiaTheme="minorEastAsia" w:hAnsiTheme="minorHAnsi" w:cstheme="minorBidi"/>
            <w:noProof/>
          </w:rPr>
          <w:tab/>
        </w:r>
        <w:r w:rsidR="00BC01B1" w:rsidRPr="005D5DCB">
          <w:rPr>
            <w:rStyle w:val="Hyperlink"/>
            <w:noProof/>
          </w:rPr>
          <w:t>Resíduos dos serviços públicos de saneamento básico</w:t>
        </w:r>
        <w:r w:rsidR="00BC01B1">
          <w:rPr>
            <w:noProof/>
            <w:webHidden/>
          </w:rPr>
          <w:tab/>
        </w:r>
        <w:r w:rsidR="00BC01B1">
          <w:rPr>
            <w:noProof/>
            <w:webHidden/>
          </w:rPr>
          <w:fldChar w:fldCharType="begin"/>
        </w:r>
        <w:r w:rsidR="00BC01B1">
          <w:rPr>
            <w:noProof/>
            <w:webHidden/>
          </w:rPr>
          <w:instrText xml:space="preserve"> PAGEREF _Toc509935475 \h </w:instrText>
        </w:r>
        <w:r w:rsidR="00BC01B1">
          <w:rPr>
            <w:noProof/>
            <w:webHidden/>
          </w:rPr>
        </w:r>
        <w:r w:rsidR="00BC01B1">
          <w:rPr>
            <w:noProof/>
            <w:webHidden/>
          </w:rPr>
          <w:fldChar w:fldCharType="separate"/>
        </w:r>
        <w:r>
          <w:rPr>
            <w:noProof/>
            <w:webHidden/>
          </w:rPr>
          <w:t>60</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476" w:history="1">
        <w:r w:rsidR="00BC01B1" w:rsidRPr="005D5DCB">
          <w:rPr>
            <w:rStyle w:val="Hyperlink"/>
            <w:noProof/>
          </w:rPr>
          <w:t>3.4.1.2.</w:t>
        </w:r>
        <w:r w:rsidR="00BC01B1">
          <w:rPr>
            <w:rFonts w:asciiTheme="minorHAnsi" w:eastAsiaTheme="minorEastAsia" w:hAnsiTheme="minorHAnsi" w:cstheme="minorBidi"/>
            <w:noProof/>
          </w:rPr>
          <w:tab/>
        </w:r>
        <w:r w:rsidR="00BC01B1" w:rsidRPr="005D5DCB">
          <w:rPr>
            <w:rStyle w:val="Hyperlink"/>
            <w:noProof/>
          </w:rPr>
          <w:t>Resíduos dos serviços de transporte</w:t>
        </w:r>
        <w:r w:rsidR="00BC01B1">
          <w:rPr>
            <w:noProof/>
            <w:webHidden/>
          </w:rPr>
          <w:tab/>
        </w:r>
        <w:r w:rsidR="00BC01B1">
          <w:rPr>
            <w:noProof/>
            <w:webHidden/>
          </w:rPr>
          <w:fldChar w:fldCharType="begin"/>
        </w:r>
        <w:r w:rsidR="00BC01B1">
          <w:rPr>
            <w:noProof/>
            <w:webHidden/>
          </w:rPr>
          <w:instrText xml:space="preserve"> PAGEREF _Toc509935476 \h </w:instrText>
        </w:r>
        <w:r w:rsidR="00BC01B1">
          <w:rPr>
            <w:noProof/>
            <w:webHidden/>
          </w:rPr>
        </w:r>
        <w:r w:rsidR="00BC01B1">
          <w:rPr>
            <w:noProof/>
            <w:webHidden/>
          </w:rPr>
          <w:fldChar w:fldCharType="separate"/>
        </w:r>
        <w:r>
          <w:rPr>
            <w:noProof/>
            <w:webHidden/>
          </w:rPr>
          <w:t>63</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477" w:history="1">
        <w:r w:rsidR="00BC01B1" w:rsidRPr="005D5DCB">
          <w:rPr>
            <w:rStyle w:val="Hyperlink"/>
            <w:noProof/>
          </w:rPr>
          <w:t>3.4.1.3.</w:t>
        </w:r>
        <w:r w:rsidR="00BC01B1">
          <w:rPr>
            <w:rFonts w:asciiTheme="minorHAnsi" w:eastAsiaTheme="minorEastAsia" w:hAnsiTheme="minorHAnsi" w:cstheme="minorBidi"/>
            <w:noProof/>
          </w:rPr>
          <w:tab/>
        </w:r>
        <w:r w:rsidR="00BC01B1" w:rsidRPr="005D5DCB">
          <w:rPr>
            <w:rStyle w:val="Hyperlink"/>
            <w:noProof/>
          </w:rPr>
          <w:t>Resíduos dos serviços de saúde</w:t>
        </w:r>
        <w:r w:rsidR="00BC01B1">
          <w:rPr>
            <w:noProof/>
            <w:webHidden/>
          </w:rPr>
          <w:tab/>
        </w:r>
        <w:r w:rsidR="00BC01B1">
          <w:rPr>
            <w:noProof/>
            <w:webHidden/>
          </w:rPr>
          <w:fldChar w:fldCharType="begin"/>
        </w:r>
        <w:r w:rsidR="00BC01B1">
          <w:rPr>
            <w:noProof/>
            <w:webHidden/>
          </w:rPr>
          <w:instrText xml:space="preserve"> PAGEREF _Toc509935477 \h </w:instrText>
        </w:r>
        <w:r w:rsidR="00BC01B1">
          <w:rPr>
            <w:noProof/>
            <w:webHidden/>
          </w:rPr>
        </w:r>
        <w:r w:rsidR="00BC01B1">
          <w:rPr>
            <w:noProof/>
            <w:webHidden/>
          </w:rPr>
          <w:fldChar w:fldCharType="separate"/>
        </w:r>
        <w:r>
          <w:rPr>
            <w:noProof/>
            <w:webHidden/>
          </w:rPr>
          <w:t>67</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478" w:history="1">
        <w:r w:rsidR="00BC01B1" w:rsidRPr="005D5DCB">
          <w:rPr>
            <w:rStyle w:val="Hyperlink"/>
            <w:noProof/>
          </w:rPr>
          <w:t>3.4.1.4.</w:t>
        </w:r>
        <w:r w:rsidR="00BC01B1">
          <w:rPr>
            <w:rFonts w:asciiTheme="minorHAnsi" w:eastAsiaTheme="minorEastAsia" w:hAnsiTheme="minorHAnsi" w:cstheme="minorBidi"/>
            <w:noProof/>
          </w:rPr>
          <w:tab/>
        </w:r>
        <w:r w:rsidR="00BC01B1" w:rsidRPr="005D5DCB">
          <w:rPr>
            <w:rStyle w:val="Hyperlink"/>
            <w:noProof/>
          </w:rPr>
          <w:t>Resíduos de mineração</w:t>
        </w:r>
        <w:r w:rsidR="00BC01B1">
          <w:rPr>
            <w:noProof/>
            <w:webHidden/>
          </w:rPr>
          <w:tab/>
        </w:r>
        <w:r w:rsidR="00BC01B1">
          <w:rPr>
            <w:noProof/>
            <w:webHidden/>
          </w:rPr>
          <w:fldChar w:fldCharType="begin"/>
        </w:r>
        <w:r w:rsidR="00BC01B1">
          <w:rPr>
            <w:noProof/>
            <w:webHidden/>
          </w:rPr>
          <w:instrText xml:space="preserve"> PAGEREF _Toc509935478 \h </w:instrText>
        </w:r>
        <w:r w:rsidR="00BC01B1">
          <w:rPr>
            <w:noProof/>
            <w:webHidden/>
          </w:rPr>
        </w:r>
        <w:r w:rsidR="00BC01B1">
          <w:rPr>
            <w:noProof/>
            <w:webHidden/>
          </w:rPr>
          <w:fldChar w:fldCharType="separate"/>
        </w:r>
        <w:r>
          <w:rPr>
            <w:noProof/>
            <w:webHidden/>
          </w:rPr>
          <w:t>74</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479" w:history="1">
        <w:r w:rsidR="00BC01B1" w:rsidRPr="005D5DCB">
          <w:rPr>
            <w:rStyle w:val="Hyperlink"/>
            <w:noProof/>
          </w:rPr>
          <w:t>3.4.1.5.</w:t>
        </w:r>
        <w:r w:rsidR="00BC01B1">
          <w:rPr>
            <w:rFonts w:asciiTheme="minorHAnsi" w:eastAsiaTheme="minorEastAsia" w:hAnsiTheme="minorHAnsi" w:cstheme="minorBidi"/>
            <w:noProof/>
          </w:rPr>
          <w:tab/>
        </w:r>
        <w:r w:rsidR="00BC01B1" w:rsidRPr="005D5DCB">
          <w:rPr>
            <w:rStyle w:val="Hyperlink"/>
            <w:noProof/>
          </w:rPr>
          <w:t>Resíduos de construção civil</w:t>
        </w:r>
        <w:r w:rsidR="00BC01B1">
          <w:rPr>
            <w:noProof/>
            <w:webHidden/>
          </w:rPr>
          <w:tab/>
        </w:r>
        <w:r w:rsidR="00BC01B1">
          <w:rPr>
            <w:noProof/>
            <w:webHidden/>
          </w:rPr>
          <w:fldChar w:fldCharType="begin"/>
        </w:r>
        <w:r w:rsidR="00BC01B1">
          <w:rPr>
            <w:noProof/>
            <w:webHidden/>
          </w:rPr>
          <w:instrText xml:space="preserve"> PAGEREF _Toc509935479 \h </w:instrText>
        </w:r>
        <w:r w:rsidR="00BC01B1">
          <w:rPr>
            <w:noProof/>
            <w:webHidden/>
          </w:rPr>
        </w:r>
        <w:r w:rsidR="00BC01B1">
          <w:rPr>
            <w:noProof/>
            <w:webHidden/>
          </w:rPr>
          <w:fldChar w:fldCharType="separate"/>
        </w:r>
        <w:r>
          <w:rPr>
            <w:noProof/>
            <w:webHidden/>
          </w:rPr>
          <w:t>75</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480" w:history="1">
        <w:r w:rsidR="00BC01B1" w:rsidRPr="005D5DCB">
          <w:rPr>
            <w:rStyle w:val="Hyperlink"/>
            <w:noProof/>
          </w:rPr>
          <w:t>3.4.1.6.</w:t>
        </w:r>
        <w:r w:rsidR="00BC01B1">
          <w:rPr>
            <w:rFonts w:asciiTheme="minorHAnsi" w:eastAsiaTheme="minorEastAsia" w:hAnsiTheme="minorHAnsi" w:cstheme="minorBidi"/>
            <w:noProof/>
          </w:rPr>
          <w:tab/>
        </w:r>
        <w:r w:rsidR="00BC01B1" w:rsidRPr="005D5DCB">
          <w:rPr>
            <w:rStyle w:val="Hyperlink"/>
            <w:noProof/>
          </w:rPr>
          <w:t>Resíduos agrossilvopastoris – embalagens de agrotóxicos</w:t>
        </w:r>
        <w:r w:rsidR="00BC01B1">
          <w:rPr>
            <w:noProof/>
            <w:webHidden/>
          </w:rPr>
          <w:tab/>
        </w:r>
        <w:r w:rsidR="00BC01B1">
          <w:rPr>
            <w:noProof/>
            <w:webHidden/>
          </w:rPr>
          <w:fldChar w:fldCharType="begin"/>
        </w:r>
        <w:r w:rsidR="00BC01B1">
          <w:rPr>
            <w:noProof/>
            <w:webHidden/>
          </w:rPr>
          <w:instrText xml:space="preserve"> PAGEREF _Toc509935480 \h </w:instrText>
        </w:r>
        <w:r w:rsidR="00BC01B1">
          <w:rPr>
            <w:noProof/>
            <w:webHidden/>
          </w:rPr>
        </w:r>
        <w:r w:rsidR="00BC01B1">
          <w:rPr>
            <w:noProof/>
            <w:webHidden/>
          </w:rPr>
          <w:fldChar w:fldCharType="separate"/>
        </w:r>
        <w:r>
          <w:rPr>
            <w:noProof/>
            <w:webHidden/>
          </w:rPr>
          <w:t>78</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481" w:history="1">
        <w:r w:rsidR="00BC01B1" w:rsidRPr="005D5DCB">
          <w:rPr>
            <w:rStyle w:val="Hyperlink"/>
            <w:noProof/>
          </w:rPr>
          <w:t>3.4.1.7.</w:t>
        </w:r>
        <w:r w:rsidR="00BC01B1">
          <w:rPr>
            <w:rFonts w:asciiTheme="minorHAnsi" w:eastAsiaTheme="minorEastAsia" w:hAnsiTheme="minorHAnsi" w:cstheme="minorBidi"/>
            <w:noProof/>
          </w:rPr>
          <w:tab/>
        </w:r>
        <w:r w:rsidR="00BC01B1" w:rsidRPr="005D5DCB">
          <w:rPr>
            <w:rStyle w:val="Hyperlink"/>
            <w:noProof/>
          </w:rPr>
          <w:t>Resíduos industriais</w:t>
        </w:r>
        <w:r w:rsidR="00BC01B1">
          <w:rPr>
            <w:noProof/>
            <w:webHidden/>
          </w:rPr>
          <w:tab/>
        </w:r>
        <w:r w:rsidR="00BC01B1">
          <w:rPr>
            <w:noProof/>
            <w:webHidden/>
          </w:rPr>
          <w:fldChar w:fldCharType="begin"/>
        </w:r>
        <w:r w:rsidR="00BC01B1">
          <w:rPr>
            <w:noProof/>
            <w:webHidden/>
          </w:rPr>
          <w:instrText xml:space="preserve"> PAGEREF _Toc509935481 \h </w:instrText>
        </w:r>
        <w:r w:rsidR="00BC01B1">
          <w:rPr>
            <w:noProof/>
            <w:webHidden/>
          </w:rPr>
        </w:r>
        <w:r w:rsidR="00BC01B1">
          <w:rPr>
            <w:noProof/>
            <w:webHidden/>
          </w:rPr>
          <w:fldChar w:fldCharType="separate"/>
        </w:r>
        <w:r>
          <w:rPr>
            <w:noProof/>
            <w:webHidden/>
          </w:rPr>
          <w:t>81</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482" w:history="1">
        <w:r w:rsidR="00BC01B1" w:rsidRPr="005D5DCB">
          <w:rPr>
            <w:rStyle w:val="Hyperlink"/>
            <w:noProof/>
          </w:rPr>
          <w:t>3.4.1.8.</w:t>
        </w:r>
        <w:r w:rsidR="00BC01B1">
          <w:rPr>
            <w:rFonts w:asciiTheme="minorHAnsi" w:eastAsiaTheme="minorEastAsia" w:hAnsiTheme="minorHAnsi" w:cstheme="minorBidi"/>
            <w:noProof/>
          </w:rPr>
          <w:tab/>
        </w:r>
        <w:r w:rsidR="00BC01B1" w:rsidRPr="005D5DCB">
          <w:rPr>
            <w:rStyle w:val="Hyperlink"/>
            <w:noProof/>
          </w:rPr>
          <w:t>Resíduos de estabelecimentos comerciais e prestação de serviço</w:t>
        </w:r>
        <w:r w:rsidR="00BC01B1">
          <w:rPr>
            <w:noProof/>
            <w:webHidden/>
          </w:rPr>
          <w:tab/>
        </w:r>
        <w:r w:rsidR="00BC01B1">
          <w:rPr>
            <w:noProof/>
            <w:webHidden/>
          </w:rPr>
          <w:fldChar w:fldCharType="begin"/>
        </w:r>
        <w:r w:rsidR="00BC01B1">
          <w:rPr>
            <w:noProof/>
            <w:webHidden/>
          </w:rPr>
          <w:instrText xml:space="preserve"> PAGEREF _Toc509935482 \h </w:instrText>
        </w:r>
        <w:r w:rsidR="00BC01B1">
          <w:rPr>
            <w:noProof/>
            <w:webHidden/>
          </w:rPr>
        </w:r>
        <w:r w:rsidR="00BC01B1">
          <w:rPr>
            <w:noProof/>
            <w:webHidden/>
          </w:rPr>
          <w:fldChar w:fldCharType="separate"/>
        </w:r>
        <w:r>
          <w:rPr>
            <w:noProof/>
            <w:webHidden/>
          </w:rPr>
          <w:t>83</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483" w:history="1">
        <w:r w:rsidR="00BC01B1" w:rsidRPr="005D5DCB">
          <w:rPr>
            <w:rStyle w:val="Hyperlink"/>
            <w:noProof/>
          </w:rPr>
          <w:t>3.4.2.</w:t>
        </w:r>
        <w:r w:rsidR="00BC01B1">
          <w:rPr>
            <w:rFonts w:asciiTheme="minorHAnsi" w:eastAsiaTheme="minorEastAsia" w:hAnsiTheme="minorHAnsi" w:cstheme="minorBidi"/>
            <w:i w:val="0"/>
            <w:noProof/>
            <w:sz w:val="22"/>
            <w:lang w:eastAsia="pt-BR"/>
          </w:rPr>
          <w:tab/>
        </w:r>
        <w:r w:rsidR="00BC01B1" w:rsidRPr="005D5DCB">
          <w:rPr>
            <w:rStyle w:val="Hyperlink"/>
            <w:noProof/>
          </w:rPr>
          <w:t>Critérios para pontos de apoio a serem adotados nos serviços públicos de limpeza urbana e manejo de resíduos sólidos</w:t>
        </w:r>
        <w:r w:rsidR="00BC01B1">
          <w:rPr>
            <w:noProof/>
            <w:webHidden/>
          </w:rPr>
          <w:tab/>
        </w:r>
        <w:r w:rsidR="00BC01B1">
          <w:rPr>
            <w:noProof/>
            <w:webHidden/>
          </w:rPr>
          <w:fldChar w:fldCharType="begin"/>
        </w:r>
        <w:r w:rsidR="00BC01B1">
          <w:rPr>
            <w:noProof/>
            <w:webHidden/>
          </w:rPr>
          <w:instrText xml:space="preserve"> PAGEREF _Toc509935483 \h </w:instrText>
        </w:r>
        <w:r w:rsidR="00BC01B1">
          <w:rPr>
            <w:noProof/>
            <w:webHidden/>
          </w:rPr>
        </w:r>
        <w:r w:rsidR="00BC01B1">
          <w:rPr>
            <w:noProof/>
            <w:webHidden/>
          </w:rPr>
          <w:fldChar w:fldCharType="separate"/>
        </w:r>
        <w:r>
          <w:rPr>
            <w:noProof/>
            <w:webHidden/>
          </w:rPr>
          <w:t>86</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484" w:history="1">
        <w:r w:rsidR="00BC01B1" w:rsidRPr="005D5DCB">
          <w:rPr>
            <w:rStyle w:val="Hyperlink"/>
            <w:noProof/>
          </w:rPr>
          <w:t>3.4.2.1.</w:t>
        </w:r>
        <w:r w:rsidR="00BC01B1">
          <w:rPr>
            <w:rFonts w:asciiTheme="minorHAnsi" w:eastAsiaTheme="minorEastAsia" w:hAnsiTheme="minorHAnsi" w:cstheme="minorBidi"/>
            <w:noProof/>
          </w:rPr>
          <w:tab/>
        </w:r>
        <w:r w:rsidR="00BC01B1" w:rsidRPr="005D5DCB">
          <w:rPr>
            <w:rStyle w:val="Hyperlink"/>
            <w:noProof/>
          </w:rPr>
          <w:t>Caracterização física</w:t>
        </w:r>
        <w:r w:rsidR="00BC01B1">
          <w:rPr>
            <w:noProof/>
            <w:webHidden/>
          </w:rPr>
          <w:tab/>
        </w:r>
        <w:r w:rsidR="00BC01B1">
          <w:rPr>
            <w:noProof/>
            <w:webHidden/>
          </w:rPr>
          <w:fldChar w:fldCharType="begin"/>
        </w:r>
        <w:r w:rsidR="00BC01B1">
          <w:rPr>
            <w:noProof/>
            <w:webHidden/>
          </w:rPr>
          <w:instrText xml:space="preserve"> PAGEREF _Toc509935484 \h </w:instrText>
        </w:r>
        <w:r w:rsidR="00BC01B1">
          <w:rPr>
            <w:noProof/>
            <w:webHidden/>
          </w:rPr>
        </w:r>
        <w:r w:rsidR="00BC01B1">
          <w:rPr>
            <w:noProof/>
            <w:webHidden/>
          </w:rPr>
          <w:fldChar w:fldCharType="separate"/>
        </w:r>
        <w:r>
          <w:rPr>
            <w:noProof/>
            <w:webHidden/>
          </w:rPr>
          <w:t>89</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485" w:history="1">
        <w:r w:rsidR="00BC01B1" w:rsidRPr="005D5DCB">
          <w:rPr>
            <w:rStyle w:val="Hyperlink"/>
            <w:noProof/>
          </w:rPr>
          <w:t>3.4.2.2.</w:t>
        </w:r>
        <w:r w:rsidR="00BC01B1">
          <w:rPr>
            <w:rFonts w:asciiTheme="minorHAnsi" w:eastAsiaTheme="minorEastAsia" w:hAnsiTheme="minorHAnsi" w:cstheme="minorBidi"/>
            <w:noProof/>
          </w:rPr>
          <w:tab/>
        </w:r>
        <w:r w:rsidR="00BC01B1" w:rsidRPr="005D5DCB">
          <w:rPr>
            <w:rStyle w:val="Hyperlink"/>
            <w:noProof/>
          </w:rPr>
          <w:t>Acondicionamento</w:t>
        </w:r>
        <w:r w:rsidR="00BC01B1">
          <w:rPr>
            <w:noProof/>
            <w:webHidden/>
          </w:rPr>
          <w:tab/>
        </w:r>
        <w:r w:rsidR="00BC01B1">
          <w:rPr>
            <w:noProof/>
            <w:webHidden/>
          </w:rPr>
          <w:fldChar w:fldCharType="begin"/>
        </w:r>
        <w:r w:rsidR="00BC01B1">
          <w:rPr>
            <w:noProof/>
            <w:webHidden/>
          </w:rPr>
          <w:instrText xml:space="preserve"> PAGEREF _Toc509935485 \h </w:instrText>
        </w:r>
        <w:r w:rsidR="00BC01B1">
          <w:rPr>
            <w:noProof/>
            <w:webHidden/>
          </w:rPr>
        </w:r>
        <w:r w:rsidR="00BC01B1">
          <w:rPr>
            <w:noProof/>
            <w:webHidden/>
          </w:rPr>
          <w:fldChar w:fldCharType="separate"/>
        </w:r>
        <w:r>
          <w:rPr>
            <w:noProof/>
            <w:webHidden/>
          </w:rPr>
          <w:t>91</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486" w:history="1">
        <w:r w:rsidR="00BC01B1" w:rsidRPr="005D5DCB">
          <w:rPr>
            <w:rStyle w:val="Hyperlink"/>
            <w:noProof/>
          </w:rPr>
          <w:t>3.4.2.3.</w:t>
        </w:r>
        <w:r w:rsidR="00BC01B1">
          <w:rPr>
            <w:rFonts w:asciiTheme="minorHAnsi" w:eastAsiaTheme="minorEastAsia" w:hAnsiTheme="minorHAnsi" w:cstheme="minorBidi"/>
            <w:noProof/>
          </w:rPr>
          <w:tab/>
        </w:r>
        <w:r w:rsidR="00BC01B1" w:rsidRPr="005D5DCB">
          <w:rPr>
            <w:rStyle w:val="Hyperlink"/>
            <w:noProof/>
          </w:rPr>
          <w:t>Coleta e transporte</w:t>
        </w:r>
        <w:r w:rsidR="00BC01B1">
          <w:rPr>
            <w:noProof/>
            <w:webHidden/>
          </w:rPr>
          <w:tab/>
        </w:r>
        <w:r w:rsidR="00BC01B1">
          <w:rPr>
            <w:noProof/>
            <w:webHidden/>
          </w:rPr>
          <w:fldChar w:fldCharType="begin"/>
        </w:r>
        <w:r w:rsidR="00BC01B1">
          <w:rPr>
            <w:noProof/>
            <w:webHidden/>
          </w:rPr>
          <w:instrText xml:space="preserve"> PAGEREF _Toc509935486 \h </w:instrText>
        </w:r>
        <w:r w:rsidR="00BC01B1">
          <w:rPr>
            <w:noProof/>
            <w:webHidden/>
          </w:rPr>
        </w:r>
        <w:r w:rsidR="00BC01B1">
          <w:rPr>
            <w:noProof/>
            <w:webHidden/>
          </w:rPr>
          <w:fldChar w:fldCharType="separate"/>
        </w:r>
        <w:r>
          <w:rPr>
            <w:noProof/>
            <w:webHidden/>
          </w:rPr>
          <w:t>92</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487" w:history="1">
        <w:r w:rsidR="00BC01B1" w:rsidRPr="005D5DCB">
          <w:rPr>
            <w:rStyle w:val="Hyperlink"/>
            <w:noProof/>
          </w:rPr>
          <w:t>3.4.2.4.</w:t>
        </w:r>
        <w:r w:rsidR="00BC01B1">
          <w:rPr>
            <w:rFonts w:asciiTheme="minorHAnsi" w:eastAsiaTheme="minorEastAsia" w:hAnsiTheme="minorHAnsi" w:cstheme="minorBidi"/>
            <w:noProof/>
          </w:rPr>
          <w:tab/>
        </w:r>
        <w:r w:rsidR="00BC01B1" w:rsidRPr="005D5DCB">
          <w:rPr>
            <w:rStyle w:val="Hyperlink"/>
            <w:noProof/>
          </w:rPr>
          <w:t>Transbordo de rejeitos</w:t>
        </w:r>
        <w:r w:rsidR="00BC01B1">
          <w:rPr>
            <w:noProof/>
            <w:webHidden/>
          </w:rPr>
          <w:tab/>
        </w:r>
        <w:r w:rsidR="00BC01B1">
          <w:rPr>
            <w:noProof/>
            <w:webHidden/>
          </w:rPr>
          <w:fldChar w:fldCharType="begin"/>
        </w:r>
        <w:r w:rsidR="00BC01B1">
          <w:rPr>
            <w:noProof/>
            <w:webHidden/>
          </w:rPr>
          <w:instrText xml:space="preserve"> PAGEREF _Toc509935487 \h </w:instrText>
        </w:r>
        <w:r w:rsidR="00BC01B1">
          <w:rPr>
            <w:noProof/>
            <w:webHidden/>
          </w:rPr>
        </w:r>
        <w:r w:rsidR="00BC01B1">
          <w:rPr>
            <w:noProof/>
            <w:webHidden/>
          </w:rPr>
          <w:fldChar w:fldCharType="separate"/>
        </w:r>
        <w:r>
          <w:rPr>
            <w:noProof/>
            <w:webHidden/>
          </w:rPr>
          <w:t>95</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488" w:history="1">
        <w:r w:rsidR="00BC01B1" w:rsidRPr="005D5DCB">
          <w:rPr>
            <w:rStyle w:val="Hyperlink"/>
            <w:noProof/>
          </w:rPr>
          <w:t>3.4.2.5.</w:t>
        </w:r>
        <w:r w:rsidR="00BC01B1">
          <w:rPr>
            <w:rFonts w:asciiTheme="minorHAnsi" w:eastAsiaTheme="minorEastAsia" w:hAnsiTheme="minorHAnsi" w:cstheme="minorBidi"/>
            <w:noProof/>
          </w:rPr>
          <w:tab/>
        </w:r>
        <w:r w:rsidR="00BC01B1" w:rsidRPr="005D5DCB">
          <w:rPr>
            <w:rStyle w:val="Hyperlink"/>
            <w:noProof/>
          </w:rPr>
          <w:t>Pontos de Entrega Voluntária (PEVs)</w:t>
        </w:r>
        <w:r w:rsidR="00BC01B1">
          <w:rPr>
            <w:noProof/>
            <w:webHidden/>
          </w:rPr>
          <w:tab/>
        </w:r>
        <w:r w:rsidR="00BC01B1">
          <w:rPr>
            <w:noProof/>
            <w:webHidden/>
          </w:rPr>
          <w:fldChar w:fldCharType="begin"/>
        </w:r>
        <w:r w:rsidR="00BC01B1">
          <w:rPr>
            <w:noProof/>
            <w:webHidden/>
          </w:rPr>
          <w:instrText xml:space="preserve"> PAGEREF _Toc509935488 \h </w:instrText>
        </w:r>
        <w:r w:rsidR="00BC01B1">
          <w:rPr>
            <w:noProof/>
            <w:webHidden/>
          </w:rPr>
        </w:r>
        <w:r w:rsidR="00BC01B1">
          <w:rPr>
            <w:noProof/>
            <w:webHidden/>
          </w:rPr>
          <w:fldChar w:fldCharType="separate"/>
        </w:r>
        <w:r>
          <w:rPr>
            <w:noProof/>
            <w:webHidden/>
          </w:rPr>
          <w:t>96</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489" w:history="1">
        <w:r w:rsidR="00BC01B1" w:rsidRPr="005D5DCB">
          <w:rPr>
            <w:rStyle w:val="Hyperlink"/>
            <w:noProof/>
          </w:rPr>
          <w:t>3.4.2.6.</w:t>
        </w:r>
        <w:r w:rsidR="00BC01B1">
          <w:rPr>
            <w:rFonts w:asciiTheme="minorHAnsi" w:eastAsiaTheme="minorEastAsia" w:hAnsiTheme="minorHAnsi" w:cstheme="minorBidi"/>
            <w:noProof/>
          </w:rPr>
          <w:tab/>
        </w:r>
        <w:r w:rsidR="00BC01B1" w:rsidRPr="005D5DCB">
          <w:rPr>
            <w:rStyle w:val="Hyperlink"/>
            <w:noProof/>
          </w:rPr>
          <w:t>Área de Transbordo e Triagem de Resíduos</w:t>
        </w:r>
        <w:r w:rsidR="00BC01B1">
          <w:rPr>
            <w:noProof/>
            <w:webHidden/>
          </w:rPr>
          <w:tab/>
        </w:r>
        <w:r w:rsidR="00BC01B1">
          <w:rPr>
            <w:noProof/>
            <w:webHidden/>
          </w:rPr>
          <w:fldChar w:fldCharType="begin"/>
        </w:r>
        <w:r w:rsidR="00BC01B1">
          <w:rPr>
            <w:noProof/>
            <w:webHidden/>
          </w:rPr>
          <w:instrText xml:space="preserve"> PAGEREF _Toc509935489 \h </w:instrText>
        </w:r>
        <w:r w:rsidR="00BC01B1">
          <w:rPr>
            <w:noProof/>
            <w:webHidden/>
          </w:rPr>
        </w:r>
        <w:r w:rsidR="00BC01B1">
          <w:rPr>
            <w:noProof/>
            <w:webHidden/>
          </w:rPr>
          <w:fldChar w:fldCharType="separate"/>
        </w:r>
        <w:r>
          <w:rPr>
            <w:noProof/>
            <w:webHidden/>
          </w:rPr>
          <w:t>97</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490" w:history="1">
        <w:r w:rsidR="00BC01B1" w:rsidRPr="005D5DCB">
          <w:rPr>
            <w:rStyle w:val="Hyperlink"/>
            <w:noProof/>
          </w:rPr>
          <w:t>3.4.2.7.</w:t>
        </w:r>
        <w:r w:rsidR="00BC01B1">
          <w:rPr>
            <w:rFonts w:asciiTheme="minorHAnsi" w:eastAsiaTheme="minorEastAsia" w:hAnsiTheme="minorHAnsi" w:cstheme="minorBidi"/>
            <w:noProof/>
          </w:rPr>
          <w:tab/>
        </w:r>
        <w:r w:rsidR="00BC01B1" w:rsidRPr="005D5DCB">
          <w:rPr>
            <w:rStyle w:val="Hyperlink"/>
            <w:noProof/>
          </w:rPr>
          <w:t>Central de Triagem de Resíduos (CTR)</w:t>
        </w:r>
        <w:r w:rsidR="00BC01B1">
          <w:rPr>
            <w:noProof/>
            <w:webHidden/>
          </w:rPr>
          <w:tab/>
        </w:r>
        <w:r w:rsidR="00BC01B1">
          <w:rPr>
            <w:noProof/>
            <w:webHidden/>
          </w:rPr>
          <w:fldChar w:fldCharType="begin"/>
        </w:r>
        <w:r w:rsidR="00BC01B1">
          <w:rPr>
            <w:noProof/>
            <w:webHidden/>
          </w:rPr>
          <w:instrText xml:space="preserve"> PAGEREF _Toc509935490 \h </w:instrText>
        </w:r>
        <w:r w:rsidR="00BC01B1">
          <w:rPr>
            <w:noProof/>
            <w:webHidden/>
          </w:rPr>
        </w:r>
        <w:r w:rsidR="00BC01B1">
          <w:rPr>
            <w:noProof/>
            <w:webHidden/>
          </w:rPr>
          <w:fldChar w:fldCharType="separate"/>
        </w:r>
        <w:r>
          <w:rPr>
            <w:noProof/>
            <w:webHidden/>
          </w:rPr>
          <w:t>98</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491" w:history="1">
        <w:r w:rsidR="00BC01B1" w:rsidRPr="005D5DCB">
          <w:rPr>
            <w:rStyle w:val="Hyperlink"/>
            <w:noProof/>
          </w:rPr>
          <w:t>3.4.2.8.</w:t>
        </w:r>
        <w:r w:rsidR="00BC01B1">
          <w:rPr>
            <w:rFonts w:asciiTheme="minorHAnsi" w:eastAsiaTheme="minorEastAsia" w:hAnsiTheme="minorHAnsi" w:cstheme="minorBidi"/>
            <w:noProof/>
          </w:rPr>
          <w:tab/>
        </w:r>
        <w:r w:rsidR="00BC01B1" w:rsidRPr="005D5DCB">
          <w:rPr>
            <w:rStyle w:val="Hyperlink"/>
            <w:noProof/>
          </w:rPr>
          <w:t>Aterro sanitário</w:t>
        </w:r>
        <w:r w:rsidR="00BC01B1">
          <w:rPr>
            <w:noProof/>
            <w:webHidden/>
          </w:rPr>
          <w:tab/>
        </w:r>
        <w:r w:rsidR="00BC01B1">
          <w:rPr>
            <w:noProof/>
            <w:webHidden/>
          </w:rPr>
          <w:fldChar w:fldCharType="begin"/>
        </w:r>
        <w:r w:rsidR="00BC01B1">
          <w:rPr>
            <w:noProof/>
            <w:webHidden/>
          </w:rPr>
          <w:instrText xml:space="preserve"> PAGEREF _Toc509935491 \h </w:instrText>
        </w:r>
        <w:r w:rsidR="00BC01B1">
          <w:rPr>
            <w:noProof/>
            <w:webHidden/>
          </w:rPr>
        </w:r>
        <w:r w:rsidR="00BC01B1">
          <w:rPr>
            <w:noProof/>
            <w:webHidden/>
          </w:rPr>
          <w:fldChar w:fldCharType="separate"/>
        </w:r>
        <w:r>
          <w:rPr>
            <w:noProof/>
            <w:webHidden/>
          </w:rPr>
          <w:t>99</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492" w:history="1">
        <w:r w:rsidR="00BC01B1" w:rsidRPr="005D5DCB">
          <w:rPr>
            <w:rStyle w:val="Hyperlink"/>
            <w:noProof/>
          </w:rPr>
          <w:t>3.4.2.9.</w:t>
        </w:r>
        <w:r w:rsidR="00BC01B1">
          <w:rPr>
            <w:rFonts w:asciiTheme="minorHAnsi" w:eastAsiaTheme="minorEastAsia" w:hAnsiTheme="minorHAnsi" w:cstheme="minorBidi"/>
            <w:noProof/>
          </w:rPr>
          <w:tab/>
        </w:r>
        <w:r w:rsidR="00BC01B1" w:rsidRPr="005D5DCB">
          <w:rPr>
            <w:rStyle w:val="Hyperlink"/>
            <w:noProof/>
          </w:rPr>
          <w:t>Acondicionamento e destinação de Resíduos de Serviços de Saúde</w:t>
        </w:r>
        <w:r w:rsidR="00BC01B1">
          <w:rPr>
            <w:noProof/>
            <w:webHidden/>
          </w:rPr>
          <w:tab/>
        </w:r>
        <w:r w:rsidR="00BC01B1">
          <w:rPr>
            <w:noProof/>
            <w:webHidden/>
          </w:rPr>
          <w:fldChar w:fldCharType="begin"/>
        </w:r>
        <w:r w:rsidR="00BC01B1">
          <w:rPr>
            <w:noProof/>
            <w:webHidden/>
          </w:rPr>
          <w:instrText xml:space="preserve"> PAGEREF _Toc509935492 \h </w:instrText>
        </w:r>
        <w:r w:rsidR="00BC01B1">
          <w:rPr>
            <w:noProof/>
            <w:webHidden/>
          </w:rPr>
        </w:r>
        <w:r w:rsidR="00BC01B1">
          <w:rPr>
            <w:noProof/>
            <w:webHidden/>
          </w:rPr>
          <w:fldChar w:fldCharType="separate"/>
        </w:r>
        <w:r>
          <w:rPr>
            <w:noProof/>
            <w:webHidden/>
          </w:rPr>
          <w:t>100</w:t>
        </w:r>
        <w:r w:rsidR="00BC01B1">
          <w:rPr>
            <w:noProof/>
            <w:webHidden/>
          </w:rPr>
          <w:fldChar w:fldCharType="end"/>
        </w:r>
      </w:hyperlink>
    </w:p>
    <w:p w:rsidR="00BC01B1" w:rsidRDefault="001B481B">
      <w:pPr>
        <w:pStyle w:val="Sumrio4"/>
        <w:tabs>
          <w:tab w:val="left" w:pos="1927"/>
        </w:tabs>
        <w:rPr>
          <w:rFonts w:asciiTheme="minorHAnsi" w:eastAsiaTheme="minorEastAsia" w:hAnsiTheme="minorHAnsi" w:cstheme="minorBidi"/>
          <w:noProof/>
        </w:rPr>
      </w:pPr>
      <w:hyperlink w:anchor="_Toc509935493" w:history="1">
        <w:r w:rsidR="00BC01B1" w:rsidRPr="005D5DCB">
          <w:rPr>
            <w:rStyle w:val="Hyperlink"/>
            <w:noProof/>
          </w:rPr>
          <w:t>3.4.2.10.</w:t>
        </w:r>
        <w:r w:rsidR="00BC01B1">
          <w:rPr>
            <w:rFonts w:asciiTheme="minorHAnsi" w:eastAsiaTheme="minorEastAsia" w:hAnsiTheme="minorHAnsi" w:cstheme="minorBidi"/>
            <w:noProof/>
          </w:rPr>
          <w:tab/>
        </w:r>
        <w:r w:rsidR="00BC01B1" w:rsidRPr="005D5DCB">
          <w:rPr>
            <w:rStyle w:val="Hyperlink"/>
            <w:noProof/>
          </w:rPr>
          <w:t>Controle de Planos de Gerenciamento de Resíduos Sólidos (PGRSs)</w:t>
        </w:r>
        <w:r w:rsidR="00BC01B1">
          <w:rPr>
            <w:noProof/>
            <w:webHidden/>
          </w:rPr>
          <w:tab/>
        </w:r>
        <w:r w:rsidR="00BC01B1">
          <w:rPr>
            <w:noProof/>
            <w:webHidden/>
          </w:rPr>
          <w:fldChar w:fldCharType="begin"/>
        </w:r>
        <w:r w:rsidR="00BC01B1">
          <w:rPr>
            <w:noProof/>
            <w:webHidden/>
          </w:rPr>
          <w:instrText xml:space="preserve"> PAGEREF _Toc509935493 \h </w:instrText>
        </w:r>
        <w:r w:rsidR="00BC01B1">
          <w:rPr>
            <w:noProof/>
            <w:webHidden/>
          </w:rPr>
        </w:r>
        <w:r w:rsidR="00BC01B1">
          <w:rPr>
            <w:noProof/>
            <w:webHidden/>
          </w:rPr>
          <w:fldChar w:fldCharType="separate"/>
        </w:r>
        <w:r>
          <w:rPr>
            <w:noProof/>
            <w:webHidden/>
          </w:rPr>
          <w:t>101</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494" w:history="1">
        <w:r w:rsidR="00BC01B1" w:rsidRPr="005D5DCB">
          <w:rPr>
            <w:rStyle w:val="Hyperlink"/>
            <w:noProof/>
          </w:rPr>
          <w:t>3.4.3.</w:t>
        </w:r>
        <w:r w:rsidR="00BC01B1">
          <w:rPr>
            <w:rFonts w:asciiTheme="minorHAnsi" w:eastAsiaTheme="minorEastAsia" w:hAnsiTheme="minorHAnsi" w:cstheme="minorBidi"/>
            <w:i w:val="0"/>
            <w:noProof/>
            <w:sz w:val="22"/>
            <w:lang w:eastAsia="pt-BR"/>
          </w:rPr>
          <w:tab/>
        </w:r>
        <w:r w:rsidR="00BC01B1" w:rsidRPr="005D5DCB">
          <w:rPr>
            <w:rStyle w:val="Hyperlink"/>
            <w:noProof/>
          </w:rPr>
          <w:t>Responsabilidades quanto à implementação e operacionalização do PMGIRS</w:t>
        </w:r>
        <w:r w:rsidR="00BC01B1">
          <w:rPr>
            <w:noProof/>
            <w:webHidden/>
          </w:rPr>
          <w:tab/>
        </w:r>
        <w:r w:rsidR="00BC01B1">
          <w:rPr>
            <w:noProof/>
            <w:webHidden/>
          </w:rPr>
          <w:fldChar w:fldCharType="begin"/>
        </w:r>
        <w:r w:rsidR="00BC01B1">
          <w:rPr>
            <w:noProof/>
            <w:webHidden/>
          </w:rPr>
          <w:instrText xml:space="preserve"> PAGEREF _Toc509935494 \h </w:instrText>
        </w:r>
        <w:r w:rsidR="00BC01B1">
          <w:rPr>
            <w:noProof/>
            <w:webHidden/>
          </w:rPr>
        </w:r>
        <w:r w:rsidR="00BC01B1">
          <w:rPr>
            <w:noProof/>
            <w:webHidden/>
          </w:rPr>
          <w:fldChar w:fldCharType="separate"/>
        </w:r>
        <w:r>
          <w:rPr>
            <w:noProof/>
            <w:webHidden/>
          </w:rPr>
          <w:t>102</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495" w:history="1">
        <w:r w:rsidR="00BC01B1" w:rsidRPr="005D5DCB">
          <w:rPr>
            <w:rStyle w:val="Hyperlink"/>
            <w:noProof/>
          </w:rPr>
          <w:t>3.4.4.</w:t>
        </w:r>
        <w:r w:rsidR="00BC01B1">
          <w:rPr>
            <w:rFonts w:asciiTheme="minorHAnsi" w:eastAsiaTheme="minorEastAsia" w:hAnsiTheme="minorHAnsi" w:cstheme="minorBidi"/>
            <w:i w:val="0"/>
            <w:noProof/>
            <w:sz w:val="22"/>
            <w:lang w:eastAsia="pt-BR"/>
          </w:rPr>
          <w:tab/>
        </w:r>
        <w:r w:rsidR="00BC01B1" w:rsidRPr="005D5DCB">
          <w:rPr>
            <w:rStyle w:val="Hyperlink"/>
            <w:noProof/>
          </w:rPr>
          <w:t>Formas e limites da participação do Poder Público local na coleta seletiva e na logística reversa</w:t>
        </w:r>
        <w:r w:rsidR="00BC01B1">
          <w:rPr>
            <w:noProof/>
            <w:webHidden/>
          </w:rPr>
          <w:tab/>
        </w:r>
        <w:r w:rsidR="00BC01B1">
          <w:rPr>
            <w:noProof/>
            <w:webHidden/>
          </w:rPr>
          <w:fldChar w:fldCharType="begin"/>
        </w:r>
        <w:r w:rsidR="00BC01B1">
          <w:rPr>
            <w:noProof/>
            <w:webHidden/>
          </w:rPr>
          <w:instrText xml:space="preserve"> PAGEREF _Toc509935495 \h </w:instrText>
        </w:r>
        <w:r w:rsidR="00BC01B1">
          <w:rPr>
            <w:noProof/>
            <w:webHidden/>
          </w:rPr>
        </w:r>
        <w:r w:rsidR="00BC01B1">
          <w:rPr>
            <w:noProof/>
            <w:webHidden/>
          </w:rPr>
          <w:fldChar w:fldCharType="separate"/>
        </w:r>
        <w:r>
          <w:rPr>
            <w:noProof/>
            <w:webHidden/>
          </w:rPr>
          <w:t>105</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496" w:history="1">
        <w:r w:rsidR="00BC01B1" w:rsidRPr="005D5DCB">
          <w:rPr>
            <w:rStyle w:val="Hyperlink"/>
            <w:noProof/>
          </w:rPr>
          <w:t>3.4.4.1.</w:t>
        </w:r>
        <w:r w:rsidR="00BC01B1">
          <w:rPr>
            <w:rFonts w:asciiTheme="minorHAnsi" w:eastAsiaTheme="minorEastAsia" w:hAnsiTheme="minorHAnsi" w:cstheme="minorBidi"/>
            <w:noProof/>
          </w:rPr>
          <w:tab/>
        </w:r>
        <w:r w:rsidR="00BC01B1" w:rsidRPr="005D5DCB">
          <w:rPr>
            <w:rStyle w:val="Hyperlink"/>
            <w:noProof/>
          </w:rPr>
          <w:t>Coleta seletiva</w:t>
        </w:r>
        <w:r w:rsidR="00BC01B1">
          <w:rPr>
            <w:noProof/>
            <w:webHidden/>
          </w:rPr>
          <w:tab/>
        </w:r>
        <w:r w:rsidR="00BC01B1">
          <w:rPr>
            <w:noProof/>
            <w:webHidden/>
          </w:rPr>
          <w:fldChar w:fldCharType="begin"/>
        </w:r>
        <w:r w:rsidR="00BC01B1">
          <w:rPr>
            <w:noProof/>
            <w:webHidden/>
          </w:rPr>
          <w:instrText xml:space="preserve"> PAGEREF _Toc509935496 \h </w:instrText>
        </w:r>
        <w:r w:rsidR="00BC01B1">
          <w:rPr>
            <w:noProof/>
            <w:webHidden/>
          </w:rPr>
        </w:r>
        <w:r w:rsidR="00BC01B1">
          <w:rPr>
            <w:noProof/>
            <w:webHidden/>
          </w:rPr>
          <w:fldChar w:fldCharType="separate"/>
        </w:r>
        <w:r>
          <w:rPr>
            <w:noProof/>
            <w:webHidden/>
          </w:rPr>
          <w:t>105</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497" w:history="1">
        <w:r w:rsidR="00BC01B1" w:rsidRPr="005D5DCB">
          <w:rPr>
            <w:rStyle w:val="Hyperlink"/>
            <w:noProof/>
          </w:rPr>
          <w:t>3.4.4.2.</w:t>
        </w:r>
        <w:r w:rsidR="00BC01B1">
          <w:rPr>
            <w:rFonts w:asciiTheme="minorHAnsi" w:eastAsiaTheme="minorEastAsia" w:hAnsiTheme="minorHAnsi" w:cstheme="minorBidi"/>
            <w:noProof/>
          </w:rPr>
          <w:tab/>
        </w:r>
        <w:r w:rsidR="00BC01B1" w:rsidRPr="005D5DCB">
          <w:rPr>
            <w:rStyle w:val="Hyperlink"/>
            <w:noProof/>
          </w:rPr>
          <w:t>Logística reversa</w:t>
        </w:r>
        <w:r w:rsidR="00BC01B1">
          <w:rPr>
            <w:noProof/>
            <w:webHidden/>
          </w:rPr>
          <w:tab/>
        </w:r>
        <w:r w:rsidR="00BC01B1">
          <w:rPr>
            <w:noProof/>
            <w:webHidden/>
          </w:rPr>
          <w:fldChar w:fldCharType="begin"/>
        </w:r>
        <w:r w:rsidR="00BC01B1">
          <w:rPr>
            <w:noProof/>
            <w:webHidden/>
          </w:rPr>
          <w:instrText xml:space="preserve"> PAGEREF _Toc509935497 \h </w:instrText>
        </w:r>
        <w:r w:rsidR="00BC01B1">
          <w:rPr>
            <w:noProof/>
            <w:webHidden/>
          </w:rPr>
        </w:r>
        <w:r w:rsidR="00BC01B1">
          <w:rPr>
            <w:noProof/>
            <w:webHidden/>
          </w:rPr>
          <w:fldChar w:fldCharType="separate"/>
        </w:r>
        <w:r>
          <w:rPr>
            <w:noProof/>
            <w:webHidden/>
          </w:rPr>
          <w:t>108</w:t>
        </w:r>
        <w:r w:rsidR="00BC01B1">
          <w:rPr>
            <w:noProof/>
            <w:webHidden/>
          </w:rPr>
          <w:fldChar w:fldCharType="end"/>
        </w:r>
      </w:hyperlink>
    </w:p>
    <w:p w:rsidR="00BC01B1" w:rsidRDefault="001B481B">
      <w:pPr>
        <w:pStyle w:val="Sumrio1"/>
        <w:tabs>
          <w:tab w:val="left" w:pos="567"/>
        </w:tabs>
        <w:rPr>
          <w:rFonts w:asciiTheme="minorHAnsi" w:eastAsiaTheme="minorEastAsia" w:hAnsiTheme="minorHAnsi" w:cstheme="minorBidi"/>
          <w:b w:val="0"/>
          <w:noProof/>
          <w:sz w:val="22"/>
          <w:szCs w:val="22"/>
        </w:rPr>
      </w:pPr>
      <w:hyperlink w:anchor="_Toc509935498" w:history="1">
        <w:r w:rsidR="00BC01B1" w:rsidRPr="005D5DCB">
          <w:rPr>
            <w:rStyle w:val="Hyperlink"/>
            <w:noProof/>
          </w:rPr>
          <w:t>4.</w:t>
        </w:r>
        <w:r w:rsidR="00BC01B1">
          <w:rPr>
            <w:rFonts w:asciiTheme="minorHAnsi" w:eastAsiaTheme="minorEastAsia" w:hAnsiTheme="minorHAnsi" w:cstheme="minorBidi"/>
            <w:b w:val="0"/>
            <w:noProof/>
            <w:sz w:val="22"/>
            <w:szCs w:val="22"/>
          </w:rPr>
          <w:tab/>
        </w:r>
        <w:r w:rsidR="00BC01B1" w:rsidRPr="005D5DCB">
          <w:rPr>
            <w:rStyle w:val="Hyperlink"/>
            <w:noProof/>
          </w:rPr>
          <w:t>Resumo do diagnóstico do saneamento básico municipal</w:t>
        </w:r>
        <w:r w:rsidR="00BC01B1">
          <w:rPr>
            <w:noProof/>
            <w:webHidden/>
          </w:rPr>
          <w:tab/>
        </w:r>
        <w:r w:rsidR="00BC01B1">
          <w:rPr>
            <w:noProof/>
            <w:webHidden/>
          </w:rPr>
          <w:fldChar w:fldCharType="begin"/>
        </w:r>
        <w:r w:rsidR="00BC01B1">
          <w:rPr>
            <w:noProof/>
            <w:webHidden/>
          </w:rPr>
          <w:instrText xml:space="preserve"> PAGEREF _Toc509935498 \h </w:instrText>
        </w:r>
        <w:r w:rsidR="00BC01B1">
          <w:rPr>
            <w:noProof/>
            <w:webHidden/>
          </w:rPr>
        </w:r>
        <w:r w:rsidR="00BC01B1">
          <w:rPr>
            <w:noProof/>
            <w:webHidden/>
          </w:rPr>
          <w:fldChar w:fldCharType="separate"/>
        </w:r>
        <w:r>
          <w:rPr>
            <w:noProof/>
            <w:webHidden/>
          </w:rPr>
          <w:t>111</w:t>
        </w:r>
        <w:r w:rsidR="00BC01B1">
          <w:rPr>
            <w:noProof/>
            <w:webHidden/>
          </w:rPr>
          <w:fldChar w:fldCharType="end"/>
        </w:r>
      </w:hyperlink>
    </w:p>
    <w:p w:rsidR="00BC01B1" w:rsidRDefault="001B481B">
      <w:pPr>
        <w:pStyle w:val="Sumrio2"/>
        <w:tabs>
          <w:tab w:val="left" w:pos="1134"/>
        </w:tabs>
        <w:rPr>
          <w:rFonts w:asciiTheme="minorHAnsi" w:eastAsiaTheme="minorEastAsia" w:hAnsiTheme="minorHAnsi" w:cstheme="minorBidi"/>
          <w:noProof/>
          <w:sz w:val="22"/>
          <w:lang w:eastAsia="pt-BR"/>
        </w:rPr>
      </w:pPr>
      <w:hyperlink w:anchor="_Toc509935499" w:history="1">
        <w:r w:rsidR="00BC01B1" w:rsidRPr="005D5DCB">
          <w:rPr>
            <w:rStyle w:val="Hyperlink"/>
            <w:noProof/>
          </w:rPr>
          <w:t>4.1.</w:t>
        </w:r>
        <w:r w:rsidR="00BC01B1">
          <w:rPr>
            <w:rFonts w:asciiTheme="minorHAnsi" w:eastAsiaTheme="minorEastAsia" w:hAnsiTheme="minorHAnsi" w:cstheme="minorBidi"/>
            <w:noProof/>
            <w:sz w:val="22"/>
            <w:lang w:eastAsia="pt-BR"/>
          </w:rPr>
          <w:tab/>
        </w:r>
        <w:r w:rsidR="00BC01B1" w:rsidRPr="005D5DCB">
          <w:rPr>
            <w:rStyle w:val="Hyperlink"/>
            <w:noProof/>
          </w:rPr>
          <w:t>Quadros-resumo da situação do setor de água</w:t>
        </w:r>
        <w:r w:rsidR="00BC01B1">
          <w:rPr>
            <w:noProof/>
            <w:webHidden/>
          </w:rPr>
          <w:tab/>
        </w:r>
        <w:r w:rsidR="00BC01B1">
          <w:rPr>
            <w:noProof/>
            <w:webHidden/>
          </w:rPr>
          <w:fldChar w:fldCharType="begin"/>
        </w:r>
        <w:r w:rsidR="00BC01B1">
          <w:rPr>
            <w:noProof/>
            <w:webHidden/>
          </w:rPr>
          <w:instrText xml:space="preserve"> PAGEREF _Toc509935499 \h </w:instrText>
        </w:r>
        <w:r w:rsidR="00BC01B1">
          <w:rPr>
            <w:noProof/>
            <w:webHidden/>
          </w:rPr>
        </w:r>
        <w:r w:rsidR="00BC01B1">
          <w:rPr>
            <w:noProof/>
            <w:webHidden/>
          </w:rPr>
          <w:fldChar w:fldCharType="separate"/>
        </w:r>
        <w:r>
          <w:rPr>
            <w:noProof/>
            <w:webHidden/>
          </w:rPr>
          <w:t>111</w:t>
        </w:r>
        <w:r w:rsidR="00BC01B1">
          <w:rPr>
            <w:noProof/>
            <w:webHidden/>
          </w:rPr>
          <w:fldChar w:fldCharType="end"/>
        </w:r>
      </w:hyperlink>
    </w:p>
    <w:p w:rsidR="00BC01B1" w:rsidRDefault="001B481B">
      <w:pPr>
        <w:pStyle w:val="Sumrio2"/>
        <w:tabs>
          <w:tab w:val="left" w:pos="1134"/>
        </w:tabs>
        <w:rPr>
          <w:rFonts w:asciiTheme="minorHAnsi" w:eastAsiaTheme="minorEastAsia" w:hAnsiTheme="minorHAnsi" w:cstheme="minorBidi"/>
          <w:noProof/>
          <w:sz w:val="22"/>
          <w:lang w:eastAsia="pt-BR"/>
        </w:rPr>
      </w:pPr>
      <w:hyperlink w:anchor="_Toc509935500" w:history="1">
        <w:r w:rsidR="00BC01B1" w:rsidRPr="005D5DCB">
          <w:rPr>
            <w:rStyle w:val="Hyperlink"/>
            <w:noProof/>
          </w:rPr>
          <w:t>4.2.</w:t>
        </w:r>
        <w:r w:rsidR="00BC01B1">
          <w:rPr>
            <w:rFonts w:asciiTheme="minorHAnsi" w:eastAsiaTheme="minorEastAsia" w:hAnsiTheme="minorHAnsi" w:cstheme="minorBidi"/>
            <w:noProof/>
            <w:sz w:val="22"/>
            <w:lang w:eastAsia="pt-BR"/>
          </w:rPr>
          <w:tab/>
        </w:r>
        <w:r w:rsidR="00BC01B1" w:rsidRPr="005D5DCB">
          <w:rPr>
            <w:rStyle w:val="Hyperlink"/>
            <w:noProof/>
          </w:rPr>
          <w:t>Quadro-resumo da situação do setor de esgotamento sanitário</w:t>
        </w:r>
        <w:r w:rsidR="00BC01B1">
          <w:rPr>
            <w:noProof/>
            <w:webHidden/>
          </w:rPr>
          <w:tab/>
        </w:r>
        <w:r w:rsidR="00BC01B1">
          <w:rPr>
            <w:noProof/>
            <w:webHidden/>
          </w:rPr>
          <w:fldChar w:fldCharType="begin"/>
        </w:r>
        <w:r w:rsidR="00BC01B1">
          <w:rPr>
            <w:noProof/>
            <w:webHidden/>
          </w:rPr>
          <w:instrText xml:space="preserve"> PAGEREF _Toc509935500 \h </w:instrText>
        </w:r>
        <w:r w:rsidR="00BC01B1">
          <w:rPr>
            <w:noProof/>
            <w:webHidden/>
          </w:rPr>
        </w:r>
        <w:r w:rsidR="00BC01B1">
          <w:rPr>
            <w:noProof/>
            <w:webHidden/>
          </w:rPr>
          <w:fldChar w:fldCharType="separate"/>
        </w:r>
        <w:r>
          <w:rPr>
            <w:noProof/>
            <w:webHidden/>
          </w:rPr>
          <w:t>112</w:t>
        </w:r>
        <w:r w:rsidR="00BC01B1">
          <w:rPr>
            <w:noProof/>
            <w:webHidden/>
          </w:rPr>
          <w:fldChar w:fldCharType="end"/>
        </w:r>
      </w:hyperlink>
    </w:p>
    <w:p w:rsidR="00BC01B1" w:rsidRDefault="001B481B">
      <w:pPr>
        <w:pStyle w:val="Sumrio2"/>
        <w:tabs>
          <w:tab w:val="left" w:pos="1134"/>
        </w:tabs>
        <w:rPr>
          <w:rFonts w:asciiTheme="minorHAnsi" w:eastAsiaTheme="minorEastAsia" w:hAnsiTheme="minorHAnsi" w:cstheme="minorBidi"/>
          <w:noProof/>
          <w:sz w:val="22"/>
          <w:lang w:eastAsia="pt-BR"/>
        </w:rPr>
      </w:pPr>
      <w:hyperlink w:anchor="_Toc509935501" w:history="1">
        <w:r w:rsidR="00BC01B1" w:rsidRPr="005D5DCB">
          <w:rPr>
            <w:rStyle w:val="Hyperlink"/>
            <w:noProof/>
          </w:rPr>
          <w:t>4.3.</w:t>
        </w:r>
        <w:r w:rsidR="00BC01B1">
          <w:rPr>
            <w:rFonts w:asciiTheme="minorHAnsi" w:eastAsiaTheme="minorEastAsia" w:hAnsiTheme="minorHAnsi" w:cstheme="minorBidi"/>
            <w:noProof/>
            <w:sz w:val="22"/>
            <w:lang w:eastAsia="pt-BR"/>
          </w:rPr>
          <w:tab/>
        </w:r>
        <w:r w:rsidR="00BC01B1" w:rsidRPr="005D5DCB">
          <w:rPr>
            <w:rStyle w:val="Hyperlink"/>
            <w:noProof/>
          </w:rPr>
          <w:t>Quadro-resumo da situação do setor de drenagem urbana</w:t>
        </w:r>
        <w:r w:rsidR="00BC01B1">
          <w:rPr>
            <w:noProof/>
            <w:webHidden/>
          </w:rPr>
          <w:tab/>
        </w:r>
        <w:r w:rsidR="00BC01B1">
          <w:rPr>
            <w:noProof/>
            <w:webHidden/>
          </w:rPr>
          <w:fldChar w:fldCharType="begin"/>
        </w:r>
        <w:r w:rsidR="00BC01B1">
          <w:rPr>
            <w:noProof/>
            <w:webHidden/>
          </w:rPr>
          <w:instrText xml:space="preserve"> PAGEREF _Toc509935501 \h </w:instrText>
        </w:r>
        <w:r w:rsidR="00BC01B1">
          <w:rPr>
            <w:noProof/>
            <w:webHidden/>
          </w:rPr>
        </w:r>
        <w:r w:rsidR="00BC01B1">
          <w:rPr>
            <w:noProof/>
            <w:webHidden/>
          </w:rPr>
          <w:fldChar w:fldCharType="separate"/>
        </w:r>
        <w:r>
          <w:rPr>
            <w:noProof/>
            <w:webHidden/>
          </w:rPr>
          <w:t>113</w:t>
        </w:r>
        <w:r w:rsidR="00BC01B1">
          <w:rPr>
            <w:noProof/>
            <w:webHidden/>
          </w:rPr>
          <w:fldChar w:fldCharType="end"/>
        </w:r>
      </w:hyperlink>
    </w:p>
    <w:p w:rsidR="00BC01B1" w:rsidRDefault="001B481B">
      <w:pPr>
        <w:pStyle w:val="Sumrio2"/>
        <w:tabs>
          <w:tab w:val="left" w:pos="1134"/>
        </w:tabs>
        <w:rPr>
          <w:rFonts w:asciiTheme="minorHAnsi" w:eastAsiaTheme="minorEastAsia" w:hAnsiTheme="minorHAnsi" w:cstheme="minorBidi"/>
          <w:noProof/>
          <w:sz w:val="22"/>
          <w:lang w:eastAsia="pt-BR"/>
        </w:rPr>
      </w:pPr>
      <w:hyperlink w:anchor="_Toc509935502" w:history="1">
        <w:r w:rsidR="00BC01B1" w:rsidRPr="005D5DCB">
          <w:rPr>
            <w:rStyle w:val="Hyperlink"/>
            <w:noProof/>
          </w:rPr>
          <w:t>4.4.</w:t>
        </w:r>
        <w:r w:rsidR="00BC01B1">
          <w:rPr>
            <w:rFonts w:asciiTheme="minorHAnsi" w:eastAsiaTheme="minorEastAsia" w:hAnsiTheme="minorHAnsi" w:cstheme="minorBidi"/>
            <w:noProof/>
            <w:sz w:val="22"/>
            <w:lang w:eastAsia="pt-BR"/>
          </w:rPr>
          <w:tab/>
        </w:r>
        <w:r w:rsidR="00BC01B1" w:rsidRPr="005D5DCB">
          <w:rPr>
            <w:rStyle w:val="Hyperlink"/>
            <w:noProof/>
          </w:rPr>
          <w:t>Quadros-resumo da situação do setor de resíduos sólidos</w:t>
        </w:r>
        <w:r w:rsidR="00BC01B1">
          <w:rPr>
            <w:noProof/>
            <w:webHidden/>
          </w:rPr>
          <w:tab/>
        </w:r>
        <w:r w:rsidR="00BC01B1">
          <w:rPr>
            <w:noProof/>
            <w:webHidden/>
          </w:rPr>
          <w:fldChar w:fldCharType="begin"/>
        </w:r>
        <w:r w:rsidR="00BC01B1">
          <w:rPr>
            <w:noProof/>
            <w:webHidden/>
          </w:rPr>
          <w:instrText xml:space="preserve"> PAGEREF _Toc509935502 \h </w:instrText>
        </w:r>
        <w:r w:rsidR="00BC01B1">
          <w:rPr>
            <w:noProof/>
            <w:webHidden/>
          </w:rPr>
        </w:r>
        <w:r w:rsidR="00BC01B1">
          <w:rPr>
            <w:noProof/>
            <w:webHidden/>
          </w:rPr>
          <w:fldChar w:fldCharType="separate"/>
        </w:r>
        <w:r>
          <w:rPr>
            <w:noProof/>
            <w:webHidden/>
          </w:rPr>
          <w:t>115</w:t>
        </w:r>
        <w:r w:rsidR="00BC01B1">
          <w:rPr>
            <w:noProof/>
            <w:webHidden/>
          </w:rPr>
          <w:fldChar w:fldCharType="end"/>
        </w:r>
      </w:hyperlink>
    </w:p>
    <w:p w:rsidR="00BC01B1" w:rsidRDefault="001B481B">
      <w:pPr>
        <w:pStyle w:val="Sumrio1"/>
        <w:tabs>
          <w:tab w:val="left" w:pos="567"/>
        </w:tabs>
        <w:rPr>
          <w:rFonts w:asciiTheme="minorHAnsi" w:eastAsiaTheme="minorEastAsia" w:hAnsiTheme="minorHAnsi" w:cstheme="minorBidi"/>
          <w:b w:val="0"/>
          <w:noProof/>
          <w:sz w:val="22"/>
          <w:szCs w:val="22"/>
        </w:rPr>
      </w:pPr>
      <w:hyperlink w:anchor="_Toc509935503" w:history="1">
        <w:r w:rsidR="00BC01B1" w:rsidRPr="005D5DCB">
          <w:rPr>
            <w:rStyle w:val="Hyperlink"/>
            <w:bCs/>
            <w:noProof/>
          </w:rPr>
          <w:t>5.</w:t>
        </w:r>
        <w:r w:rsidR="00BC01B1">
          <w:rPr>
            <w:rFonts w:asciiTheme="minorHAnsi" w:eastAsiaTheme="minorEastAsia" w:hAnsiTheme="minorHAnsi" w:cstheme="minorBidi"/>
            <w:b w:val="0"/>
            <w:noProof/>
            <w:sz w:val="22"/>
            <w:szCs w:val="22"/>
          </w:rPr>
          <w:tab/>
        </w:r>
        <w:r w:rsidR="00BC01B1" w:rsidRPr="005D5DCB">
          <w:rPr>
            <w:rStyle w:val="Hyperlink"/>
            <w:bCs/>
            <w:noProof/>
          </w:rPr>
          <w:t>Planejamento estratégico dos serviços públicos em saneamento básico</w:t>
        </w:r>
        <w:r w:rsidR="00BC01B1">
          <w:rPr>
            <w:noProof/>
            <w:webHidden/>
          </w:rPr>
          <w:tab/>
        </w:r>
        <w:r w:rsidR="00BC01B1">
          <w:rPr>
            <w:noProof/>
            <w:webHidden/>
          </w:rPr>
          <w:fldChar w:fldCharType="begin"/>
        </w:r>
        <w:r w:rsidR="00BC01B1">
          <w:rPr>
            <w:noProof/>
            <w:webHidden/>
          </w:rPr>
          <w:instrText xml:space="preserve"> PAGEREF _Toc509935503 \h </w:instrText>
        </w:r>
        <w:r w:rsidR="00BC01B1">
          <w:rPr>
            <w:noProof/>
            <w:webHidden/>
          </w:rPr>
        </w:r>
        <w:r w:rsidR="00BC01B1">
          <w:rPr>
            <w:noProof/>
            <w:webHidden/>
          </w:rPr>
          <w:fldChar w:fldCharType="separate"/>
        </w:r>
        <w:r>
          <w:rPr>
            <w:noProof/>
            <w:webHidden/>
          </w:rPr>
          <w:t>116</w:t>
        </w:r>
        <w:r w:rsidR="00BC01B1">
          <w:rPr>
            <w:noProof/>
            <w:webHidden/>
          </w:rPr>
          <w:fldChar w:fldCharType="end"/>
        </w:r>
      </w:hyperlink>
    </w:p>
    <w:p w:rsidR="00BC01B1" w:rsidRDefault="001B481B">
      <w:pPr>
        <w:pStyle w:val="Sumrio2"/>
        <w:tabs>
          <w:tab w:val="left" w:pos="1134"/>
        </w:tabs>
        <w:rPr>
          <w:rFonts w:asciiTheme="minorHAnsi" w:eastAsiaTheme="minorEastAsia" w:hAnsiTheme="minorHAnsi" w:cstheme="minorBidi"/>
          <w:noProof/>
          <w:sz w:val="22"/>
          <w:lang w:eastAsia="pt-BR"/>
        </w:rPr>
      </w:pPr>
      <w:hyperlink w:anchor="_Toc509935504" w:history="1">
        <w:r w:rsidR="00BC01B1" w:rsidRPr="005D5DCB">
          <w:rPr>
            <w:rStyle w:val="Hyperlink"/>
            <w:noProof/>
          </w:rPr>
          <w:t>5.1.</w:t>
        </w:r>
        <w:r w:rsidR="00BC01B1">
          <w:rPr>
            <w:rFonts w:asciiTheme="minorHAnsi" w:eastAsiaTheme="minorEastAsia" w:hAnsiTheme="minorHAnsi" w:cstheme="minorBidi"/>
            <w:noProof/>
            <w:sz w:val="22"/>
            <w:lang w:eastAsia="pt-BR"/>
          </w:rPr>
          <w:tab/>
        </w:r>
        <w:r w:rsidR="00BC01B1" w:rsidRPr="005D5DCB">
          <w:rPr>
            <w:rStyle w:val="Hyperlink"/>
            <w:noProof/>
          </w:rPr>
          <w:t>Setor Geral do Saneamento Básico Municipal</w:t>
        </w:r>
        <w:r w:rsidR="00BC01B1">
          <w:rPr>
            <w:noProof/>
            <w:webHidden/>
          </w:rPr>
          <w:tab/>
        </w:r>
        <w:r w:rsidR="00BC01B1">
          <w:rPr>
            <w:noProof/>
            <w:webHidden/>
          </w:rPr>
          <w:fldChar w:fldCharType="begin"/>
        </w:r>
        <w:r w:rsidR="00BC01B1">
          <w:rPr>
            <w:noProof/>
            <w:webHidden/>
          </w:rPr>
          <w:instrText xml:space="preserve"> PAGEREF _Toc509935504 \h </w:instrText>
        </w:r>
        <w:r w:rsidR="00BC01B1">
          <w:rPr>
            <w:noProof/>
            <w:webHidden/>
          </w:rPr>
        </w:r>
        <w:r w:rsidR="00BC01B1">
          <w:rPr>
            <w:noProof/>
            <w:webHidden/>
          </w:rPr>
          <w:fldChar w:fldCharType="separate"/>
        </w:r>
        <w:r>
          <w:rPr>
            <w:noProof/>
            <w:webHidden/>
          </w:rPr>
          <w:t>122</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05" w:history="1">
        <w:r w:rsidR="00BC01B1" w:rsidRPr="005D5DCB">
          <w:rPr>
            <w:rStyle w:val="Hyperlink"/>
            <w:noProof/>
          </w:rPr>
          <w:t>5.1.1.</w:t>
        </w:r>
        <w:r w:rsidR="00BC01B1">
          <w:rPr>
            <w:rFonts w:asciiTheme="minorHAnsi" w:eastAsiaTheme="minorEastAsia" w:hAnsiTheme="minorHAnsi" w:cstheme="minorBidi"/>
            <w:i w:val="0"/>
            <w:noProof/>
            <w:sz w:val="22"/>
            <w:lang w:eastAsia="pt-BR"/>
          </w:rPr>
          <w:tab/>
        </w:r>
        <w:r w:rsidR="00BC01B1" w:rsidRPr="005D5DCB">
          <w:rPr>
            <w:rStyle w:val="Hyperlink"/>
            <w:noProof/>
          </w:rPr>
          <w:t>Proposição de cenários</w:t>
        </w:r>
        <w:r w:rsidR="00BC01B1">
          <w:rPr>
            <w:noProof/>
            <w:webHidden/>
          </w:rPr>
          <w:tab/>
        </w:r>
        <w:r w:rsidR="00BC01B1">
          <w:rPr>
            <w:noProof/>
            <w:webHidden/>
          </w:rPr>
          <w:fldChar w:fldCharType="begin"/>
        </w:r>
        <w:r w:rsidR="00BC01B1">
          <w:rPr>
            <w:noProof/>
            <w:webHidden/>
          </w:rPr>
          <w:instrText xml:space="preserve"> PAGEREF _Toc509935505 \h </w:instrText>
        </w:r>
        <w:r w:rsidR="00BC01B1">
          <w:rPr>
            <w:noProof/>
            <w:webHidden/>
          </w:rPr>
        </w:r>
        <w:r w:rsidR="00BC01B1">
          <w:rPr>
            <w:noProof/>
            <w:webHidden/>
          </w:rPr>
          <w:fldChar w:fldCharType="separate"/>
        </w:r>
        <w:r>
          <w:rPr>
            <w:noProof/>
            <w:webHidden/>
          </w:rPr>
          <w:t>122</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06" w:history="1">
        <w:r w:rsidR="00BC01B1" w:rsidRPr="005D5DCB">
          <w:rPr>
            <w:rStyle w:val="Hyperlink"/>
            <w:noProof/>
          </w:rPr>
          <w:t>5.1.2.</w:t>
        </w:r>
        <w:r w:rsidR="00BC01B1">
          <w:rPr>
            <w:rFonts w:asciiTheme="minorHAnsi" w:eastAsiaTheme="minorEastAsia" w:hAnsiTheme="minorHAnsi" w:cstheme="minorBidi"/>
            <w:i w:val="0"/>
            <w:noProof/>
            <w:sz w:val="22"/>
            <w:lang w:eastAsia="pt-BR"/>
          </w:rPr>
          <w:tab/>
        </w:r>
        <w:r w:rsidR="00BC01B1" w:rsidRPr="005D5DCB">
          <w:rPr>
            <w:rStyle w:val="Hyperlink"/>
            <w:noProof/>
          </w:rPr>
          <w:t>Objetivos e metas</w:t>
        </w:r>
        <w:r w:rsidR="00BC01B1">
          <w:rPr>
            <w:noProof/>
            <w:webHidden/>
          </w:rPr>
          <w:tab/>
        </w:r>
        <w:r w:rsidR="00BC01B1">
          <w:rPr>
            <w:noProof/>
            <w:webHidden/>
          </w:rPr>
          <w:fldChar w:fldCharType="begin"/>
        </w:r>
        <w:r w:rsidR="00BC01B1">
          <w:rPr>
            <w:noProof/>
            <w:webHidden/>
          </w:rPr>
          <w:instrText xml:space="preserve"> PAGEREF _Toc509935506 \h </w:instrText>
        </w:r>
        <w:r w:rsidR="00BC01B1">
          <w:rPr>
            <w:noProof/>
            <w:webHidden/>
          </w:rPr>
        </w:r>
        <w:r w:rsidR="00BC01B1">
          <w:rPr>
            <w:noProof/>
            <w:webHidden/>
          </w:rPr>
          <w:fldChar w:fldCharType="separate"/>
        </w:r>
        <w:r>
          <w:rPr>
            <w:noProof/>
            <w:webHidden/>
          </w:rPr>
          <w:t>127</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07" w:history="1">
        <w:r w:rsidR="00BC01B1" w:rsidRPr="005D5DCB">
          <w:rPr>
            <w:rStyle w:val="Hyperlink"/>
            <w:noProof/>
          </w:rPr>
          <w:t>5.1.3.</w:t>
        </w:r>
        <w:r w:rsidR="00BC01B1">
          <w:rPr>
            <w:rFonts w:asciiTheme="minorHAnsi" w:eastAsiaTheme="minorEastAsia" w:hAnsiTheme="minorHAnsi" w:cstheme="minorBidi"/>
            <w:i w:val="0"/>
            <w:noProof/>
            <w:sz w:val="22"/>
            <w:lang w:eastAsia="pt-BR"/>
          </w:rPr>
          <w:tab/>
        </w:r>
        <w:r w:rsidR="00BC01B1" w:rsidRPr="005D5DCB">
          <w:rPr>
            <w:rStyle w:val="Hyperlink"/>
            <w:noProof/>
          </w:rPr>
          <w:t>Programas,  projetos e ações para o Setor Geral</w:t>
        </w:r>
        <w:r w:rsidR="00BC01B1">
          <w:rPr>
            <w:noProof/>
            <w:webHidden/>
          </w:rPr>
          <w:tab/>
        </w:r>
        <w:r w:rsidR="00BC01B1">
          <w:rPr>
            <w:noProof/>
            <w:webHidden/>
          </w:rPr>
          <w:fldChar w:fldCharType="begin"/>
        </w:r>
        <w:r w:rsidR="00BC01B1">
          <w:rPr>
            <w:noProof/>
            <w:webHidden/>
          </w:rPr>
          <w:instrText xml:space="preserve"> PAGEREF _Toc509935507 \h </w:instrText>
        </w:r>
        <w:r w:rsidR="00BC01B1">
          <w:rPr>
            <w:noProof/>
            <w:webHidden/>
          </w:rPr>
        </w:r>
        <w:r w:rsidR="00BC01B1">
          <w:rPr>
            <w:noProof/>
            <w:webHidden/>
          </w:rPr>
          <w:fldChar w:fldCharType="separate"/>
        </w:r>
        <w:r>
          <w:rPr>
            <w:noProof/>
            <w:webHidden/>
          </w:rPr>
          <w:t>132</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08" w:history="1">
        <w:r w:rsidR="00BC01B1" w:rsidRPr="005D5DCB">
          <w:rPr>
            <w:rStyle w:val="Hyperlink"/>
            <w:noProof/>
          </w:rPr>
          <w:t>5.1.4.</w:t>
        </w:r>
        <w:r w:rsidR="00BC01B1">
          <w:rPr>
            <w:rFonts w:asciiTheme="minorHAnsi" w:eastAsiaTheme="minorEastAsia" w:hAnsiTheme="minorHAnsi" w:cstheme="minorBidi"/>
            <w:i w:val="0"/>
            <w:noProof/>
            <w:sz w:val="22"/>
            <w:lang w:eastAsia="pt-BR"/>
          </w:rPr>
          <w:tab/>
        </w:r>
        <w:r w:rsidR="00BC01B1" w:rsidRPr="005D5DCB">
          <w:rPr>
            <w:rStyle w:val="Hyperlink"/>
            <w:noProof/>
          </w:rPr>
          <w:t>Detalhamento de programas, projetos e ações</w:t>
        </w:r>
        <w:r w:rsidR="00BC01B1">
          <w:rPr>
            <w:noProof/>
            <w:webHidden/>
          </w:rPr>
          <w:tab/>
        </w:r>
        <w:r w:rsidR="00BC01B1">
          <w:rPr>
            <w:noProof/>
            <w:webHidden/>
          </w:rPr>
          <w:fldChar w:fldCharType="begin"/>
        </w:r>
        <w:r w:rsidR="00BC01B1">
          <w:rPr>
            <w:noProof/>
            <w:webHidden/>
          </w:rPr>
          <w:instrText xml:space="preserve"> PAGEREF _Toc509935508 \h </w:instrText>
        </w:r>
        <w:r w:rsidR="00BC01B1">
          <w:rPr>
            <w:noProof/>
            <w:webHidden/>
          </w:rPr>
        </w:r>
        <w:r w:rsidR="00BC01B1">
          <w:rPr>
            <w:noProof/>
            <w:webHidden/>
          </w:rPr>
          <w:fldChar w:fldCharType="separate"/>
        </w:r>
        <w:r>
          <w:rPr>
            <w:noProof/>
            <w:webHidden/>
          </w:rPr>
          <w:t>144</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09" w:history="1">
        <w:r w:rsidR="00BC01B1" w:rsidRPr="005D5DCB">
          <w:rPr>
            <w:rStyle w:val="Hyperlink"/>
            <w:noProof/>
          </w:rPr>
          <w:t>5.1.4.1.</w:t>
        </w:r>
        <w:r w:rsidR="00BC01B1">
          <w:rPr>
            <w:rFonts w:asciiTheme="minorHAnsi" w:eastAsiaTheme="minorEastAsia" w:hAnsiTheme="minorHAnsi" w:cstheme="minorBidi"/>
            <w:noProof/>
          </w:rPr>
          <w:tab/>
        </w:r>
        <w:r w:rsidR="00BC01B1" w:rsidRPr="005D5DCB">
          <w:rPr>
            <w:rStyle w:val="Hyperlink"/>
            <w:noProof/>
          </w:rPr>
          <w:t>Centralização da gestão do saneamento básico</w:t>
        </w:r>
        <w:r w:rsidR="00BC01B1">
          <w:rPr>
            <w:noProof/>
            <w:webHidden/>
          </w:rPr>
          <w:tab/>
        </w:r>
        <w:r w:rsidR="00BC01B1">
          <w:rPr>
            <w:noProof/>
            <w:webHidden/>
          </w:rPr>
          <w:fldChar w:fldCharType="begin"/>
        </w:r>
        <w:r w:rsidR="00BC01B1">
          <w:rPr>
            <w:noProof/>
            <w:webHidden/>
          </w:rPr>
          <w:instrText xml:space="preserve"> PAGEREF _Toc509935509 \h </w:instrText>
        </w:r>
        <w:r w:rsidR="00BC01B1">
          <w:rPr>
            <w:noProof/>
            <w:webHidden/>
          </w:rPr>
        </w:r>
        <w:r w:rsidR="00BC01B1">
          <w:rPr>
            <w:noProof/>
            <w:webHidden/>
          </w:rPr>
          <w:fldChar w:fldCharType="separate"/>
        </w:r>
        <w:r>
          <w:rPr>
            <w:noProof/>
            <w:webHidden/>
          </w:rPr>
          <w:t>144</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10" w:history="1">
        <w:r w:rsidR="00BC01B1" w:rsidRPr="005D5DCB">
          <w:rPr>
            <w:rStyle w:val="Hyperlink"/>
            <w:noProof/>
          </w:rPr>
          <w:t>5.1.4.2.</w:t>
        </w:r>
        <w:r w:rsidR="00BC01B1">
          <w:rPr>
            <w:rFonts w:asciiTheme="minorHAnsi" w:eastAsiaTheme="minorEastAsia" w:hAnsiTheme="minorHAnsi" w:cstheme="minorBidi"/>
            <w:noProof/>
          </w:rPr>
          <w:tab/>
        </w:r>
        <w:r w:rsidR="00BC01B1" w:rsidRPr="005D5DCB">
          <w:rPr>
            <w:rStyle w:val="Hyperlink"/>
            <w:noProof/>
          </w:rPr>
          <w:t>Regulação</w:t>
        </w:r>
        <w:r w:rsidR="00BC01B1">
          <w:rPr>
            <w:noProof/>
            <w:webHidden/>
          </w:rPr>
          <w:tab/>
        </w:r>
        <w:r w:rsidR="00BC01B1">
          <w:rPr>
            <w:noProof/>
            <w:webHidden/>
          </w:rPr>
          <w:fldChar w:fldCharType="begin"/>
        </w:r>
        <w:r w:rsidR="00BC01B1">
          <w:rPr>
            <w:noProof/>
            <w:webHidden/>
          </w:rPr>
          <w:instrText xml:space="preserve"> PAGEREF _Toc509935510 \h </w:instrText>
        </w:r>
        <w:r w:rsidR="00BC01B1">
          <w:rPr>
            <w:noProof/>
            <w:webHidden/>
          </w:rPr>
        </w:r>
        <w:r w:rsidR="00BC01B1">
          <w:rPr>
            <w:noProof/>
            <w:webHidden/>
          </w:rPr>
          <w:fldChar w:fldCharType="separate"/>
        </w:r>
        <w:r>
          <w:rPr>
            <w:noProof/>
            <w:webHidden/>
          </w:rPr>
          <w:t>147</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11" w:history="1">
        <w:r w:rsidR="00BC01B1" w:rsidRPr="005D5DCB">
          <w:rPr>
            <w:rStyle w:val="Hyperlink"/>
            <w:noProof/>
          </w:rPr>
          <w:t>5.1.4.3.</w:t>
        </w:r>
        <w:r w:rsidR="00BC01B1">
          <w:rPr>
            <w:rFonts w:asciiTheme="minorHAnsi" w:eastAsiaTheme="minorEastAsia" w:hAnsiTheme="minorHAnsi" w:cstheme="minorBidi"/>
            <w:noProof/>
          </w:rPr>
          <w:tab/>
        </w:r>
        <w:r w:rsidR="00BC01B1" w:rsidRPr="005D5DCB">
          <w:rPr>
            <w:rStyle w:val="Hyperlink"/>
            <w:noProof/>
          </w:rPr>
          <w:t>Aspectos passíveis de regulamentação através de leis municipais</w:t>
        </w:r>
        <w:r w:rsidR="00BC01B1">
          <w:rPr>
            <w:noProof/>
            <w:webHidden/>
          </w:rPr>
          <w:tab/>
        </w:r>
        <w:r w:rsidR="00BC01B1">
          <w:rPr>
            <w:noProof/>
            <w:webHidden/>
          </w:rPr>
          <w:fldChar w:fldCharType="begin"/>
        </w:r>
        <w:r w:rsidR="00BC01B1">
          <w:rPr>
            <w:noProof/>
            <w:webHidden/>
          </w:rPr>
          <w:instrText xml:space="preserve"> PAGEREF _Toc509935511 \h </w:instrText>
        </w:r>
        <w:r w:rsidR="00BC01B1">
          <w:rPr>
            <w:noProof/>
            <w:webHidden/>
          </w:rPr>
        </w:r>
        <w:r w:rsidR="00BC01B1">
          <w:rPr>
            <w:noProof/>
            <w:webHidden/>
          </w:rPr>
          <w:fldChar w:fldCharType="separate"/>
        </w:r>
        <w:r>
          <w:rPr>
            <w:noProof/>
            <w:webHidden/>
          </w:rPr>
          <w:t>147</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12" w:history="1">
        <w:r w:rsidR="00BC01B1" w:rsidRPr="005D5DCB">
          <w:rPr>
            <w:rStyle w:val="Hyperlink"/>
            <w:noProof/>
          </w:rPr>
          <w:t>5.1.4.4.</w:t>
        </w:r>
        <w:r w:rsidR="00BC01B1">
          <w:rPr>
            <w:rFonts w:asciiTheme="minorHAnsi" w:eastAsiaTheme="minorEastAsia" w:hAnsiTheme="minorHAnsi" w:cstheme="minorBidi"/>
            <w:noProof/>
          </w:rPr>
          <w:tab/>
        </w:r>
        <w:r w:rsidR="00BC01B1" w:rsidRPr="005D5DCB">
          <w:rPr>
            <w:rStyle w:val="Hyperlink"/>
            <w:noProof/>
          </w:rPr>
          <w:t>Controle social</w:t>
        </w:r>
        <w:r w:rsidR="00BC01B1">
          <w:rPr>
            <w:noProof/>
            <w:webHidden/>
          </w:rPr>
          <w:tab/>
        </w:r>
        <w:r w:rsidR="00BC01B1">
          <w:rPr>
            <w:noProof/>
            <w:webHidden/>
          </w:rPr>
          <w:fldChar w:fldCharType="begin"/>
        </w:r>
        <w:r w:rsidR="00BC01B1">
          <w:rPr>
            <w:noProof/>
            <w:webHidden/>
          </w:rPr>
          <w:instrText xml:space="preserve"> PAGEREF _Toc509935512 \h </w:instrText>
        </w:r>
        <w:r w:rsidR="00BC01B1">
          <w:rPr>
            <w:noProof/>
            <w:webHidden/>
          </w:rPr>
        </w:r>
        <w:r w:rsidR="00BC01B1">
          <w:rPr>
            <w:noProof/>
            <w:webHidden/>
          </w:rPr>
          <w:fldChar w:fldCharType="separate"/>
        </w:r>
        <w:r>
          <w:rPr>
            <w:noProof/>
            <w:webHidden/>
          </w:rPr>
          <w:t>149</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13" w:history="1">
        <w:r w:rsidR="00BC01B1" w:rsidRPr="005D5DCB">
          <w:rPr>
            <w:rStyle w:val="Hyperlink"/>
            <w:noProof/>
          </w:rPr>
          <w:t>5.1.4.5.</w:t>
        </w:r>
        <w:r w:rsidR="00BC01B1">
          <w:rPr>
            <w:rFonts w:asciiTheme="minorHAnsi" w:eastAsiaTheme="minorEastAsia" w:hAnsiTheme="minorHAnsi" w:cstheme="minorBidi"/>
            <w:noProof/>
          </w:rPr>
          <w:tab/>
        </w:r>
        <w:r w:rsidR="00BC01B1" w:rsidRPr="005D5DCB">
          <w:rPr>
            <w:rStyle w:val="Hyperlink"/>
            <w:noProof/>
          </w:rPr>
          <w:t>Programa de Educação em Saneamento Básico (PESB)</w:t>
        </w:r>
        <w:r w:rsidR="00BC01B1">
          <w:rPr>
            <w:noProof/>
            <w:webHidden/>
          </w:rPr>
          <w:tab/>
        </w:r>
        <w:r w:rsidR="00BC01B1">
          <w:rPr>
            <w:noProof/>
            <w:webHidden/>
          </w:rPr>
          <w:fldChar w:fldCharType="begin"/>
        </w:r>
        <w:r w:rsidR="00BC01B1">
          <w:rPr>
            <w:noProof/>
            <w:webHidden/>
          </w:rPr>
          <w:instrText xml:space="preserve"> PAGEREF _Toc509935513 \h </w:instrText>
        </w:r>
        <w:r w:rsidR="00BC01B1">
          <w:rPr>
            <w:noProof/>
            <w:webHidden/>
          </w:rPr>
        </w:r>
        <w:r w:rsidR="00BC01B1">
          <w:rPr>
            <w:noProof/>
            <w:webHidden/>
          </w:rPr>
          <w:fldChar w:fldCharType="separate"/>
        </w:r>
        <w:r>
          <w:rPr>
            <w:noProof/>
            <w:webHidden/>
          </w:rPr>
          <w:t>151</w:t>
        </w:r>
        <w:r w:rsidR="00BC01B1">
          <w:rPr>
            <w:noProof/>
            <w:webHidden/>
          </w:rPr>
          <w:fldChar w:fldCharType="end"/>
        </w:r>
      </w:hyperlink>
    </w:p>
    <w:p w:rsidR="00BC01B1" w:rsidRDefault="001B481B">
      <w:pPr>
        <w:pStyle w:val="Sumrio2"/>
        <w:tabs>
          <w:tab w:val="left" w:pos="1134"/>
        </w:tabs>
        <w:rPr>
          <w:rFonts w:asciiTheme="minorHAnsi" w:eastAsiaTheme="minorEastAsia" w:hAnsiTheme="minorHAnsi" w:cstheme="minorBidi"/>
          <w:noProof/>
          <w:sz w:val="22"/>
          <w:lang w:eastAsia="pt-BR"/>
        </w:rPr>
      </w:pPr>
      <w:hyperlink w:anchor="_Toc509935514" w:history="1">
        <w:r w:rsidR="00BC01B1" w:rsidRPr="005D5DCB">
          <w:rPr>
            <w:rStyle w:val="Hyperlink"/>
            <w:noProof/>
          </w:rPr>
          <w:t>5.2.</w:t>
        </w:r>
        <w:r w:rsidR="00BC01B1">
          <w:rPr>
            <w:rFonts w:asciiTheme="minorHAnsi" w:eastAsiaTheme="minorEastAsia" w:hAnsiTheme="minorHAnsi" w:cstheme="minorBidi"/>
            <w:noProof/>
            <w:sz w:val="22"/>
            <w:lang w:eastAsia="pt-BR"/>
          </w:rPr>
          <w:tab/>
        </w:r>
        <w:r w:rsidR="00BC01B1" w:rsidRPr="005D5DCB">
          <w:rPr>
            <w:rStyle w:val="Hyperlink"/>
            <w:noProof/>
          </w:rPr>
          <w:t>Sistema de Abastecimento de Água (SAA)</w:t>
        </w:r>
        <w:r w:rsidR="00BC01B1">
          <w:rPr>
            <w:noProof/>
            <w:webHidden/>
          </w:rPr>
          <w:tab/>
        </w:r>
        <w:r w:rsidR="00BC01B1">
          <w:rPr>
            <w:noProof/>
            <w:webHidden/>
          </w:rPr>
          <w:fldChar w:fldCharType="begin"/>
        </w:r>
        <w:r w:rsidR="00BC01B1">
          <w:rPr>
            <w:noProof/>
            <w:webHidden/>
          </w:rPr>
          <w:instrText xml:space="preserve"> PAGEREF _Toc509935514 \h </w:instrText>
        </w:r>
        <w:r w:rsidR="00BC01B1">
          <w:rPr>
            <w:noProof/>
            <w:webHidden/>
          </w:rPr>
        </w:r>
        <w:r w:rsidR="00BC01B1">
          <w:rPr>
            <w:noProof/>
            <w:webHidden/>
          </w:rPr>
          <w:fldChar w:fldCharType="separate"/>
        </w:r>
        <w:r>
          <w:rPr>
            <w:noProof/>
            <w:webHidden/>
          </w:rPr>
          <w:t>151</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15" w:history="1">
        <w:r w:rsidR="00BC01B1" w:rsidRPr="005D5DCB">
          <w:rPr>
            <w:rStyle w:val="Hyperlink"/>
            <w:noProof/>
          </w:rPr>
          <w:t>5.2.1.</w:t>
        </w:r>
        <w:r w:rsidR="00BC01B1">
          <w:rPr>
            <w:rFonts w:asciiTheme="minorHAnsi" w:eastAsiaTheme="minorEastAsia" w:hAnsiTheme="minorHAnsi" w:cstheme="minorBidi"/>
            <w:i w:val="0"/>
            <w:noProof/>
            <w:sz w:val="22"/>
            <w:lang w:eastAsia="pt-BR"/>
          </w:rPr>
          <w:tab/>
        </w:r>
        <w:r w:rsidR="00BC01B1" w:rsidRPr="005D5DCB">
          <w:rPr>
            <w:rStyle w:val="Hyperlink"/>
            <w:noProof/>
          </w:rPr>
          <w:t>Proposição de cenários</w:t>
        </w:r>
        <w:r w:rsidR="00BC01B1">
          <w:rPr>
            <w:noProof/>
            <w:webHidden/>
          </w:rPr>
          <w:tab/>
        </w:r>
        <w:r w:rsidR="00BC01B1">
          <w:rPr>
            <w:noProof/>
            <w:webHidden/>
          </w:rPr>
          <w:fldChar w:fldCharType="begin"/>
        </w:r>
        <w:r w:rsidR="00BC01B1">
          <w:rPr>
            <w:noProof/>
            <w:webHidden/>
          </w:rPr>
          <w:instrText xml:space="preserve"> PAGEREF _Toc509935515 \h </w:instrText>
        </w:r>
        <w:r w:rsidR="00BC01B1">
          <w:rPr>
            <w:noProof/>
            <w:webHidden/>
          </w:rPr>
        </w:r>
        <w:r w:rsidR="00BC01B1">
          <w:rPr>
            <w:noProof/>
            <w:webHidden/>
          </w:rPr>
          <w:fldChar w:fldCharType="separate"/>
        </w:r>
        <w:r>
          <w:rPr>
            <w:noProof/>
            <w:webHidden/>
          </w:rPr>
          <w:t>151</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16" w:history="1">
        <w:r w:rsidR="00BC01B1" w:rsidRPr="005D5DCB">
          <w:rPr>
            <w:rStyle w:val="Hyperlink"/>
            <w:noProof/>
          </w:rPr>
          <w:t>5.2.2.</w:t>
        </w:r>
        <w:r w:rsidR="00BC01B1">
          <w:rPr>
            <w:rFonts w:asciiTheme="minorHAnsi" w:eastAsiaTheme="minorEastAsia" w:hAnsiTheme="minorHAnsi" w:cstheme="minorBidi"/>
            <w:i w:val="0"/>
            <w:noProof/>
            <w:sz w:val="22"/>
            <w:lang w:eastAsia="pt-BR"/>
          </w:rPr>
          <w:tab/>
        </w:r>
        <w:r w:rsidR="00BC01B1" w:rsidRPr="005D5DCB">
          <w:rPr>
            <w:rStyle w:val="Hyperlink"/>
            <w:noProof/>
          </w:rPr>
          <w:t>Objetivos e metas</w:t>
        </w:r>
        <w:r w:rsidR="00BC01B1">
          <w:rPr>
            <w:noProof/>
            <w:webHidden/>
          </w:rPr>
          <w:tab/>
        </w:r>
        <w:r w:rsidR="00BC01B1">
          <w:rPr>
            <w:noProof/>
            <w:webHidden/>
          </w:rPr>
          <w:fldChar w:fldCharType="begin"/>
        </w:r>
        <w:r w:rsidR="00BC01B1">
          <w:rPr>
            <w:noProof/>
            <w:webHidden/>
          </w:rPr>
          <w:instrText xml:space="preserve"> PAGEREF _Toc509935516 \h </w:instrText>
        </w:r>
        <w:r w:rsidR="00BC01B1">
          <w:rPr>
            <w:noProof/>
            <w:webHidden/>
          </w:rPr>
        </w:r>
        <w:r w:rsidR="00BC01B1">
          <w:rPr>
            <w:noProof/>
            <w:webHidden/>
          </w:rPr>
          <w:fldChar w:fldCharType="separate"/>
        </w:r>
        <w:r>
          <w:rPr>
            <w:noProof/>
            <w:webHidden/>
          </w:rPr>
          <w:t>154</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17" w:history="1">
        <w:r w:rsidR="00BC01B1" w:rsidRPr="005D5DCB">
          <w:rPr>
            <w:rStyle w:val="Hyperlink"/>
            <w:noProof/>
          </w:rPr>
          <w:t>5.2.3.</w:t>
        </w:r>
        <w:r w:rsidR="00BC01B1">
          <w:rPr>
            <w:rFonts w:asciiTheme="minorHAnsi" w:eastAsiaTheme="minorEastAsia" w:hAnsiTheme="minorHAnsi" w:cstheme="minorBidi"/>
            <w:i w:val="0"/>
            <w:noProof/>
            <w:sz w:val="22"/>
            <w:lang w:eastAsia="pt-BR"/>
          </w:rPr>
          <w:tab/>
        </w:r>
        <w:r w:rsidR="00BC01B1" w:rsidRPr="005D5DCB">
          <w:rPr>
            <w:rStyle w:val="Hyperlink"/>
            <w:noProof/>
          </w:rPr>
          <w:t>Programas, projetos e ações para o SAA</w:t>
        </w:r>
        <w:r w:rsidR="00BC01B1">
          <w:rPr>
            <w:noProof/>
            <w:webHidden/>
          </w:rPr>
          <w:tab/>
        </w:r>
        <w:r w:rsidR="00BC01B1">
          <w:rPr>
            <w:noProof/>
            <w:webHidden/>
          </w:rPr>
          <w:fldChar w:fldCharType="begin"/>
        </w:r>
        <w:r w:rsidR="00BC01B1">
          <w:rPr>
            <w:noProof/>
            <w:webHidden/>
          </w:rPr>
          <w:instrText xml:space="preserve"> PAGEREF _Toc509935517 \h </w:instrText>
        </w:r>
        <w:r w:rsidR="00BC01B1">
          <w:rPr>
            <w:noProof/>
            <w:webHidden/>
          </w:rPr>
        </w:r>
        <w:r w:rsidR="00BC01B1">
          <w:rPr>
            <w:noProof/>
            <w:webHidden/>
          </w:rPr>
          <w:fldChar w:fldCharType="separate"/>
        </w:r>
        <w:r>
          <w:rPr>
            <w:noProof/>
            <w:webHidden/>
          </w:rPr>
          <w:t>158</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18" w:history="1">
        <w:r w:rsidR="00BC01B1" w:rsidRPr="005D5DCB">
          <w:rPr>
            <w:rStyle w:val="Hyperlink"/>
            <w:noProof/>
          </w:rPr>
          <w:t>5.2.4.</w:t>
        </w:r>
        <w:r w:rsidR="00BC01B1">
          <w:rPr>
            <w:rFonts w:asciiTheme="minorHAnsi" w:eastAsiaTheme="minorEastAsia" w:hAnsiTheme="minorHAnsi" w:cstheme="minorBidi"/>
            <w:i w:val="0"/>
            <w:noProof/>
            <w:sz w:val="22"/>
            <w:lang w:eastAsia="pt-BR"/>
          </w:rPr>
          <w:tab/>
        </w:r>
        <w:r w:rsidR="00BC01B1" w:rsidRPr="005D5DCB">
          <w:rPr>
            <w:rStyle w:val="Hyperlink"/>
            <w:noProof/>
          </w:rPr>
          <w:t>Detalhamento de programas, projetos e ações</w:t>
        </w:r>
        <w:r w:rsidR="00BC01B1">
          <w:rPr>
            <w:noProof/>
            <w:webHidden/>
          </w:rPr>
          <w:tab/>
        </w:r>
        <w:r w:rsidR="00BC01B1">
          <w:rPr>
            <w:noProof/>
            <w:webHidden/>
          </w:rPr>
          <w:fldChar w:fldCharType="begin"/>
        </w:r>
        <w:r w:rsidR="00BC01B1">
          <w:rPr>
            <w:noProof/>
            <w:webHidden/>
          </w:rPr>
          <w:instrText xml:space="preserve"> PAGEREF _Toc509935518 \h </w:instrText>
        </w:r>
        <w:r w:rsidR="00BC01B1">
          <w:rPr>
            <w:noProof/>
            <w:webHidden/>
          </w:rPr>
        </w:r>
        <w:r w:rsidR="00BC01B1">
          <w:rPr>
            <w:noProof/>
            <w:webHidden/>
          </w:rPr>
          <w:fldChar w:fldCharType="separate"/>
        </w:r>
        <w:r>
          <w:rPr>
            <w:noProof/>
            <w:webHidden/>
          </w:rPr>
          <w:t>171</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19" w:history="1">
        <w:r w:rsidR="00BC01B1" w:rsidRPr="005D5DCB">
          <w:rPr>
            <w:rStyle w:val="Hyperlink"/>
            <w:noProof/>
          </w:rPr>
          <w:t>5.2.4.1.</w:t>
        </w:r>
        <w:r w:rsidR="00BC01B1">
          <w:rPr>
            <w:rFonts w:asciiTheme="minorHAnsi" w:eastAsiaTheme="minorEastAsia" w:hAnsiTheme="minorHAnsi" w:cstheme="minorBidi"/>
            <w:noProof/>
          </w:rPr>
          <w:tab/>
        </w:r>
        <w:r w:rsidR="00BC01B1" w:rsidRPr="005D5DCB">
          <w:rPr>
            <w:rStyle w:val="Hyperlink"/>
            <w:noProof/>
          </w:rPr>
          <w:t>Programa “Caça Gato”</w:t>
        </w:r>
        <w:r w:rsidR="00BC01B1">
          <w:rPr>
            <w:noProof/>
            <w:webHidden/>
          </w:rPr>
          <w:tab/>
        </w:r>
        <w:r w:rsidR="00BC01B1">
          <w:rPr>
            <w:noProof/>
            <w:webHidden/>
          </w:rPr>
          <w:fldChar w:fldCharType="begin"/>
        </w:r>
        <w:r w:rsidR="00BC01B1">
          <w:rPr>
            <w:noProof/>
            <w:webHidden/>
          </w:rPr>
          <w:instrText xml:space="preserve"> PAGEREF _Toc509935519 \h </w:instrText>
        </w:r>
        <w:r w:rsidR="00BC01B1">
          <w:rPr>
            <w:noProof/>
            <w:webHidden/>
          </w:rPr>
        </w:r>
        <w:r w:rsidR="00BC01B1">
          <w:rPr>
            <w:noProof/>
            <w:webHidden/>
          </w:rPr>
          <w:fldChar w:fldCharType="separate"/>
        </w:r>
        <w:r>
          <w:rPr>
            <w:noProof/>
            <w:webHidden/>
          </w:rPr>
          <w:t>171</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20" w:history="1">
        <w:r w:rsidR="00BC01B1" w:rsidRPr="005D5DCB">
          <w:rPr>
            <w:rStyle w:val="Hyperlink"/>
            <w:noProof/>
          </w:rPr>
          <w:t>5.2.4.2.</w:t>
        </w:r>
        <w:r w:rsidR="00BC01B1">
          <w:rPr>
            <w:rFonts w:asciiTheme="minorHAnsi" w:eastAsiaTheme="minorEastAsia" w:hAnsiTheme="minorHAnsi" w:cstheme="minorBidi"/>
            <w:noProof/>
          </w:rPr>
          <w:tab/>
        </w:r>
        <w:r w:rsidR="00BC01B1" w:rsidRPr="005D5DCB">
          <w:rPr>
            <w:rStyle w:val="Hyperlink"/>
            <w:noProof/>
          </w:rPr>
          <w:t>Sede</w:t>
        </w:r>
        <w:r w:rsidR="00BC01B1">
          <w:rPr>
            <w:noProof/>
            <w:webHidden/>
          </w:rPr>
          <w:tab/>
        </w:r>
        <w:r w:rsidR="00BC01B1">
          <w:rPr>
            <w:noProof/>
            <w:webHidden/>
          </w:rPr>
          <w:fldChar w:fldCharType="begin"/>
        </w:r>
        <w:r w:rsidR="00BC01B1">
          <w:rPr>
            <w:noProof/>
            <w:webHidden/>
          </w:rPr>
          <w:instrText xml:space="preserve"> PAGEREF _Toc509935520 \h </w:instrText>
        </w:r>
        <w:r w:rsidR="00BC01B1">
          <w:rPr>
            <w:noProof/>
            <w:webHidden/>
          </w:rPr>
        </w:r>
        <w:r w:rsidR="00BC01B1">
          <w:rPr>
            <w:noProof/>
            <w:webHidden/>
          </w:rPr>
          <w:fldChar w:fldCharType="separate"/>
        </w:r>
        <w:r>
          <w:rPr>
            <w:noProof/>
            <w:webHidden/>
          </w:rPr>
          <w:t>171</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21" w:history="1">
        <w:r w:rsidR="00BC01B1" w:rsidRPr="005D5DCB">
          <w:rPr>
            <w:rStyle w:val="Hyperlink"/>
            <w:noProof/>
          </w:rPr>
          <w:t>5.2.4.3.</w:t>
        </w:r>
        <w:r w:rsidR="00BC01B1">
          <w:rPr>
            <w:rFonts w:asciiTheme="minorHAnsi" w:eastAsiaTheme="minorEastAsia" w:hAnsiTheme="minorHAnsi" w:cstheme="minorBidi"/>
            <w:noProof/>
          </w:rPr>
          <w:tab/>
        </w:r>
        <w:r w:rsidR="00BC01B1" w:rsidRPr="005D5DCB">
          <w:rPr>
            <w:rStyle w:val="Hyperlink"/>
            <w:noProof/>
          </w:rPr>
          <w:t>Localidades rurais</w:t>
        </w:r>
        <w:r w:rsidR="00BC01B1">
          <w:rPr>
            <w:noProof/>
            <w:webHidden/>
          </w:rPr>
          <w:tab/>
        </w:r>
        <w:r w:rsidR="00BC01B1">
          <w:rPr>
            <w:noProof/>
            <w:webHidden/>
          </w:rPr>
          <w:fldChar w:fldCharType="begin"/>
        </w:r>
        <w:r w:rsidR="00BC01B1">
          <w:rPr>
            <w:noProof/>
            <w:webHidden/>
          </w:rPr>
          <w:instrText xml:space="preserve"> PAGEREF _Toc509935521 \h </w:instrText>
        </w:r>
        <w:r w:rsidR="00BC01B1">
          <w:rPr>
            <w:noProof/>
            <w:webHidden/>
          </w:rPr>
        </w:r>
        <w:r w:rsidR="00BC01B1">
          <w:rPr>
            <w:noProof/>
            <w:webHidden/>
          </w:rPr>
          <w:fldChar w:fldCharType="separate"/>
        </w:r>
        <w:r>
          <w:rPr>
            <w:noProof/>
            <w:webHidden/>
          </w:rPr>
          <w:t>172</w:t>
        </w:r>
        <w:r w:rsidR="00BC01B1">
          <w:rPr>
            <w:noProof/>
            <w:webHidden/>
          </w:rPr>
          <w:fldChar w:fldCharType="end"/>
        </w:r>
      </w:hyperlink>
    </w:p>
    <w:p w:rsidR="00BC01B1" w:rsidRDefault="001B481B">
      <w:pPr>
        <w:pStyle w:val="Sumrio5"/>
        <w:tabs>
          <w:tab w:val="left" w:pos="2271"/>
        </w:tabs>
        <w:rPr>
          <w:rFonts w:asciiTheme="minorHAnsi" w:eastAsiaTheme="minorEastAsia" w:hAnsiTheme="minorHAnsi" w:cstheme="minorBidi"/>
          <w:i w:val="0"/>
          <w:noProof/>
        </w:rPr>
      </w:pPr>
      <w:hyperlink w:anchor="_Toc509935522" w:history="1">
        <w:r w:rsidR="00BC01B1" w:rsidRPr="005D5DCB">
          <w:rPr>
            <w:rStyle w:val="Hyperlink"/>
            <w:noProof/>
          </w:rPr>
          <w:t>5.2.4.3.1.</w:t>
        </w:r>
        <w:r w:rsidR="00BC01B1">
          <w:rPr>
            <w:rFonts w:asciiTheme="minorHAnsi" w:eastAsiaTheme="minorEastAsia" w:hAnsiTheme="minorHAnsi" w:cstheme="minorBidi"/>
            <w:i w:val="0"/>
            <w:noProof/>
          </w:rPr>
          <w:tab/>
        </w:r>
        <w:r w:rsidR="00BC01B1" w:rsidRPr="005D5DCB">
          <w:rPr>
            <w:rStyle w:val="Hyperlink"/>
            <w:noProof/>
          </w:rPr>
          <w:t>Sistema de abastecimento coletivo com captação subterrânea</w:t>
        </w:r>
        <w:r w:rsidR="00BC01B1">
          <w:rPr>
            <w:noProof/>
            <w:webHidden/>
          </w:rPr>
          <w:tab/>
        </w:r>
        <w:r w:rsidR="00BC01B1">
          <w:rPr>
            <w:noProof/>
            <w:webHidden/>
          </w:rPr>
          <w:fldChar w:fldCharType="begin"/>
        </w:r>
        <w:r w:rsidR="00BC01B1">
          <w:rPr>
            <w:noProof/>
            <w:webHidden/>
          </w:rPr>
          <w:instrText xml:space="preserve"> PAGEREF _Toc509935522 \h </w:instrText>
        </w:r>
        <w:r w:rsidR="00BC01B1">
          <w:rPr>
            <w:noProof/>
            <w:webHidden/>
          </w:rPr>
        </w:r>
        <w:r w:rsidR="00BC01B1">
          <w:rPr>
            <w:noProof/>
            <w:webHidden/>
          </w:rPr>
          <w:fldChar w:fldCharType="separate"/>
        </w:r>
        <w:r>
          <w:rPr>
            <w:noProof/>
            <w:webHidden/>
          </w:rPr>
          <w:t>172</w:t>
        </w:r>
        <w:r w:rsidR="00BC01B1">
          <w:rPr>
            <w:noProof/>
            <w:webHidden/>
          </w:rPr>
          <w:fldChar w:fldCharType="end"/>
        </w:r>
      </w:hyperlink>
    </w:p>
    <w:p w:rsidR="00BC01B1" w:rsidRDefault="001B481B">
      <w:pPr>
        <w:pStyle w:val="Sumrio5"/>
        <w:tabs>
          <w:tab w:val="left" w:pos="2271"/>
        </w:tabs>
        <w:rPr>
          <w:rFonts w:asciiTheme="minorHAnsi" w:eastAsiaTheme="minorEastAsia" w:hAnsiTheme="minorHAnsi" w:cstheme="minorBidi"/>
          <w:i w:val="0"/>
          <w:noProof/>
        </w:rPr>
      </w:pPr>
      <w:hyperlink w:anchor="_Toc509935523" w:history="1">
        <w:r w:rsidR="00BC01B1" w:rsidRPr="005D5DCB">
          <w:rPr>
            <w:rStyle w:val="Hyperlink"/>
            <w:noProof/>
          </w:rPr>
          <w:t>5.2.4.3.2.</w:t>
        </w:r>
        <w:r w:rsidR="00BC01B1">
          <w:rPr>
            <w:rFonts w:asciiTheme="minorHAnsi" w:eastAsiaTheme="minorEastAsia" w:hAnsiTheme="minorHAnsi" w:cstheme="minorBidi"/>
            <w:i w:val="0"/>
            <w:noProof/>
          </w:rPr>
          <w:tab/>
        </w:r>
        <w:r w:rsidR="00BC01B1" w:rsidRPr="005D5DCB">
          <w:rPr>
            <w:rStyle w:val="Hyperlink"/>
            <w:noProof/>
          </w:rPr>
          <w:t>Sistema de abastecimento coletivo com captação superficial</w:t>
        </w:r>
        <w:r w:rsidR="00BC01B1">
          <w:rPr>
            <w:noProof/>
            <w:webHidden/>
          </w:rPr>
          <w:tab/>
        </w:r>
        <w:r w:rsidR="00BC01B1">
          <w:rPr>
            <w:noProof/>
            <w:webHidden/>
          </w:rPr>
          <w:fldChar w:fldCharType="begin"/>
        </w:r>
        <w:r w:rsidR="00BC01B1">
          <w:rPr>
            <w:noProof/>
            <w:webHidden/>
          </w:rPr>
          <w:instrText xml:space="preserve"> PAGEREF _Toc509935523 \h </w:instrText>
        </w:r>
        <w:r w:rsidR="00BC01B1">
          <w:rPr>
            <w:noProof/>
            <w:webHidden/>
          </w:rPr>
        </w:r>
        <w:r w:rsidR="00BC01B1">
          <w:rPr>
            <w:noProof/>
            <w:webHidden/>
          </w:rPr>
          <w:fldChar w:fldCharType="separate"/>
        </w:r>
        <w:r>
          <w:rPr>
            <w:noProof/>
            <w:webHidden/>
          </w:rPr>
          <w:t>173</w:t>
        </w:r>
        <w:r w:rsidR="00BC01B1">
          <w:rPr>
            <w:noProof/>
            <w:webHidden/>
          </w:rPr>
          <w:fldChar w:fldCharType="end"/>
        </w:r>
      </w:hyperlink>
    </w:p>
    <w:p w:rsidR="00BC01B1" w:rsidRDefault="001B481B">
      <w:pPr>
        <w:pStyle w:val="Sumrio5"/>
        <w:tabs>
          <w:tab w:val="left" w:pos="2271"/>
        </w:tabs>
        <w:rPr>
          <w:rFonts w:asciiTheme="minorHAnsi" w:eastAsiaTheme="minorEastAsia" w:hAnsiTheme="minorHAnsi" w:cstheme="minorBidi"/>
          <w:i w:val="0"/>
          <w:noProof/>
        </w:rPr>
      </w:pPr>
      <w:hyperlink w:anchor="_Toc509935524" w:history="1">
        <w:r w:rsidR="00BC01B1" w:rsidRPr="005D5DCB">
          <w:rPr>
            <w:rStyle w:val="Hyperlink"/>
            <w:noProof/>
          </w:rPr>
          <w:t>5.2.4.3.3.</w:t>
        </w:r>
        <w:r w:rsidR="00BC01B1">
          <w:rPr>
            <w:rFonts w:asciiTheme="minorHAnsi" w:eastAsiaTheme="minorEastAsia" w:hAnsiTheme="minorHAnsi" w:cstheme="minorBidi"/>
            <w:i w:val="0"/>
            <w:noProof/>
          </w:rPr>
          <w:tab/>
        </w:r>
        <w:r w:rsidR="00BC01B1" w:rsidRPr="005D5DCB">
          <w:rPr>
            <w:rStyle w:val="Hyperlink"/>
            <w:noProof/>
          </w:rPr>
          <w:t>Abastecimento de água individualizado</w:t>
        </w:r>
        <w:r w:rsidR="00BC01B1">
          <w:rPr>
            <w:noProof/>
            <w:webHidden/>
          </w:rPr>
          <w:tab/>
        </w:r>
        <w:r w:rsidR="00BC01B1">
          <w:rPr>
            <w:noProof/>
            <w:webHidden/>
          </w:rPr>
          <w:fldChar w:fldCharType="begin"/>
        </w:r>
        <w:r w:rsidR="00BC01B1">
          <w:rPr>
            <w:noProof/>
            <w:webHidden/>
          </w:rPr>
          <w:instrText xml:space="preserve"> PAGEREF _Toc509935524 \h </w:instrText>
        </w:r>
        <w:r w:rsidR="00BC01B1">
          <w:rPr>
            <w:noProof/>
            <w:webHidden/>
          </w:rPr>
        </w:r>
        <w:r w:rsidR="00BC01B1">
          <w:rPr>
            <w:noProof/>
            <w:webHidden/>
          </w:rPr>
          <w:fldChar w:fldCharType="separate"/>
        </w:r>
        <w:r>
          <w:rPr>
            <w:noProof/>
            <w:webHidden/>
          </w:rPr>
          <w:t>173</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25" w:history="1">
        <w:r w:rsidR="00BC01B1" w:rsidRPr="005D5DCB">
          <w:rPr>
            <w:rStyle w:val="Hyperlink"/>
            <w:noProof/>
          </w:rPr>
          <w:t>5.2.4.4.</w:t>
        </w:r>
        <w:r w:rsidR="00BC01B1">
          <w:rPr>
            <w:rFonts w:asciiTheme="minorHAnsi" w:eastAsiaTheme="minorEastAsia" w:hAnsiTheme="minorHAnsi" w:cstheme="minorBidi"/>
            <w:noProof/>
          </w:rPr>
          <w:tab/>
        </w:r>
        <w:r w:rsidR="00BC01B1" w:rsidRPr="005D5DCB">
          <w:rPr>
            <w:rStyle w:val="Hyperlink"/>
            <w:noProof/>
          </w:rPr>
          <w:t>Programa de Aferição da Qualidade da Água Rural (PAQAR)</w:t>
        </w:r>
        <w:r w:rsidR="00BC01B1">
          <w:rPr>
            <w:noProof/>
            <w:webHidden/>
          </w:rPr>
          <w:tab/>
        </w:r>
        <w:r w:rsidR="00BC01B1">
          <w:rPr>
            <w:noProof/>
            <w:webHidden/>
          </w:rPr>
          <w:fldChar w:fldCharType="begin"/>
        </w:r>
        <w:r w:rsidR="00BC01B1">
          <w:rPr>
            <w:noProof/>
            <w:webHidden/>
          </w:rPr>
          <w:instrText xml:space="preserve"> PAGEREF _Toc509935525 \h </w:instrText>
        </w:r>
        <w:r w:rsidR="00BC01B1">
          <w:rPr>
            <w:noProof/>
            <w:webHidden/>
          </w:rPr>
        </w:r>
        <w:r w:rsidR="00BC01B1">
          <w:rPr>
            <w:noProof/>
            <w:webHidden/>
          </w:rPr>
          <w:fldChar w:fldCharType="separate"/>
        </w:r>
        <w:r>
          <w:rPr>
            <w:noProof/>
            <w:webHidden/>
          </w:rPr>
          <w:t>174</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26" w:history="1">
        <w:r w:rsidR="00BC01B1" w:rsidRPr="005D5DCB">
          <w:rPr>
            <w:rStyle w:val="Hyperlink"/>
            <w:noProof/>
          </w:rPr>
          <w:t>5.2.5.</w:t>
        </w:r>
        <w:r w:rsidR="00BC01B1">
          <w:rPr>
            <w:rFonts w:asciiTheme="minorHAnsi" w:eastAsiaTheme="minorEastAsia" w:hAnsiTheme="minorHAnsi" w:cstheme="minorBidi"/>
            <w:i w:val="0"/>
            <w:noProof/>
            <w:sz w:val="22"/>
            <w:lang w:eastAsia="pt-BR"/>
          </w:rPr>
          <w:tab/>
        </w:r>
        <w:r w:rsidR="00BC01B1" w:rsidRPr="005D5DCB">
          <w:rPr>
            <w:rStyle w:val="Hyperlink"/>
            <w:noProof/>
          </w:rPr>
          <w:t>Ações para emergência e contingência</w:t>
        </w:r>
        <w:r w:rsidR="00BC01B1">
          <w:rPr>
            <w:noProof/>
            <w:webHidden/>
          </w:rPr>
          <w:tab/>
        </w:r>
        <w:r w:rsidR="00BC01B1">
          <w:rPr>
            <w:noProof/>
            <w:webHidden/>
          </w:rPr>
          <w:fldChar w:fldCharType="begin"/>
        </w:r>
        <w:r w:rsidR="00BC01B1">
          <w:rPr>
            <w:noProof/>
            <w:webHidden/>
          </w:rPr>
          <w:instrText xml:space="preserve"> PAGEREF _Toc509935526 \h </w:instrText>
        </w:r>
        <w:r w:rsidR="00BC01B1">
          <w:rPr>
            <w:noProof/>
            <w:webHidden/>
          </w:rPr>
        </w:r>
        <w:r w:rsidR="00BC01B1">
          <w:rPr>
            <w:noProof/>
            <w:webHidden/>
          </w:rPr>
          <w:fldChar w:fldCharType="separate"/>
        </w:r>
        <w:r>
          <w:rPr>
            <w:noProof/>
            <w:webHidden/>
          </w:rPr>
          <w:t>175</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27" w:history="1">
        <w:r w:rsidR="00BC01B1" w:rsidRPr="005D5DCB">
          <w:rPr>
            <w:rStyle w:val="Hyperlink"/>
            <w:noProof/>
          </w:rPr>
          <w:t>5.2.5.1.</w:t>
        </w:r>
        <w:r w:rsidR="00BC01B1">
          <w:rPr>
            <w:rFonts w:asciiTheme="minorHAnsi" w:eastAsiaTheme="minorEastAsia" w:hAnsiTheme="minorHAnsi" w:cstheme="minorBidi"/>
            <w:noProof/>
          </w:rPr>
          <w:tab/>
        </w:r>
        <w:r w:rsidR="00BC01B1" w:rsidRPr="005D5DCB">
          <w:rPr>
            <w:rStyle w:val="Hyperlink"/>
            <w:noProof/>
          </w:rPr>
          <w:t>Eventos operacionais</w:t>
        </w:r>
        <w:r w:rsidR="00BC01B1">
          <w:rPr>
            <w:noProof/>
            <w:webHidden/>
          </w:rPr>
          <w:tab/>
        </w:r>
        <w:r w:rsidR="00BC01B1">
          <w:rPr>
            <w:noProof/>
            <w:webHidden/>
          </w:rPr>
          <w:fldChar w:fldCharType="begin"/>
        </w:r>
        <w:r w:rsidR="00BC01B1">
          <w:rPr>
            <w:noProof/>
            <w:webHidden/>
          </w:rPr>
          <w:instrText xml:space="preserve"> PAGEREF _Toc509935527 \h </w:instrText>
        </w:r>
        <w:r w:rsidR="00BC01B1">
          <w:rPr>
            <w:noProof/>
            <w:webHidden/>
          </w:rPr>
        </w:r>
        <w:r w:rsidR="00BC01B1">
          <w:rPr>
            <w:noProof/>
            <w:webHidden/>
          </w:rPr>
          <w:fldChar w:fldCharType="separate"/>
        </w:r>
        <w:r>
          <w:rPr>
            <w:noProof/>
            <w:webHidden/>
          </w:rPr>
          <w:t>175</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28" w:history="1">
        <w:r w:rsidR="00BC01B1" w:rsidRPr="005D5DCB">
          <w:rPr>
            <w:rStyle w:val="Hyperlink"/>
            <w:noProof/>
          </w:rPr>
          <w:t>5.2.5.2.</w:t>
        </w:r>
        <w:r w:rsidR="00BC01B1">
          <w:rPr>
            <w:rFonts w:asciiTheme="minorHAnsi" w:eastAsiaTheme="minorEastAsia" w:hAnsiTheme="minorHAnsi" w:cstheme="minorBidi"/>
            <w:noProof/>
          </w:rPr>
          <w:tab/>
        </w:r>
        <w:r w:rsidR="00BC01B1" w:rsidRPr="005D5DCB">
          <w:rPr>
            <w:rStyle w:val="Hyperlink"/>
            <w:noProof/>
          </w:rPr>
          <w:t>Eventos de gestão e gerenciamento</w:t>
        </w:r>
        <w:r w:rsidR="00BC01B1">
          <w:rPr>
            <w:noProof/>
            <w:webHidden/>
          </w:rPr>
          <w:tab/>
        </w:r>
        <w:r w:rsidR="00BC01B1">
          <w:rPr>
            <w:noProof/>
            <w:webHidden/>
          </w:rPr>
          <w:fldChar w:fldCharType="begin"/>
        </w:r>
        <w:r w:rsidR="00BC01B1">
          <w:rPr>
            <w:noProof/>
            <w:webHidden/>
          </w:rPr>
          <w:instrText xml:space="preserve"> PAGEREF _Toc509935528 \h </w:instrText>
        </w:r>
        <w:r w:rsidR="00BC01B1">
          <w:rPr>
            <w:noProof/>
            <w:webHidden/>
          </w:rPr>
        </w:r>
        <w:r w:rsidR="00BC01B1">
          <w:rPr>
            <w:noProof/>
            <w:webHidden/>
          </w:rPr>
          <w:fldChar w:fldCharType="separate"/>
        </w:r>
        <w:r>
          <w:rPr>
            <w:noProof/>
            <w:webHidden/>
          </w:rPr>
          <w:t>176</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29" w:history="1">
        <w:r w:rsidR="00BC01B1" w:rsidRPr="005D5DCB">
          <w:rPr>
            <w:rStyle w:val="Hyperlink"/>
            <w:noProof/>
          </w:rPr>
          <w:t>5.2.5.3.</w:t>
        </w:r>
        <w:r w:rsidR="00BC01B1">
          <w:rPr>
            <w:rFonts w:asciiTheme="minorHAnsi" w:eastAsiaTheme="minorEastAsia" w:hAnsiTheme="minorHAnsi" w:cstheme="minorBidi"/>
            <w:noProof/>
          </w:rPr>
          <w:tab/>
        </w:r>
        <w:r w:rsidR="00BC01B1" w:rsidRPr="005D5DCB">
          <w:rPr>
            <w:rStyle w:val="Hyperlink"/>
            <w:noProof/>
          </w:rPr>
          <w:t>Eventos imprevisíveis</w:t>
        </w:r>
        <w:r w:rsidR="00BC01B1">
          <w:rPr>
            <w:noProof/>
            <w:webHidden/>
          </w:rPr>
          <w:tab/>
        </w:r>
        <w:r w:rsidR="00BC01B1">
          <w:rPr>
            <w:noProof/>
            <w:webHidden/>
          </w:rPr>
          <w:fldChar w:fldCharType="begin"/>
        </w:r>
        <w:r w:rsidR="00BC01B1">
          <w:rPr>
            <w:noProof/>
            <w:webHidden/>
          </w:rPr>
          <w:instrText xml:space="preserve"> PAGEREF _Toc509935529 \h </w:instrText>
        </w:r>
        <w:r w:rsidR="00BC01B1">
          <w:rPr>
            <w:noProof/>
            <w:webHidden/>
          </w:rPr>
        </w:r>
        <w:r w:rsidR="00BC01B1">
          <w:rPr>
            <w:noProof/>
            <w:webHidden/>
          </w:rPr>
          <w:fldChar w:fldCharType="separate"/>
        </w:r>
        <w:r>
          <w:rPr>
            <w:noProof/>
            <w:webHidden/>
          </w:rPr>
          <w:t>176</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30" w:history="1">
        <w:r w:rsidR="00BC01B1" w:rsidRPr="005D5DCB">
          <w:rPr>
            <w:rStyle w:val="Hyperlink"/>
            <w:noProof/>
          </w:rPr>
          <w:t>5.2.6.</w:t>
        </w:r>
        <w:r w:rsidR="00BC01B1">
          <w:rPr>
            <w:rFonts w:asciiTheme="minorHAnsi" w:eastAsiaTheme="minorEastAsia" w:hAnsiTheme="minorHAnsi" w:cstheme="minorBidi"/>
            <w:i w:val="0"/>
            <w:noProof/>
            <w:sz w:val="22"/>
            <w:lang w:eastAsia="pt-BR"/>
          </w:rPr>
          <w:tab/>
        </w:r>
        <w:r w:rsidR="00BC01B1" w:rsidRPr="005D5DCB">
          <w:rPr>
            <w:rStyle w:val="Hyperlink"/>
            <w:noProof/>
          </w:rPr>
          <w:t>Plano de Segurança da Água – PSA</w:t>
        </w:r>
        <w:r w:rsidR="00BC01B1">
          <w:rPr>
            <w:noProof/>
            <w:webHidden/>
          </w:rPr>
          <w:tab/>
        </w:r>
        <w:r w:rsidR="00BC01B1">
          <w:rPr>
            <w:noProof/>
            <w:webHidden/>
          </w:rPr>
          <w:fldChar w:fldCharType="begin"/>
        </w:r>
        <w:r w:rsidR="00BC01B1">
          <w:rPr>
            <w:noProof/>
            <w:webHidden/>
          </w:rPr>
          <w:instrText xml:space="preserve"> PAGEREF _Toc509935530 \h </w:instrText>
        </w:r>
        <w:r w:rsidR="00BC01B1">
          <w:rPr>
            <w:noProof/>
            <w:webHidden/>
          </w:rPr>
        </w:r>
        <w:r w:rsidR="00BC01B1">
          <w:rPr>
            <w:noProof/>
            <w:webHidden/>
          </w:rPr>
          <w:fldChar w:fldCharType="separate"/>
        </w:r>
        <w:r>
          <w:rPr>
            <w:noProof/>
            <w:webHidden/>
          </w:rPr>
          <w:t>178</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31" w:history="1">
        <w:r w:rsidR="00BC01B1" w:rsidRPr="005D5DCB">
          <w:rPr>
            <w:rStyle w:val="Hyperlink"/>
            <w:noProof/>
          </w:rPr>
          <w:t>5.2.7.</w:t>
        </w:r>
        <w:r w:rsidR="00BC01B1">
          <w:rPr>
            <w:rFonts w:asciiTheme="minorHAnsi" w:eastAsiaTheme="minorEastAsia" w:hAnsiTheme="minorHAnsi" w:cstheme="minorBidi"/>
            <w:i w:val="0"/>
            <w:noProof/>
            <w:sz w:val="22"/>
            <w:lang w:eastAsia="pt-BR"/>
          </w:rPr>
          <w:tab/>
        </w:r>
        <w:r w:rsidR="00BC01B1" w:rsidRPr="005D5DCB">
          <w:rPr>
            <w:rStyle w:val="Hyperlink"/>
            <w:noProof/>
          </w:rPr>
          <w:t>Particularidades regionais</w:t>
        </w:r>
        <w:r w:rsidR="00BC01B1">
          <w:rPr>
            <w:noProof/>
            <w:webHidden/>
          </w:rPr>
          <w:tab/>
        </w:r>
        <w:r w:rsidR="00BC01B1">
          <w:rPr>
            <w:noProof/>
            <w:webHidden/>
          </w:rPr>
          <w:fldChar w:fldCharType="begin"/>
        </w:r>
        <w:r w:rsidR="00BC01B1">
          <w:rPr>
            <w:noProof/>
            <w:webHidden/>
          </w:rPr>
          <w:instrText xml:space="preserve"> PAGEREF _Toc509935531 \h </w:instrText>
        </w:r>
        <w:r w:rsidR="00BC01B1">
          <w:rPr>
            <w:noProof/>
            <w:webHidden/>
          </w:rPr>
        </w:r>
        <w:r w:rsidR="00BC01B1">
          <w:rPr>
            <w:noProof/>
            <w:webHidden/>
          </w:rPr>
          <w:fldChar w:fldCharType="separate"/>
        </w:r>
        <w:r>
          <w:rPr>
            <w:noProof/>
            <w:webHidden/>
          </w:rPr>
          <w:t>182</w:t>
        </w:r>
        <w:r w:rsidR="00BC01B1">
          <w:rPr>
            <w:noProof/>
            <w:webHidden/>
          </w:rPr>
          <w:fldChar w:fldCharType="end"/>
        </w:r>
      </w:hyperlink>
    </w:p>
    <w:p w:rsidR="00BC01B1" w:rsidRDefault="001B481B">
      <w:pPr>
        <w:pStyle w:val="Sumrio2"/>
        <w:tabs>
          <w:tab w:val="left" w:pos="1134"/>
        </w:tabs>
        <w:rPr>
          <w:rFonts w:asciiTheme="minorHAnsi" w:eastAsiaTheme="minorEastAsia" w:hAnsiTheme="minorHAnsi" w:cstheme="minorBidi"/>
          <w:noProof/>
          <w:sz w:val="22"/>
          <w:lang w:eastAsia="pt-BR"/>
        </w:rPr>
      </w:pPr>
      <w:hyperlink w:anchor="_Toc509935532" w:history="1">
        <w:r w:rsidR="00BC01B1" w:rsidRPr="005D5DCB">
          <w:rPr>
            <w:rStyle w:val="Hyperlink"/>
            <w:noProof/>
          </w:rPr>
          <w:t>5.3.</w:t>
        </w:r>
        <w:r w:rsidR="00BC01B1">
          <w:rPr>
            <w:rFonts w:asciiTheme="minorHAnsi" w:eastAsiaTheme="minorEastAsia" w:hAnsiTheme="minorHAnsi" w:cstheme="minorBidi"/>
            <w:noProof/>
            <w:sz w:val="22"/>
            <w:lang w:eastAsia="pt-BR"/>
          </w:rPr>
          <w:tab/>
        </w:r>
        <w:r w:rsidR="00BC01B1" w:rsidRPr="005D5DCB">
          <w:rPr>
            <w:rStyle w:val="Hyperlink"/>
            <w:noProof/>
          </w:rPr>
          <w:t>Sistema de Esgotamento Sanitário (SES)</w:t>
        </w:r>
        <w:r w:rsidR="00BC01B1">
          <w:rPr>
            <w:noProof/>
            <w:webHidden/>
          </w:rPr>
          <w:tab/>
        </w:r>
        <w:r w:rsidR="00BC01B1">
          <w:rPr>
            <w:noProof/>
            <w:webHidden/>
          </w:rPr>
          <w:fldChar w:fldCharType="begin"/>
        </w:r>
        <w:r w:rsidR="00BC01B1">
          <w:rPr>
            <w:noProof/>
            <w:webHidden/>
          </w:rPr>
          <w:instrText xml:space="preserve"> PAGEREF _Toc509935532 \h </w:instrText>
        </w:r>
        <w:r w:rsidR="00BC01B1">
          <w:rPr>
            <w:noProof/>
            <w:webHidden/>
          </w:rPr>
        </w:r>
        <w:r w:rsidR="00BC01B1">
          <w:rPr>
            <w:noProof/>
            <w:webHidden/>
          </w:rPr>
          <w:fldChar w:fldCharType="separate"/>
        </w:r>
        <w:r>
          <w:rPr>
            <w:noProof/>
            <w:webHidden/>
          </w:rPr>
          <w:t>183</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33" w:history="1">
        <w:r w:rsidR="00BC01B1" w:rsidRPr="005D5DCB">
          <w:rPr>
            <w:rStyle w:val="Hyperlink"/>
            <w:noProof/>
          </w:rPr>
          <w:t>5.3.1.</w:t>
        </w:r>
        <w:r w:rsidR="00BC01B1">
          <w:rPr>
            <w:rFonts w:asciiTheme="minorHAnsi" w:eastAsiaTheme="minorEastAsia" w:hAnsiTheme="minorHAnsi" w:cstheme="minorBidi"/>
            <w:i w:val="0"/>
            <w:noProof/>
            <w:sz w:val="22"/>
            <w:lang w:eastAsia="pt-BR"/>
          </w:rPr>
          <w:tab/>
        </w:r>
        <w:r w:rsidR="00BC01B1" w:rsidRPr="005D5DCB">
          <w:rPr>
            <w:rStyle w:val="Hyperlink"/>
            <w:noProof/>
          </w:rPr>
          <w:t>Proposição de cenários</w:t>
        </w:r>
        <w:r w:rsidR="00BC01B1">
          <w:rPr>
            <w:noProof/>
            <w:webHidden/>
          </w:rPr>
          <w:tab/>
        </w:r>
        <w:r w:rsidR="00BC01B1">
          <w:rPr>
            <w:noProof/>
            <w:webHidden/>
          </w:rPr>
          <w:fldChar w:fldCharType="begin"/>
        </w:r>
        <w:r w:rsidR="00BC01B1">
          <w:rPr>
            <w:noProof/>
            <w:webHidden/>
          </w:rPr>
          <w:instrText xml:space="preserve"> PAGEREF _Toc509935533 \h </w:instrText>
        </w:r>
        <w:r w:rsidR="00BC01B1">
          <w:rPr>
            <w:noProof/>
            <w:webHidden/>
          </w:rPr>
        </w:r>
        <w:r w:rsidR="00BC01B1">
          <w:rPr>
            <w:noProof/>
            <w:webHidden/>
          </w:rPr>
          <w:fldChar w:fldCharType="separate"/>
        </w:r>
        <w:r>
          <w:rPr>
            <w:noProof/>
            <w:webHidden/>
          </w:rPr>
          <w:t>183</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34" w:history="1">
        <w:r w:rsidR="00BC01B1" w:rsidRPr="005D5DCB">
          <w:rPr>
            <w:rStyle w:val="Hyperlink"/>
            <w:noProof/>
          </w:rPr>
          <w:t>5.3.2.</w:t>
        </w:r>
        <w:r w:rsidR="00BC01B1">
          <w:rPr>
            <w:rFonts w:asciiTheme="minorHAnsi" w:eastAsiaTheme="minorEastAsia" w:hAnsiTheme="minorHAnsi" w:cstheme="minorBidi"/>
            <w:i w:val="0"/>
            <w:noProof/>
            <w:sz w:val="22"/>
            <w:lang w:eastAsia="pt-BR"/>
          </w:rPr>
          <w:tab/>
        </w:r>
        <w:r w:rsidR="00BC01B1" w:rsidRPr="005D5DCB">
          <w:rPr>
            <w:rStyle w:val="Hyperlink"/>
            <w:noProof/>
          </w:rPr>
          <w:t>Objetivos e metas</w:t>
        </w:r>
        <w:r w:rsidR="00BC01B1">
          <w:rPr>
            <w:noProof/>
            <w:webHidden/>
          </w:rPr>
          <w:tab/>
        </w:r>
        <w:r w:rsidR="00BC01B1">
          <w:rPr>
            <w:noProof/>
            <w:webHidden/>
          </w:rPr>
          <w:fldChar w:fldCharType="begin"/>
        </w:r>
        <w:r w:rsidR="00BC01B1">
          <w:rPr>
            <w:noProof/>
            <w:webHidden/>
          </w:rPr>
          <w:instrText xml:space="preserve"> PAGEREF _Toc509935534 \h </w:instrText>
        </w:r>
        <w:r w:rsidR="00BC01B1">
          <w:rPr>
            <w:noProof/>
            <w:webHidden/>
          </w:rPr>
        </w:r>
        <w:r w:rsidR="00BC01B1">
          <w:rPr>
            <w:noProof/>
            <w:webHidden/>
          </w:rPr>
          <w:fldChar w:fldCharType="separate"/>
        </w:r>
        <w:r>
          <w:rPr>
            <w:noProof/>
            <w:webHidden/>
          </w:rPr>
          <w:t>187</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35" w:history="1">
        <w:r w:rsidR="00BC01B1" w:rsidRPr="005D5DCB">
          <w:rPr>
            <w:rStyle w:val="Hyperlink"/>
            <w:noProof/>
          </w:rPr>
          <w:t>5.3.3.</w:t>
        </w:r>
        <w:r w:rsidR="00BC01B1">
          <w:rPr>
            <w:rFonts w:asciiTheme="minorHAnsi" w:eastAsiaTheme="minorEastAsia" w:hAnsiTheme="minorHAnsi" w:cstheme="minorBidi"/>
            <w:i w:val="0"/>
            <w:noProof/>
            <w:sz w:val="22"/>
            <w:lang w:eastAsia="pt-BR"/>
          </w:rPr>
          <w:tab/>
        </w:r>
        <w:r w:rsidR="00BC01B1" w:rsidRPr="005D5DCB">
          <w:rPr>
            <w:rStyle w:val="Hyperlink"/>
            <w:noProof/>
          </w:rPr>
          <w:t>Programas, projetos e ações para o sistema de esgotamento sanitário</w:t>
        </w:r>
        <w:r w:rsidR="00BC01B1">
          <w:rPr>
            <w:noProof/>
            <w:webHidden/>
          </w:rPr>
          <w:tab/>
        </w:r>
        <w:r w:rsidR="00BC01B1">
          <w:rPr>
            <w:noProof/>
            <w:webHidden/>
          </w:rPr>
          <w:fldChar w:fldCharType="begin"/>
        </w:r>
        <w:r w:rsidR="00BC01B1">
          <w:rPr>
            <w:noProof/>
            <w:webHidden/>
          </w:rPr>
          <w:instrText xml:space="preserve"> PAGEREF _Toc509935535 \h </w:instrText>
        </w:r>
        <w:r w:rsidR="00BC01B1">
          <w:rPr>
            <w:noProof/>
            <w:webHidden/>
          </w:rPr>
        </w:r>
        <w:r w:rsidR="00BC01B1">
          <w:rPr>
            <w:noProof/>
            <w:webHidden/>
          </w:rPr>
          <w:fldChar w:fldCharType="separate"/>
        </w:r>
        <w:r>
          <w:rPr>
            <w:noProof/>
            <w:webHidden/>
          </w:rPr>
          <w:t>189</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36" w:history="1">
        <w:r w:rsidR="00BC01B1" w:rsidRPr="005D5DCB">
          <w:rPr>
            <w:rStyle w:val="Hyperlink"/>
            <w:noProof/>
          </w:rPr>
          <w:t>5.3.4.</w:t>
        </w:r>
        <w:r w:rsidR="00BC01B1">
          <w:rPr>
            <w:rFonts w:asciiTheme="minorHAnsi" w:eastAsiaTheme="minorEastAsia" w:hAnsiTheme="minorHAnsi" w:cstheme="minorBidi"/>
            <w:i w:val="0"/>
            <w:noProof/>
            <w:sz w:val="22"/>
            <w:lang w:eastAsia="pt-BR"/>
          </w:rPr>
          <w:tab/>
        </w:r>
        <w:r w:rsidR="00BC01B1" w:rsidRPr="005D5DCB">
          <w:rPr>
            <w:rStyle w:val="Hyperlink"/>
            <w:noProof/>
          </w:rPr>
          <w:t>Detalhamento de programas, projetos e ações</w:t>
        </w:r>
        <w:r w:rsidR="00BC01B1">
          <w:rPr>
            <w:noProof/>
            <w:webHidden/>
          </w:rPr>
          <w:tab/>
        </w:r>
        <w:r w:rsidR="00BC01B1">
          <w:rPr>
            <w:noProof/>
            <w:webHidden/>
          </w:rPr>
          <w:fldChar w:fldCharType="begin"/>
        </w:r>
        <w:r w:rsidR="00BC01B1">
          <w:rPr>
            <w:noProof/>
            <w:webHidden/>
          </w:rPr>
          <w:instrText xml:space="preserve"> PAGEREF _Toc509935536 \h </w:instrText>
        </w:r>
        <w:r w:rsidR="00BC01B1">
          <w:rPr>
            <w:noProof/>
            <w:webHidden/>
          </w:rPr>
        </w:r>
        <w:r w:rsidR="00BC01B1">
          <w:rPr>
            <w:noProof/>
            <w:webHidden/>
          </w:rPr>
          <w:fldChar w:fldCharType="separate"/>
        </w:r>
        <w:r>
          <w:rPr>
            <w:noProof/>
            <w:webHidden/>
          </w:rPr>
          <w:t>201</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37" w:history="1">
        <w:r w:rsidR="00BC01B1" w:rsidRPr="005D5DCB">
          <w:rPr>
            <w:rStyle w:val="Hyperlink"/>
            <w:noProof/>
          </w:rPr>
          <w:t>5.3.4.1.</w:t>
        </w:r>
        <w:r w:rsidR="00BC01B1">
          <w:rPr>
            <w:rFonts w:asciiTheme="minorHAnsi" w:eastAsiaTheme="minorEastAsia" w:hAnsiTheme="minorHAnsi" w:cstheme="minorBidi"/>
            <w:noProof/>
          </w:rPr>
          <w:tab/>
        </w:r>
        <w:r w:rsidR="00BC01B1" w:rsidRPr="005D5DCB">
          <w:rPr>
            <w:rStyle w:val="Hyperlink"/>
            <w:noProof/>
          </w:rPr>
          <w:t>Programa “Caça Esgoto”</w:t>
        </w:r>
        <w:r w:rsidR="00BC01B1">
          <w:rPr>
            <w:noProof/>
            <w:webHidden/>
          </w:rPr>
          <w:tab/>
        </w:r>
        <w:r w:rsidR="00BC01B1">
          <w:rPr>
            <w:noProof/>
            <w:webHidden/>
          </w:rPr>
          <w:fldChar w:fldCharType="begin"/>
        </w:r>
        <w:r w:rsidR="00BC01B1">
          <w:rPr>
            <w:noProof/>
            <w:webHidden/>
          </w:rPr>
          <w:instrText xml:space="preserve"> PAGEREF _Toc509935537 \h </w:instrText>
        </w:r>
        <w:r w:rsidR="00BC01B1">
          <w:rPr>
            <w:noProof/>
            <w:webHidden/>
          </w:rPr>
        </w:r>
        <w:r w:rsidR="00BC01B1">
          <w:rPr>
            <w:noProof/>
            <w:webHidden/>
          </w:rPr>
          <w:fldChar w:fldCharType="separate"/>
        </w:r>
        <w:r>
          <w:rPr>
            <w:noProof/>
            <w:webHidden/>
          </w:rPr>
          <w:t>201</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38" w:history="1">
        <w:r w:rsidR="00BC01B1" w:rsidRPr="005D5DCB">
          <w:rPr>
            <w:rStyle w:val="Hyperlink"/>
            <w:noProof/>
          </w:rPr>
          <w:t>5.3.4.2.</w:t>
        </w:r>
        <w:r w:rsidR="00BC01B1">
          <w:rPr>
            <w:rFonts w:asciiTheme="minorHAnsi" w:eastAsiaTheme="minorEastAsia" w:hAnsiTheme="minorHAnsi" w:cstheme="minorBidi"/>
            <w:noProof/>
          </w:rPr>
          <w:tab/>
        </w:r>
        <w:r w:rsidR="00BC01B1" w:rsidRPr="005D5DCB">
          <w:rPr>
            <w:rStyle w:val="Hyperlink"/>
            <w:noProof/>
          </w:rPr>
          <w:t>Localidades rurais</w:t>
        </w:r>
        <w:r w:rsidR="00BC01B1">
          <w:rPr>
            <w:noProof/>
            <w:webHidden/>
          </w:rPr>
          <w:tab/>
        </w:r>
        <w:r w:rsidR="00BC01B1">
          <w:rPr>
            <w:noProof/>
            <w:webHidden/>
          </w:rPr>
          <w:fldChar w:fldCharType="begin"/>
        </w:r>
        <w:r w:rsidR="00BC01B1">
          <w:rPr>
            <w:noProof/>
            <w:webHidden/>
          </w:rPr>
          <w:instrText xml:space="preserve"> PAGEREF _Toc509935538 \h </w:instrText>
        </w:r>
        <w:r w:rsidR="00BC01B1">
          <w:rPr>
            <w:noProof/>
            <w:webHidden/>
          </w:rPr>
        </w:r>
        <w:r w:rsidR="00BC01B1">
          <w:rPr>
            <w:noProof/>
            <w:webHidden/>
          </w:rPr>
          <w:fldChar w:fldCharType="separate"/>
        </w:r>
        <w:r>
          <w:rPr>
            <w:noProof/>
            <w:webHidden/>
          </w:rPr>
          <w:t>201</w:t>
        </w:r>
        <w:r w:rsidR="00BC01B1">
          <w:rPr>
            <w:noProof/>
            <w:webHidden/>
          </w:rPr>
          <w:fldChar w:fldCharType="end"/>
        </w:r>
      </w:hyperlink>
    </w:p>
    <w:p w:rsidR="00BC01B1" w:rsidRDefault="001B481B">
      <w:pPr>
        <w:pStyle w:val="Sumrio5"/>
        <w:tabs>
          <w:tab w:val="left" w:pos="2271"/>
        </w:tabs>
        <w:rPr>
          <w:rFonts w:asciiTheme="minorHAnsi" w:eastAsiaTheme="minorEastAsia" w:hAnsiTheme="minorHAnsi" w:cstheme="minorBidi"/>
          <w:i w:val="0"/>
          <w:noProof/>
        </w:rPr>
      </w:pPr>
      <w:hyperlink w:anchor="_Toc509935539" w:history="1">
        <w:r w:rsidR="00BC01B1" w:rsidRPr="005D5DCB">
          <w:rPr>
            <w:rStyle w:val="Hyperlink"/>
            <w:noProof/>
          </w:rPr>
          <w:t>5.3.4.2.1.</w:t>
        </w:r>
        <w:r w:rsidR="00BC01B1">
          <w:rPr>
            <w:rFonts w:asciiTheme="minorHAnsi" w:eastAsiaTheme="minorEastAsia" w:hAnsiTheme="minorHAnsi" w:cstheme="minorBidi"/>
            <w:i w:val="0"/>
            <w:noProof/>
          </w:rPr>
          <w:tab/>
        </w:r>
        <w:r w:rsidR="00BC01B1" w:rsidRPr="005D5DCB">
          <w:rPr>
            <w:rStyle w:val="Hyperlink"/>
            <w:noProof/>
          </w:rPr>
          <w:t>Sistema de esgotamento sanitário coletivo</w:t>
        </w:r>
        <w:r w:rsidR="00BC01B1">
          <w:rPr>
            <w:noProof/>
            <w:webHidden/>
          </w:rPr>
          <w:tab/>
        </w:r>
        <w:r w:rsidR="00BC01B1">
          <w:rPr>
            <w:noProof/>
            <w:webHidden/>
          </w:rPr>
          <w:fldChar w:fldCharType="begin"/>
        </w:r>
        <w:r w:rsidR="00BC01B1">
          <w:rPr>
            <w:noProof/>
            <w:webHidden/>
          </w:rPr>
          <w:instrText xml:space="preserve"> PAGEREF _Toc509935539 \h </w:instrText>
        </w:r>
        <w:r w:rsidR="00BC01B1">
          <w:rPr>
            <w:noProof/>
            <w:webHidden/>
          </w:rPr>
        </w:r>
        <w:r w:rsidR="00BC01B1">
          <w:rPr>
            <w:noProof/>
            <w:webHidden/>
          </w:rPr>
          <w:fldChar w:fldCharType="separate"/>
        </w:r>
        <w:r>
          <w:rPr>
            <w:noProof/>
            <w:webHidden/>
          </w:rPr>
          <w:t>201</w:t>
        </w:r>
        <w:r w:rsidR="00BC01B1">
          <w:rPr>
            <w:noProof/>
            <w:webHidden/>
          </w:rPr>
          <w:fldChar w:fldCharType="end"/>
        </w:r>
      </w:hyperlink>
    </w:p>
    <w:p w:rsidR="00BC01B1" w:rsidRDefault="001B481B">
      <w:pPr>
        <w:pStyle w:val="Sumrio5"/>
        <w:tabs>
          <w:tab w:val="left" w:pos="2271"/>
        </w:tabs>
        <w:rPr>
          <w:rFonts w:asciiTheme="minorHAnsi" w:eastAsiaTheme="minorEastAsia" w:hAnsiTheme="minorHAnsi" w:cstheme="minorBidi"/>
          <w:i w:val="0"/>
          <w:noProof/>
        </w:rPr>
      </w:pPr>
      <w:hyperlink w:anchor="_Toc509935540" w:history="1">
        <w:r w:rsidR="00BC01B1" w:rsidRPr="005D5DCB">
          <w:rPr>
            <w:rStyle w:val="Hyperlink"/>
            <w:noProof/>
          </w:rPr>
          <w:t>5.3.4.2.2.</w:t>
        </w:r>
        <w:r w:rsidR="00BC01B1">
          <w:rPr>
            <w:rFonts w:asciiTheme="minorHAnsi" w:eastAsiaTheme="minorEastAsia" w:hAnsiTheme="minorHAnsi" w:cstheme="minorBidi"/>
            <w:i w:val="0"/>
            <w:noProof/>
          </w:rPr>
          <w:tab/>
        </w:r>
        <w:r w:rsidR="00BC01B1" w:rsidRPr="005D5DCB">
          <w:rPr>
            <w:rStyle w:val="Hyperlink"/>
            <w:noProof/>
          </w:rPr>
          <w:t>Sistema de esgotamento sanitário individualizado</w:t>
        </w:r>
        <w:r w:rsidR="00BC01B1">
          <w:rPr>
            <w:noProof/>
            <w:webHidden/>
          </w:rPr>
          <w:tab/>
        </w:r>
        <w:r w:rsidR="00BC01B1">
          <w:rPr>
            <w:noProof/>
            <w:webHidden/>
          </w:rPr>
          <w:fldChar w:fldCharType="begin"/>
        </w:r>
        <w:r w:rsidR="00BC01B1">
          <w:rPr>
            <w:noProof/>
            <w:webHidden/>
          </w:rPr>
          <w:instrText xml:space="preserve"> PAGEREF _Toc509935540 \h </w:instrText>
        </w:r>
        <w:r w:rsidR="00BC01B1">
          <w:rPr>
            <w:noProof/>
            <w:webHidden/>
          </w:rPr>
        </w:r>
        <w:r w:rsidR="00BC01B1">
          <w:rPr>
            <w:noProof/>
            <w:webHidden/>
          </w:rPr>
          <w:fldChar w:fldCharType="separate"/>
        </w:r>
        <w:r>
          <w:rPr>
            <w:noProof/>
            <w:webHidden/>
          </w:rPr>
          <w:t>202</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41" w:history="1">
        <w:r w:rsidR="00BC01B1" w:rsidRPr="005D5DCB">
          <w:rPr>
            <w:rStyle w:val="Hyperlink"/>
            <w:noProof/>
          </w:rPr>
          <w:t>5.3.4.3.</w:t>
        </w:r>
        <w:r w:rsidR="00BC01B1">
          <w:rPr>
            <w:rFonts w:asciiTheme="minorHAnsi" w:eastAsiaTheme="minorEastAsia" w:hAnsiTheme="minorHAnsi" w:cstheme="minorBidi"/>
            <w:noProof/>
          </w:rPr>
          <w:tab/>
        </w:r>
        <w:r w:rsidR="00BC01B1" w:rsidRPr="005D5DCB">
          <w:rPr>
            <w:rStyle w:val="Hyperlink"/>
            <w:noProof/>
          </w:rPr>
          <w:t>Programa de Esgotamento Sanitário Rural (PESR)</w:t>
        </w:r>
        <w:r w:rsidR="00BC01B1">
          <w:rPr>
            <w:noProof/>
            <w:webHidden/>
          </w:rPr>
          <w:tab/>
        </w:r>
        <w:r w:rsidR="00BC01B1">
          <w:rPr>
            <w:noProof/>
            <w:webHidden/>
          </w:rPr>
          <w:fldChar w:fldCharType="begin"/>
        </w:r>
        <w:r w:rsidR="00BC01B1">
          <w:rPr>
            <w:noProof/>
            <w:webHidden/>
          </w:rPr>
          <w:instrText xml:space="preserve"> PAGEREF _Toc509935541 \h </w:instrText>
        </w:r>
        <w:r w:rsidR="00BC01B1">
          <w:rPr>
            <w:noProof/>
            <w:webHidden/>
          </w:rPr>
        </w:r>
        <w:r w:rsidR="00BC01B1">
          <w:rPr>
            <w:noProof/>
            <w:webHidden/>
          </w:rPr>
          <w:fldChar w:fldCharType="separate"/>
        </w:r>
        <w:r>
          <w:rPr>
            <w:noProof/>
            <w:webHidden/>
          </w:rPr>
          <w:t>203</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42" w:history="1">
        <w:r w:rsidR="00BC01B1" w:rsidRPr="005D5DCB">
          <w:rPr>
            <w:rStyle w:val="Hyperlink"/>
            <w:noProof/>
          </w:rPr>
          <w:t>5.3.5.</w:t>
        </w:r>
        <w:r w:rsidR="00BC01B1">
          <w:rPr>
            <w:rFonts w:asciiTheme="minorHAnsi" w:eastAsiaTheme="minorEastAsia" w:hAnsiTheme="minorHAnsi" w:cstheme="minorBidi"/>
            <w:i w:val="0"/>
            <w:noProof/>
            <w:sz w:val="22"/>
            <w:lang w:eastAsia="pt-BR"/>
          </w:rPr>
          <w:tab/>
        </w:r>
        <w:r w:rsidR="00BC01B1" w:rsidRPr="005D5DCB">
          <w:rPr>
            <w:rStyle w:val="Hyperlink"/>
            <w:noProof/>
          </w:rPr>
          <w:t>Ações para emergência e contingência</w:t>
        </w:r>
        <w:r w:rsidR="00BC01B1">
          <w:rPr>
            <w:noProof/>
            <w:webHidden/>
          </w:rPr>
          <w:tab/>
        </w:r>
        <w:r w:rsidR="00BC01B1">
          <w:rPr>
            <w:noProof/>
            <w:webHidden/>
          </w:rPr>
          <w:fldChar w:fldCharType="begin"/>
        </w:r>
        <w:r w:rsidR="00BC01B1">
          <w:rPr>
            <w:noProof/>
            <w:webHidden/>
          </w:rPr>
          <w:instrText xml:space="preserve"> PAGEREF _Toc509935542 \h </w:instrText>
        </w:r>
        <w:r w:rsidR="00BC01B1">
          <w:rPr>
            <w:noProof/>
            <w:webHidden/>
          </w:rPr>
        </w:r>
        <w:r w:rsidR="00BC01B1">
          <w:rPr>
            <w:noProof/>
            <w:webHidden/>
          </w:rPr>
          <w:fldChar w:fldCharType="separate"/>
        </w:r>
        <w:r>
          <w:rPr>
            <w:noProof/>
            <w:webHidden/>
          </w:rPr>
          <w:t>204</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43" w:history="1">
        <w:r w:rsidR="00BC01B1" w:rsidRPr="005D5DCB">
          <w:rPr>
            <w:rStyle w:val="Hyperlink"/>
            <w:noProof/>
          </w:rPr>
          <w:t>5.3.5.1.</w:t>
        </w:r>
        <w:r w:rsidR="00BC01B1">
          <w:rPr>
            <w:rFonts w:asciiTheme="minorHAnsi" w:eastAsiaTheme="minorEastAsia" w:hAnsiTheme="minorHAnsi" w:cstheme="minorBidi"/>
            <w:noProof/>
          </w:rPr>
          <w:tab/>
        </w:r>
        <w:r w:rsidR="00BC01B1" w:rsidRPr="005D5DCB">
          <w:rPr>
            <w:rStyle w:val="Hyperlink"/>
            <w:noProof/>
          </w:rPr>
          <w:t>Eventos operacionais</w:t>
        </w:r>
        <w:r w:rsidR="00BC01B1">
          <w:rPr>
            <w:noProof/>
            <w:webHidden/>
          </w:rPr>
          <w:tab/>
        </w:r>
        <w:r w:rsidR="00BC01B1">
          <w:rPr>
            <w:noProof/>
            <w:webHidden/>
          </w:rPr>
          <w:fldChar w:fldCharType="begin"/>
        </w:r>
        <w:r w:rsidR="00BC01B1">
          <w:rPr>
            <w:noProof/>
            <w:webHidden/>
          </w:rPr>
          <w:instrText xml:space="preserve"> PAGEREF _Toc509935543 \h </w:instrText>
        </w:r>
        <w:r w:rsidR="00BC01B1">
          <w:rPr>
            <w:noProof/>
            <w:webHidden/>
          </w:rPr>
        </w:r>
        <w:r w:rsidR="00BC01B1">
          <w:rPr>
            <w:noProof/>
            <w:webHidden/>
          </w:rPr>
          <w:fldChar w:fldCharType="separate"/>
        </w:r>
        <w:r>
          <w:rPr>
            <w:noProof/>
            <w:webHidden/>
          </w:rPr>
          <w:t>204</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44" w:history="1">
        <w:r w:rsidR="00BC01B1" w:rsidRPr="005D5DCB">
          <w:rPr>
            <w:rStyle w:val="Hyperlink"/>
            <w:noProof/>
          </w:rPr>
          <w:t>5.3.5.2.</w:t>
        </w:r>
        <w:r w:rsidR="00BC01B1">
          <w:rPr>
            <w:rFonts w:asciiTheme="minorHAnsi" w:eastAsiaTheme="minorEastAsia" w:hAnsiTheme="minorHAnsi" w:cstheme="minorBidi"/>
            <w:noProof/>
          </w:rPr>
          <w:tab/>
        </w:r>
        <w:r w:rsidR="00BC01B1" w:rsidRPr="005D5DCB">
          <w:rPr>
            <w:rStyle w:val="Hyperlink"/>
            <w:noProof/>
          </w:rPr>
          <w:t>Eventos de gestão e gerenciamento</w:t>
        </w:r>
        <w:r w:rsidR="00BC01B1">
          <w:rPr>
            <w:noProof/>
            <w:webHidden/>
          </w:rPr>
          <w:tab/>
        </w:r>
        <w:r w:rsidR="00BC01B1">
          <w:rPr>
            <w:noProof/>
            <w:webHidden/>
          </w:rPr>
          <w:fldChar w:fldCharType="begin"/>
        </w:r>
        <w:r w:rsidR="00BC01B1">
          <w:rPr>
            <w:noProof/>
            <w:webHidden/>
          </w:rPr>
          <w:instrText xml:space="preserve"> PAGEREF _Toc509935544 \h </w:instrText>
        </w:r>
        <w:r w:rsidR="00BC01B1">
          <w:rPr>
            <w:noProof/>
            <w:webHidden/>
          </w:rPr>
        </w:r>
        <w:r w:rsidR="00BC01B1">
          <w:rPr>
            <w:noProof/>
            <w:webHidden/>
          </w:rPr>
          <w:fldChar w:fldCharType="separate"/>
        </w:r>
        <w:r>
          <w:rPr>
            <w:noProof/>
            <w:webHidden/>
          </w:rPr>
          <w:t>205</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45" w:history="1">
        <w:r w:rsidR="00BC01B1" w:rsidRPr="005D5DCB">
          <w:rPr>
            <w:rStyle w:val="Hyperlink"/>
            <w:noProof/>
          </w:rPr>
          <w:t>5.3.5.3.</w:t>
        </w:r>
        <w:r w:rsidR="00BC01B1">
          <w:rPr>
            <w:rFonts w:asciiTheme="minorHAnsi" w:eastAsiaTheme="minorEastAsia" w:hAnsiTheme="minorHAnsi" w:cstheme="minorBidi"/>
            <w:noProof/>
          </w:rPr>
          <w:tab/>
        </w:r>
        <w:r w:rsidR="00BC01B1" w:rsidRPr="005D5DCB">
          <w:rPr>
            <w:rStyle w:val="Hyperlink"/>
            <w:noProof/>
          </w:rPr>
          <w:t>Eventos imprevisíveis</w:t>
        </w:r>
        <w:r w:rsidR="00BC01B1">
          <w:rPr>
            <w:noProof/>
            <w:webHidden/>
          </w:rPr>
          <w:tab/>
        </w:r>
        <w:r w:rsidR="00BC01B1">
          <w:rPr>
            <w:noProof/>
            <w:webHidden/>
          </w:rPr>
          <w:fldChar w:fldCharType="begin"/>
        </w:r>
        <w:r w:rsidR="00BC01B1">
          <w:rPr>
            <w:noProof/>
            <w:webHidden/>
          </w:rPr>
          <w:instrText xml:space="preserve"> PAGEREF _Toc509935545 \h </w:instrText>
        </w:r>
        <w:r w:rsidR="00BC01B1">
          <w:rPr>
            <w:noProof/>
            <w:webHidden/>
          </w:rPr>
        </w:r>
        <w:r w:rsidR="00BC01B1">
          <w:rPr>
            <w:noProof/>
            <w:webHidden/>
          </w:rPr>
          <w:fldChar w:fldCharType="separate"/>
        </w:r>
        <w:r>
          <w:rPr>
            <w:noProof/>
            <w:webHidden/>
          </w:rPr>
          <w:t>206</w:t>
        </w:r>
        <w:r w:rsidR="00BC01B1">
          <w:rPr>
            <w:noProof/>
            <w:webHidden/>
          </w:rPr>
          <w:fldChar w:fldCharType="end"/>
        </w:r>
      </w:hyperlink>
    </w:p>
    <w:p w:rsidR="00BC01B1" w:rsidRDefault="001B481B">
      <w:pPr>
        <w:pStyle w:val="Sumrio2"/>
        <w:tabs>
          <w:tab w:val="left" w:pos="1134"/>
        </w:tabs>
        <w:rPr>
          <w:rFonts w:asciiTheme="minorHAnsi" w:eastAsiaTheme="minorEastAsia" w:hAnsiTheme="minorHAnsi" w:cstheme="minorBidi"/>
          <w:noProof/>
          <w:sz w:val="22"/>
          <w:lang w:eastAsia="pt-BR"/>
        </w:rPr>
      </w:pPr>
      <w:hyperlink w:anchor="_Toc509935546" w:history="1">
        <w:r w:rsidR="00BC01B1" w:rsidRPr="005D5DCB">
          <w:rPr>
            <w:rStyle w:val="Hyperlink"/>
            <w:noProof/>
          </w:rPr>
          <w:t>5.4.</w:t>
        </w:r>
        <w:r w:rsidR="00BC01B1">
          <w:rPr>
            <w:rFonts w:asciiTheme="minorHAnsi" w:eastAsiaTheme="minorEastAsia" w:hAnsiTheme="minorHAnsi" w:cstheme="minorBidi"/>
            <w:noProof/>
            <w:sz w:val="22"/>
            <w:lang w:eastAsia="pt-BR"/>
          </w:rPr>
          <w:tab/>
        </w:r>
        <w:r w:rsidR="00BC01B1" w:rsidRPr="005D5DCB">
          <w:rPr>
            <w:rStyle w:val="Hyperlink"/>
            <w:noProof/>
          </w:rPr>
          <w:t>Sistema de Drenagem Urbana e Manejo de Águas Pluviais</w:t>
        </w:r>
        <w:r w:rsidR="00BC01B1">
          <w:rPr>
            <w:noProof/>
            <w:webHidden/>
          </w:rPr>
          <w:tab/>
        </w:r>
        <w:r w:rsidR="00BC01B1">
          <w:rPr>
            <w:noProof/>
            <w:webHidden/>
          </w:rPr>
          <w:fldChar w:fldCharType="begin"/>
        </w:r>
        <w:r w:rsidR="00BC01B1">
          <w:rPr>
            <w:noProof/>
            <w:webHidden/>
          </w:rPr>
          <w:instrText xml:space="preserve"> PAGEREF _Toc509935546 \h </w:instrText>
        </w:r>
        <w:r w:rsidR="00BC01B1">
          <w:rPr>
            <w:noProof/>
            <w:webHidden/>
          </w:rPr>
        </w:r>
        <w:r w:rsidR="00BC01B1">
          <w:rPr>
            <w:noProof/>
            <w:webHidden/>
          </w:rPr>
          <w:fldChar w:fldCharType="separate"/>
        </w:r>
        <w:r>
          <w:rPr>
            <w:noProof/>
            <w:webHidden/>
          </w:rPr>
          <w:t>207</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47" w:history="1">
        <w:r w:rsidR="00BC01B1" w:rsidRPr="005D5DCB">
          <w:rPr>
            <w:rStyle w:val="Hyperlink"/>
            <w:noProof/>
          </w:rPr>
          <w:t>5.4.1.</w:t>
        </w:r>
        <w:r w:rsidR="00BC01B1">
          <w:rPr>
            <w:rFonts w:asciiTheme="minorHAnsi" w:eastAsiaTheme="minorEastAsia" w:hAnsiTheme="minorHAnsi" w:cstheme="minorBidi"/>
            <w:i w:val="0"/>
            <w:noProof/>
            <w:sz w:val="22"/>
            <w:lang w:eastAsia="pt-BR"/>
          </w:rPr>
          <w:tab/>
        </w:r>
        <w:r w:rsidR="00BC01B1" w:rsidRPr="005D5DCB">
          <w:rPr>
            <w:rStyle w:val="Hyperlink"/>
            <w:noProof/>
          </w:rPr>
          <w:t>Proposição de cenários</w:t>
        </w:r>
        <w:r w:rsidR="00BC01B1">
          <w:rPr>
            <w:noProof/>
            <w:webHidden/>
          </w:rPr>
          <w:tab/>
        </w:r>
        <w:r w:rsidR="00BC01B1">
          <w:rPr>
            <w:noProof/>
            <w:webHidden/>
          </w:rPr>
          <w:fldChar w:fldCharType="begin"/>
        </w:r>
        <w:r w:rsidR="00BC01B1">
          <w:rPr>
            <w:noProof/>
            <w:webHidden/>
          </w:rPr>
          <w:instrText xml:space="preserve"> PAGEREF _Toc509935547 \h </w:instrText>
        </w:r>
        <w:r w:rsidR="00BC01B1">
          <w:rPr>
            <w:noProof/>
            <w:webHidden/>
          </w:rPr>
        </w:r>
        <w:r w:rsidR="00BC01B1">
          <w:rPr>
            <w:noProof/>
            <w:webHidden/>
          </w:rPr>
          <w:fldChar w:fldCharType="separate"/>
        </w:r>
        <w:r>
          <w:rPr>
            <w:noProof/>
            <w:webHidden/>
          </w:rPr>
          <w:t>207</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48" w:history="1">
        <w:r w:rsidR="00BC01B1" w:rsidRPr="005D5DCB">
          <w:rPr>
            <w:rStyle w:val="Hyperlink"/>
            <w:noProof/>
          </w:rPr>
          <w:t>5.4.2.</w:t>
        </w:r>
        <w:r w:rsidR="00BC01B1">
          <w:rPr>
            <w:rFonts w:asciiTheme="minorHAnsi" w:eastAsiaTheme="minorEastAsia" w:hAnsiTheme="minorHAnsi" w:cstheme="minorBidi"/>
            <w:i w:val="0"/>
            <w:noProof/>
            <w:sz w:val="22"/>
            <w:lang w:eastAsia="pt-BR"/>
          </w:rPr>
          <w:tab/>
        </w:r>
        <w:r w:rsidR="00BC01B1" w:rsidRPr="005D5DCB">
          <w:rPr>
            <w:rStyle w:val="Hyperlink"/>
            <w:noProof/>
          </w:rPr>
          <w:t>Objetivos e metas</w:t>
        </w:r>
        <w:r w:rsidR="00BC01B1">
          <w:rPr>
            <w:noProof/>
            <w:webHidden/>
          </w:rPr>
          <w:tab/>
        </w:r>
        <w:r w:rsidR="00BC01B1">
          <w:rPr>
            <w:noProof/>
            <w:webHidden/>
          </w:rPr>
          <w:fldChar w:fldCharType="begin"/>
        </w:r>
        <w:r w:rsidR="00BC01B1">
          <w:rPr>
            <w:noProof/>
            <w:webHidden/>
          </w:rPr>
          <w:instrText xml:space="preserve"> PAGEREF _Toc509935548 \h </w:instrText>
        </w:r>
        <w:r w:rsidR="00BC01B1">
          <w:rPr>
            <w:noProof/>
            <w:webHidden/>
          </w:rPr>
        </w:r>
        <w:r w:rsidR="00BC01B1">
          <w:rPr>
            <w:noProof/>
            <w:webHidden/>
          </w:rPr>
          <w:fldChar w:fldCharType="separate"/>
        </w:r>
        <w:r>
          <w:rPr>
            <w:noProof/>
            <w:webHidden/>
          </w:rPr>
          <w:t>211</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49" w:history="1">
        <w:r w:rsidR="00BC01B1" w:rsidRPr="005D5DCB">
          <w:rPr>
            <w:rStyle w:val="Hyperlink"/>
            <w:noProof/>
          </w:rPr>
          <w:t>5.4.3.</w:t>
        </w:r>
        <w:r w:rsidR="00BC01B1">
          <w:rPr>
            <w:rFonts w:asciiTheme="minorHAnsi" w:eastAsiaTheme="minorEastAsia" w:hAnsiTheme="minorHAnsi" w:cstheme="minorBidi"/>
            <w:i w:val="0"/>
            <w:noProof/>
            <w:sz w:val="22"/>
            <w:lang w:eastAsia="pt-BR"/>
          </w:rPr>
          <w:tab/>
        </w:r>
        <w:r w:rsidR="00BC01B1" w:rsidRPr="005D5DCB">
          <w:rPr>
            <w:rStyle w:val="Hyperlink"/>
            <w:noProof/>
          </w:rPr>
          <w:t>Programas, projetos e ações para o sistema de drenagem urbana.</w:t>
        </w:r>
        <w:r w:rsidR="00BC01B1">
          <w:rPr>
            <w:noProof/>
            <w:webHidden/>
          </w:rPr>
          <w:tab/>
        </w:r>
        <w:r w:rsidR="00BC01B1">
          <w:rPr>
            <w:noProof/>
            <w:webHidden/>
          </w:rPr>
          <w:fldChar w:fldCharType="begin"/>
        </w:r>
        <w:r w:rsidR="00BC01B1">
          <w:rPr>
            <w:noProof/>
            <w:webHidden/>
          </w:rPr>
          <w:instrText xml:space="preserve"> PAGEREF _Toc509935549 \h </w:instrText>
        </w:r>
        <w:r w:rsidR="00BC01B1">
          <w:rPr>
            <w:noProof/>
            <w:webHidden/>
          </w:rPr>
        </w:r>
        <w:r w:rsidR="00BC01B1">
          <w:rPr>
            <w:noProof/>
            <w:webHidden/>
          </w:rPr>
          <w:fldChar w:fldCharType="separate"/>
        </w:r>
        <w:r>
          <w:rPr>
            <w:noProof/>
            <w:webHidden/>
          </w:rPr>
          <w:t>214</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50" w:history="1">
        <w:r w:rsidR="00BC01B1" w:rsidRPr="005D5DCB">
          <w:rPr>
            <w:rStyle w:val="Hyperlink"/>
            <w:noProof/>
          </w:rPr>
          <w:t>5.4.4.</w:t>
        </w:r>
        <w:r w:rsidR="00BC01B1">
          <w:rPr>
            <w:rFonts w:asciiTheme="minorHAnsi" w:eastAsiaTheme="minorEastAsia" w:hAnsiTheme="minorHAnsi" w:cstheme="minorBidi"/>
            <w:i w:val="0"/>
            <w:noProof/>
            <w:sz w:val="22"/>
            <w:lang w:eastAsia="pt-BR"/>
          </w:rPr>
          <w:tab/>
        </w:r>
        <w:r w:rsidR="00BC01B1" w:rsidRPr="005D5DCB">
          <w:rPr>
            <w:rStyle w:val="Hyperlink"/>
            <w:noProof/>
          </w:rPr>
          <w:t>Detalhamento de ações</w:t>
        </w:r>
        <w:r w:rsidR="00BC01B1">
          <w:rPr>
            <w:noProof/>
            <w:webHidden/>
          </w:rPr>
          <w:tab/>
        </w:r>
        <w:r w:rsidR="00BC01B1">
          <w:rPr>
            <w:noProof/>
            <w:webHidden/>
          </w:rPr>
          <w:fldChar w:fldCharType="begin"/>
        </w:r>
        <w:r w:rsidR="00BC01B1">
          <w:rPr>
            <w:noProof/>
            <w:webHidden/>
          </w:rPr>
          <w:instrText xml:space="preserve"> PAGEREF _Toc509935550 \h </w:instrText>
        </w:r>
        <w:r w:rsidR="00BC01B1">
          <w:rPr>
            <w:noProof/>
            <w:webHidden/>
          </w:rPr>
        </w:r>
        <w:r w:rsidR="00BC01B1">
          <w:rPr>
            <w:noProof/>
            <w:webHidden/>
          </w:rPr>
          <w:fldChar w:fldCharType="separate"/>
        </w:r>
        <w:r>
          <w:rPr>
            <w:noProof/>
            <w:webHidden/>
          </w:rPr>
          <w:t>228</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51" w:history="1">
        <w:r w:rsidR="00BC01B1" w:rsidRPr="005D5DCB">
          <w:rPr>
            <w:rStyle w:val="Hyperlink"/>
            <w:noProof/>
          </w:rPr>
          <w:t>5.4.4.1.</w:t>
        </w:r>
        <w:r w:rsidR="00BC01B1">
          <w:rPr>
            <w:rFonts w:asciiTheme="minorHAnsi" w:eastAsiaTheme="minorEastAsia" w:hAnsiTheme="minorHAnsi" w:cstheme="minorBidi"/>
            <w:noProof/>
          </w:rPr>
          <w:tab/>
        </w:r>
        <w:r w:rsidR="00BC01B1" w:rsidRPr="005D5DCB">
          <w:rPr>
            <w:rStyle w:val="Hyperlink"/>
            <w:noProof/>
          </w:rPr>
          <w:t>Mapear e cadastrar toda a rede de drenagem urbana</w:t>
        </w:r>
        <w:r w:rsidR="00BC01B1">
          <w:rPr>
            <w:noProof/>
            <w:webHidden/>
          </w:rPr>
          <w:tab/>
        </w:r>
        <w:r w:rsidR="00BC01B1">
          <w:rPr>
            <w:noProof/>
            <w:webHidden/>
          </w:rPr>
          <w:fldChar w:fldCharType="begin"/>
        </w:r>
        <w:r w:rsidR="00BC01B1">
          <w:rPr>
            <w:noProof/>
            <w:webHidden/>
          </w:rPr>
          <w:instrText xml:space="preserve"> PAGEREF _Toc509935551 \h </w:instrText>
        </w:r>
        <w:r w:rsidR="00BC01B1">
          <w:rPr>
            <w:noProof/>
            <w:webHidden/>
          </w:rPr>
        </w:r>
        <w:r w:rsidR="00BC01B1">
          <w:rPr>
            <w:noProof/>
            <w:webHidden/>
          </w:rPr>
          <w:fldChar w:fldCharType="separate"/>
        </w:r>
        <w:r>
          <w:rPr>
            <w:noProof/>
            <w:webHidden/>
          </w:rPr>
          <w:t>228</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52" w:history="1">
        <w:r w:rsidR="00BC01B1" w:rsidRPr="005D5DCB">
          <w:rPr>
            <w:rStyle w:val="Hyperlink"/>
            <w:noProof/>
          </w:rPr>
          <w:t>5.4.4.2.</w:t>
        </w:r>
        <w:r w:rsidR="00BC01B1">
          <w:rPr>
            <w:rFonts w:asciiTheme="minorHAnsi" w:eastAsiaTheme="minorEastAsia" w:hAnsiTheme="minorHAnsi" w:cstheme="minorBidi"/>
            <w:noProof/>
          </w:rPr>
          <w:tab/>
        </w:r>
        <w:r w:rsidR="00BC01B1" w:rsidRPr="005D5DCB">
          <w:rPr>
            <w:rStyle w:val="Hyperlink"/>
            <w:noProof/>
          </w:rPr>
          <w:t>Programa de captação da água da chuva</w:t>
        </w:r>
        <w:r w:rsidR="00BC01B1">
          <w:rPr>
            <w:noProof/>
            <w:webHidden/>
          </w:rPr>
          <w:tab/>
        </w:r>
        <w:r w:rsidR="00BC01B1">
          <w:rPr>
            <w:noProof/>
            <w:webHidden/>
          </w:rPr>
          <w:fldChar w:fldCharType="begin"/>
        </w:r>
        <w:r w:rsidR="00BC01B1">
          <w:rPr>
            <w:noProof/>
            <w:webHidden/>
          </w:rPr>
          <w:instrText xml:space="preserve"> PAGEREF _Toc509935552 \h </w:instrText>
        </w:r>
        <w:r w:rsidR="00BC01B1">
          <w:rPr>
            <w:noProof/>
            <w:webHidden/>
          </w:rPr>
        </w:r>
        <w:r w:rsidR="00BC01B1">
          <w:rPr>
            <w:noProof/>
            <w:webHidden/>
          </w:rPr>
          <w:fldChar w:fldCharType="separate"/>
        </w:r>
        <w:r>
          <w:rPr>
            <w:noProof/>
            <w:webHidden/>
          </w:rPr>
          <w:t>228</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53" w:history="1">
        <w:r w:rsidR="00BC01B1" w:rsidRPr="005D5DCB">
          <w:rPr>
            <w:rStyle w:val="Hyperlink"/>
            <w:noProof/>
          </w:rPr>
          <w:t>5.4.4.3.</w:t>
        </w:r>
        <w:r w:rsidR="00BC01B1">
          <w:rPr>
            <w:rFonts w:asciiTheme="minorHAnsi" w:eastAsiaTheme="minorEastAsia" w:hAnsiTheme="minorHAnsi" w:cstheme="minorBidi"/>
            <w:noProof/>
          </w:rPr>
          <w:tab/>
        </w:r>
        <w:r w:rsidR="00BC01B1" w:rsidRPr="005D5DCB">
          <w:rPr>
            <w:rStyle w:val="Hyperlink"/>
            <w:noProof/>
          </w:rPr>
          <w:t>Programa de recuperação de APP e áreas verdes</w:t>
        </w:r>
        <w:r w:rsidR="00BC01B1">
          <w:rPr>
            <w:noProof/>
            <w:webHidden/>
          </w:rPr>
          <w:tab/>
        </w:r>
        <w:r w:rsidR="00BC01B1">
          <w:rPr>
            <w:noProof/>
            <w:webHidden/>
          </w:rPr>
          <w:fldChar w:fldCharType="begin"/>
        </w:r>
        <w:r w:rsidR="00BC01B1">
          <w:rPr>
            <w:noProof/>
            <w:webHidden/>
          </w:rPr>
          <w:instrText xml:space="preserve"> PAGEREF _Toc509935553 \h </w:instrText>
        </w:r>
        <w:r w:rsidR="00BC01B1">
          <w:rPr>
            <w:noProof/>
            <w:webHidden/>
          </w:rPr>
        </w:r>
        <w:r w:rsidR="00BC01B1">
          <w:rPr>
            <w:noProof/>
            <w:webHidden/>
          </w:rPr>
          <w:fldChar w:fldCharType="separate"/>
        </w:r>
        <w:r>
          <w:rPr>
            <w:noProof/>
            <w:webHidden/>
          </w:rPr>
          <w:t>229</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54" w:history="1">
        <w:r w:rsidR="00BC01B1" w:rsidRPr="005D5DCB">
          <w:rPr>
            <w:rStyle w:val="Hyperlink"/>
            <w:noProof/>
          </w:rPr>
          <w:t>5.4.4.4.</w:t>
        </w:r>
        <w:r w:rsidR="00BC01B1">
          <w:rPr>
            <w:rFonts w:asciiTheme="minorHAnsi" w:eastAsiaTheme="minorEastAsia" w:hAnsiTheme="minorHAnsi" w:cstheme="minorBidi"/>
            <w:noProof/>
          </w:rPr>
          <w:tab/>
        </w:r>
        <w:r w:rsidR="00BC01B1" w:rsidRPr="005D5DCB">
          <w:rPr>
            <w:rStyle w:val="Hyperlink"/>
            <w:noProof/>
          </w:rPr>
          <w:t>Programa de implementação de caixas secas para controle de erosão e infiltração</w:t>
        </w:r>
        <w:r w:rsidR="00BC01B1">
          <w:rPr>
            <w:noProof/>
            <w:webHidden/>
          </w:rPr>
          <w:tab/>
        </w:r>
        <w:r w:rsidR="00BC01B1">
          <w:rPr>
            <w:noProof/>
            <w:webHidden/>
          </w:rPr>
          <w:fldChar w:fldCharType="begin"/>
        </w:r>
        <w:r w:rsidR="00BC01B1">
          <w:rPr>
            <w:noProof/>
            <w:webHidden/>
          </w:rPr>
          <w:instrText xml:space="preserve"> PAGEREF _Toc509935554 \h </w:instrText>
        </w:r>
        <w:r w:rsidR="00BC01B1">
          <w:rPr>
            <w:noProof/>
            <w:webHidden/>
          </w:rPr>
        </w:r>
        <w:r w:rsidR="00BC01B1">
          <w:rPr>
            <w:noProof/>
            <w:webHidden/>
          </w:rPr>
          <w:fldChar w:fldCharType="separate"/>
        </w:r>
        <w:r>
          <w:rPr>
            <w:noProof/>
            <w:webHidden/>
          </w:rPr>
          <w:t>229</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55" w:history="1">
        <w:r w:rsidR="00BC01B1" w:rsidRPr="005D5DCB">
          <w:rPr>
            <w:rStyle w:val="Hyperlink"/>
            <w:noProof/>
          </w:rPr>
          <w:t>5.4.4.5.</w:t>
        </w:r>
        <w:r w:rsidR="00BC01B1">
          <w:rPr>
            <w:rFonts w:asciiTheme="minorHAnsi" w:eastAsiaTheme="minorEastAsia" w:hAnsiTheme="minorHAnsi" w:cstheme="minorBidi"/>
            <w:noProof/>
          </w:rPr>
          <w:tab/>
        </w:r>
        <w:r w:rsidR="00BC01B1" w:rsidRPr="005D5DCB">
          <w:rPr>
            <w:rStyle w:val="Hyperlink"/>
            <w:noProof/>
          </w:rPr>
          <w:t>Plano de Manutenção</w:t>
        </w:r>
        <w:r w:rsidR="00BC01B1">
          <w:rPr>
            <w:noProof/>
            <w:webHidden/>
          </w:rPr>
          <w:tab/>
        </w:r>
        <w:r w:rsidR="00BC01B1">
          <w:rPr>
            <w:noProof/>
            <w:webHidden/>
          </w:rPr>
          <w:fldChar w:fldCharType="begin"/>
        </w:r>
        <w:r w:rsidR="00BC01B1">
          <w:rPr>
            <w:noProof/>
            <w:webHidden/>
          </w:rPr>
          <w:instrText xml:space="preserve"> PAGEREF _Toc509935555 \h </w:instrText>
        </w:r>
        <w:r w:rsidR="00BC01B1">
          <w:rPr>
            <w:noProof/>
            <w:webHidden/>
          </w:rPr>
        </w:r>
        <w:r w:rsidR="00BC01B1">
          <w:rPr>
            <w:noProof/>
            <w:webHidden/>
          </w:rPr>
          <w:fldChar w:fldCharType="separate"/>
        </w:r>
        <w:r>
          <w:rPr>
            <w:noProof/>
            <w:webHidden/>
          </w:rPr>
          <w:t>230</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56" w:history="1">
        <w:r w:rsidR="00BC01B1" w:rsidRPr="005D5DCB">
          <w:rPr>
            <w:rStyle w:val="Hyperlink"/>
            <w:noProof/>
          </w:rPr>
          <w:t>5.4.4.6.</w:t>
        </w:r>
        <w:r w:rsidR="00BC01B1">
          <w:rPr>
            <w:rFonts w:asciiTheme="minorHAnsi" w:eastAsiaTheme="minorEastAsia" w:hAnsiTheme="minorHAnsi" w:cstheme="minorBidi"/>
            <w:noProof/>
          </w:rPr>
          <w:tab/>
        </w:r>
        <w:r w:rsidR="00BC01B1" w:rsidRPr="005D5DCB">
          <w:rPr>
            <w:rStyle w:val="Hyperlink"/>
            <w:noProof/>
          </w:rPr>
          <w:t>Procedimentos e rotinas</w:t>
        </w:r>
        <w:r w:rsidR="00BC01B1">
          <w:rPr>
            <w:noProof/>
            <w:webHidden/>
          </w:rPr>
          <w:tab/>
        </w:r>
        <w:r w:rsidR="00BC01B1">
          <w:rPr>
            <w:noProof/>
            <w:webHidden/>
          </w:rPr>
          <w:fldChar w:fldCharType="begin"/>
        </w:r>
        <w:r w:rsidR="00BC01B1">
          <w:rPr>
            <w:noProof/>
            <w:webHidden/>
          </w:rPr>
          <w:instrText xml:space="preserve"> PAGEREF _Toc509935556 \h </w:instrText>
        </w:r>
        <w:r w:rsidR="00BC01B1">
          <w:rPr>
            <w:noProof/>
            <w:webHidden/>
          </w:rPr>
        </w:r>
        <w:r w:rsidR="00BC01B1">
          <w:rPr>
            <w:noProof/>
            <w:webHidden/>
          </w:rPr>
          <w:fldChar w:fldCharType="separate"/>
        </w:r>
        <w:r>
          <w:rPr>
            <w:noProof/>
            <w:webHidden/>
          </w:rPr>
          <w:t>231</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57" w:history="1">
        <w:r w:rsidR="00BC01B1" w:rsidRPr="005D5DCB">
          <w:rPr>
            <w:rStyle w:val="Hyperlink"/>
            <w:noProof/>
          </w:rPr>
          <w:t>5.4.5.</w:t>
        </w:r>
        <w:r w:rsidR="00BC01B1">
          <w:rPr>
            <w:rFonts w:asciiTheme="minorHAnsi" w:eastAsiaTheme="minorEastAsia" w:hAnsiTheme="minorHAnsi" w:cstheme="minorBidi"/>
            <w:i w:val="0"/>
            <w:noProof/>
            <w:sz w:val="22"/>
            <w:lang w:eastAsia="pt-BR"/>
          </w:rPr>
          <w:tab/>
        </w:r>
        <w:r w:rsidR="00BC01B1" w:rsidRPr="005D5DCB">
          <w:rPr>
            <w:rStyle w:val="Hyperlink"/>
            <w:noProof/>
          </w:rPr>
          <w:t>Ações para emergência e contingência</w:t>
        </w:r>
        <w:r w:rsidR="00BC01B1">
          <w:rPr>
            <w:noProof/>
            <w:webHidden/>
          </w:rPr>
          <w:tab/>
        </w:r>
        <w:r w:rsidR="00BC01B1">
          <w:rPr>
            <w:noProof/>
            <w:webHidden/>
          </w:rPr>
          <w:fldChar w:fldCharType="begin"/>
        </w:r>
        <w:r w:rsidR="00BC01B1">
          <w:rPr>
            <w:noProof/>
            <w:webHidden/>
          </w:rPr>
          <w:instrText xml:space="preserve"> PAGEREF _Toc509935557 \h </w:instrText>
        </w:r>
        <w:r w:rsidR="00BC01B1">
          <w:rPr>
            <w:noProof/>
            <w:webHidden/>
          </w:rPr>
        </w:r>
        <w:r w:rsidR="00BC01B1">
          <w:rPr>
            <w:noProof/>
            <w:webHidden/>
          </w:rPr>
          <w:fldChar w:fldCharType="separate"/>
        </w:r>
        <w:r>
          <w:rPr>
            <w:noProof/>
            <w:webHidden/>
          </w:rPr>
          <w:t>233</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58" w:history="1">
        <w:r w:rsidR="00BC01B1" w:rsidRPr="005D5DCB">
          <w:rPr>
            <w:rStyle w:val="Hyperlink"/>
            <w:noProof/>
          </w:rPr>
          <w:t>5.4.5.1.</w:t>
        </w:r>
        <w:r w:rsidR="00BC01B1">
          <w:rPr>
            <w:rFonts w:asciiTheme="minorHAnsi" w:eastAsiaTheme="minorEastAsia" w:hAnsiTheme="minorHAnsi" w:cstheme="minorBidi"/>
            <w:noProof/>
          </w:rPr>
          <w:tab/>
        </w:r>
        <w:r w:rsidR="00BC01B1" w:rsidRPr="005D5DCB">
          <w:rPr>
            <w:rStyle w:val="Hyperlink"/>
            <w:noProof/>
          </w:rPr>
          <w:t>Evento operacional</w:t>
        </w:r>
        <w:r w:rsidR="00BC01B1">
          <w:rPr>
            <w:noProof/>
            <w:webHidden/>
          </w:rPr>
          <w:tab/>
        </w:r>
        <w:r w:rsidR="00BC01B1">
          <w:rPr>
            <w:noProof/>
            <w:webHidden/>
          </w:rPr>
          <w:fldChar w:fldCharType="begin"/>
        </w:r>
        <w:r w:rsidR="00BC01B1">
          <w:rPr>
            <w:noProof/>
            <w:webHidden/>
          </w:rPr>
          <w:instrText xml:space="preserve"> PAGEREF _Toc509935558 \h </w:instrText>
        </w:r>
        <w:r w:rsidR="00BC01B1">
          <w:rPr>
            <w:noProof/>
            <w:webHidden/>
          </w:rPr>
        </w:r>
        <w:r w:rsidR="00BC01B1">
          <w:rPr>
            <w:noProof/>
            <w:webHidden/>
          </w:rPr>
          <w:fldChar w:fldCharType="separate"/>
        </w:r>
        <w:r>
          <w:rPr>
            <w:noProof/>
            <w:webHidden/>
          </w:rPr>
          <w:t>233</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59" w:history="1">
        <w:r w:rsidR="00BC01B1" w:rsidRPr="005D5DCB">
          <w:rPr>
            <w:rStyle w:val="Hyperlink"/>
            <w:noProof/>
          </w:rPr>
          <w:t>5.4.5.2.</w:t>
        </w:r>
        <w:r w:rsidR="00BC01B1">
          <w:rPr>
            <w:rFonts w:asciiTheme="minorHAnsi" w:eastAsiaTheme="minorEastAsia" w:hAnsiTheme="minorHAnsi" w:cstheme="minorBidi"/>
            <w:noProof/>
          </w:rPr>
          <w:tab/>
        </w:r>
        <w:r w:rsidR="00BC01B1" w:rsidRPr="005D5DCB">
          <w:rPr>
            <w:rStyle w:val="Hyperlink"/>
            <w:noProof/>
          </w:rPr>
          <w:t>Evento de gestão e gerenciamento</w:t>
        </w:r>
        <w:r w:rsidR="00BC01B1">
          <w:rPr>
            <w:noProof/>
            <w:webHidden/>
          </w:rPr>
          <w:tab/>
        </w:r>
        <w:r w:rsidR="00BC01B1">
          <w:rPr>
            <w:noProof/>
            <w:webHidden/>
          </w:rPr>
          <w:fldChar w:fldCharType="begin"/>
        </w:r>
        <w:r w:rsidR="00BC01B1">
          <w:rPr>
            <w:noProof/>
            <w:webHidden/>
          </w:rPr>
          <w:instrText xml:space="preserve"> PAGEREF _Toc509935559 \h </w:instrText>
        </w:r>
        <w:r w:rsidR="00BC01B1">
          <w:rPr>
            <w:noProof/>
            <w:webHidden/>
          </w:rPr>
        </w:r>
        <w:r w:rsidR="00BC01B1">
          <w:rPr>
            <w:noProof/>
            <w:webHidden/>
          </w:rPr>
          <w:fldChar w:fldCharType="separate"/>
        </w:r>
        <w:r>
          <w:rPr>
            <w:noProof/>
            <w:webHidden/>
          </w:rPr>
          <w:t>233</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60" w:history="1">
        <w:r w:rsidR="00BC01B1" w:rsidRPr="005D5DCB">
          <w:rPr>
            <w:rStyle w:val="Hyperlink"/>
            <w:noProof/>
          </w:rPr>
          <w:t>5.4.5.3.</w:t>
        </w:r>
        <w:r w:rsidR="00BC01B1">
          <w:rPr>
            <w:rFonts w:asciiTheme="minorHAnsi" w:eastAsiaTheme="minorEastAsia" w:hAnsiTheme="minorHAnsi" w:cstheme="minorBidi"/>
            <w:noProof/>
          </w:rPr>
          <w:tab/>
        </w:r>
        <w:r w:rsidR="00BC01B1" w:rsidRPr="005D5DCB">
          <w:rPr>
            <w:rStyle w:val="Hyperlink"/>
            <w:noProof/>
          </w:rPr>
          <w:t>Eventos imprevisíveis</w:t>
        </w:r>
        <w:r w:rsidR="00BC01B1">
          <w:rPr>
            <w:noProof/>
            <w:webHidden/>
          </w:rPr>
          <w:tab/>
        </w:r>
        <w:r w:rsidR="00BC01B1">
          <w:rPr>
            <w:noProof/>
            <w:webHidden/>
          </w:rPr>
          <w:fldChar w:fldCharType="begin"/>
        </w:r>
        <w:r w:rsidR="00BC01B1">
          <w:rPr>
            <w:noProof/>
            <w:webHidden/>
          </w:rPr>
          <w:instrText xml:space="preserve"> PAGEREF _Toc509935560 \h </w:instrText>
        </w:r>
        <w:r w:rsidR="00BC01B1">
          <w:rPr>
            <w:noProof/>
            <w:webHidden/>
          </w:rPr>
        </w:r>
        <w:r w:rsidR="00BC01B1">
          <w:rPr>
            <w:noProof/>
            <w:webHidden/>
          </w:rPr>
          <w:fldChar w:fldCharType="separate"/>
        </w:r>
        <w:r>
          <w:rPr>
            <w:noProof/>
            <w:webHidden/>
          </w:rPr>
          <w:t>233</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61" w:history="1">
        <w:r w:rsidR="00BC01B1" w:rsidRPr="005D5DCB">
          <w:rPr>
            <w:rStyle w:val="Hyperlink"/>
            <w:noProof/>
          </w:rPr>
          <w:t>5.4.6.</w:t>
        </w:r>
        <w:r w:rsidR="00BC01B1">
          <w:rPr>
            <w:rFonts w:asciiTheme="minorHAnsi" w:eastAsiaTheme="minorEastAsia" w:hAnsiTheme="minorHAnsi" w:cstheme="minorBidi"/>
            <w:i w:val="0"/>
            <w:noProof/>
            <w:sz w:val="22"/>
            <w:lang w:eastAsia="pt-BR"/>
          </w:rPr>
          <w:tab/>
        </w:r>
        <w:r w:rsidR="00BC01B1" w:rsidRPr="005D5DCB">
          <w:rPr>
            <w:rStyle w:val="Hyperlink"/>
            <w:noProof/>
          </w:rPr>
          <w:t>Particularidades regionais</w:t>
        </w:r>
        <w:r w:rsidR="00BC01B1">
          <w:rPr>
            <w:noProof/>
            <w:webHidden/>
          </w:rPr>
          <w:tab/>
        </w:r>
        <w:r w:rsidR="00BC01B1">
          <w:rPr>
            <w:noProof/>
            <w:webHidden/>
          </w:rPr>
          <w:fldChar w:fldCharType="begin"/>
        </w:r>
        <w:r w:rsidR="00BC01B1">
          <w:rPr>
            <w:noProof/>
            <w:webHidden/>
          </w:rPr>
          <w:instrText xml:space="preserve"> PAGEREF _Toc509935561 \h </w:instrText>
        </w:r>
        <w:r w:rsidR="00BC01B1">
          <w:rPr>
            <w:noProof/>
            <w:webHidden/>
          </w:rPr>
        </w:r>
        <w:r w:rsidR="00BC01B1">
          <w:rPr>
            <w:noProof/>
            <w:webHidden/>
          </w:rPr>
          <w:fldChar w:fldCharType="separate"/>
        </w:r>
        <w:r>
          <w:rPr>
            <w:noProof/>
            <w:webHidden/>
          </w:rPr>
          <w:t>236</w:t>
        </w:r>
        <w:r w:rsidR="00BC01B1">
          <w:rPr>
            <w:noProof/>
            <w:webHidden/>
          </w:rPr>
          <w:fldChar w:fldCharType="end"/>
        </w:r>
      </w:hyperlink>
    </w:p>
    <w:p w:rsidR="00BC01B1" w:rsidRDefault="001B481B">
      <w:pPr>
        <w:pStyle w:val="Sumrio2"/>
        <w:tabs>
          <w:tab w:val="left" w:pos="1134"/>
        </w:tabs>
        <w:rPr>
          <w:rFonts w:asciiTheme="minorHAnsi" w:eastAsiaTheme="minorEastAsia" w:hAnsiTheme="minorHAnsi" w:cstheme="minorBidi"/>
          <w:noProof/>
          <w:sz w:val="22"/>
          <w:lang w:eastAsia="pt-BR"/>
        </w:rPr>
      </w:pPr>
      <w:hyperlink w:anchor="_Toc509935562" w:history="1">
        <w:r w:rsidR="00BC01B1" w:rsidRPr="005D5DCB">
          <w:rPr>
            <w:rStyle w:val="Hyperlink"/>
            <w:noProof/>
          </w:rPr>
          <w:t>5.5.</w:t>
        </w:r>
        <w:r w:rsidR="00BC01B1">
          <w:rPr>
            <w:rFonts w:asciiTheme="minorHAnsi" w:eastAsiaTheme="minorEastAsia" w:hAnsiTheme="minorHAnsi" w:cstheme="minorBidi"/>
            <w:noProof/>
            <w:sz w:val="22"/>
            <w:lang w:eastAsia="pt-BR"/>
          </w:rPr>
          <w:tab/>
        </w:r>
        <w:r w:rsidR="00BC01B1" w:rsidRPr="005D5DCB">
          <w:rPr>
            <w:rStyle w:val="Hyperlink"/>
            <w:noProof/>
          </w:rPr>
          <w:t>Sistema de Limpeza Urbana e Manejo de Resíduos Sólidos</w:t>
        </w:r>
        <w:r w:rsidR="00BC01B1">
          <w:rPr>
            <w:noProof/>
            <w:webHidden/>
          </w:rPr>
          <w:tab/>
        </w:r>
        <w:r w:rsidR="00BC01B1">
          <w:rPr>
            <w:noProof/>
            <w:webHidden/>
          </w:rPr>
          <w:fldChar w:fldCharType="begin"/>
        </w:r>
        <w:r w:rsidR="00BC01B1">
          <w:rPr>
            <w:noProof/>
            <w:webHidden/>
          </w:rPr>
          <w:instrText xml:space="preserve"> PAGEREF _Toc509935562 \h </w:instrText>
        </w:r>
        <w:r w:rsidR="00BC01B1">
          <w:rPr>
            <w:noProof/>
            <w:webHidden/>
          </w:rPr>
        </w:r>
        <w:r w:rsidR="00BC01B1">
          <w:rPr>
            <w:noProof/>
            <w:webHidden/>
          </w:rPr>
          <w:fldChar w:fldCharType="separate"/>
        </w:r>
        <w:r>
          <w:rPr>
            <w:noProof/>
            <w:webHidden/>
          </w:rPr>
          <w:t>238</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63" w:history="1">
        <w:r w:rsidR="00BC01B1" w:rsidRPr="005D5DCB">
          <w:rPr>
            <w:rStyle w:val="Hyperlink"/>
            <w:noProof/>
          </w:rPr>
          <w:t>5.5.1.</w:t>
        </w:r>
        <w:r w:rsidR="00BC01B1">
          <w:rPr>
            <w:rFonts w:asciiTheme="minorHAnsi" w:eastAsiaTheme="minorEastAsia" w:hAnsiTheme="minorHAnsi" w:cstheme="minorBidi"/>
            <w:i w:val="0"/>
            <w:noProof/>
            <w:sz w:val="22"/>
            <w:lang w:eastAsia="pt-BR"/>
          </w:rPr>
          <w:tab/>
        </w:r>
        <w:r w:rsidR="00BC01B1" w:rsidRPr="005D5DCB">
          <w:rPr>
            <w:rStyle w:val="Hyperlink"/>
            <w:noProof/>
          </w:rPr>
          <w:t>Proposição de cenários</w:t>
        </w:r>
        <w:r w:rsidR="00BC01B1">
          <w:rPr>
            <w:noProof/>
            <w:webHidden/>
          </w:rPr>
          <w:tab/>
        </w:r>
        <w:r w:rsidR="00BC01B1">
          <w:rPr>
            <w:noProof/>
            <w:webHidden/>
          </w:rPr>
          <w:fldChar w:fldCharType="begin"/>
        </w:r>
        <w:r w:rsidR="00BC01B1">
          <w:rPr>
            <w:noProof/>
            <w:webHidden/>
          </w:rPr>
          <w:instrText xml:space="preserve"> PAGEREF _Toc509935563 \h </w:instrText>
        </w:r>
        <w:r w:rsidR="00BC01B1">
          <w:rPr>
            <w:noProof/>
            <w:webHidden/>
          </w:rPr>
        </w:r>
        <w:r w:rsidR="00BC01B1">
          <w:rPr>
            <w:noProof/>
            <w:webHidden/>
          </w:rPr>
          <w:fldChar w:fldCharType="separate"/>
        </w:r>
        <w:r>
          <w:rPr>
            <w:noProof/>
            <w:webHidden/>
          </w:rPr>
          <w:t>238</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64" w:history="1">
        <w:r w:rsidR="00BC01B1" w:rsidRPr="005D5DCB">
          <w:rPr>
            <w:rStyle w:val="Hyperlink"/>
            <w:noProof/>
          </w:rPr>
          <w:t>5.5.2.</w:t>
        </w:r>
        <w:r w:rsidR="00BC01B1">
          <w:rPr>
            <w:rFonts w:asciiTheme="minorHAnsi" w:eastAsiaTheme="minorEastAsia" w:hAnsiTheme="minorHAnsi" w:cstheme="minorBidi"/>
            <w:i w:val="0"/>
            <w:noProof/>
            <w:sz w:val="22"/>
            <w:lang w:eastAsia="pt-BR"/>
          </w:rPr>
          <w:tab/>
        </w:r>
        <w:r w:rsidR="00BC01B1" w:rsidRPr="005D5DCB">
          <w:rPr>
            <w:rStyle w:val="Hyperlink"/>
            <w:noProof/>
          </w:rPr>
          <w:t>Objetivos e metas</w:t>
        </w:r>
        <w:r w:rsidR="00BC01B1">
          <w:rPr>
            <w:noProof/>
            <w:webHidden/>
          </w:rPr>
          <w:tab/>
        </w:r>
        <w:r w:rsidR="00BC01B1">
          <w:rPr>
            <w:noProof/>
            <w:webHidden/>
          </w:rPr>
          <w:fldChar w:fldCharType="begin"/>
        </w:r>
        <w:r w:rsidR="00BC01B1">
          <w:rPr>
            <w:noProof/>
            <w:webHidden/>
          </w:rPr>
          <w:instrText xml:space="preserve"> PAGEREF _Toc509935564 \h </w:instrText>
        </w:r>
        <w:r w:rsidR="00BC01B1">
          <w:rPr>
            <w:noProof/>
            <w:webHidden/>
          </w:rPr>
        </w:r>
        <w:r w:rsidR="00BC01B1">
          <w:rPr>
            <w:noProof/>
            <w:webHidden/>
          </w:rPr>
          <w:fldChar w:fldCharType="separate"/>
        </w:r>
        <w:r>
          <w:rPr>
            <w:noProof/>
            <w:webHidden/>
          </w:rPr>
          <w:t>241</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65" w:history="1">
        <w:r w:rsidR="00BC01B1" w:rsidRPr="005D5DCB">
          <w:rPr>
            <w:rStyle w:val="Hyperlink"/>
            <w:noProof/>
          </w:rPr>
          <w:t>5.5.3.</w:t>
        </w:r>
        <w:r w:rsidR="00BC01B1">
          <w:rPr>
            <w:rFonts w:asciiTheme="minorHAnsi" w:eastAsiaTheme="minorEastAsia" w:hAnsiTheme="minorHAnsi" w:cstheme="minorBidi"/>
            <w:i w:val="0"/>
            <w:noProof/>
            <w:sz w:val="22"/>
            <w:lang w:eastAsia="pt-BR"/>
          </w:rPr>
          <w:tab/>
        </w:r>
        <w:r w:rsidR="00BC01B1" w:rsidRPr="005D5DCB">
          <w:rPr>
            <w:rStyle w:val="Hyperlink"/>
            <w:noProof/>
          </w:rPr>
          <w:t>Programas, projetos e ações para o sistema de limpeza urbana e manejo de resíduos sólidos</w:t>
        </w:r>
        <w:r w:rsidR="00BC01B1">
          <w:rPr>
            <w:noProof/>
            <w:webHidden/>
          </w:rPr>
          <w:tab/>
        </w:r>
        <w:r w:rsidR="00BC01B1">
          <w:rPr>
            <w:noProof/>
            <w:webHidden/>
          </w:rPr>
          <w:fldChar w:fldCharType="begin"/>
        </w:r>
        <w:r w:rsidR="00BC01B1">
          <w:rPr>
            <w:noProof/>
            <w:webHidden/>
          </w:rPr>
          <w:instrText xml:space="preserve"> PAGEREF _Toc509935565 \h </w:instrText>
        </w:r>
        <w:r w:rsidR="00BC01B1">
          <w:rPr>
            <w:noProof/>
            <w:webHidden/>
          </w:rPr>
        </w:r>
        <w:r w:rsidR="00BC01B1">
          <w:rPr>
            <w:noProof/>
            <w:webHidden/>
          </w:rPr>
          <w:fldChar w:fldCharType="separate"/>
        </w:r>
        <w:r>
          <w:rPr>
            <w:noProof/>
            <w:webHidden/>
          </w:rPr>
          <w:t>246</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66" w:history="1">
        <w:r w:rsidR="00BC01B1" w:rsidRPr="005D5DCB">
          <w:rPr>
            <w:rStyle w:val="Hyperlink"/>
            <w:noProof/>
          </w:rPr>
          <w:t>5.5.4.</w:t>
        </w:r>
        <w:r w:rsidR="00BC01B1">
          <w:rPr>
            <w:rFonts w:asciiTheme="minorHAnsi" w:eastAsiaTheme="minorEastAsia" w:hAnsiTheme="minorHAnsi" w:cstheme="minorBidi"/>
            <w:i w:val="0"/>
            <w:noProof/>
            <w:sz w:val="22"/>
            <w:lang w:eastAsia="pt-BR"/>
          </w:rPr>
          <w:tab/>
        </w:r>
        <w:r w:rsidR="00BC01B1" w:rsidRPr="005D5DCB">
          <w:rPr>
            <w:rStyle w:val="Hyperlink"/>
            <w:noProof/>
          </w:rPr>
          <w:t>Detalhamento de ações</w:t>
        </w:r>
        <w:r w:rsidR="00BC01B1">
          <w:rPr>
            <w:noProof/>
            <w:webHidden/>
          </w:rPr>
          <w:tab/>
        </w:r>
        <w:r w:rsidR="00BC01B1">
          <w:rPr>
            <w:noProof/>
            <w:webHidden/>
          </w:rPr>
          <w:fldChar w:fldCharType="begin"/>
        </w:r>
        <w:r w:rsidR="00BC01B1">
          <w:rPr>
            <w:noProof/>
            <w:webHidden/>
          </w:rPr>
          <w:instrText xml:space="preserve"> PAGEREF _Toc509935566 \h </w:instrText>
        </w:r>
        <w:r w:rsidR="00BC01B1">
          <w:rPr>
            <w:noProof/>
            <w:webHidden/>
          </w:rPr>
        </w:r>
        <w:r w:rsidR="00BC01B1">
          <w:rPr>
            <w:noProof/>
            <w:webHidden/>
          </w:rPr>
          <w:fldChar w:fldCharType="separate"/>
        </w:r>
        <w:r>
          <w:rPr>
            <w:noProof/>
            <w:webHidden/>
          </w:rPr>
          <w:t>265</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67" w:history="1">
        <w:r w:rsidR="00BC01B1" w:rsidRPr="005D5DCB">
          <w:rPr>
            <w:rStyle w:val="Hyperlink"/>
            <w:noProof/>
          </w:rPr>
          <w:t>5.5.4.1.</w:t>
        </w:r>
        <w:r w:rsidR="00BC01B1">
          <w:rPr>
            <w:rFonts w:asciiTheme="minorHAnsi" w:eastAsiaTheme="minorEastAsia" w:hAnsiTheme="minorHAnsi" w:cstheme="minorBidi"/>
            <w:noProof/>
          </w:rPr>
          <w:tab/>
        </w:r>
        <w:r w:rsidR="00BC01B1" w:rsidRPr="005D5DCB">
          <w:rPr>
            <w:rStyle w:val="Hyperlink"/>
            <w:noProof/>
          </w:rPr>
          <w:t>Mecanismos para criação de fontes de negócios, emprego e renda, mediante a valorização dos resíduos sólidos</w:t>
        </w:r>
        <w:r w:rsidR="00BC01B1">
          <w:rPr>
            <w:noProof/>
            <w:webHidden/>
          </w:rPr>
          <w:tab/>
        </w:r>
        <w:r w:rsidR="00BC01B1">
          <w:rPr>
            <w:noProof/>
            <w:webHidden/>
          </w:rPr>
          <w:fldChar w:fldCharType="begin"/>
        </w:r>
        <w:r w:rsidR="00BC01B1">
          <w:rPr>
            <w:noProof/>
            <w:webHidden/>
          </w:rPr>
          <w:instrText xml:space="preserve"> PAGEREF _Toc509935567 \h </w:instrText>
        </w:r>
        <w:r w:rsidR="00BC01B1">
          <w:rPr>
            <w:noProof/>
            <w:webHidden/>
          </w:rPr>
        </w:r>
        <w:r w:rsidR="00BC01B1">
          <w:rPr>
            <w:noProof/>
            <w:webHidden/>
          </w:rPr>
          <w:fldChar w:fldCharType="separate"/>
        </w:r>
        <w:r>
          <w:rPr>
            <w:noProof/>
            <w:webHidden/>
          </w:rPr>
          <w:t>265</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68" w:history="1">
        <w:r w:rsidR="00BC01B1" w:rsidRPr="005D5DCB">
          <w:rPr>
            <w:rStyle w:val="Hyperlink"/>
            <w:noProof/>
          </w:rPr>
          <w:t>5.5.4.2.</w:t>
        </w:r>
        <w:r w:rsidR="00BC01B1">
          <w:rPr>
            <w:rFonts w:asciiTheme="minorHAnsi" w:eastAsiaTheme="minorEastAsia" w:hAnsiTheme="minorHAnsi" w:cstheme="minorBidi"/>
            <w:noProof/>
          </w:rPr>
          <w:tab/>
        </w:r>
        <w:r w:rsidR="00BC01B1" w:rsidRPr="005D5DCB">
          <w:rPr>
            <w:rStyle w:val="Hyperlink"/>
            <w:noProof/>
          </w:rPr>
          <w:t>Programa de inclusão de catadores organizados na coleta seletiva municipal</w:t>
        </w:r>
        <w:r w:rsidR="009B0332">
          <w:rPr>
            <w:rStyle w:val="Hyperlink"/>
            <w:noProof/>
          </w:rPr>
          <w:t>..</w:t>
        </w:r>
        <w:r w:rsidR="00BC01B1">
          <w:rPr>
            <w:noProof/>
            <w:webHidden/>
          </w:rPr>
          <w:tab/>
        </w:r>
        <w:r w:rsidR="00BC01B1">
          <w:rPr>
            <w:noProof/>
            <w:webHidden/>
          </w:rPr>
          <w:fldChar w:fldCharType="begin"/>
        </w:r>
        <w:r w:rsidR="00BC01B1">
          <w:rPr>
            <w:noProof/>
            <w:webHidden/>
          </w:rPr>
          <w:instrText xml:space="preserve"> PAGEREF _Toc509935568 \h </w:instrText>
        </w:r>
        <w:r w:rsidR="00BC01B1">
          <w:rPr>
            <w:noProof/>
            <w:webHidden/>
          </w:rPr>
        </w:r>
        <w:r w:rsidR="00BC01B1">
          <w:rPr>
            <w:noProof/>
            <w:webHidden/>
          </w:rPr>
          <w:fldChar w:fldCharType="separate"/>
        </w:r>
        <w:r>
          <w:rPr>
            <w:noProof/>
            <w:webHidden/>
          </w:rPr>
          <w:t>268</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69" w:history="1">
        <w:r w:rsidR="00BC01B1" w:rsidRPr="005D5DCB">
          <w:rPr>
            <w:rStyle w:val="Hyperlink"/>
            <w:noProof/>
          </w:rPr>
          <w:t>5.5.4.3.</w:t>
        </w:r>
        <w:r w:rsidR="00BC01B1">
          <w:rPr>
            <w:rFonts w:asciiTheme="minorHAnsi" w:eastAsiaTheme="minorEastAsia" w:hAnsiTheme="minorHAnsi" w:cstheme="minorBidi"/>
            <w:noProof/>
          </w:rPr>
          <w:tab/>
        </w:r>
        <w:r w:rsidR="00BC01B1" w:rsidRPr="005D5DCB">
          <w:rPr>
            <w:rStyle w:val="Hyperlink"/>
            <w:noProof/>
          </w:rPr>
          <w:t>Como implantar coleta seletiva com participação dos catadores de materiais recicláveis nos municípios</w:t>
        </w:r>
        <w:r w:rsidR="00BC01B1">
          <w:rPr>
            <w:noProof/>
            <w:webHidden/>
          </w:rPr>
          <w:tab/>
        </w:r>
        <w:r w:rsidR="00BC01B1">
          <w:rPr>
            <w:noProof/>
            <w:webHidden/>
          </w:rPr>
          <w:fldChar w:fldCharType="begin"/>
        </w:r>
        <w:r w:rsidR="00BC01B1">
          <w:rPr>
            <w:noProof/>
            <w:webHidden/>
          </w:rPr>
          <w:instrText xml:space="preserve"> PAGEREF _Toc509935569 \h </w:instrText>
        </w:r>
        <w:r w:rsidR="00BC01B1">
          <w:rPr>
            <w:noProof/>
            <w:webHidden/>
          </w:rPr>
        </w:r>
        <w:r w:rsidR="00BC01B1">
          <w:rPr>
            <w:noProof/>
            <w:webHidden/>
          </w:rPr>
          <w:fldChar w:fldCharType="separate"/>
        </w:r>
        <w:r>
          <w:rPr>
            <w:noProof/>
            <w:webHidden/>
          </w:rPr>
          <w:t>270</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70" w:history="1">
        <w:r w:rsidR="00BC01B1" w:rsidRPr="005D5DCB">
          <w:rPr>
            <w:rStyle w:val="Hyperlink"/>
            <w:noProof/>
          </w:rPr>
          <w:t>5.5.4.4.</w:t>
        </w:r>
        <w:r w:rsidR="00BC01B1">
          <w:rPr>
            <w:rFonts w:asciiTheme="minorHAnsi" w:eastAsiaTheme="minorEastAsia" w:hAnsiTheme="minorHAnsi" w:cstheme="minorBidi"/>
            <w:noProof/>
          </w:rPr>
          <w:tab/>
        </w:r>
        <w:r w:rsidR="00BC01B1" w:rsidRPr="005D5DCB">
          <w:rPr>
            <w:rStyle w:val="Hyperlink"/>
            <w:noProof/>
          </w:rPr>
          <w:t>Etapas e metodologia para sua implantação</w:t>
        </w:r>
        <w:r w:rsidR="00BC01B1">
          <w:rPr>
            <w:noProof/>
            <w:webHidden/>
          </w:rPr>
          <w:tab/>
        </w:r>
        <w:r w:rsidR="00BC01B1">
          <w:rPr>
            <w:noProof/>
            <w:webHidden/>
          </w:rPr>
          <w:fldChar w:fldCharType="begin"/>
        </w:r>
        <w:r w:rsidR="00BC01B1">
          <w:rPr>
            <w:noProof/>
            <w:webHidden/>
          </w:rPr>
          <w:instrText xml:space="preserve"> PAGEREF _Toc509935570 \h </w:instrText>
        </w:r>
        <w:r w:rsidR="00BC01B1">
          <w:rPr>
            <w:noProof/>
            <w:webHidden/>
          </w:rPr>
        </w:r>
        <w:r w:rsidR="00BC01B1">
          <w:rPr>
            <w:noProof/>
            <w:webHidden/>
          </w:rPr>
          <w:fldChar w:fldCharType="separate"/>
        </w:r>
        <w:r>
          <w:rPr>
            <w:noProof/>
            <w:webHidden/>
          </w:rPr>
          <w:t>271</w:t>
        </w:r>
        <w:r w:rsidR="00BC01B1">
          <w:rPr>
            <w:noProof/>
            <w:webHidden/>
          </w:rPr>
          <w:fldChar w:fldCharType="end"/>
        </w:r>
      </w:hyperlink>
    </w:p>
    <w:p w:rsidR="00BC01B1" w:rsidRDefault="001B481B">
      <w:pPr>
        <w:pStyle w:val="Sumrio5"/>
        <w:tabs>
          <w:tab w:val="left" w:pos="2271"/>
        </w:tabs>
        <w:rPr>
          <w:rFonts w:asciiTheme="minorHAnsi" w:eastAsiaTheme="minorEastAsia" w:hAnsiTheme="minorHAnsi" w:cstheme="minorBidi"/>
          <w:i w:val="0"/>
          <w:noProof/>
        </w:rPr>
      </w:pPr>
      <w:hyperlink w:anchor="_Toc509935571" w:history="1">
        <w:r w:rsidR="00BC01B1" w:rsidRPr="005D5DCB">
          <w:rPr>
            <w:rStyle w:val="Hyperlink"/>
            <w:noProof/>
          </w:rPr>
          <w:t>5.5.4.4.1.</w:t>
        </w:r>
        <w:r w:rsidR="00BC01B1">
          <w:rPr>
            <w:rFonts w:asciiTheme="minorHAnsi" w:eastAsiaTheme="minorEastAsia" w:hAnsiTheme="minorHAnsi" w:cstheme="minorBidi"/>
            <w:i w:val="0"/>
            <w:noProof/>
          </w:rPr>
          <w:tab/>
        </w:r>
        <w:r w:rsidR="00BC01B1" w:rsidRPr="005D5DCB">
          <w:rPr>
            <w:rStyle w:val="Hyperlink"/>
            <w:noProof/>
          </w:rPr>
          <w:t>Projeto de Coleta e Triagem de Materiais Recicláveis</w:t>
        </w:r>
        <w:r w:rsidR="00BC01B1">
          <w:rPr>
            <w:noProof/>
            <w:webHidden/>
          </w:rPr>
          <w:tab/>
        </w:r>
        <w:r w:rsidR="00BC01B1">
          <w:rPr>
            <w:noProof/>
            <w:webHidden/>
          </w:rPr>
          <w:fldChar w:fldCharType="begin"/>
        </w:r>
        <w:r w:rsidR="00BC01B1">
          <w:rPr>
            <w:noProof/>
            <w:webHidden/>
          </w:rPr>
          <w:instrText xml:space="preserve"> PAGEREF _Toc509935571 \h </w:instrText>
        </w:r>
        <w:r w:rsidR="00BC01B1">
          <w:rPr>
            <w:noProof/>
            <w:webHidden/>
          </w:rPr>
        </w:r>
        <w:r w:rsidR="00BC01B1">
          <w:rPr>
            <w:noProof/>
            <w:webHidden/>
          </w:rPr>
          <w:fldChar w:fldCharType="separate"/>
        </w:r>
        <w:r>
          <w:rPr>
            <w:noProof/>
            <w:webHidden/>
          </w:rPr>
          <w:t>273</w:t>
        </w:r>
        <w:r w:rsidR="00BC01B1">
          <w:rPr>
            <w:noProof/>
            <w:webHidden/>
          </w:rPr>
          <w:fldChar w:fldCharType="end"/>
        </w:r>
      </w:hyperlink>
    </w:p>
    <w:p w:rsidR="00BC01B1" w:rsidRDefault="001B481B">
      <w:pPr>
        <w:pStyle w:val="Sumrio5"/>
        <w:tabs>
          <w:tab w:val="left" w:pos="2271"/>
        </w:tabs>
        <w:rPr>
          <w:rFonts w:asciiTheme="minorHAnsi" w:eastAsiaTheme="minorEastAsia" w:hAnsiTheme="minorHAnsi" w:cstheme="minorBidi"/>
          <w:i w:val="0"/>
          <w:noProof/>
        </w:rPr>
      </w:pPr>
      <w:hyperlink w:anchor="_Toc509935572" w:history="1">
        <w:r w:rsidR="00BC01B1" w:rsidRPr="005D5DCB">
          <w:rPr>
            <w:rStyle w:val="Hyperlink"/>
            <w:noProof/>
          </w:rPr>
          <w:t>5.5.4.4.2.</w:t>
        </w:r>
        <w:r w:rsidR="00BC01B1">
          <w:rPr>
            <w:rFonts w:asciiTheme="minorHAnsi" w:eastAsiaTheme="minorEastAsia" w:hAnsiTheme="minorHAnsi" w:cstheme="minorBidi"/>
            <w:i w:val="0"/>
            <w:noProof/>
          </w:rPr>
          <w:tab/>
        </w:r>
        <w:r w:rsidR="00BC01B1" w:rsidRPr="005D5DCB">
          <w:rPr>
            <w:rStyle w:val="Hyperlink"/>
            <w:noProof/>
          </w:rPr>
          <w:t>Projeto de Inclusão dos Catadores</w:t>
        </w:r>
        <w:r w:rsidR="00BC01B1">
          <w:rPr>
            <w:noProof/>
            <w:webHidden/>
          </w:rPr>
          <w:tab/>
        </w:r>
        <w:r w:rsidR="00BC01B1">
          <w:rPr>
            <w:noProof/>
            <w:webHidden/>
          </w:rPr>
          <w:fldChar w:fldCharType="begin"/>
        </w:r>
        <w:r w:rsidR="00BC01B1">
          <w:rPr>
            <w:noProof/>
            <w:webHidden/>
          </w:rPr>
          <w:instrText xml:space="preserve"> PAGEREF _Toc509935572 \h </w:instrText>
        </w:r>
        <w:r w:rsidR="00BC01B1">
          <w:rPr>
            <w:noProof/>
            <w:webHidden/>
          </w:rPr>
        </w:r>
        <w:r w:rsidR="00BC01B1">
          <w:rPr>
            <w:noProof/>
            <w:webHidden/>
          </w:rPr>
          <w:fldChar w:fldCharType="separate"/>
        </w:r>
        <w:r>
          <w:rPr>
            <w:noProof/>
            <w:webHidden/>
          </w:rPr>
          <w:t>275</w:t>
        </w:r>
        <w:r w:rsidR="00BC01B1">
          <w:rPr>
            <w:noProof/>
            <w:webHidden/>
          </w:rPr>
          <w:fldChar w:fldCharType="end"/>
        </w:r>
      </w:hyperlink>
    </w:p>
    <w:p w:rsidR="00BC01B1" w:rsidRDefault="001B481B">
      <w:pPr>
        <w:pStyle w:val="Sumrio5"/>
        <w:tabs>
          <w:tab w:val="left" w:pos="2271"/>
        </w:tabs>
        <w:rPr>
          <w:rFonts w:asciiTheme="minorHAnsi" w:eastAsiaTheme="minorEastAsia" w:hAnsiTheme="minorHAnsi" w:cstheme="minorBidi"/>
          <w:i w:val="0"/>
          <w:noProof/>
        </w:rPr>
      </w:pPr>
      <w:hyperlink w:anchor="_Toc509935573" w:history="1">
        <w:r w:rsidR="00BC01B1" w:rsidRPr="005D5DCB">
          <w:rPr>
            <w:rStyle w:val="Hyperlink"/>
            <w:noProof/>
          </w:rPr>
          <w:t>5.5.4.4.3.</w:t>
        </w:r>
        <w:r w:rsidR="00BC01B1">
          <w:rPr>
            <w:rFonts w:asciiTheme="minorHAnsi" w:eastAsiaTheme="minorEastAsia" w:hAnsiTheme="minorHAnsi" w:cstheme="minorBidi"/>
            <w:i w:val="0"/>
            <w:noProof/>
          </w:rPr>
          <w:tab/>
        </w:r>
        <w:r w:rsidR="00BC01B1" w:rsidRPr="005D5DCB">
          <w:rPr>
            <w:rStyle w:val="Hyperlink"/>
            <w:noProof/>
          </w:rPr>
          <w:t>Projeto de Mobilização Social e Educação Ambiental</w:t>
        </w:r>
        <w:r w:rsidR="00BC01B1">
          <w:rPr>
            <w:noProof/>
            <w:webHidden/>
          </w:rPr>
          <w:tab/>
        </w:r>
        <w:r w:rsidR="00BC01B1">
          <w:rPr>
            <w:noProof/>
            <w:webHidden/>
          </w:rPr>
          <w:fldChar w:fldCharType="begin"/>
        </w:r>
        <w:r w:rsidR="00BC01B1">
          <w:rPr>
            <w:noProof/>
            <w:webHidden/>
          </w:rPr>
          <w:instrText xml:space="preserve"> PAGEREF _Toc509935573 \h </w:instrText>
        </w:r>
        <w:r w:rsidR="00BC01B1">
          <w:rPr>
            <w:noProof/>
            <w:webHidden/>
          </w:rPr>
        </w:r>
        <w:r w:rsidR="00BC01B1">
          <w:rPr>
            <w:noProof/>
            <w:webHidden/>
          </w:rPr>
          <w:fldChar w:fldCharType="separate"/>
        </w:r>
        <w:r>
          <w:rPr>
            <w:noProof/>
            <w:webHidden/>
          </w:rPr>
          <w:t>276</w:t>
        </w:r>
        <w:r w:rsidR="00BC01B1">
          <w:rPr>
            <w:noProof/>
            <w:webHidden/>
          </w:rPr>
          <w:fldChar w:fldCharType="end"/>
        </w:r>
      </w:hyperlink>
    </w:p>
    <w:p w:rsidR="00BC01B1" w:rsidRDefault="001B481B">
      <w:pPr>
        <w:pStyle w:val="Sumrio5"/>
        <w:tabs>
          <w:tab w:val="left" w:pos="2271"/>
        </w:tabs>
        <w:rPr>
          <w:rFonts w:asciiTheme="minorHAnsi" w:eastAsiaTheme="minorEastAsia" w:hAnsiTheme="minorHAnsi" w:cstheme="minorBidi"/>
          <w:i w:val="0"/>
          <w:noProof/>
        </w:rPr>
      </w:pPr>
      <w:hyperlink w:anchor="_Toc509935574" w:history="1">
        <w:r w:rsidR="00BC01B1" w:rsidRPr="005D5DCB">
          <w:rPr>
            <w:rStyle w:val="Hyperlink"/>
            <w:noProof/>
          </w:rPr>
          <w:t>5.5.4.4.4.</w:t>
        </w:r>
        <w:r w:rsidR="00BC01B1">
          <w:rPr>
            <w:rFonts w:asciiTheme="minorHAnsi" w:eastAsiaTheme="minorEastAsia" w:hAnsiTheme="minorHAnsi" w:cstheme="minorBidi"/>
            <w:i w:val="0"/>
            <w:noProof/>
          </w:rPr>
          <w:tab/>
        </w:r>
        <w:r w:rsidR="00BC01B1" w:rsidRPr="005D5DCB">
          <w:rPr>
            <w:rStyle w:val="Hyperlink"/>
            <w:noProof/>
          </w:rPr>
          <w:t>Estrutura física e gerencial necessária para a implantação</w:t>
        </w:r>
        <w:r w:rsidR="00BC01B1">
          <w:rPr>
            <w:noProof/>
            <w:webHidden/>
          </w:rPr>
          <w:tab/>
        </w:r>
        <w:r w:rsidR="00BC01B1">
          <w:rPr>
            <w:noProof/>
            <w:webHidden/>
          </w:rPr>
          <w:fldChar w:fldCharType="begin"/>
        </w:r>
        <w:r w:rsidR="00BC01B1">
          <w:rPr>
            <w:noProof/>
            <w:webHidden/>
          </w:rPr>
          <w:instrText xml:space="preserve"> PAGEREF _Toc509935574 \h </w:instrText>
        </w:r>
        <w:r w:rsidR="00BC01B1">
          <w:rPr>
            <w:noProof/>
            <w:webHidden/>
          </w:rPr>
        </w:r>
        <w:r w:rsidR="00BC01B1">
          <w:rPr>
            <w:noProof/>
            <w:webHidden/>
          </w:rPr>
          <w:fldChar w:fldCharType="separate"/>
        </w:r>
        <w:r>
          <w:rPr>
            <w:noProof/>
            <w:webHidden/>
          </w:rPr>
          <w:t>277</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75" w:history="1">
        <w:r w:rsidR="00BC01B1" w:rsidRPr="005D5DCB">
          <w:rPr>
            <w:rStyle w:val="Hyperlink"/>
            <w:noProof/>
          </w:rPr>
          <w:t>5.5.4.5.</w:t>
        </w:r>
        <w:r w:rsidR="00BC01B1">
          <w:rPr>
            <w:rFonts w:asciiTheme="minorHAnsi" w:eastAsiaTheme="minorEastAsia" w:hAnsiTheme="minorHAnsi" w:cstheme="minorBidi"/>
            <w:noProof/>
          </w:rPr>
          <w:tab/>
        </w:r>
        <w:r w:rsidR="00BC01B1" w:rsidRPr="005D5DCB">
          <w:rPr>
            <w:rStyle w:val="Hyperlink"/>
            <w:noProof/>
          </w:rPr>
          <w:t>Considerações finais do programa</w:t>
        </w:r>
        <w:r w:rsidR="00BC01B1">
          <w:rPr>
            <w:noProof/>
            <w:webHidden/>
          </w:rPr>
          <w:tab/>
        </w:r>
        <w:r w:rsidR="00BC01B1">
          <w:rPr>
            <w:noProof/>
            <w:webHidden/>
          </w:rPr>
          <w:fldChar w:fldCharType="begin"/>
        </w:r>
        <w:r w:rsidR="00BC01B1">
          <w:rPr>
            <w:noProof/>
            <w:webHidden/>
          </w:rPr>
          <w:instrText xml:space="preserve"> PAGEREF _Toc509935575 \h </w:instrText>
        </w:r>
        <w:r w:rsidR="00BC01B1">
          <w:rPr>
            <w:noProof/>
            <w:webHidden/>
          </w:rPr>
        </w:r>
        <w:r w:rsidR="00BC01B1">
          <w:rPr>
            <w:noProof/>
            <w:webHidden/>
          </w:rPr>
          <w:fldChar w:fldCharType="separate"/>
        </w:r>
        <w:r>
          <w:rPr>
            <w:noProof/>
            <w:webHidden/>
          </w:rPr>
          <w:t>278</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76" w:history="1">
        <w:r w:rsidR="00BC01B1" w:rsidRPr="005D5DCB">
          <w:rPr>
            <w:rStyle w:val="Hyperlink"/>
            <w:noProof/>
          </w:rPr>
          <w:t>5.5.4.6.</w:t>
        </w:r>
        <w:r w:rsidR="00BC01B1">
          <w:rPr>
            <w:rFonts w:asciiTheme="minorHAnsi" w:eastAsiaTheme="minorEastAsia" w:hAnsiTheme="minorHAnsi" w:cstheme="minorBidi"/>
            <w:noProof/>
          </w:rPr>
          <w:tab/>
        </w:r>
        <w:r w:rsidR="00BC01B1" w:rsidRPr="005D5DCB">
          <w:rPr>
            <w:rStyle w:val="Hyperlink"/>
            <w:noProof/>
          </w:rPr>
          <w:t>Programas e ações de capacitação técnica voltados para implantação e operacionalização.</w:t>
        </w:r>
        <w:r w:rsidR="00BC01B1">
          <w:rPr>
            <w:noProof/>
            <w:webHidden/>
          </w:rPr>
          <w:tab/>
        </w:r>
        <w:r w:rsidR="00BC01B1">
          <w:rPr>
            <w:noProof/>
            <w:webHidden/>
          </w:rPr>
          <w:fldChar w:fldCharType="begin"/>
        </w:r>
        <w:r w:rsidR="00BC01B1">
          <w:rPr>
            <w:noProof/>
            <w:webHidden/>
          </w:rPr>
          <w:instrText xml:space="preserve"> PAGEREF _Toc509935576 \h </w:instrText>
        </w:r>
        <w:r w:rsidR="00BC01B1">
          <w:rPr>
            <w:noProof/>
            <w:webHidden/>
          </w:rPr>
        </w:r>
        <w:r w:rsidR="00BC01B1">
          <w:rPr>
            <w:noProof/>
            <w:webHidden/>
          </w:rPr>
          <w:fldChar w:fldCharType="separate"/>
        </w:r>
        <w:r>
          <w:rPr>
            <w:noProof/>
            <w:webHidden/>
          </w:rPr>
          <w:t>278</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77" w:history="1">
        <w:r w:rsidR="00BC01B1" w:rsidRPr="005D5DCB">
          <w:rPr>
            <w:rStyle w:val="Hyperlink"/>
            <w:noProof/>
          </w:rPr>
          <w:t>5.5.4.7.</w:t>
        </w:r>
        <w:r w:rsidR="00BC01B1">
          <w:rPr>
            <w:rFonts w:asciiTheme="minorHAnsi" w:eastAsiaTheme="minorEastAsia" w:hAnsiTheme="minorHAnsi" w:cstheme="minorBidi"/>
            <w:noProof/>
          </w:rPr>
          <w:tab/>
        </w:r>
        <w:r w:rsidR="00BC01B1" w:rsidRPr="005D5DCB">
          <w:rPr>
            <w:rStyle w:val="Hyperlink"/>
            <w:noProof/>
          </w:rPr>
          <w:t>Ações preventivas e corretivas a serem aplicadas, incluindo programa de monitoramento</w:t>
        </w:r>
        <w:r w:rsidR="00BC01B1">
          <w:rPr>
            <w:noProof/>
            <w:webHidden/>
          </w:rPr>
          <w:tab/>
        </w:r>
        <w:r w:rsidR="00BC01B1">
          <w:rPr>
            <w:noProof/>
            <w:webHidden/>
          </w:rPr>
          <w:fldChar w:fldCharType="begin"/>
        </w:r>
        <w:r w:rsidR="00BC01B1">
          <w:rPr>
            <w:noProof/>
            <w:webHidden/>
          </w:rPr>
          <w:instrText xml:space="preserve"> PAGEREF _Toc509935577 \h </w:instrText>
        </w:r>
        <w:r w:rsidR="00BC01B1">
          <w:rPr>
            <w:noProof/>
            <w:webHidden/>
          </w:rPr>
        </w:r>
        <w:r w:rsidR="00BC01B1">
          <w:rPr>
            <w:noProof/>
            <w:webHidden/>
          </w:rPr>
          <w:fldChar w:fldCharType="separate"/>
        </w:r>
        <w:r>
          <w:rPr>
            <w:noProof/>
            <w:webHidden/>
          </w:rPr>
          <w:t>280</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78" w:history="1">
        <w:r w:rsidR="00BC01B1" w:rsidRPr="005D5DCB">
          <w:rPr>
            <w:rStyle w:val="Hyperlink"/>
            <w:noProof/>
          </w:rPr>
          <w:t>5.5.4.8.</w:t>
        </w:r>
        <w:r w:rsidR="00BC01B1">
          <w:rPr>
            <w:rFonts w:asciiTheme="minorHAnsi" w:eastAsiaTheme="minorEastAsia" w:hAnsiTheme="minorHAnsi" w:cstheme="minorBidi"/>
            <w:noProof/>
          </w:rPr>
          <w:tab/>
        </w:r>
        <w:r w:rsidR="00BC01B1" w:rsidRPr="005D5DCB">
          <w:rPr>
            <w:rStyle w:val="Hyperlink"/>
            <w:noProof/>
          </w:rPr>
          <w:t>Plano de Monitoramento</w:t>
        </w:r>
        <w:r w:rsidR="00BC01B1">
          <w:rPr>
            <w:noProof/>
            <w:webHidden/>
          </w:rPr>
          <w:tab/>
        </w:r>
        <w:r w:rsidR="00BC01B1">
          <w:rPr>
            <w:noProof/>
            <w:webHidden/>
          </w:rPr>
          <w:fldChar w:fldCharType="begin"/>
        </w:r>
        <w:r w:rsidR="00BC01B1">
          <w:rPr>
            <w:noProof/>
            <w:webHidden/>
          </w:rPr>
          <w:instrText xml:space="preserve"> PAGEREF _Toc509935578 \h </w:instrText>
        </w:r>
        <w:r w:rsidR="00BC01B1">
          <w:rPr>
            <w:noProof/>
            <w:webHidden/>
          </w:rPr>
        </w:r>
        <w:r w:rsidR="00BC01B1">
          <w:rPr>
            <w:noProof/>
            <w:webHidden/>
          </w:rPr>
          <w:fldChar w:fldCharType="separate"/>
        </w:r>
        <w:r>
          <w:rPr>
            <w:noProof/>
            <w:webHidden/>
          </w:rPr>
          <w:t>283</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79" w:history="1">
        <w:r w:rsidR="00BC01B1" w:rsidRPr="005D5DCB">
          <w:rPr>
            <w:rStyle w:val="Hyperlink"/>
            <w:noProof/>
          </w:rPr>
          <w:t>5.5.5.</w:t>
        </w:r>
        <w:r w:rsidR="00BC01B1">
          <w:rPr>
            <w:rFonts w:asciiTheme="minorHAnsi" w:eastAsiaTheme="minorEastAsia" w:hAnsiTheme="minorHAnsi" w:cstheme="minorBidi"/>
            <w:i w:val="0"/>
            <w:noProof/>
            <w:sz w:val="22"/>
            <w:lang w:eastAsia="pt-BR"/>
          </w:rPr>
          <w:tab/>
        </w:r>
        <w:r w:rsidR="00BC01B1" w:rsidRPr="005D5DCB">
          <w:rPr>
            <w:rStyle w:val="Hyperlink"/>
            <w:noProof/>
          </w:rPr>
          <w:t>Ações para emergência e contingência</w:t>
        </w:r>
        <w:r w:rsidR="00BC01B1">
          <w:rPr>
            <w:noProof/>
            <w:webHidden/>
          </w:rPr>
          <w:tab/>
        </w:r>
        <w:r w:rsidR="00BC01B1">
          <w:rPr>
            <w:noProof/>
            <w:webHidden/>
          </w:rPr>
          <w:fldChar w:fldCharType="begin"/>
        </w:r>
        <w:r w:rsidR="00BC01B1">
          <w:rPr>
            <w:noProof/>
            <w:webHidden/>
          </w:rPr>
          <w:instrText xml:space="preserve"> PAGEREF _Toc509935579 \h </w:instrText>
        </w:r>
        <w:r w:rsidR="00BC01B1">
          <w:rPr>
            <w:noProof/>
            <w:webHidden/>
          </w:rPr>
        </w:r>
        <w:r w:rsidR="00BC01B1">
          <w:rPr>
            <w:noProof/>
            <w:webHidden/>
          </w:rPr>
          <w:fldChar w:fldCharType="separate"/>
        </w:r>
        <w:r>
          <w:rPr>
            <w:noProof/>
            <w:webHidden/>
          </w:rPr>
          <w:t>284</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80" w:history="1">
        <w:r w:rsidR="00BC01B1" w:rsidRPr="005D5DCB">
          <w:rPr>
            <w:rStyle w:val="Hyperlink"/>
            <w:noProof/>
          </w:rPr>
          <w:t>5.5.5.1.</w:t>
        </w:r>
        <w:r w:rsidR="00BC01B1">
          <w:rPr>
            <w:rFonts w:asciiTheme="minorHAnsi" w:eastAsiaTheme="minorEastAsia" w:hAnsiTheme="minorHAnsi" w:cstheme="minorBidi"/>
            <w:noProof/>
          </w:rPr>
          <w:tab/>
        </w:r>
        <w:r w:rsidR="00BC01B1" w:rsidRPr="005D5DCB">
          <w:rPr>
            <w:rStyle w:val="Hyperlink"/>
            <w:noProof/>
          </w:rPr>
          <w:t>Eventos operacionais</w:t>
        </w:r>
        <w:r w:rsidR="00BC01B1">
          <w:rPr>
            <w:noProof/>
            <w:webHidden/>
          </w:rPr>
          <w:tab/>
        </w:r>
        <w:r w:rsidR="00BC01B1">
          <w:rPr>
            <w:noProof/>
            <w:webHidden/>
          </w:rPr>
          <w:fldChar w:fldCharType="begin"/>
        </w:r>
        <w:r w:rsidR="00BC01B1">
          <w:rPr>
            <w:noProof/>
            <w:webHidden/>
          </w:rPr>
          <w:instrText xml:space="preserve"> PAGEREF _Toc509935580 \h </w:instrText>
        </w:r>
        <w:r w:rsidR="00BC01B1">
          <w:rPr>
            <w:noProof/>
            <w:webHidden/>
          </w:rPr>
        </w:r>
        <w:r w:rsidR="00BC01B1">
          <w:rPr>
            <w:noProof/>
            <w:webHidden/>
          </w:rPr>
          <w:fldChar w:fldCharType="separate"/>
        </w:r>
        <w:r>
          <w:rPr>
            <w:noProof/>
            <w:webHidden/>
          </w:rPr>
          <w:t>284</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81" w:history="1">
        <w:r w:rsidR="00BC01B1" w:rsidRPr="005D5DCB">
          <w:rPr>
            <w:rStyle w:val="Hyperlink"/>
            <w:noProof/>
          </w:rPr>
          <w:t>5.5.5.2.</w:t>
        </w:r>
        <w:r w:rsidR="00BC01B1">
          <w:rPr>
            <w:rFonts w:asciiTheme="minorHAnsi" w:eastAsiaTheme="minorEastAsia" w:hAnsiTheme="minorHAnsi" w:cstheme="minorBidi"/>
            <w:noProof/>
          </w:rPr>
          <w:tab/>
        </w:r>
        <w:r w:rsidR="00BC01B1" w:rsidRPr="005D5DCB">
          <w:rPr>
            <w:rStyle w:val="Hyperlink"/>
            <w:noProof/>
          </w:rPr>
          <w:t>Eventos de gestão e gerenciamento</w:t>
        </w:r>
        <w:r w:rsidR="00BC01B1">
          <w:rPr>
            <w:noProof/>
            <w:webHidden/>
          </w:rPr>
          <w:tab/>
        </w:r>
        <w:r w:rsidR="00BC01B1">
          <w:rPr>
            <w:noProof/>
            <w:webHidden/>
          </w:rPr>
          <w:fldChar w:fldCharType="begin"/>
        </w:r>
        <w:r w:rsidR="00BC01B1">
          <w:rPr>
            <w:noProof/>
            <w:webHidden/>
          </w:rPr>
          <w:instrText xml:space="preserve"> PAGEREF _Toc509935581 \h </w:instrText>
        </w:r>
        <w:r w:rsidR="00BC01B1">
          <w:rPr>
            <w:noProof/>
            <w:webHidden/>
          </w:rPr>
        </w:r>
        <w:r w:rsidR="00BC01B1">
          <w:rPr>
            <w:noProof/>
            <w:webHidden/>
          </w:rPr>
          <w:fldChar w:fldCharType="separate"/>
        </w:r>
        <w:r>
          <w:rPr>
            <w:noProof/>
            <w:webHidden/>
          </w:rPr>
          <w:t>285</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82" w:history="1">
        <w:r w:rsidR="00BC01B1" w:rsidRPr="005D5DCB">
          <w:rPr>
            <w:rStyle w:val="Hyperlink"/>
            <w:noProof/>
          </w:rPr>
          <w:t>5.5.5.3.</w:t>
        </w:r>
        <w:r w:rsidR="00BC01B1">
          <w:rPr>
            <w:rFonts w:asciiTheme="minorHAnsi" w:eastAsiaTheme="minorEastAsia" w:hAnsiTheme="minorHAnsi" w:cstheme="minorBidi"/>
            <w:noProof/>
          </w:rPr>
          <w:tab/>
        </w:r>
        <w:r w:rsidR="00BC01B1" w:rsidRPr="005D5DCB">
          <w:rPr>
            <w:rStyle w:val="Hyperlink"/>
            <w:noProof/>
          </w:rPr>
          <w:t>Eventos imprevisíveis</w:t>
        </w:r>
        <w:r w:rsidR="00BC01B1">
          <w:rPr>
            <w:noProof/>
            <w:webHidden/>
          </w:rPr>
          <w:tab/>
        </w:r>
        <w:r w:rsidR="00BC01B1">
          <w:rPr>
            <w:noProof/>
            <w:webHidden/>
          </w:rPr>
          <w:fldChar w:fldCharType="begin"/>
        </w:r>
        <w:r w:rsidR="00BC01B1">
          <w:rPr>
            <w:noProof/>
            <w:webHidden/>
          </w:rPr>
          <w:instrText xml:space="preserve"> PAGEREF _Toc509935582 \h </w:instrText>
        </w:r>
        <w:r w:rsidR="00BC01B1">
          <w:rPr>
            <w:noProof/>
            <w:webHidden/>
          </w:rPr>
        </w:r>
        <w:r w:rsidR="00BC01B1">
          <w:rPr>
            <w:noProof/>
            <w:webHidden/>
          </w:rPr>
          <w:fldChar w:fldCharType="separate"/>
        </w:r>
        <w:r>
          <w:rPr>
            <w:noProof/>
            <w:webHidden/>
          </w:rPr>
          <w:t>286</w:t>
        </w:r>
        <w:r w:rsidR="00BC01B1">
          <w:rPr>
            <w:noProof/>
            <w:webHidden/>
          </w:rPr>
          <w:fldChar w:fldCharType="end"/>
        </w:r>
      </w:hyperlink>
    </w:p>
    <w:p w:rsidR="00BC01B1" w:rsidRDefault="001B481B">
      <w:pPr>
        <w:pStyle w:val="Sumrio2"/>
        <w:tabs>
          <w:tab w:val="left" w:pos="1134"/>
        </w:tabs>
        <w:rPr>
          <w:rFonts w:asciiTheme="minorHAnsi" w:eastAsiaTheme="minorEastAsia" w:hAnsiTheme="minorHAnsi" w:cstheme="minorBidi"/>
          <w:noProof/>
          <w:sz w:val="22"/>
          <w:lang w:eastAsia="pt-BR"/>
        </w:rPr>
      </w:pPr>
      <w:hyperlink w:anchor="_Toc509935583" w:history="1">
        <w:r w:rsidR="00BC01B1" w:rsidRPr="005D5DCB">
          <w:rPr>
            <w:rStyle w:val="Hyperlink"/>
            <w:noProof/>
          </w:rPr>
          <w:t>5.6.</w:t>
        </w:r>
        <w:r w:rsidR="00BC01B1">
          <w:rPr>
            <w:rFonts w:asciiTheme="minorHAnsi" w:eastAsiaTheme="minorEastAsia" w:hAnsiTheme="minorHAnsi" w:cstheme="minorBidi"/>
            <w:noProof/>
            <w:sz w:val="22"/>
            <w:lang w:eastAsia="pt-BR"/>
          </w:rPr>
          <w:tab/>
        </w:r>
        <w:r w:rsidR="00BC01B1" w:rsidRPr="005D5DCB">
          <w:rPr>
            <w:rStyle w:val="Hyperlink"/>
            <w:noProof/>
          </w:rPr>
          <w:t>Diretrizes para planos locais de riscos</w:t>
        </w:r>
        <w:r w:rsidR="00BC01B1">
          <w:rPr>
            <w:noProof/>
            <w:webHidden/>
          </w:rPr>
          <w:tab/>
        </w:r>
        <w:r w:rsidR="00BC01B1">
          <w:rPr>
            <w:noProof/>
            <w:webHidden/>
          </w:rPr>
          <w:fldChar w:fldCharType="begin"/>
        </w:r>
        <w:r w:rsidR="00BC01B1">
          <w:rPr>
            <w:noProof/>
            <w:webHidden/>
          </w:rPr>
          <w:instrText xml:space="preserve"> PAGEREF _Toc509935583 \h </w:instrText>
        </w:r>
        <w:r w:rsidR="00BC01B1">
          <w:rPr>
            <w:noProof/>
            <w:webHidden/>
          </w:rPr>
        </w:r>
        <w:r w:rsidR="00BC01B1">
          <w:rPr>
            <w:noProof/>
            <w:webHidden/>
          </w:rPr>
          <w:fldChar w:fldCharType="separate"/>
        </w:r>
        <w:r>
          <w:rPr>
            <w:noProof/>
            <w:webHidden/>
          </w:rPr>
          <w:t>287</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84" w:history="1">
        <w:r w:rsidR="00BC01B1" w:rsidRPr="005D5DCB">
          <w:rPr>
            <w:rStyle w:val="Hyperlink"/>
            <w:noProof/>
          </w:rPr>
          <w:t>5.6.1.</w:t>
        </w:r>
        <w:r w:rsidR="00BC01B1">
          <w:rPr>
            <w:rFonts w:asciiTheme="minorHAnsi" w:eastAsiaTheme="minorEastAsia" w:hAnsiTheme="minorHAnsi" w:cstheme="minorBidi"/>
            <w:i w:val="0"/>
            <w:noProof/>
            <w:sz w:val="22"/>
            <w:lang w:eastAsia="pt-BR"/>
          </w:rPr>
          <w:tab/>
        </w:r>
        <w:r w:rsidR="00BC01B1" w:rsidRPr="005D5DCB">
          <w:rPr>
            <w:rStyle w:val="Hyperlink"/>
            <w:noProof/>
          </w:rPr>
          <w:t>Conceitos relacionados</w:t>
        </w:r>
        <w:r w:rsidR="00BC01B1">
          <w:rPr>
            <w:noProof/>
            <w:webHidden/>
          </w:rPr>
          <w:tab/>
        </w:r>
        <w:r w:rsidR="00BC01B1">
          <w:rPr>
            <w:noProof/>
            <w:webHidden/>
          </w:rPr>
          <w:fldChar w:fldCharType="begin"/>
        </w:r>
        <w:r w:rsidR="00BC01B1">
          <w:rPr>
            <w:noProof/>
            <w:webHidden/>
          </w:rPr>
          <w:instrText xml:space="preserve"> PAGEREF _Toc509935584 \h </w:instrText>
        </w:r>
        <w:r w:rsidR="00BC01B1">
          <w:rPr>
            <w:noProof/>
            <w:webHidden/>
          </w:rPr>
        </w:r>
        <w:r w:rsidR="00BC01B1">
          <w:rPr>
            <w:noProof/>
            <w:webHidden/>
          </w:rPr>
          <w:fldChar w:fldCharType="separate"/>
        </w:r>
        <w:r>
          <w:rPr>
            <w:noProof/>
            <w:webHidden/>
          </w:rPr>
          <w:t>293</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85" w:history="1">
        <w:r w:rsidR="00BC01B1" w:rsidRPr="005D5DCB">
          <w:rPr>
            <w:rStyle w:val="Hyperlink"/>
            <w:noProof/>
          </w:rPr>
          <w:t>5.6.1.1.</w:t>
        </w:r>
        <w:r w:rsidR="00BC01B1">
          <w:rPr>
            <w:rFonts w:asciiTheme="minorHAnsi" w:eastAsiaTheme="minorEastAsia" w:hAnsiTheme="minorHAnsi" w:cstheme="minorBidi"/>
            <w:noProof/>
          </w:rPr>
          <w:tab/>
        </w:r>
        <w:r w:rsidR="00BC01B1" w:rsidRPr="005D5DCB">
          <w:rPr>
            <w:rStyle w:val="Hyperlink"/>
            <w:noProof/>
          </w:rPr>
          <w:t>Ações de proteção e defesa civil no planejamento municipal</w:t>
        </w:r>
        <w:r w:rsidR="00BC01B1">
          <w:rPr>
            <w:noProof/>
            <w:webHidden/>
          </w:rPr>
          <w:tab/>
        </w:r>
        <w:r w:rsidR="00BC01B1">
          <w:rPr>
            <w:noProof/>
            <w:webHidden/>
          </w:rPr>
          <w:fldChar w:fldCharType="begin"/>
        </w:r>
        <w:r w:rsidR="00BC01B1">
          <w:rPr>
            <w:noProof/>
            <w:webHidden/>
          </w:rPr>
          <w:instrText xml:space="preserve"> PAGEREF _Toc509935585 \h </w:instrText>
        </w:r>
        <w:r w:rsidR="00BC01B1">
          <w:rPr>
            <w:noProof/>
            <w:webHidden/>
          </w:rPr>
        </w:r>
        <w:r w:rsidR="00BC01B1">
          <w:rPr>
            <w:noProof/>
            <w:webHidden/>
          </w:rPr>
          <w:fldChar w:fldCharType="separate"/>
        </w:r>
        <w:r>
          <w:rPr>
            <w:noProof/>
            <w:webHidden/>
          </w:rPr>
          <w:t>294</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86" w:history="1">
        <w:r w:rsidR="00BC01B1" w:rsidRPr="005D5DCB">
          <w:rPr>
            <w:rStyle w:val="Hyperlink"/>
            <w:noProof/>
          </w:rPr>
          <w:t>5.6.2.</w:t>
        </w:r>
        <w:r w:rsidR="00BC01B1">
          <w:rPr>
            <w:rFonts w:asciiTheme="minorHAnsi" w:eastAsiaTheme="minorEastAsia" w:hAnsiTheme="minorHAnsi" w:cstheme="minorBidi"/>
            <w:i w:val="0"/>
            <w:noProof/>
            <w:sz w:val="22"/>
            <w:lang w:eastAsia="pt-BR"/>
          </w:rPr>
          <w:tab/>
        </w:r>
        <w:r w:rsidR="00BC01B1" w:rsidRPr="005D5DCB">
          <w:rPr>
            <w:rStyle w:val="Hyperlink"/>
            <w:noProof/>
          </w:rPr>
          <w:t>Plano de Contingência</w:t>
        </w:r>
        <w:r w:rsidR="00BC01B1">
          <w:rPr>
            <w:noProof/>
            <w:webHidden/>
          </w:rPr>
          <w:tab/>
        </w:r>
        <w:r w:rsidR="00BC01B1">
          <w:rPr>
            <w:noProof/>
            <w:webHidden/>
          </w:rPr>
          <w:fldChar w:fldCharType="begin"/>
        </w:r>
        <w:r w:rsidR="00BC01B1">
          <w:rPr>
            <w:noProof/>
            <w:webHidden/>
          </w:rPr>
          <w:instrText xml:space="preserve"> PAGEREF _Toc509935586 \h </w:instrText>
        </w:r>
        <w:r w:rsidR="00BC01B1">
          <w:rPr>
            <w:noProof/>
            <w:webHidden/>
          </w:rPr>
        </w:r>
        <w:r w:rsidR="00BC01B1">
          <w:rPr>
            <w:noProof/>
            <w:webHidden/>
          </w:rPr>
          <w:fldChar w:fldCharType="separate"/>
        </w:r>
        <w:r>
          <w:rPr>
            <w:noProof/>
            <w:webHidden/>
          </w:rPr>
          <w:t>295</w:t>
        </w:r>
        <w:r w:rsidR="00BC01B1">
          <w:rPr>
            <w:noProof/>
            <w:webHidden/>
          </w:rPr>
          <w:fldChar w:fldCharType="end"/>
        </w:r>
      </w:hyperlink>
    </w:p>
    <w:p w:rsidR="00BC01B1" w:rsidRDefault="001B481B">
      <w:pPr>
        <w:pStyle w:val="Sumrio2"/>
        <w:tabs>
          <w:tab w:val="left" w:pos="1134"/>
        </w:tabs>
        <w:rPr>
          <w:rFonts w:asciiTheme="minorHAnsi" w:eastAsiaTheme="minorEastAsia" w:hAnsiTheme="minorHAnsi" w:cstheme="minorBidi"/>
          <w:noProof/>
          <w:sz w:val="22"/>
          <w:lang w:eastAsia="pt-BR"/>
        </w:rPr>
      </w:pPr>
      <w:hyperlink w:anchor="_Toc509935587" w:history="1">
        <w:r w:rsidR="00BC01B1" w:rsidRPr="005D5DCB">
          <w:rPr>
            <w:rStyle w:val="Hyperlink"/>
            <w:noProof/>
          </w:rPr>
          <w:t>5.7.</w:t>
        </w:r>
        <w:r w:rsidR="00BC01B1">
          <w:rPr>
            <w:rFonts w:asciiTheme="minorHAnsi" w:eastAsiaTheme="minorEastAsia" w:hAnsiTheme="minorHAnsi" w:cstheme="minorBidi"/>
            <w:noProof/>
            <w:sz w:val="22"/>
            <w:lang w:eastAsia="pt-BR"/>
          </w:rPr>
          <w:tab/>
        </w:r>
        <w:r w:rsidR="00BC01B1" w:rsidRPr="005D5DCB">
          <w:rPr>
            <w:rStyle w:val="Hyperlink"/>
            <w:noProof/>
          </w:rPr>
          <w:t>Aspectos metodológicos para definição de custos das ações</w:t>
        </w:r>
        <w:r w:rsidR="00BC01B1">
          <w:rPr>
            <w:noProof/>
            <w:webHidden/>
          </w:rPr>
          <w:tab/>
        </w:r>
        <w:r w:rsidR="00BC01B1">
          <w:rPr>
            <w:noProof/>
            <w:webHidden/>
          </w:rPr>
          <w:fldChar w:fldCharType="begin"/>
        </w:r>
        <w:r w:rsidR="00BC01B1">
          <w:rPr>
            <w:noProof/>
            <w:webHidden/>
          </w:rPr>
          <w:instrText xml:space="preserve"> PAGEREF _Toc509935587 \h </w:instrText>
        </w:r>
        <w:r w:rsidR="00BC01B1">
          <w:rPr>
            <w:noProof/>
            <w:webHidden/>
          </w:rPr>
        </w:r>
        <w:r w:rsidR="00BC01B1">
          <w:rPr>
            <w:noProof/>
            <w:webHidden/>
          </w:rPr>
          <w:fldChar w:fldCharType="separate"/>
        </w:r>
        <w:r>
          <w:rPr>
            <w:noProof/>
            <w:webHidden/>
          </w:rPr>
          <w:t>298</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88" w:history="1">
        <w:r w:rsidR="00BC01B1" w:rsidRPr="005D5DCB">
          <w:rPr>
            <w:rStyle w:val="Hyperlink"/>
            <w:noProof/>
          </w:rPr>
          <w:t>5.7.1.</w:t>
        </w:r>
        <w:r w:rsidR="00BC01B1">
          <w:rPr>
            <w:rFonts w:asciiTheme="minorHAnsi" w:eastAsiaTheme="minorEastAsia" w:hAnsiTheme="minorHAnsi" w:cstheme="minorBidi"/>
            <w:i w:val="0"/>
            <w:noProof/>
            <w:sz w:val="22"/>
            <w:lang w:eastAsia="pt-BR"/>
          </w:rPr>
          <w:tab/>
        </w:r>
        <w:r w:rsidR="00BC01B1" w:rsidRPr="005D5DCB">
          <w:rPr>
            <w:rStyle w:val="Hyperlink"/>
            <w:noProof/>
          </w:rPr>
          <w:t>Considerações iniciais</w:t>
        </w:r>
        <w:r w:rsidR="00BC01B1">
          <w:rPr>
            <w:noProof/>
            <w:webHidden/>
          </w:rPr>
          <w:tab/>
        </w:r>
        <w:r w:rsidR="00BC01B1">
          <w:rPr>
            <w:noProof/>
            <w:webHidden/>
          </w:rPr>
          <w:fldChar w:fldCharType="begin"/>
        </w:r>
        <w:r w:rsidR="00BC01B1">
          <w:rPr>
            <w:noProof/>
            <w:webHidden/>
          </w:rPr>
          <w:instrText xml:space="preserve"> PAGEREF _Toc509935588 \h </w:instrText>
        </w:r>
        <w:r w:rsidR="00BC01B1">
          <w:rPr>
            <w:noProof/>
            <w:webHidden/>
          </w:rPr>
        </w:r>
        <w:r w:rsidR="00BC01B1">
          <w:rPr>
            <w:noProof/>
            <w:webHidden/>
          </w:rPr>
          <w:fldChar w:fldCharType="separate"/>
        </w:r>
        <w:r>
          <w:rPr>
            <w:noProof/>
            <w:webHidden/>
          </w:rPr>
          <w:t>298</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89" w:history="1">
        <w:r w:rsidR="00BC01B1" w:rsidRPr="005D5DCB">
          <w:rPr>
            <w:rStyle w:val="Hyperlink"/>
            <w:noProof/>
          </w:rPr>
          <w:t>5.7.2.</w:t>
        </w:r>
        <w:r w:rsidR="00BC01B1">
          <w:rPr>
            <w:rFonts w:asciiTheme="minorHAnsi" w:eastAsiaTheme="minorEastAsia" w:hAnsiTheme="minorHAnsi" w:cstheme="minorBidi"/>
            <w:i w:val="0"/>
            <w:noProof/>
            <w:sz w:val="22"/>
            <w:lang w:eastAsia="pt-BR"/>
          </w:rPr>
          <w:tab/>
        </w:r>
        <w:r w:rsidR="00BC01B1" w:rsidRPr="005D5DCB">
          <w:rPr>
            <w:rStyle w:val="Hyperlink"/>
            <w:noProof/>
          </w:rPr>
          <w:t>Fontes consultadas</w:t>
        </w:r>
        <w:r w:rsidR="00BC01B1">
          <w:rPr>
            <w:noProof/>
            <w:webHidden/>
          </w:rPr>
          <w:tab/>
        </w:r>
        <w:r w:rsidR="00BC01B1">
          <w:rPr>
            <w:noProof/>
            <w:webHidden/>
          </w:rPr>
          <w:fldChar w:fldCharType="begin"/>
        </w:r>
        <w:r w:rsidR="00BC01B1">
          <w:rPr>
            <w:noProof/>
            <w:webHidden/>
          </w:rPr>
          <w:instrText xml:space="preserve"> PAGEREF _Toc509935589 \h </w:instrText>
        </w:r>
        <w:r w:rsidR="00BC01B1">
          <w:rPr>
            <w:noProof/>
            <w:webHidden/>
          </w:rPr>
        </w:r>
        <w:r w:rsidR="00BC01B1">
          <w:rPr>
            <w:noProof/>
            <w:webHidden/>
          </w:rPr>
          <w:fldChar w:fldCharType="separate"/>
        </w:r>
        <w:r>
          <w:rPr>
            <w:noProof/>
            <w:webHidden/>
          </w:rPr>
          <w:t>299</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90" w:history="1">
        <w:r w:rsidR="00BC01B1" w:rsidRPr="005D5DCB">
          <w:rPr>
            <w:rStyle w:val="Hyperlink"/>
            <w:noProof/>
          </w:rPr>
          <w:t>5.7.3.</w:t>
        </w:r>
        <w:r w:rsidR="00BC01B1">
          <w:rPr>
            <w:rFonts w:asciiTheme="minorHAnsi" w:eastAsiaTheme="minorEastAsia" w:hAnsiTheme="minorHAnsi" w:cstheme="minorBidi"/>
            <w:i w:val="0"/>
            <w:noProof/>
            <w:sz w:val="22"/>
            <w:lang w:eastAsia="pt-BR"/>
          </w:rPr>
          <w:tab/>
        </w:r>
        <w:r w:rsidR="00BC01B1" w:rsidRPr="005D5DCB">
          <w:rPr>
            <w:rStyle w:val="Hyperlink"/>
            <w:noProof/>
          </w:rPr>
          <w:t>Plano de investimentos</w:t>
        </w:r>
        <w:r w:rsidR="00BC01B1">
          <w:rPr>
            <w:noProof/>
            <w:webHidden/>
          </w:rPr>
          <w:tab/>
        </w:r>
        <w:r w:rsidR="00BC01B1">
          <w:rPr>
            <w:noProof/>
            <w:webHidden/>
          </w:rPr>
          <w:fldChar w:fldCharType="begin"/>
        </w:r>
        <w:r w:rsidR="00BC01B1">
          <w:rPr>
            <w:noProof/>
            <w:webHidden/>
          </w:rPr>
          <w:instrText xml:space="preserve"> PAGEREF _Toc509935590 \h </w:instrText>
        </w:r>
        <w:r w:rsidR="00BC01B1">
          <w:rPr>
            <w:noProof/>
            <w:webHidden/>
          </w:rPr>
        </w:r>
        <w:r w:rsidR="00BC01B1">
          <w:rPr>
            <w:noProof/>
            <w:webHidden/>
          </w:rPr>
          <w:fldChar w:fldCharType="separate"/>
        </w:r>
        <w:r>
          <w:rPr>
            <w:noProof/>
            <w:webHidden/>
          </w:rPr>
          <w:t>300</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591" w:history="1">
        <w:r w:rsidR="00BC01B1" w:rsidRPr="005D5DCB">
          <w:rPr>
            <w:rStyle w:val="Hyperlink"/>
            <w:noProof/>
          </w:rPr>
          <w:t>5.7.3.1.</w:t>
        </w:r>
        <w:r w:rsidR="00BC01B1">
          <w:rPr>
            <w:rFonts w:asciiTheme="minorHAnsi" w:eastAsiaTheme="minorEastAsia" w:hAnsiTheme="minorHAnsi" w:cstheme="minorBidi"/>
            <w:noProof/>
          </w:rPr>
          <w:tab/>
        </w:r>
        <w:r w:rsidR="00BC01B1" w:rsidRPr="005D5DCB">
          <w:rPr>
            <w:rStyle w:val="Hyperlink"/>
            <w:noProof/>
          </w:rPr>
          <w:t>Periodicidades e unidades</w:t>
        </w:r>
        <w:r w:rsidR="00BC01B1">
          <w:rPr>
            <w:noProof/>
            <w:webHidden/>
          </w:rPr>
          <w:tab/>
        </w:r>
        <w:r w:rsidR="00BC01B1">
          <w:rPr>
            <w:noProof/>
            <w:webHidden/>
          </w:rPr>
          <w:fldChar w:fldCharType="begin"/>
        </w:r>
        <w:r w:rsidR="00BC01B1">
          <w:rPr>
            <w:noProof/>
            <w:webHidden/>
          </w:rPr>
          <w:instrText xml:space="preserve"> PAGEREF _Toc509935591 \h </w:instrText>
        </w:r>
        <w:r w:rsidR="00BC01B1">
          <w:rPr>
            <w:noProof/>
            <w:webHidden/>
          </w:rPr>
        </w:r>
        <w:r w:rsidR="00BC01B1">
          <w:rPr>
            <w:noProof/>
            <w:webHidden/>
          </w:rPr>
          <w:fldChar w:fldCharType="separate"/>
        </w:r>
        <w:r>
          <w:rPr>
            <w:noProof/>
            <w:webHidden/>
          </w:rPr>
          <w:t>301</w:t>
        </w:r>
        <w:r w:rsidR="00BC01B1">
          <w:rPr>
            <w:noProof/>
            <w:webHidden/>
          </w:rPr>
          <w:fldChar w:fldCharType="end"/>
        </w:r>
      </w:hyperlink>
    </w:p>
    <w:p w:rsidR="00BC01B1" w:rsidRDefault="001B481B">
      <w:pPr>
        <w:pStyle w:val="Sumrio2"/>
        <w:tabs>
          <w:tab w:val="left" w:pos="1134"/>
        </w:tabs>
        <w:rPr>
          <w:rFonts w:asciiTheme="minorHAnsi" w:eastAsiaTheme="minorEastAsia" w:hAnsiTheme="minorHAnsi" w:cstheme="minorBidi"/>
          <w:noProof/>
          <w:sz w:val="22"/>
          <w:lang w:eastAsia="pt-BR"/>
        </w:rPr>
      </w:pPr>
      <w:hyperlink w:anchor="_Toc509935592" w:history="1">
        <w:r w:rsidR="00BC01B1" w:rsidRPr="005D5DCB">
          <w:rPr>
            <w:rStyle w:val="Hyperlink"/>
            <w:noProof/>
          </w:rPr>
          <w:t>5.8.</w:t>
        </w:r>
        <w:r w:rsidR="00BC01B1">
          <w:rPr>
            <w:rFonts w:asciiTheme="minorHAnsi" w:eastAsiaTheme="minorEastAsia" w:hAnsiTheme="minorHAnsi" w:cstheme="minorBidi"/>
            <w:noProof/>
            <w:sz w:val="22"/>
            <w:lang w:eastAsia="pt-BR"/>
          </w:rPr>
          <w:tab/>
        </w:r>
        <w:r w:rsidR="00BC01B1" w:rsidRPr="005D5DCB">
          <w:rPr>
            <w:rStyle w:val="Hyperlink"/>
            <w:noProof/>
          </w:rPr>
          <w:t>Total dos investimentos</w:t>
        </w:r>
        <w:r w:rsidR="00BC01B1">
          <w:rPr>
            <w:noProof/>
            <w:webHidden/>
          </w:rPr>
          <w:tab/>
        </w:r>
        <w:r w:rsidR="00BC01B1">
          <w:rPr>
            <w:noProof/>
            <w:webHidden/>
          </w:rPr>
          <w:fldChar w:fldCharType="begin"/>
        </w:r>
        <w:r w:rsidR="00BC01B1">
          <w:rPr>
            <w:noProof/>
            <w:webHidden/>
          </w:rPr>
          <w:instrText xml:space="preserve"> PAGEREF _Toc509935592 \h </w:instrText>
        </w:r>
        <w:r w:rsidR="00BC01B1">
          <w:rPr>
            <w:noProof/>
            <w:webHidden/>
          </w:rPr>
        </w:r>
        <w:r w:rsidR="00BC01B1">
          <w:rPr>
            <w:noProof/>
            <w:webHidden/>
          </w:rPr>
          <w:fldChar w:fldCharType="separate"/>
        </w:r>
        <w:r>
          <w:rPr>
            <w:noProof/>
            <w:webHidden/>
          </w:rPr>
          <w:t>302</w:t>
        </w:r>
        <w:r w:rsidR="00BC01B1">
          <w:rPr>
            <w:noProof/>
            <w:webHidden/>
          </w:rPr>
          <w:fldChar w:fldCharType="end"/>
        </w:r>
      </w:hyperlink>
    </w:p>
    <w:p w:rsidR="00BC01B1" w:rsidRDefault="001B481B">
      <w:pPr>
        <w:pStyle w:val="Sumrio2"/>
        <w:tabs>
          <w:tab w:val="left" w:pos="1134"/>
        </w:tabs>
        <w:rPr>
          <w:rFonts w:asciiTheme="minorHAnsi" w:eastAsiaTheme="minorEastAsia" w:hAnsiTheme="minorHAnsi" w:cstheme="minorBidi"/>
          <w:noProof/>
          <w:sz w:val="22"/>
          <w:lang w:eastAsia="pt-BR"/>
        </w:rPr>
      </w:pPr>
      <w:hyperlink w:anchor="_Toc509935593" w:history="1">
        <w:r w:rsidR="00BC01B1" w:rsidRPr="005D5DCB">
          <w:rPr>
            <w:rStyle w:val="Hyperlink"/>
            <w:noProof/>
          </w:rPr>
          <w:t>5.9.</w:t>
        </w:r>
        <w:r w:rsidR="00BC01B1">
          <w:rPr>
            <w:rFonts w:asciiTheme="minorHAnsi" w:eastAsiaTheme="minorEastAsia" w:hAnsiTheme="minorHAnsi" w:cstheme="minorBidi"/>
            <w:noProof/>
            <w:sz w:val="22"/>
            <w:lang w:eastAsia="pt-BR"/>
          </w:rPr>
          <w:tab/>
        </w:r>
        <w:r w:rsidR="00BC01B1" w:rsidRPr="005D5DCB">
          <w:rPr>
            <w:rStyle w:val="Hyperlink"/>
            <w:noProof/>
          </w:rPr>
          <w:t>Fontes de financiamento para o saneamento básico</w:t>
        </w:r>
        <w:r w:rsidR="00BC01B1">
          <w:rPr>
            <w:noProof/>
            <w:webHidden/>
          </w:rPr>
          <w:tab/>
        </w:r>
        <w:r w:rsidR="00BC01B1">
          <w:rPr>
            <w:noProof/>
            <w:webHidden/>
          </w:rPr>
          <w:fldChar w:fldCharType="begin"/>
        </w:r>
        <w:r w:rsidR="00BC01B1">
          <w:rPr>
            <w:noProof/>
            <w:webHidden/>
          </w:rPr>
          <w:instrText xml:space="preserve"> PAGEREF _Toc509935593 \h </w:instrText>
        </w:r>
        <w:r w:rsidR="00BC01B1">
          <w:rPr>
            <w:noProof/>
            <w:webHidden/>
          </w:rPr>
        </w:r>
        <w:r w:rsidR="00BC01B1">
          <w:rPr>
            <w:noProof/>
            <w:webHidden/>
          </w:rPr>
          <w:fldChar w:fldCharType="separate"/>
        </w:r>
        <w:r>
          <w:rPr>
            <w:noProof/>
            <w:webHidden/>
          </w:rPr>
          <w:t>303</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94" w:history="1">
        <w:r w:rsidR="00BC01B1" w:rsidRPr="005D5DCB">
          <w:rPr>
            <w:rStyle w:val="Hyperlink"/>
            <w:noProof/>
          </w:rPr>
          <w:t>5.9.1.</w:t>
        </w:r>
        <w:r w:rsidR="00BC01B1">
          <w:rPr>
            <w:rFonts w:asciiTheme="minorHAnsi" w:eastAsiaTheme="minorEastAsia" w:hAnsiTheme="minorHAnsi" w:cstheme="minorBidi"/>
            <w:i w:val="0"/>
            <w:noProof/>
            <w:sz w:val="22"/>
            <w:lang w:eastAsia="pt-BR"/>
          </w:rPr>
          <w:tab/>
        </w:r>
        <w:r w:rsidR="00BC01B1" w:rsidRPr="005D5DCB">
          <w:rPr>
            <w:rStyle w:val="Hyperlink"/>
            <w:noProof/>
          </w:rPr>
          <w:t>Programa “Avançar Cidades – Saneamento”</w:t>
        </w:r>
        <w:r w:rsidR="00BC01B1">
          <w:rPr>
            <w:noProof/>
            <w:webHidden/>
          </w:rPr>
          <w:tab/>
        </w:r>
        <w:r w:rsidR="00BC01B1">
          <w:rPr>
            <w:noProof/>
            <w:webHidden/>
          </w:rPr>
          <w:fldChar w:fldCharType="begin"/>
        </w:r>
        <w:r w:rsidR="00BC01B1">
          <w:rPr>
            <w:noProof/>
            <w:webHidden/>
          </w:rPr>
          <w:instrText xml:space="preserve"> PAGEREF _Toc509935594 \h </w:instrText>
        </w:r>
        <w:r w:rsidR="00BC01B1">
          <w:rPr>
            <w:noProof/>
            <w:webHidden/>
          </w:rPr>
        </w:r>
        <w:r w:rsidR="00BC01B1">
          <w:rPr>
            <w:noProof/>
            <w:webHidden/>
          </w:rPr>
          <w:fldChar w:fldCharType="separate"/>
        </w:r>
        <w:r>
          <w:rPr>
            <w:noProof/>
            <w:webHidden/>
          </w:rPr>
          <w:t>308</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95" w:history="1">
        <w:r w:rsidR="00BC01B1" w:rsidRPr="005D5DCB">
          <w:rPr>
            <w:rStyle w:val="Hyperlink"/>
            <w:noProof/>
          </w:rPr>
          <w:t>5.9.2.</w:t>
        </w:r>
        <w:r w:rsidR="00BC01B1">
          <w:rPr>
            <w:rFonts w:asciiTheme="minorHAnsi" w:eastAsiaTheme="minorEastAsia" w:hAnsiTheme="minorHAnsi" w:cstheme="minorBidi"/>
            <w:i w:val="0"/>
            <w:noProof/>
            <w:sz w:val="22"/>
            <w:lang w:eastAsia="pt-BR"/>
          </w:rPr>
          <w:tab/>
        </w:r>
        <w:r w:rsidR="00BC01B1" w:rsidRPr="005D5DCB">
          <w:rPr>
            <w:rStyle w:val="Hyperlink"/>
            <w:noProof/>
          </w:rPr>
          <w:t>Programa de Despoluição de Bacias Hidrográficas - PRODES</w:t>
        </w:r>
        <w:r w:rsidR="00BC01B1">
          <w:rPr>
            <w:noProof/>
            <w:webHidden/>
          </w:rPr>
          <w:tab/>
        </w:r>
        <w:r w:rsidR="00BC01B1">
          <w:rPr>
            <w:noProof/>
            <w:webHidden/>
          </w:rPr>
          <w:fldChar w:fldCharType="begin"/>
        </w:r>
        <w:r w:rsidR="00BC01B1">
          <w:rPr>
            <w:noProof/>
            <w:webHidden/>
          </w:rPr>
          <w:instrText xml:space="preserve"> PAGEREF _Toc509935595 \h </w:instrText>
        </w:r>
        <w:r w:rsidR="00BC01B1">
          <w:rPr>
            <w:noProof/>
            <w:webHidden/>
          </w:rPr>
        </w:r>
        <w:r w:rsidR="00BC01B1">
          <w:rPr>
            <w:noProof/>
            <w:webHidden/>
          </w:rPr>
          <w:fldChar w:fldCharType="separate"/>
        </w:r>
        <w:r>
          <w:rPr>
            <w:noProof/>
            <w:webHidden/>
          </w:rPr>
          <w:t>310</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96" w:history="1">
        <w:r w:rsidR="00BC01B1" w:rsidRPr="005D5DCB">
          <w:rPr>
            <w:rStyle w:val="Hyperlink"/>
            <w:noProof/>
          </w:rPr>
          <w:t>5.9.3.</w:t>
        </w:r>
        <w:r w:rsidR="00BC01B1">
          <w:rPr>
            <w:rFonts w:asciiTheme="minorHAnsi" w:eastAsiaTheme="minorEastAsia" w:hAnsiTheme="minorHAnsi" w:cstheme="minorBidi"/>
            <w:i w:val="0"/>
            <w:noProof/>
            <w:sz w:val="22"/>
            <w:lang w:eastAsia="pt-BR"/>
          </w:rPr>
          <w:tab/>
        </w:r>
        <w:r w:rsidR="00BC01B1" w:rsidRPr="005D5DCB">
          <w:rPr>
            <w:rStyle w:val="Hyperlink"/>
            <w:noProof/>
          </w:rPr>
          <w:t>Programa Saneamento Para Todos</w:t>
        </w:r>
        <w:r w:rsidR="00BC01B1">
          <w:rPr>
            <w:noProof/>
            <w:webHidden/>
          </w:rPr>
          <w:tab/>
        </w:r>
        <w:r w:rsidR="00BC01B1">
          <w:rPr>
            <w:noProof/>
            <w:webHidden/>
          </w:rPr>
          <w:fldChar w:fldCharType="begin"/>
        </w:r>
        <w:r w:rsidR="00BC01B1">
          <w:rPr>
            <w:noProof/>
            <w:webHidden/>
          </w:rPr>
          <w:instrText xml:space="preserve"> PAGEREF _Toc509935596 \h </w:instrText>
        </w:r>
        <w:r w:rsidR="00BC01B1">
          <w:rPr>
            <w:noProof/>
            <w:webHidden/>
          </w:rPr>
        </w:r>
        <w:r w:rsidR="00BC01B1">
          <w:rPr>
            <w:noProof/>
            <w:webHidden/>
          </w:rPr>
          <w:fldChar w:fldCharType="separate"/>
        </w:r>
        <w:r>
          <w:rPr>
            <w:noProof/>
            <w:webHidden/>
          </w:rPr>
          <w:t>311</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97" w:history="1">
        <w:r w:rsidR="00BC01B1" w:rsidRPr="005D5DCB">
          <w:rPr>
            <w:rStyle w:val="Hyperlink"/>
            <w:rFonts w:cs="Arial"/>
            <w:noProof/>
            <w:lang w:eastAsia="pt-BR"/>
          </w:rPr>
          <w:t>5.9.4.</w:t>
        </w:r>
        <w:r w:rsidR="00BC01B1">
          <w:rPr>
            <w:rFonts w:asciiTheme="minorHAnsi" w:eastAsiaTheme="minorEastAsia" w:hAnsiTheme="minorHAnsi" w:cstheme="minorBidi"/>
            <w:i w:val="0"/>
            <w:noProof/>
            <w:sz w:val="22"/>
            <w:lang w:eastAsia="pt-BR"/>
          </w:rPr>
          <w:tab/>
        </w:r>
        <w:r w:rsidR="00BC01B1" w:rsidRPr="005D5DCB">
          <w:rPr>
            <w:rStyle w:val="Hyperlink"/>
            <w:noProof/>
          </w:rPr>
          <w:t>Fundação Nacional de Saúde - FUNASA</w:t>
        </w:r>
        <w:r w:rsidR="00BC01B1">
          <w:rPr>
            <w:noProof/>
            <w:webHidden/>
          </w:rPr>
          <w:tab/>
        </w:r>
        <w:r w:rsidR="00BC01B1">
          <w:rPr>
            <w:noProof/>
            <w:webHidden/>
          </w:rPr>
          <w:fldChar w:fldCharType="begin"/>
        </w:r>
        <w:r w:rsidR="00BC01B1">
          <w:rPr>
            <w:noProof/>
            <w:webHidden/>
          </w:rPr>
          <w:instrText xml:space="preserve"> PAGEREF _Toc509935597 \h </w:instrText>
        </w:r>
        <w:r w:rsidR="00BC01B1">
          <w:rPr>
            <w:noProof/>
            <w:webHidden/>
          </w:rPr>
        </w:r>
        <w:r w:rsidR="00BC01B1">
          <w:rPr>
            <w:noProof/>
            <w:webHidden/>
          </w:rPr>
          <w:fldChar w:fldCharType="separate"/>
        </w:r>
        <w:r>
          <w:rPr>
            <w:noProof/>
            <w:webHidden/>
          </w:rPr>
          <w:t>314</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98" w:history="1">
        <w:r w:rsidR="00BC01B1" w:rsidRPr="005D5DCB">
          <w:rPr>
            <w:rStyle w:val="Hyperlink"/>
            <w:rFonts w:cs="Arial"/>
            <w:noProof/>
            <w:lang w:eastAsia="pt-BR"/>
          </w:rPr>
          <w:t>5.9.5.</w:t>
        </w:r>
        <w:r w:rsidR="00BC01B1">
          <w:rPr>
            <w:rFonts w:asciiTheme="minorHAnsi" w:eastAsiaTheme="minorEastAsia" w:hAnsiTheme="minorHAnsi" w:cstheme="minorBidi"/>
            <w:i w:val="0"/>
            <w:noProof/>
            <w:sz w:val="22"/>
            <w:lang w:eastAsia="pt-BR"/>
          </w:rPr>
          <w:tab/>
        </w:r>
        <w:r w:rsidR="00BC01B1" w:rsidRPr="005D5DCB">
          <w:rPr>
            <w:rStyle w:val="Hyperlink"/>
            <w:noProof/>
          </w:rPr>
          <w:t>Banco Nacional de Desenvolvimento Econômico e Social - BNDES/FINEM</w:t>
        </w:r>
        <w:r w:rsidR="00BC01B1">
          <w:rPr>
            <w:noProof/>
            <w:webHidden/>
          </w:rPr>
          <w:tab/>
        </w:r>
        <w:r w:rsidR="00BC01B1">
          <w:rPr>
            <w:noProof/>
            <w:webHidden/>
          </w:rPr>
          <w:fldChar w:fldCharType="begin"/>
        </w:r>
        <w:r w:rsidR="00BC01B1">
          <w:rPr>
            <w:noProof/>
            <w:webHidden/>
          </w:rPr>
          <w:instrText xml:space="preserve"> PAGEREF _Toc509935598 \h </w:instrText>
        </w:r>
        <w:r w:rsidR="00BC01B1">
          <w:rPr>
            <w:noProof/>
            <w:webHidden/>
          </w:rPr>
        </w:r>
        <w:r w:rsidR="00BC01B1">
          <w:rPr>
            <w:noProof/>
            <w:webHidden/>
          </w:rPr>
          <w:fldChar w:fldCharType="separate"/>
        </w:r>
        <w:r>
          <w:rPr>
            <w:noProof/>
            <w:webHidden/>
          </w:rPr>
          <w:t>316</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599" w:history="1">
        <w:r w:rsidR="00BC01B1" w:rsidRPr="005D5DCB">
          <w:rPr>
            <w:rStyle w:val="Hyperlink"/>
            <w:noProof/>
          </w:rPr>
          <w:t>5.9.6.</w:t>
        </w:r>
        <w:r w:rsidR="00BC01B1">
          <w:rPr>
            <w:rFonts w:asciiTheme="minorHAnsi" w:eastAsiaTheme="minorEastAsia" w:hAnsiTheme="minorHAnsi" w:cstheme="minorBidi"/>
            <w:i w:val="0"/>
            <w:noProof/>
            <w:sz w:val="22"/>
            <w:lang w:eastAsia="pt-BR"/>
          </w:rPr>
          <w:tab/>
        </w:r>
        <w:r w:rsidR="00BC01B1" w:rsidRPr="005D5DCB">
          <w:rPr>
            <w:rStyle w:val="Hyperlink"/>
            <w:noProof/>
          </w:rPr>
          <w:t>Fundo de Recuperação, Proteção e Desenvolvimento Sustentável das Bacias Hidrográficas do Estado de Minas Gerais – FHIDRO</w:t>
        </w:r>
        <w:r w:rsidR="00BC01B1">
          <w:rPr>
            <w:noProof/>
            <w:webHidden/>
          </w:rPr>
          <w:tab/>
        </w:r>
        <w:r w:rsidR="00BC01B1">
          <w:rPr>
            <w:noProof/>
            <w:webHidden/>
          </w:rPr>
          <w:fldChar w:fldCharType="begin"/>
        </w:r>
        <w:r w:rsidR="00BC01B1">
          <w:rPr>
            <w:noProof/>
            <w:webHidden/>
          </w:rPr>
          <w:instrText xml:space="preserve"> PAGEREF _Toc509935599 \h </w:instrText>
        </w:r>
        <w:r w:rsidR="00BC01B1">
          <w:rPr>
            <w:noProof/>
            <w:webHidden/>
          </w:rPr>
        </w:r>
        <w:r w:rsidR="00BC01B1">
          <w:rPr>
            <w:noProof/>
            <w:webHidden/>
          </w:rPr>
          <w:fldChar w:fldCharType="separate"/>
        </w:r>
        <w:r>
          <w:rPr>
            <w:noProof/>
            <w:webHidden/>
          </w:rPr>
          <w:t>317</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600" w:history="1">
        <w:r w:rsidR="00BC01B1" w:rsidRPr="005D5DCB">
          <w:rPr>
            <w:rStyle w:val="Hyperlink"/>
            <w:noProof/>
          </w:rPr>
          <w:t>5.9.7.</w:t>
        </w:r>
        <w:r w:rsidR="00BC01B1">
          <w:rPr>
            <w:rFonts w:asciiTheme="minorHAnsi" w:eastAsiaTheme="minorEastAsia" w:hAnsiTheme="minorHAnsi" w:cstheme="minorBidi"/>
            <w:i w:val="0"/>
            <w:noProof/>
            <w:sz w:val="22"/>
            <w:lang w:eastAsia="pt-BR"/>
          </w:rPr>
          <w:tab/>
        </w:r>
        <w:r w:rsidR="00BC01B1" w:rsidRPr="005D5DCB">
          <w:rPr>
            <w:rStyle w:val="Hyperlink"/>
            <w:noProof/>
          </w:rPr>
          <w:t>Banco de Desenvolvimento de Minas Gerais – BDMG</w:t>
        </w:r>
        <w:r w:rsidR="00BC01B1">
          <w:rPr>
            <w:noProof/>
            <w:webHidden/>
          </w:rPr>
          <w:tab/>
        </w:r>
        <w:r w:rsidR="00BC01B1">
          <w:rPr>
            <w:noProof/>
            <w:webHidden/>
          </w:rPr>
          <w:fldChar w:fldCharType="begin"/>
        </w:r>
        <w:r w:rsidR="00BC01B1">
          <w:rPr>
            <w:noProof/>
            <w:webHidden/>
          </w:rPr>
          <w:instrText xml:space="preserve"> PAGEREF _Toc509935600 \h </w:instrText>
        </w:r>
        <w:r w:rsidR="00BC01B1">
          <w:rPr>
            <w:noProof/>
            <w:webHidden/>
          </w:rPr>
        </w:r>
        <w:r w:rsidR="00BC01B1">
          <w:rPr>
            <w:noProof/>
            <w:webHidden/>
          </w:rPr>
          <w:fldChar w:fldCharType="separate"/>
        </w:r>
        <w:r>
          <w:rPr>
            <w:noProof/>
            <w:webHidden/>
          </w:rPr>
          <w:t>318</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601" w:history="1">
        <w:r w:rsidR="00BC01B1" w:rsidRPr="005D5DCB">
          <w:rPr>
            <w:rStyle w:val="Hyperlink"/>
            <w:noProof/>
          </w:rPr>
          <w:t>5.9.8.</w:t>
        </w:r>
        <w:r w:rsidR="00BC01B1">
          <w:rPr>
            <w:rFonts w:asciiTheme="minorHAnsi" w:eastAsiaTheme="minorEastAsia" w:hAnsiTheme="minorHAnsi" w:cstheme="minorBidi"/>
            <w:i w:val="0"/>
            <w:noProof/>
            <w:sz w:val="22"/>
            <w:lang w:eastAsia="pt-BR"/>
          </w:rPr>
          <w:tab/>
        </w:r>
        <w:r w:rsidR="00BC01B1" w:rsidRPr="005D5DCB">
          <w:rPr>
            <w:rStyle w:val="Hyperlink"/>
            <w:noProof/>
          </w:rPr>
          <w:t>Recursos Próprios do Município</w:t>
        </w:r>
        <w:r w:rsidR="00BC01B1">
          <w:rPr>
            <w:noProof/>
            <w:webHidden/>
          </w:rPr>
          <w:tab/>
        </w:r>
        <w:r w:rsidR="00BC01B1">
          <w:rPr>
            <w:noProof/>
            <w:webHidden/>
          </w:rPr>
          <w:fldChar w:fldCharType="begin"/>
        </w:r>
        <w:r w:rsidR="00BC01B1">
          <w:rPr>
            <w:noProof/>
            <w:webHidden/>
          </w:rPr>
          <w:instrText xml:space="preserve"> PAGEREF _Toc509935601 \h </w:instrText>
        </w:r>
        <w:r w:rsidR="00BC01B1">
          <w:rPr>
            <w:noProof/>
            <w:webHidden/>
          </w:rPr>
        </w:r>
        <w:r w:rsidR="00BC01B1">
          <w:rPr>
            <w:noProof/>
            <w:webHidden/>
          </w:rPr>
          <w:fldChar w:fldCharType="separate"/>
        </w:r>
        <w:r>
          <w:rPr>
            <w:noProof/>
            <w:webHidden/>
          </w:rPr>
          <w:t>319</w:t>
        </w:r>
        <w:r w:rsidR="00BC01B1">
          <w:rPr>
            <w:noProof/>
            <w:webHidden/>
          </w:rPr>
          <w:fldChar w:fldCharType="end"/>
        </w:r>
      </w:hyperlink>
    </w:p>
    <w:p w:rsidR="00BC01B1" w:rsidRDefault="001B481B">
      <w:pPr>
        <w:pStyle w:val="Sumrio1"/>
        <w:tabs>
          <w:tab w:val="left" w:pos="567"/>
        </w:tabs>
        <w:rPr>
          <w:rFonts w:asciiTheme="minorHAnsi" w:eastAsiaTheme="minorEastAsia" w:hAnsiTheme="minorHAnsi" w:cstheme="minorBidi"/>
          <w:b w:val="0"/>
          <w:noProof/>
          <w:sz w:val="22"/>
          <w:szCs w:val="22"/>
        </w:rPr>
      </w:pPr>
      <w:hyperlink w:anchor="_Toc509935602" w:history="1">
        <w:r w:rsidR="00BC01B1" w:rsidRPr="005D5DCB">
          <w:rPr>
            <w:rStyle w:val="Hyperlink"/>
            <w:noProof/>
          </w:rPr>
          <w:t>6.</w:t>
        </w:r>
        <w:r w:rsidR="00BC01B1">
          <w:rPr>
            <w:rFonts w:asciiTheme="minorHAnsi" w:eastAsiaTheme="minorEastAsia" w:hAnsiTheme="minorHAnsi" w:cstheme="minorBidi"/>
            <w:b w:val="0"/>
            <w:noProof/>
            <w:sz w:val="22"/>
            <w:szCs w:val="22"/>
          </w:rPr>
          <w:tab/>
        </w:r>
        <w:r w:rsidR="00BC01B1" w:rsidRPr="005D5DCB">
          <w:rPr>
            <w:rStyle w:val="Hyperlink"/>
            <w:noProof/>
          </w:rPr>
          <w:t>Análise de viabilidade econômica e financeira</w:t>
        </w:r>
        <w:r w:rsidR="00BC01B1">
          <w:rPr>
            <w:noProof/>
            <w:webHidden/>
          </w:rPr>
          <w:tab/>
        </w:r>
        <w:r w:rsidR="00BC01B1">
          <w:rPr>
            <w:noProof/>
            <w:webHidden/>
          </w:rPr>
          <w:fldChar w:fldCharType="begin"/>
        </w:r>
        <w:r w:rsidR="00BC01B1">
          <w:rPr>
            <w:noProof/>
            <w:webHidden/>
          </w:rPr>
          <w:instrText xml:space="preserve"> PAGEREF _Toc509935602 \h </w:instrText>
        </w:r>
        <w:r w:rsidR="00BC01B1">
          <w:rPr>
            <w:noProof/>
            <w:webHidden/>
          </w:rPr>
        </w:r>
        <w:r w:rsidR="00BC01B1">
          <w:rPr>
            <w:noProof/>
            <w:webHidden/>
          </w:rPr>
          <w:fldChar w:fldCharType="separate"/>
        </w:r>
        <w:r>
          <w:rPr>
            <w:noProof/>
            <w:webHidden/>
          </w:rPr>
          <w:t>319</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603" w:history="1">
        <w:r w:rsidR="00BC01B1" w:rsidRPr="005D5DCB">
          <w:rPr>
            <w:rStyle w:val="Hyperlink"/>
            <w:noProof/>
          </w:rPr>
          <w:t>6.1.1.</w:t>
        </w:r>
        <w:r w:rsidR="00BC01B1">
          <w:rPr>
            <w:rFonts w:asciiTheme="minorHAnsi" w:eastAsiaTheme="minorEastAsia" w:hAnsiTheme="minorHAnsi" w:cstheme="minorBidi"/>
            <w:i w:val="0"/>
            <w:noProof/>
            <w:sz w:val="22"/>
            <w:lang w:eastAsia="pt-BR"/>
          </w:rPr>
          <w:tab/>
        </w:r>
        <w:r w:rsidR="00BC01B1" w:rsidRPr="005D5DCB">
          <w:rPr>
            <w:rStyle w:val="Hyperlink"/>
            <w:noProof/>
          </w:rPr>
          <w:t>Sistemas de Abastecimento de Água e de Esgotamento Sanitário</w:t>
        </w:r>
        <w:r w:rsidR="00BC01B1">
          <w:rPr>
            <w:noProof/>
            <w:webHidden/>
          </w:rPr>
          <w:tab/>
        </w:r>
        <w:r w:rsidR="00BC01B1">
          <w:rPr>
            <w:noProof/>
            <w:webHidden/>
          </w:rPr>
          <w:fldChar w:fldCharType="begin"/>
        </w:r>
        <w:r w:rsidR="00BC01B1">
          <w:rPr>
            <w:noProof/>
            <w:webHidden/>
          </w:rPr>
          <w:instrText xml:space="preserve"> PAGEREF _Toc509935603 \h </w:instrText>
        </w:r>
        <w:r w:rsidR="00BC01B1">
          <w:rPr>
            <w:noProof/>
            <w:webHidden/>
          </w:rPr>
        </w:r>
        <w:r w:rsidR="00BC01B1">
          <w:rPr>
            <w:noProof/>
            <w:webHidden/>
          </w:rPr>
          <w:fldChar w:fldCharType="separate"/>
        </w:r>
        <w:r>
          <w:rPr>
            <w:noProof/>
            <w:webHidden/>
          </w:rPr>
          <w:t>319</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604" w:history="1">
        <w:r w:rsidR="00BC01B1" w:rsidRPr="005D5DCB">
          <w:rPr>
            <w:rStyle w:val="Hyperlink"/>
            <w:noProof/>
          </w:rPr>
          <w:t>6.1.2.</w:t>
        </w:r>
        <w:r w:rsidR="00BC01B1">
          <w:rPr>
            <w:rFonts w:asciiTheme="minorHAnsi" w:eastAsiaTheme="minorEastAsia" w:hAnsiTheme="minorHAnsi" w:cstheme="minorBidi"/>
            <w:i w:val="0"/>
            <w:noProof/>
            <w:sz w:val="22"/>
            <w:lang w:eastAsia="pt-BR"/>
          </w:rPr>
          <w:tab/>
        </w:r>
        <w:r w:rsidR="00BC01B1" w:rsidRPr="005D5DCB">
          <w:rPr>
            <w:rStyle w:val="Hyperlink"/>
            <w:noProof/>
          </w:rPr>
          <w:t>Sistema de Drenagem Urbana e Manejo de Águas Pluviais</w:t>
        </w:r>
        <w:r w:rsidR="00BC01B1">
          <w:rPr>
            <w:noProof/>
            <w:webHidden/>
          </w:rPr>
          <w:tab/>
        </w:r>
        <w:r w:rsidR="00BC01B1">
          <w:rPr>
            <w:noProof/>
            <w:webHidden/>
          </w:rPr>
          <w:fldChar w:fldCharType="begin"/>
        </w:r>
        <w:r w:rsidR="00BC01B1">
          <w:rPr>
            <w:noProof/>
            <w:webHidden/>
          </w:rPr>
          <w:instrText xml:space="preserve"> PAGEREF _Toc509935604 \h </w:instrText>
        </w:r>
        <w:r w:rsidR="00BC01B1">
          <w:rPr>
            <w:noProof/>
            <w:webHidden/>
          </w:rPr>
        </w:r>
        <w:r w:rsidR="00BC01B1">
          <w:rPr>
            <w:noProof/>
            <w:webHidden/>
          </w:rPr>
          <w:fldChar w:fldCharType="separate"/>
        </w:r>
        <w:r>
          <w:rPr>
            <w:noProof/>
            <w:webHidden/>
          </w:rPr>
          <w:t>321</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605" w:history="1">
        <w:r w:rsidR="00BC01B1" w:rsidRPr="005D5DCB">
          <w:rPr>
            <w:rStyle w:val="Hyperlink"/>
            <w:noProof/>
          </w:rPr>
          <w:t>6.1.3.</w:t>
        </w:r>
        <w:r w:rsidR="00BC01B1">
          <w:rPr>
            <w:rFonts w:asciiTheme="minorHAnsi" w:eastAsiaTheme="minorEastAsia" w:hAnsiTheme="minorHAnsi" w:cstheme="minorBidi"/>
            <w:i w:val="0"/>
            <w:noProof/>
            <w:sz w:val="22"/>
            <w:lang w:eastAsia="pt-BR"/>
          </w:rPr>
          <w:tab/>
        </w:r>
        <w:r w:rsidR="00BC01B1" w:rsidRPr="005D5DCB">
          <w:rPr>
            <w:rStyle w:val="Hyperlink"/>
            <w:noProof/>
          </w:rPr>
          <w:t>Considerações iniciais sobre a gestão do SLU</w:t>
        </w:r>
        <w:r w:rsidR="00BC01B1">
          <w:rPr>
            <w:noProof/>
            <w:webHidden/>
          </w:rPr>
          <w:tab/>
        </w:r>
        <w:r w:rsidR="00BC01B1">
          <w:rPr>
            <w:noProof/>
            <w:webHidden/>
          </w:rPr>
          <w:fldChar w:fldCharType="begin"/>
        </w:r>
        <w:r w:rsidR="00BC01B1">
          <w:rPr>
            <w:noProof/>
            <w:webHidden/>
          </w:rPr>
          <w:instrText xml:space="preserve"> PAGEREF _Toc509935605 \h </w:instrText>
        </w:r>
        <w:r w:rsidR="00BC01B1">
          <w:rPr>
            <w:noProof/>
            <w:webHidden/>
          </w:rPr>
        </w:r>
        <w:r w:rsidR="00BC01B1">
          <w:rPr>
            <w:noProof/>
            <w:webHidden/>
          </w:rPr>
          <w:fldChar w:fldCharType="separate"/>
        </w:r>
        <w:r>
          <w:rPr>
            <w:noProof/>
            <w:webHidden/>
          </w:rPr>
          <w:t>322</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606" w:history="1">
        <w:r w:rsidR="00BC01B1" w:rsidRPr="005D5DCB">
          <w:rPr>
            <w:rStyle w:val="Hyperlink"/>
            <w:noProof/>
          </w:rPr>
          <w:t>6.1.4.</w:t>
        </w:r>
        <w:r w:rsidR="00BC01B1">
          <w:rPr>
            <w:rFonts w:asciiTheme="minorHAnsi" w:eastAsiaTheme="minorEastAsia" w:hAnsiTheme="minorHAnsi" w:cstheme="minorBidi"/>
            <w:i w:val="0"/>
            <w:noProof/>
            <w:sz w:val="22"/>
            <w:lang w:eastAsia="pt-BR"/>
          </w:rPr>
          <w:tab/>
        </w:r>
        <w:r w:rsidR="00BC01B1" w:rsidRPr="005D5DCB">
          <w:rPr>
            <w:rStyle w:val="Hyperlink"/>
            <w:noProof/>
          </w:rPr>
          <w:t>Sistema de Limpeza Urbana e Manejo de Resíduos Sólidos</w:t>
        </w:r>
        <w:r w:rsidR="00BC01B1">
          <w:rPr>
            <w:noProof/>
            <w:webHidden/>
          </w:rPr>
          <w:tab/>
        </w:r>
        <w:r w:rsidR="00BC01B1">
          <w:rPr>
            <w:noProof/>
            <w:webHidden/>
          </w:rPr>
          <w:fldChar w:fldCharType="begin"/>
        </w:r>
        <w:r w:rsidR="00BC01B1">
          <w:rPr>
            <w:noProof/>
            <w:webHidden/>
          </w:rPr>
          <w:instrText xml:space="preserve"> PAGEREF _Toc509935606 \h </w:instrText>
        </w:r>
        <w:r w:rsidR="00BC01B1">
          <w:rPr>
            <w:noProof/>
            <w:webHidden/>
          </w:rPr>
        </w:r>
        <w:r w:rsidR="00BC01B1">
          <w:rPr>
            <w:noProof/>
            <w:webHidden/>
          </w:rPr>
          <w:fldChar w:fldCharType="separate"/>
        </w:r>
        <w:r>
          <w:rPr>
            <w:noProof/>
            <w:webHidden/>
          </w:rPr>
          <w:t>323</w:t>
        </w:r>
        <w:r w:rsidR="00BC01B1">
          <w:rPr>
            <w:noProof/>
            <w:webHidden/>
          </w:rPr>
          <w:fldChar w:fldCharType="end"/>
        </w:r>
      </w:hyperlink>
    </w:p>
    <w:p w:rsidR="00BC01B1" w:rsidRDefault="001B481B">
      <w:pPr>
        <w:pStyle w:val="Sumrio1"/>
        <w:tabs>
          <w:tab w:val="left" w:pos="567"/>
        </w:tabs>
        <w:rPr>
          <w:rFonts w:asciiTheme="minorHAnsi" w:eastAsiaTheme="minorEastAsia" w:hAnsiTheme="minorHAnsi" w:cstheme="minorBidi"/>
          <w:b w:val="0"/>
          <w:noProof/>
          <w:sz w:val="22"/>
          <w:szCs w:val="22"/>
        </w:rPr>
      </w:pPr>
      <w:hyperlink w:anchor="_Toc509935607" w:history="1">
        <w:r w:rsidR="00BC01B1" w:rsidRPr="005D5DCB">
          <w:rPr>
            <w:rStyle w:val="Hyperlink"/>
            <w:noProof/>
          </w:rPr>
          <w:t>7.</w:t>
        </w:r>
        <w:r w:rsidR="00BC01B1">
          <w:rPr>
            <w:rFonts w:asciiTheme="minorHAnsi" w:eastAsiaTheme="minorEastAsia" w:hAnsiTheme="minorHAnsi" w:cstheme="minorBidi"/>
            <w:b w:val="0"/>
            <w:noProof/>
            <w:sz w:val="22"/>
            <w:szCs w:val="22"/>
          </w:rPr>
          <w:tab/>
        </w:r>
        <w:r w:rsidR="00BC01B1" w:rsidRPr="005D5DCB">
          <w:rPr>
            <w:rStyle w:val="Hyperlink"/>
            <w:noProof/>
          </w:rPr>
          <w:t>Mecanismos e procedimentos para a avaliação sistemática da eficiência e eficácia dos serviços de saneamento e do PMSB</w:t>
        </w:r>
        <w:r w:rsidR="00BC01B1">
          <w:rPr>
            <w:noProof/>
            <w:webHidden/>
          </w:rPr>
          <w:tab/>
        </w:r>
        <w:r w:rsidR="00BC01B1">
          <w:rPr>
            <w:noProof/>
            <w:webHidden/>
          </w:rPr>
          <w:fldChar w:fldCharType="begin"/>
        </w:r>
        <w:r w:rsidR="00BC01B1">
          <w:rPr>
            <w:noProof/>
            <w:webHidden/>
          </w:rPr>
          <w:instrText xml:space="preserve"> PAGEREF _Toc509935607 \h </w:instrText>
        </w:r>
        <w:r w:rsidR="00BC01B1">
          <w:rPr>
            <w:noProof/>
            <w:webHidden/>
          </w:rPr>
        </w:r>
        <w:r w:rsidR="00BC01B1">
          <w:rPr>
            <w:noProof/>
            <w:webHidden/>
          </w:rPr>
          <w:fldChar w:fldCharType="separate"/>
        </w:r>
        <w:r>
          <w:rPr>
            <w:noProof/>
            <w:webHidden/>
          </w:rPr>
          <w:t>325</w:t>
        </w:r>
        <w:r w:rsidR="00BC01B1">
          <w:rPr>
            <w:noProof/>
            <w:webHidden/>
          </w:rPr>
          <w:fldChar w:fldCharType="end"/>
        </w:r>
      </w:hyperlink>
    </w:p>
    <w:p w:rsidR="00BC01B1" w:rsidRDefault="001B481B">
      <w:pPr>
        <w:pStyle w:val="Sumrio1"/>
        <w:tabs>
          <w:tab w:val="left" w:pos="567"/>
        </w:tabs>
        <w:rPr>
          <w:rFonts w:asciiTheme="minorHAnsi" w:eastAsiaTheme="minorEastAsia" w:hAnsiTheme="minorHAnsi" w:cstheme="minorBidi"/>
          <w:b w:val="0"/>
          <w:noProof/>
          <w:sz w:val="22"/>
          <w:szCs w:val="22"/>
        </w:rPr>
      </w:pPr>
      <w:hyperlink w:anchor="_Toc509935608" w:history="1">
        <w:r w:rsidR="00BC01B1" w:rsidRPr="005D5DCB">
          <w:rPr>
            <w:rStyle w:val="Hyperlink"/>
            <w:noProof/>
          </w:rPr>
          <w:t>8.</w:t>
        </w:r>
        <w:r w:rsidR="00BC01B1">
          <w:rPr>
            <w:rFonts w:asciiTheme="minorHAnsi" w:eastAsiaTheme="minorEastAsia" w:hAnsiTheme="minorHAnsi" w:cstheme="minorBidi"/>
            <w:b w:val="0"/>
            <w:noProof/>
            <w:sz w:val="22"/>
            <w:szCs w:val="22"/>
          </w:rPr>
          <w:tab/>
        </w:r>
        <w:r w:rsidR="00BC01B1" w:rsidRPr="005D5DCB">
          <w:rPr>
            <w:rStyle w:val="Hyperlink"/>
            <w:noProof/>
          </w:rPr>
          <w:t>Sistema Municipal de Informações sobre Saneamento Básico (SMIS)</w:t>
        </w:r>
        <w:r w:rsidR="00BC01B1">
          <w:rPr>
            <w:noProof/>
            <w:webHidden/>
          </w:rPr>
          <w:tab/>
        </w:r>
        <w:r w:rsidR="00BC01B1">
          <w:rPr>
            <w:noProof/>
            <w:webHidden/>
          </w:rPr>
          <w:fldChar w:fldCharType="begin"/>
        </w:r>
        <w:r w:rsidR="00BC01B1">
          <w:rPr>
            <w:noProof/>
            <w:webHidden/>
          </w:rPr>
          <w:instrText xml:space="preserve"> PAGEREF _Toc509935608 \h </w:instrText>
        </w:r>
        <w:r w:rsidR="00BC01B1">
          <w:rPr>
            <w:noProof/>
            <w:webHidden/>
          </w:rPr>
        </w:r>
        <w:r w:rsidR="00BC01B1">
          <w:rPr>
            <w:noProof/>
            <w:webHidden/>
          </w:rPr>
          <w:fldChar w:fldCharType="separate"/>
        </w:r>
        <w:r>
          <w:rPr>
            <w:noProof/>
            <w:webHidden/>
          </w:rPr>
          <w:t>325</w:t>
        </w:r>
        <w:r w:rsidR="00BC01B1">
          <w:rPr>
            <w:noProof/>
            <w:webHidden/>
          </w:rPr>
          <w:fldChar w:fldCharType="end"/>
        </w:r>
      </w:hyperlink>
    </w:p>
    <w:p w:rsidR="00BC01B1" w:rsidRDefault="001B481B">
      <w:pPr>
        <w:pStyle w:val="Sumrio1"/>
        <w:tabs>
          <w:tab w:val="left" w:pos="567"/>
        </w:tabs>
        <w:rPr>
          <w:rFonts w:asciiTheme="minorHAnsi" w:eastAsiaTheme="minorEastAsia" w:hAnsiTheme="minorHAnsi" w:cstheme="minorBidi"/>
          <w:b w:val="0"/>
          <w:noProof/>
          <w:sz w:val="22"/>
          <w:szCs w:val="22"/>
        </w:rPr>
      </w:pPr>
      <w:hyperlink w:anchor="_Toc509935609" w:history="1">
        <w:r w:rsidR="00BC01B1" w:rsidRPr="005D5DCB">
          <w:rPr>
            <w:rStyle w:val="Hyperlink"/>
            <w:noProof/>
          </w:rPr>
          <w:t>9.</w:t>
        </w:r>
        <w:r w:rsidR="00BC01B1">
          <w:rPr>
            <w:rFonts w:asciiTheme="minorHAnsi" w:eastAsiaTheme="minorEastAsia" w:hAnsiTheme="minorHAnsi" w:cstheme="minorBidi"/>
            <w:b w:val="0"/>
            <w:noProof/>
            <w:sz w:val="22"/>
            <w:szCs w:val="22"/>
          </w:rPr>
          <w:tab/>
        </w:r>
        <w:r w:rsidR="00BC01B1" w:rsidRPr="005D5DCB">
          <w:rPr>
            <w:rStyle w:val="Hyperlink"/>
            <w:noProof/>
          </w:rPr>
          <w:t>Indicadores para monitoramento dos serviços de saneamento básico e do PMSB</w:t>
        </w:r>
        <w:r w:rsidR="00BC01B1">
          <w:rPr>
            <w:noProof/>
            <w:webHidden/>
          </w:rPr>
          <w:tab/>
        </w:r>
        <w:r w:rsidR="00BC01B1">
          <w:rPr>
            <w:noProof/>
            <w:webHidden/>
          </w:rPr>
          <w:fldChar w:fldCharType="begin"/>
        </w:r>
        <w:r w:rsidR="00BC01B1">
          <w:rPr>
            <w:noProof/>
            <w:webHidden/>
          </w:rPr>
          <w:instrText xml:space="preserve"> PAGEREF _Toc509935609 \h </w:instrText>
        </w:r>
        <w:r w:rsidR="00BC01B1">
          <w:rPr>
            <w:noProof/>
            <w:webHidden/>
          </w:rPr>
        </w:r>
        <w:r w:rsidR="00BC01B1">
          <w:rPr>
            <w:noProof/>
            <w:webHidden/>
          </w:rPr>
          <w:fldChar w:fldCharType="separate"/>
        </w:r>
        <w:r>
          <w:rPr>
            <w:noProof/>
            <w:webHidden/>
          </w:rPr>
          <w:t>327</w:t>
        </w:r>
        <w:r w:rsidR="00BC01B1">
          <w:rPr>
            <w:noProof/>
            <w:webHidden/>
          </w:rPr>
          <w:fldChar w:fldCharType="end"/>
        </w:r>
      </w:hyperlink>
    </w:p>
    <w:p w:rsidR="00BC01B1" w:rsidRDefault="001B481B">
      <w:pPr>
        <w:pStyle w:val="Sumrio2"/>
        <w:tabs>
          <w:tab w:val="left" w:pos="1134"/>
        </w:tabs>
        <w:rPr>
          <w:rFonts w:asciiTheme="minorHAnsi" w:eastAsiaTheme="minorEastAsia" w:hAnsiTheme="minorHAnsi" w:cstheme="minorBidi"/>
          <w:noProof/>
          <w:sz w:val="22"/>
          <w:lang w:eastAsia="pt-BR"/>
        </w:rPr>
      </w:pPr>
      <w:hyperlink w:anchor="_Toc509935610" w:history="1">
        <w:r w:rsidR="00BC01B1" w:rsidRPr="005D5DCB">
          <w:rPr>
            <w:rStyle w:val="Hyperlink"/>
            <w:noProof/>
          </w:rPr>
          <w:t>9.1.</w:t>
        </w:r>
        <w:r w:rsidR="00BC01B1">
          <w:rPr>
            <w:rFonts w:asciiTheme="minorHAnsi" w:eastAsiaTheme="minorEastAsia" w:hAnsiTheme="minorHAnsi" w:cstheme="minorBidi"/>
            <w:noProof/>
            <w:sz w:val="22"/>
            <w:lang w:eastAsia="pt-BR"/>
          </w:rPr>
          <w:tab/>
        </w:r>
        <w:r w:rsidR="00BC01B1" w:rsidRPr="005D5DCB">
          <w:rPr>
            <w:rStyle w:val="Hyperlink"/>
            <w:noProof/>
          </w:rPr>
          <w:t>Sistema Geral</w:t>
        </w:r>
        <w:r w:rsidR="00BC01B1">
          <w:rPr>
            <w:noProof/>
            <w:webHidden/>
          </w:rPr>
          <w:tab/>
        </w:r>
        <w:r w:rsidR="00BC01B1">
          <w:rPr>
            <w:noProof/>
            <w:webHidden/>
          </w:rPr>
          <w:fldChar w:fldCharType="begin"/>
        </w:r>
        <w:r w:rsidR="00BC01B1">
          <w:rPr>
            <w:noProof/>
            <w:webHidden/>
          </w:rPr>
          <w:instrText xml:space="preserve"> PAGEREF _Toc509935610 \h </w:instrText>
        </w:r>
        <w:r w:rsidR="00BC01B1">
          <w:rPr>
            <w:noProof/>
            <w:webHidden/>
          </w:rPr>
        </w:r>
        <w:r w:rsidR="00BC01B1">
          <w:rPr>
            <w:noProof/>
            <w:webHidden/>
          </w:rPr>
          <w:fldChar w:fldCharType="separate"/>
        </w:r>
        <w:r>
          <w:rPr>
            <w:noProof/>
            <w:webHidden/>
          </w:rPr>
          <w:t>331</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614" w:history="1">
        <w:r w:rsidR="00BC01B1" w:rsidRPr="005D5DCB">
          <w:rPr>
            <w:rStyle w:val="Hyperlink"/>
            <w:noProof/>
          </w:rPr>
          <w:t>9.1.1.</w:t>
        </w:r>
        <w:r w:rsidR="00BC01B1">
          <w:rPr>
            <w:rFonts w:asciiTheme="minorHAnsi" w:eastAsiaTheme="minorEastAsia" w:hAnsiTheme="minorHAnsi" w:cstheme="minorBidi"/>
            <w:i w:val="0"/>
            <w:noProof/>
            <w:sz w:val="22"/>
            <w:lang w:eastAsia="pt-BR"/>
          </w:rPr>
          <w:tab/>
        </w:r>
        <w:r w:rsidR="00BC01B1" w:rsidRPr="005D5DCB">
          <w:rPr>
            <w:rStyle w:val="Hyperlink"/>
            <w:noProof/>
          </w:rPr>
          <w:t>Indicador para o Objetivo 1</w:t>
        </w:r>
        <w:r w:rsidR="00BC01B1">
          <w:rPr>
            <w:noProof/>
            <w:webHidden/>
          </w:rPr>
          <w:tab/>
        </w:r>
        <w:r w:rsidR="00BC01B1">
          <w:rPr>
            <w:noProof/>
            <w:webHidden/>
          </w:rPr>
          <w:fldChar w:fldCharType="begin"/>
        </w:r>
        <w:r w:rsidR="00BC01B1">
          <w:rPr>
            <w:noProof/>
            <w:webHidden/>
          </w:rPr>
          <w:instrText xml:space="preserve"> PAGEREF _Toc509935614 \h </w:instrText>
        </w:r>
        <w:r w:rsidR="00BC01B1">
          <w:rPr>
            <w:noProof/>
            <w:webHidden/>
          </w:rPr>
        </w:r>
        <w:r w:rsidR="00BC01B1">
          <w:rPr>
            <w:noProof/>
            <w:webHidden/>
          </w:rPr>
          <w:fldChar w:fldCharType="separate"/>
        </w:r>
        <w:r>
          <w:rPr>
            <w:noProof/>
            <w:webHidden/>
          </w:rPr>
          <w:t>332</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15" w:history="1">
        <w:r w:rsidR="00BC01B1" w:rsidRPr="005D5DCB">
          <w:rPr>
            <w:rStyle w:val="Hyperlink"/>
            <w:noProof/>
          </w:rPr>
          <w:t>9.1.1.1.</w:t>
        </w:r>
        <w:r w:rsidR="00BC01B1">
          <w:rPr>
            <w:rFonts w:asciiTheme="minorHAnsi" w:eastAsiaTheme="minorEastAsia" w:hAnsiTheme="minorHAnsi" w:cstheme="minorBidi"/>
            <w:noProof/>
          </w:rPr>
          <w:tab/>
        </w:r>
        <w:r w:rsidR="00BC01B1" w:rsidRPr="005D5DCB">
          <w:rPr>
            <w:rStyle w:val="Hyperlink"/>
            <w:noProof/>
          </w:rPr>
          <w:t>Indicador para o setor de água</w:t>
        </w:r>
        <w:r w:rsidR="00BC01B1">
          <w:rPr>
            <w:noProof/>
            <w:webHidden/>
          </w:rPr>
          <w:tab/>
        </w:r>
        <w:r w:rsidR="00BC01B1">
          <w:rPr>
            <w:noProof/>
            <w:webHidden/>
          </w:rPr>
          <w:fldChar w:fldCharType="begin"/>
        </w:r>
        <w:r w:rsidR="00BC01B1">
          <w:rPr>
            <w:noProof/>
            <w:webHidden/>
          </w:rPr>
          <w:instrText xml:space="preserve"> PAGEREF _Toc509935615 \h </w:instrText>
        </w:r>
        <w:r w:rsidR="00BC01B1">
          <w:rPr>
            <w:noProof/>
            <w:webHidden/>
          </w:rPr>
        </w:r>
        <w:r w:rsidR="00BC01B1">
          <w:rPr>
            <w:noProof/>
            <w:webHidden/>
          </w:rPr>
          <w:fldChar w:fldCharType="separate"/>
        </w:r>
        <w:r>
          <w:rPr>
            <w:noProof/>
            <w:webHidden/>
          </w:rPr>
          <w:t>332</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16" w:history="1">
        <w:r w:rsidR="00BC01B1" w:rsidRPr="005D5DCB">
          <w:rPr>
            <w:rStyle w:val="Hyperlink"/>
            <w:noProof/>
          </w:rPr>
          <w:t>9.1.1.2.</w:t>
        </w:r>
        <w:r w:rsidR="00BC01B1">
          <w:rPr>
            <w:rFonts w:asciiTheme="minorHAnsi" w:eastAsiaTheme="minorEastAsia" w:hAnsiTheme="minorHAnsi" w:cstheme="minorBidi"/>
            <w:noProof/>
          </w:rPr>
          <w:tab/>
        </w:r>
        <w:r w:rsidR="00BC01B1" w:rsidRPr="005D5DCB">
          <w:rPr>
            <w:rStyle w:val="Hyperlink"/>
            <w:noProof/>
          </w:rPr>
          <w:t>Indicador para o setor de esgotos</w:t>
        </w:r>
        <w:r w:rsidR="00BC01B1">
          <w:rPr>
            <w:noProof/>
            <w:webHidden/>
          </w:rPr>
          <w:tab/>
        </w:r>
        <w:r w:rsidR="00BC01B1">
          <w:rPr>
            <w:noProof/>
            <w:webHidden/>
          </w:rPr>
          <w:fldChar w:fldCharType="begin"/>
        </w:r>
        <w:r w:rsidR="00BC01B1">
          <w:rPr>
            <w:noProof/>
            <w:webHidden/>
          </w:rPr>
          <w:instrText xml:space="preserve"> PAGEREF _Toc509935616 \h </w:instrText>
        </w:r>
        <w:r w:rsidR="00BC01B1">
          <w:rPr>
            <w:noProof/>
            <w:webHidden/>
          </w:rPr>
        </w:r>
        <w:r w:rsidR="00BC01B1">
          <w:rPr>
            <w:noProof/>
            <w:webHidden/>
          </w:rPr>
          <w:fldChar w:fldCharType="separate"/>
        </w:r>
        <w:r>
          <w:rPr>
            <w:noProof/>
            <w:webHidden/>
          </w:rPr>
          <w:t>332</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17" w:history="1">
        <w:r w:rsidR="00BC01B1" w:rsidRPr="005D5DCB">
          <w:rPr>
            <w:rStyle w:val="Hyperlink"/>
            <w:noProof/>
          </w:rPr>
          <w:t>9.1.1.3.</w:t>
        </w:r>
        <w:r w:rsidR="00BC01B1">
          <w:rPr>
            <w:rFonts w:asciiTheme="minorHAnsi" w:eastAsiaTheme="minorEastAsia" w:hAnsiTheme="minorHAnsi" w:cstheme="minorBidi"/>
            <w:noProof/>
          </w:rPr>
          <w:tab/>
        </w:r>
        <w:r w:rsidR="00BC01B1" w:rsidRPr="005D5DCB">
          <w:rPr>
            <w:rStyle w:val="Hyperlink"/>
            <w:noProof/>
          </w:rPr>
          <w:t>Indicador para o setor de drenagem</w:t>
        </w:r>
        <w:r w:rsidR="00BC01B1">
          <w:rPr>
            <w:noProof/>
            <w:webHidden/>
          </w:rPr>
          <w:tab/>
        </w:r>
        <w:r w:rsidR="00BC01B1">
          <w:rPr>
            <w:noProof/>
            <w:webHidden/>
          </w:rPr>
          <w:fldChar w:fldCharType="begin"/>
        </w:r>
        <w:r w:rsidR="00BC01B1">
          <w:rPr>
            <w:noProof/>
            <w:webHidden/>
          </w:rPr>
          <w:instrText xml:space="preserve"> PAGEREF _Toc509935617 \h </w:instrText>
        </w:r>
        <w:r w:rsidR="00BC01B1">
          <w:rPr>
            <w:noProof/>
            <w:webHidden/>
          </w:rPr>
        </w:r>
        <w:r w:rsidR="00BC01B1">
          <w:rPr>
            <w:noProof/>
            <w:webHidden/>
          </w:rPr>
          <w:fldChar w:fldCharType="separate"/>
        </w:r>
        <w:r>
          <w:rPr>
            <w:noProof/>
            <w:webHidden/>
          </w:rPr>
          <w:t>332</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18" w:history="1">
        <w:r w:rsidR="00BC01B1" w:rsidRPr="005D5DCB">
          <w:rPr>
            <w:rStyle w:val="Hyperlink"/>
            <w:noProof/>
          </w:rPr>
          <w:t>9.1.1.4.</w:t>
        </w:r>
        <w:r w:rsidR="00BC01B1">
          <w:rPr>
            <w:rFonts w:asciiTheme="minorHAnsi" w:eastAsiaTheme="minorEastAsia" w:hAnsiTheme="minorHAnsi" w:cstheme="minorBidi"/>
            <w:noProof/>
          </w:rPr>
          <w:tab/>
        </w:r>
        <w:r w:rsidR="00BC01B1" w:rsidRPr="005D5DCB">
          <w:rPr>
            <w:rStyle w:val="Hyperlink"/>
            <w:noProof/>
          </w:rPr>
          <w:t>Indicador para o setor de resíduos</w:t>
        </w:r>
        <w:r w:rsidR="00BC01B1">
          <w:rPr>
            <w:noProof/>
            <w:webHidden/>
          </w:rPr>
          <w:tab/>
        </w:r>
        <w:r w:rsidR="00BC01B1">
          <w:rPr>
            <w:noProof/>
            <w:webHidden/>
          </w:rPr>
          <w:fldChar w:fldCharType="begin"/>
        </w:r>
        <w:r w:rsidR="00BC01B1">
          <w:rPr>
            <w:noProof/>
            <w:webHidden/>
          </w:rPr>
          <w:instrText xml:space="preserve"> PAGEREF _Toc509935618 \h </w:instrText>
        </w:r>
        <w:r w:rsidR="00BC01B1">
          <w:rPr>
            <w:noProof/>
            <w:webHidden/>
          </w:rPr>
        </w:r>
        <w:r w:rsidR="00BC01B1">
          <w:rPr>
            <w:noProof/>
            <w:webHidden/>
          </w:rPr>
          <w:fldChar w:fldCharType="separate"/>
        </w:r>
        <w:r>
          <w:rPr>
            <w:noProof/>
            <w:webHidden/>
          </w:rPr>
          <w:t>332</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619" w:history="1">
        <w:r w:rsidR="00BC01B1" w:rsidRPr="005D5DCB">
          <w:rPr>
            <w:rStyle w:val="Hyperlink"/>
            <w:noProof/>
          </w:rPr>
          <w:t>9.1.2.</w:t>
        </w:r>
        <w:r w:rsidR="00BC01B1">
          <w:rPr>
            <w:rFonts w:asciiTheme="minorHAnsi" w:eastAsiaTheme="minorEastAsia" w:hAnsiTheme="minorHAnsi" w:cstheme="minorBidi"/>
            <w:i w:val="0"/>
            <w:noProof/>
            <w:sz w:val="22"/>
            <w:lang w:eastAsia="pt-BR"/>
          </w:rPr>
          <w:tab/>
        </w:r>
        <w:r w:rsidR="00BC01B1" w:rsidRPr="005D5DCB">
          <w:rPr>
            <w:rStyle w:val="Hyperlink"/>
            <w:noProof/>
          </w:rPr>
          <w:t>Indicador para o Objetivo 2</w:t>
        </w:r>
        <w:r w:rsidR="00BC01B1">
          <w:rPr>
            <w:noProof/>
            <w:webHidden/>
          </w:rPr>
          <w:tab/>
        </w:r>
        <w:r w:rsidR="00BC01B1">
          <w:rPr>
            <w:noProof/>
            <w:webHidden/>
          </w:rPr>
          <w:fldChar w:fldCharType="begin"/>
        </w:r>
        <w:r w:rsidR="00BC01B1">
          <w:rPr>
            <w:noProof/>
            <w:webHidden/>
          </w:rPr>
          <w:instrText xml:space="preserve"> PAGEREF _Toc509935619 \h </w:instrText>
        </w:r>
        <w:r w:rsidR="00BC01B1">
          <w:rPr>
            <w:noProof/>
            <w:webHidden/>
          </w:rPr>
        </w:r>
        <w:r w:rsidR="00BC01B1">
          <w:rPr>
            <w:noProof/>
            <w:webHidden/>
          </w:rPr>
          <w:fldChar w:fldCharType="separate"/>
        </w:r>
        <w:r>
          <w:rPr>
            <w:noProof/>
            <w:webHidden/>
          </w:rPr>
          <w:t>333</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20" w:history="1">
        <w:r w:rsidR="00BC01B1" w:rsidRPr="005D5DCB">
          <w:rPr>
            <w:rStyle w:val="Hyperlink"/>
            <w:noProof/>
          </w:rPr>
          <w:t>9.1.2.1.</w:t>
        </w:r>
        <w:r w:rsidR="00BC01B1">
          <w:rPr>
            <w:rFonts w:asciiTheme="minorHAnsi" w:eastAsiaTheme="minorEastAsia" w:hAnsiTheme="minorHAnsi" w:cstheme="minorBidi"/>
            <w:noProof/>
          </w:rPr>
          <w:tab/>
        </w:r>
        <w:r w:rsidR="00BC01B1" w:rsidRPr="005D5DCB">
          <w:rPr>
            <w:rStyle w:val="Hyperlink"/>
            <w:noProof/>
          </w:rPr>
          <w:t>Índice de atendimento do setor de água</w:t>
        </w:r>
        <w:r w:rsidR="00BC01B1">
          <w:rPr>
            <w:noProof/>
            <w:webHidden/>
          </w:rPr>
          <w:tab/>
        </w:r>
        <w:r w:rsidR="00BC01B1">
          <w:rPr>
            <w:noProof/>
            <w:webHidden/>
          </w:rPr>
          <w:fldChar w:fldCharType="begin"/>
        </w:r>
        <w:r w:rsidR="00BC01B1">
          <w:rPr>
            <w:noProof/>
            <w:webHidden/>
          </w:rPr>
          <w:instrText xml:space="preserve"> PAGEREF _Toc509935620 \h </w:instrText>
        </w:r>
        <w:r w:rsidR="00BC01B1">
          <w:rPr>
            <w:noProof/>
            <w:webHidden/>
          </w:rPr>
        </w:r>
        <w:r w:rsidR="00BC01B1">
          <w:rPr>
            <w:noProof/>
            <w:webHidden/>
          </w:rPr>
          <w:fldChar w:fldCharType="separate"/>
        </w:r>
        <w:r>
          <w:rPr>
            <w:noProof/>
            <w:webHidden/>
          </w:rPr>
          <w:t>333</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21" w:history="1">
        <w:r w:rsidR="00BC01B1" w:rsidRPr="005D5DCB">
          <w:rPr>
            <w:rStyle w:val="Hyperlink"/>
            <w:noProof/>
          </w:rPr>
          <w:t>9.1.2.2.</w:t>
        </w:r>
        <w:r w:rsidR="00BC01B1">
          <w:rPr>
            <w:rFonts w:asciiTheme="minorHAnsi" w:eastAsiaTheme="minorEastAsia" w:hAnsiTheme="minorHAnsi" w:cstheme="minorBidi"/>
            <w:noProof/>
          </w:rPr>
          <w:tab/>
        </w:r>
        <w:r w:rsidR="00BC01B1" w:rsidRPr="005D5DCB">
          <w:rPr>
            <w:rStyle w:val="Hyperlink"/>
            <w:noProof/>
          </w:rPr>
          <w:t>Índice de atendimento do setor de esgotos (%)</w:t>
        </w:r>
        <w:r w:rsidR="00BC01B1">
          <w:rPr>
            <w:noProof/>
            <w:webHidden/>
          </w:rPr>
          <w:tab/>
        </w:r>
        <w:r w:rsidR="00BC01B1">
          <w:rPr>
            <w:noProof/>
            <w:webHidden/>
          </w:rPr>
          <w:fldChar w:fldCharType="begin"/>
        </w:r>
        <w:r w:rsidR="00BC01B1">
          <w:rPr>
            <w:noProof/>
            <w:webHidden/>
          </w:rPr>
          <w:instrText xml:space="preserve"> PAGEREF _Toc509935621 \h </w:instrText>
        </w:r>
        <w:r w:rsidR="00BC01B1">
          <w:rPr>
            <w:noProof/>
            <w:webHidden/>
          </w:rPr>
        </w:r>
        <w:r w:rsidR="00BC01B1">
          <w:rPr>
            <w:noProof/>
            <w:webHidden/>
          </w:rPr>
          <w:fldChar w:fldCharType="separate"/>
        </w:r>
        <w:r>
          <w:rPr>
            <w:noProof/>
            <w:webHidden/>
          </w:rPr>
          <w:t>333</w:t>
        </w:r>
        <w:r w:rsidR="00BC01B1">
          <w:rPr>
            <w:noProof/>
            <w:webHidden/>
          </w:rPr>
          <w:fldChar w:fldCharType="end"/>
        </w:r>
      </w:hyperlink>
    </w:p>
    <w:p w:rsidR="00BC01B1" w:rsidRDefault="001B481B">
      <w:pPr>
        <w:pStyle w:val="Sumrio5"/>
        <w:tabs>
          <w:tab w:val="left" w:pos="2271"/>
        </w:tabs>
        <w:rPr>
          <w:rFonts w:asciiTheme="minorHAnsi" w:eastAsiaTheme="minorEastAsia" w:hAnsiTheme="minorHAnsi" w:cstheme="minorBidi"/>
          <w:i w:val="0"/>
          <w:noProof/>
        </w:rPr>
      </w:pPr>
      <w:hyperlink w:anchor="_Toc509935622" w:history="1">
        <w:r w:rsidR="00BC01B1" w:rsidRPr="005D5DCB">
          <w:rPr>
            <w:rStyle w:val="Hyperlink"/>
            <w:noProof/>
          </w:rPr>
          <w:t>9.1.2.2.1.</w:t>
        </w:r>
        <w:r w:rsidR="00BC01B1">
          <w:rPr>
            <w:rFonts w:asciiTheme="minorHAnsi" w:eastAsiaTheme="minorEastAsia" w:hAnsiTheme="minorHAnsi" w:cstheme="minorBidi"/>
            <w:i w:val="0"/>
            <w:noProof/>
          </w:rPr>
          <w:tab/>
        </w:r>
        <w:r w:rsidR="00BC01B1" w:rsidRPr="005D5DCB">
          <w:rPr>
            <w:rStyle w:val="Hyperlink"/>
            <w:noProof/>
          </w:rPr>
          <w:t>Índice de coleta de esgotos (%)</w:t>
        </w:r>
        <w:r w:rsidR="00BC01B1">
          <w:rPr>
            <w:noProof/>
            <w:webHidden/>
          </w:rPr>
          <w:tab/>
        </w:r>
        <w:r w:rsidR="00BC01B1">
          <w:rPr>
            <w:noProof/>
            <w:webHidden/>
          </w:rPr>
          <w:fldChar w:fldCharType="begin"/>
        </w:r>
        <w:r w:rsidR="00BC01B1">
          <w:rPr>
            <w:noProof/>
            <w:webHidden/>
          </w:rPr>
          <w:instrText xml:space="preserve"> PAGEREF _Toc509935622 \h </w:instrText>
        </w:r>
        <w:r w:rsidR="00BC01B1">
          <w:rPr>
            <w:noProof/>
            <w:webHidden/>
          </w:rPr>
        </w:r>
        <w:r w:rsidR="00BC01B1">
          <w:rPr>
            <w:noProof/>
            <w:webHidden/>
          </w:rPr>
          <w:fldChar w:fldCharType="separate"/>
        </w:r>
        <w:r>
          <w:rPr>
            <w:noProof/>
            <w:webHidden/>
          </w:rPr>
          <w:t>334</w:t>
        </w:r>
        <w:r w:rsidR="00BC01B1">
          <w:rPr>
            <w:noProof/>
            <w:webHidden/>
          </w:rPr>
          <w:fldChar w:fldCharType="end"/>
        </w:r>
      </w:hyperlink>
    </w:p>
    <w:p w:rsidR="00BC01B1" w:rsidRDefault="001B481B">
      <w:pPr>
        <w:pStyle w:val="Sumrio5"/>
        <w:tabs>
          <w:tab w:val="left" w:pos="2271"/>
        </w:tabs>
        <w:rPr>
          <w:rFonts w:asciiTheme="minorHAnsi" w:eastAsiaTheme="minorEastAsia" w:hAnsiTheme="minorHAnsi" w:cstheme="minorBidi"/>
          <w:i w:val="0"/>
          <w:noProof/>
        </w:rPr>
      </w:pPr>
      <w:hyperlink w:anchor="_Toc509935623" w:history="1">
        <w:r w:rsidR="00BC01B1" w:rsidRPr="005D5DCB">
          <w:rPr>
            <w:rStyle w:val="Hyperlink"/>
            <w:noProof/>
          </w:rPr>
          <w:t>9.1.2.2.2.</w:t>
        </w:r>
        <w:r w:rsidR="00BC01B1">
          <w:rPr>
            <w:rFonts w:asciiTheme="minorHAnsi" w:eastAsiaTheme="minorEastAsia" w:hAnsiTheme="minorHAnsi" w:cstheme="minorBidi"/>
            <w:i w:val="0"/>
            <w:noProof/>
          </w:rPr>
          <w:tab/>
        </w:r>
        <w:r w:rsidR="00BC01B1" w:rsidRPr="005D5DCB">
          <w:rPr>
            <w:rStyle w:val="Hyperlink"/>
            <w:noProof/>
          </w:rPr>
          <w:t>Índice de tratamento de esgotos (%)</w:t>
        </w:r>
        <w:r w:rsidR="00BC01B1">
          <w:rPr>
            <w:noProof/>
            <w:webHidden/>
          </w:rPr>
          <w:tab/>
        </w:r>
        <w:r w:rsidR="00BC01B1">
          <w:rPr>
            <w:noProof/>
            <w:webHidden/>
          </w:rPr>
          <w:fldChar w:fldCharType="begin"/>
        </w:r>
        <w:r w:rsidR="00BC01B1">
          <w:rPr>
            <w:noProof/>
            <w:webHidden/>
          </w:rPr>
          <w:instrText xml:space="preserve"> PAGEREF _Toc509935623 \h </w:instrText>
        </w:r>
        <w:r w:rsidR="00BC01B1">
          <w:rPr>
            <w:noProof/>
            <w:webHidden/>
          </w:rPr>
        </w:r>
        <w:r w:rsidR="00BC01B1">
          <w:rPr>
            <w:noProof/>
            <w:webHidden/>
          </w:rPr>
          <w:fldChar w:fldCharType="separate"/>
        </w:r>
        <w:r>
          <w:rPr>
            <w:noProof/>
            <w:webHidden/>
          </w:rPr>
          <w:t>334</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24" w:history="1">
        <w:r w:rsidR="00BC01B1" w:rsidRPr="005D5DCB">
          <w:rPr>
            <w:rStyle w:val="Hyperlink"/>
            <w:noProof/>
          </w:rPr>
          <w:t>9.1.2.3.</w:t>
        </w:r>
        <w:r w:rsidR="00BC01B1">
          <w:rPr>
            <w:rFonts w:asciiTheme="minorHAnsi" w:eastAsiaTheme="minorEastAsia" w:hAnsiTheme="minorHAnsi" w:cstheme="minorBidi"/>
            <w:noProof/>
          </w:rPr>
          <w:tab/>
        </w:r>
        <w:r w:rsidR="00BC01B1" w:rsidRPr="005D5DCB">
          <w:rPr>
            <w:rStyle w:val="Hyperlink"/>
            <w:noProof/>
          </w:rPr>
          <w:t>Índice de atendimento do setor de drenagem</w:t>
        </w:r>
        <w:r w:rsidR="00BC01B1">
          <w:rPr>
            <w:noProof/>
            <w:webHidden/>
          </w:rPr>
          <w:tab/>
        </w:r>
        <w:r w:rsidR="00BC01B1">
          <w:rPr>
            <w:noProof/>
            <w:webHidden/>
          </w:rPr>
          <w:fldChar w:fldCharType="begin"/>
        </w:r>
        <w:r w:rsidR="00BC01B1">
          <w:rPr>
            <w:noProof/>
            <w:webHidden/>
          </w:rPr>
          <w:instrText xml:space="preserve"> PAGEREF _Toc509935624 \h </w:instrText>
        </w:r>
        <w:r w:rsidR="00BC01B1">
          <w:rPr>
            <w:noProof/>
            <w:webHidden/>
          </w:rPr>
        </w:r>
        <w:r w:rsidR="00BC01B1">
          <w:rPr>
            <w:noProof/>
            <w:webHidden/>
          </w:rPr>
          <w:fldChar w:fldCharType="separate"/>
        </w:r>
        <w:r>
          <w:rPr>
            <w:noProof/>
            <w:webHidden/>
          </w:rPr>
          <w:t>334</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25" w:history="1">
        <w:r w:rsidR="00BC01B1" w:rsidRPr="005D5DCB">
          <w:rPr>
            <w:rStyle w:val="Hyperlink"/>
            <w:noProof/>
          </w:rPr>
          <w:t>9.1.2.4.</w:t>
        </w:r>
        <w:r w:rsidR="00BC01B1">
          <w:rPr>
            <w:rFonts w:asciiTheme="minorHAnsi" w:eastAsiaTheme="minorEastAsia" w:hAnsiTheme="minorHAnsi" w:cstheme="minorBidi"/>
            <w:noProof/>
          </w:rPr>
          <w:tab/>
        </w:r>
        <w:r w:rsidR="00BC01B1" w:rsidRPr="005D5DCB">
          <w:rPr>
            <w:rStyle w:val="Hyperlink"/>
            <w:noProof/>
          </w:rPr>
          <w:t>Índice de atendimento do setor de resíduos</w:t>
        </w:r>
        <w:r w:rsidR="00BC01B1">
          <w:rPr>
            <w:noProof/>
            <w:webHidden/>
          </w:rPr>
          <w:tab/>
        </w:r>
        <w:r w:rsidR="00BC01B1">
          <w:rPr>
            <w:noProof/>
            <w:webHidden/>
          </w:rPr>
          <w:fldChar w:fldCharType="begin"/>
        </w:r>
        <w:r w:rsidR="00BC01B1">
          <w:rPr>
            <w:noProof/>
            <w:webHidden/>
          </w:rPr>
          <w:instrText xml:space="preserve"> PAGEREF _Toc509935625 \h </w:instrText>
        </w:r>
        <w:r w:rsidR="00BC01B1">
          <w:rPr>
            <w:noProof/>
            <w:webHidden/>
          </w:rPr>
        </w:r>
        <w:r w:rsidR="00BC01B1">
          <w:rPr>
            <w:noProof/>
            <w:webHidden/>
          </w:rPr>
          <w:fldChar w:fldCharType="separate"/>
        </w:r>
        <w:r>
          <w:rPr>
            <w:noProof/>
            <w:webHidden/>
          </w:rPr>
          <w:t>334</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26" w:history="1">
        <w:r w:rsidR="00BC01B1" w:rsidRPr="005D5DCB">
          <w:rPr>
            <w:rStyle w:val="Hyperlink"/>
            <w:noProof/>
          </w:rPr>
          <w:t>9.1.2.5.</w:t>
        </w:r>
        <w:r w:rsidR="00BC01B1">
          <w:rPr>
            <w:rFonts w:asciiTheme="minorHAnsi" w:eastAsiaTheme="minorEastAsia" w:hAnsiTheme="minorHAnsi" w:cstheme="minorBidi"/>
            <w:noProof/>
          </w:rPr>
          <w:tab/>
        </w:r>
        <w:r w:rsidR="00BC01B1" w:rsidRPr="005D5DCB">
          <w:rPr>
            <w:rStyle w:val="Hyperlink"/>
            <w:noProof/>
          </w:rPr>
          <w:t>Índice de atendimento global do saneamento básico</w:t>
        </w:r>
        <w:r w:rsidR="00BC01B1">
          <w:rPr>
            <w:noProof/>
            <w:webHidden/>
          </w:rPr>
          <w:tab/>
        </w:r>
        <w:r w:rsidR="00BC01B1">
          <w:rPr>
            <w:noProof/>
            <w:webHidden/>
          </w:rPr>
          <w:fldChar w:fldCharType="begin"/>
        </w:r>
        <w:r w:rsidR="00BC01B1">
          <w:rPr>
            <w:noProof/>
            <w:webHidden/>
          </w:rPr>
          <w:instrText xml:space="preserve"> PAGEREF _Toc509935626 \h </w:instrText>
        </w:r>
        <w:r w:rsidR="00BC01B1">
          <w:rPr>
            <w:noProof/>
            <w:webHidden/>
          </w:rPr>
        </w:r>
        <w:r w:rsidR="00BC01B1">
          <w:rPr>
            <w:noProof/>
            <w:webHidden/>
          </w:rPr>
          <w:fldChar w:fldCharType="separate"/>
        </w:r>
        <w:r>
          <w:rPr>
            <w:noProof/>
            <w:webHidden/>
          </w:rPr>
          <w:t>335</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627" w:history="1">
        <w:r w:rsidR="00BC01B1" w:rsidRPr="005D5DCB">
          <w:rPr>
            <w:rStyle w:val="Hyperlink"/>
            <w:noProof/>
          </w:rPr>
          <w:t>9.1.3.</w:t>
        </w:r>
        <w:r w:rsidR="00BC01B1">
          <w:rPr>
            <w:rFonts w:asciiTheme="minorHAnsi" w:eastAsiaTheme="minorEastAsia" w:hAnsiTheme="minorHAnsi" w:cstheme="minorBidi"/>
            <w:i w:val="0"/>
            <w:noProof/>
            <w:sz w:val="22"/>
            <w:lang w:eastAsia="pt-BR"/>
          </w:rPr>
          <w:tab/>
        </w:r>
        <w:r w:rsidR="00BC01B1" w:rsidRPr="005D5DCB">
          <w:rPr>
            <w:rStyle w:val="Hyperlink"/>
            <w:noProof/>
          </w:rPr>
          <w:t>Indicador para o Objetivo 3</w:t>
        </w:r>
        <w:r w:rsidR="00BC01B1">
          <w:rPr>
            <w:noProof/>
            <w:webHidden/>
          </w:rPr>
          <w:tab/>
        </w:r>
        <w:r w:rsidR="00BC01B1">
          <w:rPr>
            <w:noProof/>
            <w:webHidden/>
          </w:rPr>
          <w:fldChar w:fldCharType="begin"/>
        </w:r>
        <w:r w:rsidR="00BC01B1">
          <w:rPr>
            <w:noProof/>
            <w:webHidden/>
          </w:rPr>
          <w:instrText xml:space="preserve"> PAGEREF _Toc509935627 \h </w:instrText>
        </w:r>
        <w:r w:rsidR="00BC01B1">
          <w:rPr>
            <w:noProof/>
            <w:webHidden/>
          </w:rPr>
        </w:r>
        <w:r w:rsidR="00BC01B1">
          <w:rPr>
            <w:noProof/>
            <w:webHidden/>
          </w:rPr>
          <w:fldChar w:fldCharType="separate"/>
        </w:r>
        <w:r>
          <w:rPr>
            <w:noProof/>
            <w:webHidden/>
          </w:rPr>
          <w:t>335</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28" w:history="1">
        <w:r w:rsidR="00BC01B1" w:rsidRPr="005D5DCB">
          <w:rPr>
            <w:rStyle w:val="Hyperlink"/>
            <w:noProof/>
          </w:rPr>
          <w:t>9.1.3.1.</w:t>
        </w:r>
        <w:r w:rsidR="00BC01B1">
          <w:rPr>
            <w:rFonts w:asciiTheme="minorHAnsi" w:eastAsiaTheme="minorEastAsia" w:hAnsiTheme="minorHAnsi" w:cstheme="minorBidi"/>
            <w:noProof/>
          </w:rPr>
          <w:tab/>
        </w:r>
        <w:r w:rsidR="00BC01B1" w:rsidRPr="005D5DCB">
          <w:rPr>
            <w:rStyle w:val="Hyperlink"/>
            <w:noProof/>
          </w:rPr>
          <w:t>Índice de sustentabilidade econômico-financeira do setor de água</w:t>
        </w:r>
        <w:r w:rsidR="00BC01B1">
          <w:rPr>
            <w:noProof/>
            <w:webHidden/>
          </w:rPr>
          <w:tab/>
        </w:r>
        <w:r w:rsidR="00BC01B1">
          <w:rPr>
            <w:noProof/>
            <w:webHidden/>
          </w:rPr>
          <w:fldChar w:fldCharType="begin"/>
        </w:r>
        <w:r w:rsidR="00BC01B1">
          <w:rPr>
            <w:noProof/>
            <w:webHidden/>
          </w:rPr>
          <w:instrText xml:space="preserve"> PAGEREF _Toc509935628 \h </w:instrText>
        </w:r>
        <w:r w:rsidR="00BC01B1">
          <w:rPr>
            <w:noProof/>
            <w:webHidden/>
          </w:rPr>
        </w:r>
        <w:r w:rsidR="00BC01B1">
          <w:rPr>
            <w:noProof/>
            <w:webHidden/>
          </w:rPr>
          <w:fldChar w:fldCharType="separate"/>
        </w:r>
        <w:r>
          <w:rPr>
            <w:noProof/>
            <w:webHidden/>
          </w:rPr>
          <w:t>335</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29" w:history="1">
        <w:r w:rsidR="00BC01B1" w:rsidRPr="005D5DCB">
          <w:rPr>
            <w:rStyle w:val="Hyperlink"/>
            <w:noProof/>
          </w:rPr>
          <w:t>9.1.3.2.</w:t>
        </w:r>
        <w:r w:rsidR="00BC01B1">
          <w:rPr>
            <w:rFonts w:asciiTheme="minorHAnsi" w:eastAsiaTheme="minorEastAsia" w:hAnsiTheme="minorHAnsi" w:cstheme="minorBidi"/>
            <w:noProof/>
          </w:rPr>
          <w:tab/>
        </w:r>
        <w:r w:rsidR="00BC01B1" w:rsidRPr="005D5DCB">
          <w:rPr>
            <w:rStyle w:val="Hyperlink"/>
            <w:noProof/>
          </w:rPr>
          <w:t>Índice de sustentabilidade econômico-financeira do setor de esgotos</w:t>
        </w:r>
        <w:r w:rsidR="00BC01B1">
          <w:rPr>
            <w:noProof/>
            <w:webHidden/>
          </w:rPr>
          <w:tab/>
        </w:r>
        <w:r w:rsidR="00BC01B1">
          <w:rPr>
            <w:noProof/>
            <w:webHidden/>
          </w:rPr>
          <w:fldChar w:fldCharType="begin"/>
        </w:r>
        <w:r w:rsidR="00BC01B1">
          <w:rPr>
            <w:noProof/>
            <w:webHidden/>
          </w:rPr>
          <w:instrText xml:space="preserve"> PAGEREF _Toc509935629 \h </w:instrText>
        </w:r>
        <w:r w:rsidR="00BC01B1">
          <w:rPr>
            <w:noProof/>
            <w:webHidden/>
          </w:rPr>
        </w:r>
        <w:r w:rsidR="00BC01B1">
          <w:rPr>
            <w:noProof/>
            <w:webHidden/>
          </w:rPr>
          <w:fldChar w:fldCharType="separate"/>
        </w:r>
        <w:r>
          <w:rPr>
            <w:noProof/>
            <w:webHidden/>
          </w:rPr>
          <w:t>335</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30" w:history="1">
        <w:r w:rsidR="00BC01B1" w:rsidRPr="005D5DCB">
          <w:rPr>
            <w:rStyle w:val="Hyperlink"/>
            <w:noProof/>
          </w:rPr>
          <w:t>9.1.3.3.</w:t>
        </w:r>
        <w:r w:rsidR="00BC01B1">
          <w:rPr>
            <w:rFonts w:asciiTheme="minorHAnsi" w:eastAsiaTheme="minorEastAsia" w:hAnsiTheme="minorHAnsi" w:cstheme="minorBidi"/>
            <w:noProof/>
          </w:rPr>
          <w:tab/>
        </w:r>
        <w:r w:rsidR="00BC01B1" w:rsidRPr="005D5DCB">
          <w:rPr>
            <w:rStyle w:val="Hyperlink"/>
            <w:noProof/>
          </w:rPr>
          <w:t>Índice de sustentabilidade econômico-financeira do setor de drenagem</w:t>
        </w:r>
        <w:r w:rsidR="00BC01B1">
          <w:rPr>
            <w:noProof/>
            <w:webHidden/>
          </w:rPr>
          <w:tab/>
        </w:r>
        <w:r w:rsidR="00BC01B1">
          <w:rPr>
            <w:noProof/>
            <w:webHidden/>
          </w:rPr>
          <w:fldChar w:fldCharType="begin"/>
        </w:r>
        <w:r w:rsidR="00BC01B1">
          <w:rPr>
            <w:noProof/>
            <w:webHidden/>
          </w:rPr>
          <w:instrText xml:space="preserve"> PAGEREF _Toc509935630 \h </w:instrText>
        </w:r>
        <w:r w:rsidR="00BC01B1">
          <w:rPr>
            <w:noProof/>
            <w:webHidden/>
          </w:rPr>
        </w:r>
        <w:r w:rsidR="00BC01B1">
          <w:rPr>
            <w:noProof/>
            <w:webHidden/>
          </w:rPr>
          <w:fldChar w:fldCharType="separate"/>
        </w:r>
        <w:r>
          <w:rPr>
            <w:noProof/>
            <w:webHidden/>
          </w:rPr>
          <w:t>336</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31" w:history="1">
        <w:r w:rsidR="00BC01B1" w:rsidRPr="005D5DCB">
          <w:rPr>
            <w:rStyle w:val="Hyperlink"/>
            <w:noProof/>
          </w:rPr>
          <w:t>9.1.3.4.</w:t>
        </w:r>
        <w:r w:rsidR="00BC01B1">
          <w:rPr>
            <w:rFonts w:asciiTheme="minorHAnsi" w:eastAsiaTheme="minorEastAsia" w:hAnsiTheme="minorHAnsi" w:cstheme="minorBidi"/>
            <w:noProof/>
          </w:rPr>
          <w:tab/>
        </w:r>
        <w:r w:rsidR="00BC01B1" w:rsidRPr="005D5DCB">
          <w:rPr>
            <w:rStyle w:val="Hyperlink"/>
            <w:noProof/>
          </w:rPr>
          <w:t>Índice de sustentabilidade econômico-financeira do setor de resíduos</w:t>
        </w:r>
        <w:r w:rsidR="00BC01B1">
          <w:rPr>
            <w:noProof/>
            <w:webHidden/>
          </w:rPr>
          <w:tab/>
        </w:r>
        <w:r w:rsidR="00BC01B1">
          <w:rPr>
            <w:noProof/>
            <w:webHidden/>
          </w:rPr>
          <w:fldChar w:fldCharType="begin"/>
        </w:r>
        <w:r w:rsidR="00BC01B1">
          <w:rPr>
            <w:noProof/>
            <w:webHidden/>
          </w:rPr>
          <w:instrText xml:space="preserve"> PAGEREF _Toc509935631 \h </w:instrText>
        </w:r>
        <w:r w:rsidR="00BC01B1">
          <w:rPr>
            <w:noProof/>
            <w:webHidden/>
          </w:rPr>
        </w:r>
        <w:r w:rsidR="00BC01B1">
          <w:rPr>
            <w:noProof/>
            <w:webHidden/>
          </w:rPr>
          <w:fldChar w:fldCharType="separate"/>
        </w:r>
        <w:r>
          <w:rPr>
            <w:noProof/>
            <w:webHidden/>
          </w:rPr>
          <w:t>336</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32" w:history="1">
        <w:r w:rsidR="00BC01B1" w:rsidRPr="005D5DCB">
          <w:rPr>
            <w:rStyle w:val="Hyperlink"/>
            <w:noProof/>
          </w:rPr>
          <w:t>9.1.3.5.</w:t>
        </w:r>
        <w:r w:rsidR="00BC01B1">
          <w:rPr>
            <w:rFonts w:asciiTheme="minorHAnsi" w:eastAsiaTheme="minorEastAsia" w:hAnsiTheme="minorHAnsi" w:cstheme="minorBidi"/>
            <w:noProof/>
          </w:rPr>
          <w:tab/>
        </w:r>
        <w:r w:rsidR="00BC01B1" w:rsidRPr="005D5DCB">
          <w:rPr>
            <w:rStyle w:val="Hyperlink"/>
            <w:noProof/>
          </w:rPr>
          <w:t>Índice de sustentabilidade global do saneamento básico</w:t>
        </w:r>
        <w:r w:rsidR="00BC01B1">
          <w:rPr>
            <w:noProof/>
            <w:webHidden/>
          </w:rPr>
          <w:tab/>
        </w:r>
        <w:r w:rsidR="00BC01B1">
          <w:rPr>
            <w:noProof/>
            <w:webHidden/>
          </w:rPr>
          <w:fldChar w:fldCharType="begin"/>
        </w:r>
        <w:r w:rsidR="00BC01B1">
          <w:rPr>
            <w:noProof/>
            <w:webHidden/>
          </w:rPr>
          <w:instrText xml:space="preserve"> PAGEREF _Toc509935632 \h </w:instrText>
        </w:r>
        <w:r w:rsidR="00BC01B1">
          <w:rPr>
            <w:noProof/>
            <w:webHidden/>
          </w:rPr>
        </w:r>
        <w:r w:rsidR="00BC01B1">
          <w:rPr>
            <w:noProof/>
            <w:webHidden/>
          </w:rPr>
          <w:fldChar w:fldCharType="separate"/>
        </w:r>
        <w:r>
          <w:rPr>
            <w:noProof/>
            <w:webHidden/>
          </w:rPr>
          <w:t>336</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633" w:history="1">
        <w:r w:rsidR="00BC01B1" w:rsidRPr="005D5DCB">
          <w:rPr>
            <w:rStyle w:val="Hyperlink"/>
            <w:noProof/>
          </w:rPr>
          <w:t>9.1.4.</w:t>
        </w:r>
        <w:r w:rsidR="00BC01B1">
          <w:rPr>
            <w:rFonts w:asciiTheme="minorHAnsi" w:eastAsiaTheme="minorEastAsia" w:hAnsiTheme="minorHAnsi" w:cstheme="minorBidi"/>
            <w:i w:val="0"/>
            <w:noProof/>
            <w:sz w:val="22"/>
            <w:lang w:eastAsia="pt-BR"/>
          </w:rPr>
          <w:tab/>
        </w:r>
        <w:r w:rsidR="00BC01B1" w:rsidRPr="005D5DCB">
          <w:rPr>
            <w:rStyle w:val="Hyperlink"/>
            <w:noProof/>
          </w:rPr>
          <w:t>Indicador para o Objetivo 4</w:t>
        </w:r>
        <w:r w:rsidR="00BC01B1">
          <w:rPr>
            <w:noProof/>
            <w:webHidden/>
          </w:rPr>
          <w:tab/>
        </w:r>
        <w:r w:rsidR="00BC01B1">
          <w:rPr>
            <w:noProof/>
            <w:webHidden/>
          </w:rPr>
          <w:fldChar w:fldCharType="begin"/>
        </w:r>
        <w:r w:rsidR="00BC01B1">
          <w:rPr>
            <w:noProof/>
            <w:webHidden/>
          </w:rPr>
          <w:instrText xml:space="preserve"> PAGEREF _Toc509935633 \h </w:instrText>
        </w:r>
        <w:r w:rsidR="00BC01B1">
          <w:rPr>
            <w:noProof/>
            <w:webHidden/>
          </w:rPr>
        </w:r>
        <w:r w:rsidR="00BC01B1">
          <w:rPr>
            <w:noProof/>
            <w:webHidden/>
          </w:rPr>
          <w:fldChar w:fldCharType="separate"/>
        </w:r>
        <w:r>
          <w:rPr>
            <w:noProof/>
            <w:webHidden/>
          </w:rPr>
          <w:t>337</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34" w:history="1">
        <w:r w:rsidR="00BC01B1" w:rsidRPr="005D5DCB">
          <w:rPr>
            <w:rStyle w:val="Hyperlink"/>
            <w:noProof/>
          </w:rPr>
          <w:t>9.1.4.1.</w:t>
        </w:r>
        <w:r w:rsidR="00BC01B1">
          <w:rPr>
            <w:rFonts w:asciiTheme="minorHAnsi" w:eastAsiaTheme="minorEastAsia" w:hAnsiTheme="minorHAnsi" w:cstheme="minorBidi"/>
            <w:noProof/>
          </w:rPr>
          <w:tab/>
        </w:r>
        <w:r w:rsidR="00BC01B1" w:rsidRPr="005D5DCB">
          <w:rPr>
            <w:rStyle w:val="Hyperlink"/>
            <w:noProof/>
          </w:rPr>
          <w:t>Número de setores do saneamento formalmente submetidos à entidade reguladora no ano</w:t>
        </w:r>
        <w:r w:rsidR="00BC01B1">
          <w:rPr>
            <w:noProof/>
            <w:webHidden/>
          </w:rPr>
          <w:tab/>
        </w:r>
        <w:r w:rsidR="00BC01B1">
          <w:rPr>
            <w:noProof/>
            <w:webHidden/>
          </w:rPr>
          <w:fldChar w:fldCharType="begin"/>
        </w:r>
        <w:r w:rsidR="00BC01B1">
          <w:rPr>
            <w:noProof/>
            <w:webHidden/>
          </w:rPr>
          <w:instrText xml:space="preserve"> PAGEREF _Toc509935634 \h </w:instrText>
        </w:r>
        <w:r w:rsidR="00BC01B1">
          <w:rPr>
            <w:noProof/>
            <w:webHidden/>
          </w:rPr>
        </w:r>
        <w:r w:rsidR="00BC01B1">
          <w:rPr>
            <w:noProof/>
            <w:webHidden/>
          </w:rPr>
          <w:fldChar w:fldCharType="separate"/>
        </w:r>
        <w:r>
          <w:rPr>
            <w:noProof/>
            <w:webHidden/>
          </w:rPr>
          <w:t>337</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635" w:history="1">
        <w:r w:rsidR="00BC01B1" w:rsidRPr="005D5DCB">
          <w:rPr>
            <w:rStyle w:val="Hyperlink"/>
            <w:noProof/>
          </w:rPr>
          <w:t>9.1.5.</w:t>
        </w:r>
        <w:r w:rsidR="00BC01B1">
          <w:rPr>
            <w:rFonts w:asciiTheme="minorHAnsi" w:eastAsiaTheme="minorEastAsia" w:hAnsiTheme="minorHAnsi" w:cstheme="minorBidi"/>
            <w:i w:val="0"/>
            <w:noProof/>
            <w:sz w:val="22"/>
            <w:lang w:eastAsia="pt-BR"/>
          </w:rPr>
          <w:tab/>
        </w:r>
        <w:r w:rsidR="00BC01B1" w:rsidRPr="005D5DCB">
          <w:rPr>
            <w:rStyle w:val="Hyperlink"/>
            <w:noProof/>
          </w:rPr>
          <w:t>Indicadores para o Objetivo 5</w:t>
        </w:r>
        <w:r w:rsidR="00BC01B1">
          <w:rPr>
            <w:noProof/>
            <w:webHidden/>
          </w:rPr>
          <w:tab/>
        </w:r>
        <w:r w:rsidR="00BC01B1">
          <w:rPr>
            <w:noProof/>
            <w:webHidden/>
          </w:rPr>
          <w:fldChar w:fldCharType="begin"/>
        </w:r>
        <w:r w:rsidR="00BC01B1">
          <w:rPr>
            <w:noProof/>
            <w:webHidden/>
          </w:rPr>
          <w:instrText xml:space="preserve"> PAGEREF _Toc509935635 \h </w:instrText>
        </w:r>
        <w:r w:rsidR="00BC01B1">
          <w:rPr>
            <w:noProof/>
            <w:webHidden/>
          </w:rPr>
        </w:r>
        <w:r w:rsidR="00BC01B1">
          <w:rPr>
            <w:noProof/>
            <w:webHidden/>
          </w:rPr>
          <w:fldChar w:fldCharType="separate"/>
        </w:r>
        <w:r>
          <w:rPr>
            <w:noProof/>
            <w:webHidden/>
          </w:rPr>
          <w:t>337</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36" w:history="1">
        <w:r w:rsidR="00BC01B1" w:rsidRPr="005D5DCB">
          <w:rPr>
            <w:rStyle w:val="Hyperlink"/>
            <w:noProof/>
          </w:rPr>
          <w:t>9.1.5.1.</w:t>
        </w:r>
        <w:r w:rsidR="00BC01B1">
          <w:rPr>
            <w:rFonts w:asciiTheme="minorHAnsi" w:eastAsiaTheme="minorEastAsia" w:hAnsiTheme="minorHAnsi" w:cstheme="minorBidi"/>
            <w:noProof/>
          </w:rPr>
          <w:tab/>
        </w:r>
        <w:r w:rsidR="00BC01B1" w:rsidRPr="005D5DCB">
          <w:rPr>
            <w:rStyle w:val="Hyperlink"/>
            <w:noProof/>
          </w:rPr>
          <w:t>Índice de atendimento à legislação ambiental vigente, pelo setor de água</w:t>
        </w:r>
        <w:r w:rsidR="009B0332" w:rsidRPr="009B0332">
          <w:rPr>
            <w:noProof/>
            <w:webHidden/>
          </w:rPr>
          <w:tab/>
        </w:r>
        <w:r w:rsidR="009B0332" w:rsidRPr="009B0332">
          <w:rPr>
            <w:noProof/>
            <w:webHidden/>
          </w:rPr>
          <w:tab/>
        </w:r>
        <w:r w:rsidR="009B0332">
          <w:rPr>
            <w:noProof/>
            <w:webHidden/>
          </w:rPr>
          <w:t>.........</w:t>
        </w:r>
        <w:r w:rsidR="00BC01B1">
          <w:rPr>
            <w:noProof/>
            <w:webHidden/>
          </w:rPr>
          <w:fldChar w:fldCharType="begin"/>
        </w:r>
        <w:r w:rsidR="00BC01B1">
          <w:rPr>
            <w:noProof/>
            <w:webHidden/>
          </w:rPr>
          <w:instrText xml:space="preserve"> PAGEREF _Toc509935636 \h </w:instrText>
        </w:r>
        <w:r w:rsidR="00BC01B1">
          <w:rPr>
            <w:noProof/>
            <w:webHidden/>
          </w:rPr>
        </w:r>
        <w:r w:rsidR="00BC01B1">
          <w:rPr>
            <w:noProof/>
            <w:webHidden/>
          </w:rPr>
          <w:fldChar w:fldCharType="separate"/>
        </w:r>
        <w:r>
          <w:rPr>
            <w:noProof/>
            <w:webHidden/>
          </w:rPr>
          <w:t>338</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37" w:history="1">
        <w:r w:rsidR="00BC01B1" w:rsidRPr="005D5DCB">
          <w:rPr>
            <w:rStyle w:val="Hyperlink"/>
            <w:noProof/>
          </w:rPr>
          <w:t>9.1.5.2.</w:t>
        </w:r>
        <w:r w:rsidR="00BC01B1">
          <w:rPr>
            <w:rFonts w:asciiTheme="minorHAnsi" w:eastAsiaTheme="minorEastAsia" w:hAnsiTheme="minorHAnsi" w:cstheme="minorBidi"/>
            <w:noProof/>
          </w:rPr>
          <w:tab/>
        </w:r>
        <w:r w:rsidR="00BC01B1" w:rsidRPr="005D5DCB">
          <w:rPr>
            <w:rStyle w:val="Hyperlink"/>
            <w:noProof/>
          </w:rPr>
          <w:t>Índice de atendimento à legislação ambiental vigente pelo setor de esgotos</w:t>
        </w:r>
        <w:r w:rsidR="009B0332" w:rsidRPr="009B0332">
          <w:rPr>
            <w:rStyle w:val="Hyperlink"/>
            <w:noProof/>
            <w:webHidden/>
          </w:rPr>
          <w:tab/>
        </w:r>
        <w:r w:rsidR="00BC01B1">
          <w:rPr>
            <w:noProof/>
            <w:webHidden/>
          </w:rPr>
          <w:tab/>
        </w:r>
        <w:r w:rsidR="00BC01B1">
          <w:rPr>
            <w:noProof/>
            <w:webHidden/>
          </w:rPr>
          <w:fldChar w:fldCharType="begin"/>
        </w:r>
        <w:r w:rsidR="00BC01B1">
          <w:rPr>
            <w:noProof/>
            <w:webHidden/>
          </w:rPr>
          <w:instrText xml:space="preserve"> PAGEREF _Toc509935637 \h </w:instrText>
        </w:r>
        <w:r w:rsidR="00BC01B1">
          <w:rPr>
            <w:noProof/>
            <w:webHidden/>
          </w:rPr>
        </w:r>
        <w:r w:rsidR="00BC01B1">
          <w:rPr>
            <w:noProof/>
            <w:webHidden/>
          </w:rPr>
          <w:fldChar w:fldCharType="separate"/>
        </w:r>
        <w:r>
          <w:rPr>
            <w:noProof/>
            <w:webHidden/>
          </w:rPr>
          <w:t>338</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38" w:history="1">
        <w:r w:rsidR="00BC01B1" w:rsidRPr="005D5DCB">
          <w:rPr>
            <w:rStyle w:val="Hyperlink"/>
            <w:noProof/>
          </w:rPr>
          <w:t>9.1.5.3.</w:t>
        </w:r>
        <w:r w:rsidR="00BC01B1">
          <w:rPr>
            <w:rFonts w:asciiTheme="minorHAnsi" w:eastAsiaTheme="minorEastAsia" w:hAnsiTheme="minorHAnsi" w:cstheme="minorBidi"/>
            <w:noProof/>
          </w:rPr>
          <w:tab/>
        </w:r>
        <w:r w:rsidR="00BC01B1" w:rsidRPr="005D5DCB">
          <w:rPr>
            <w:rStyle w:val="Hyperlink"/>
            <w:noProof/>
          </w:rPr>
          <w:t>Índice de atendimento à legislação ambiental vigente pelo setor de drenagem</w:t>
        </w:r>
        <w:r w:rsidR="00BC01B1">
          <w:rPr>
            <w:noProof/>
            <w:webHidden/>
          </w:rPr>
          <w:tab/>
        </w:r>
        <w:r w:rsidR="00BC01B1">
          <w:rPr>
            <w:noProof/>
            <w:webHidden/>
          </w:rPr>
          <w:fldChar w:fldCharType="begin"/>
        </w:r>
        <w:r w:rsidR="00BC01B1">
          <w:rPr>
            <w:noProof/>
            <w:webHidden/>
          </w:rPr>
          <w:instrText xml:space="preserve"> PAGEREF _Toc509935638 \h </w:instrText>
        </w:r>
        <w:r w:rsidR="00BC01B1">
          <w:rPr>
            <w:noProof/>
            <w:webHidden/>
          </w:rPr>
        </w:r>
        <w:r w:rsidR="00BC01B1">
          <w:rPr>
            <w:noProof/>
            <w:webHidden/>
          </w:rPr>
          <w:fldChar w:fldCharType="separate"/>
        </w:r>
        <w:r>
          <w:rPr>
            <w:noProof/>
            <w:webHidden/>
          </w:rPr>
          <w:t>338</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39" w:history="1">
        <w:r w:rsidR="00BC01B1" w:rsidRPr="005D5DCB">
          <w:rPr>
            <w:rStyle w:val="Hyperlink"/>
            <w:noProof/>
          </w:rPr>
          <w:t>9.1.5.4.</w:t>
        </w:r>
        <w:r w:rsidR="00BC01B1">
          <w:rPr>
            <w:rFonts w:asciiTheme="minorHAnsi" w:eastAsiaTheme="minorEastAsia" w:hAnsiTheme="minorHAnsi" w:cstheme="minorBidi"/>
            <w:noProof/>
          </w:rPr>
          <w:tab/>
        </w:r>
        <w:r w:rsidR="00BC01B1" w:rsidRPr="005D5DCB">
          <w:rPr>
            <w:rStyle w:val="Hyperlink"/>
            <w:noProof/>
          </w:rPr>
          <w:t>Índice de atendimento à legislação ambiental vigente pelo setor de resíduos</w:t>
        </w:r>
        <w:r w:rsidR="00BC01B1">
          <w:rPr>
            <w:noProof/>
            <w:webHidden/>
          </w:rPr>
          <w:tab/>
        </w:r>
        <w:r w:rsidR="009B0332" w:rsidRPr="009B0332">
          <w:rPr>
            <w:noProof/>
            <w:webHidden/>
          </w:rPr>
          <w:tab/>
        </w:r>
        <w:r w:rsidR="00BC01B1">
          <w:rPr>
            <w:noProof/>
            <w:webHidden/>
          </w:rPr>
          <w:fldChar w:fldCharType="begin"/>
        </w:r>
        <w:r w:rsidR="00BC01B1">
          <w:rPr>
            <w:noProof/>
            <w:webHidden/>
          </w:rPr>
          <w:instrText xml:space="preserve"> PAGEREF _Toc509935639 \h </w:instrText>
        </w:r>
        <w:r w:rsidR="00BC01B1">
          <w:rPr>
            <w:noProof/>
            <w:webHidden/>
          </w:rPr>
        </w:r>
        <w:r w:rsidR="00BC01B1">
          <w:rPr>
            <w:noProof/>
            <w:webHidden/>
          </w:rPr>
          <w:fldChar w:fldCharType="separate"/>
        </w:r>
        <w:r>
          <w:rPr>
            <w:noProof/>
            <w:webHidden/>
          </w:rPr>
          <w:t>338</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40" w:history="1">
        <w:r w:rsidR="00BC01B1" w:rsidRPr="005D5DCB">
          <w:rPr>
            <w:rStyle w:val="Hyperlink"/>
            <w:noProof/>
          </w:rPr>
          <w:t>9.1.5.5.</w:t>
        </w:r>
        <w:r w:rsidR="00BC01B1">
          <w:rPr>
            <w:rFonts w:asciiTheme="minorHAnsi" w:eastAsiaTheme="minorEastAsia" w:hAnsiTheme="minorHAnsi" w:cstheme="minorBidi"/>
            <w:noProof/>
          </w:rPr>
          <w:tab/>
        </w:r>
        <w:r w:rsidR="00BC01B1" w:rsidRPr="005D5DCB">
          <w:rPr>
            <w:rStyle w:val="Hyperlink"/>
            <w:noProof/>
          </w:rPr>
          <w:t>Índice global de atendimento à legislação ambiental vigente pelo setor de saneamento básico</w:t>
        </w:r>
        <w:r w:rsidR="00BC01B1">
          <w:rPr>
            <w:noProof/>
            <w:webHidden/>
          </w:rPr>
          <w:tab/>
        </w:r>
        <w:r w:rsidR="00BC01B1">
          <w:rPr>
            <w:noProof/>
            <w:webHidden/>
          </w:rPr>
          <w:fldChar w:fldCharType="begin"/>
        </w:r>
        <w:r w:rsidR="00BC01B1">
          <w:rPr>
            <w:noProof/>
            <w:webHidden/>
          </w:rPr>
          <w:instrText xml:space="preserve"> PAGEREF _Toc509935640 \h </w:instrText>
        </w:r>
        <w:r w:rsidR="00BC01B1">
          <w:rPr>
            <w:noProof/>
            <w:webHidden/>
          </w:rPr>
        </w:r>
        <w:r w:rsidR="00BC01B1">
          <w:rPr>
            <w:noProof/>
            <w:webHidden/>
          </w:rPr>
          <w:fldChar w:fldCharType="separate"/>
        </w:r>
        <w:r>
          <w:rPr>
            <w:noProof/>
            <w:webHidden/>
          </w:rPr>
          <w:t>339</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641" w:history="1">
        <w:r w:rsidR="00BC01B1" w:rsidRPr="005D5DCB">
          <w:rPr>
            <w:rStyle w:val="Hyperlink"/>
            <w:noProof/>
          </w:rPr>
          <w:t>9.1.6.</w:t>
        </w:r>
        <w:r w:rsidR="00BC01B1">
          <w:rPr>
            <w:rFonts w:asciiTheme="minorHAnsi" w:eastAsiaTheme="minorEastAsia" w:hAnsiTheme="minorHAnsi" w:cstheme="minorBidi"/>
            <w:i w:val="0"/>
            <w:noProof/>
            <w:sz w:val="22"/>
            <w:lang w:eastAsia="pt-BR"/>
          </w:rPr>
          <w:tab/>
        </w:r>
        <w:r w:rsidR="00BC01B1" w:rsidRPr="005D5DCB">
          <w:rPr>
            <w:rStyle w:val="Hyperlink"/>
            <w:noProof/>
          </w:rPr>
          <w:t>Indicadores para o Objetivo 6</w:t>
        </w:r>
        <w:r w:rsidR="00BC01B1">
          <w:rPr>
            <w:noProof/>
            <w:webHidden/>
          </w:rPr>
          <w:tab/>
        </w:r>
        <w:r w:rsidR="00BC01B1">
          <w:rPr>
            <w:noProof/>
            <w:webHidden/>
          </w:rPr>
          <w:fldChar w:fldCharType="begin"/>
        </w:r>
        <w:r w:rsidR="00BC01B1">
          <w:rPr>
            <w:noProof/>
            <w:webHidden/>
          </w:rPr>
          <w:instrText xml:space="preserve"> PAGEREF _Toc509935641 \h </w:instrText>
        </w:r>
        <w:r w:rsidR="00BC01B1">
          <w:rPr>
            <w:noProof/>
            <w:webHidden/>
          </w:rPr>
        </w:r>
        <w:r w:rsidR="00BC01B1">
          <w:rPr>
            <w:noProof/>
            <w:webHidden/>
          </w:rPr>
          <w:fldChar w:fldCharType="separate"/>
        </w:r>
        <w:r>
          <w:rPr>
            <w:noProof/>
            <w:webHidden/>
          </w:rPr>
          <w:t>339</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42" w:history="1">
        <w:r w:rsidR="00BC01B1" w:rsidRPr="005D5DCB">
          <w:rPr>
            <w:rStyle w:val="Hyperlink"/>
            <w:noProof/>
          </w:rPr>
          <w:t>9.1.6.1.</w:t>
        </w:r>
        <w:r w:rsidR="00BC01B1">
          <w:rPr>
            <w:rFonts w:asciiTheme="minorHAnsi" w:eastAsiaTheme="minorEastAsia" w:hAnsiTheme="minorHAnsi" w:cstheme="minorBidi"/>
            <w:noProof/>
          </w:rPr>
          <w:tab/>
        </w:r>
        <w:r w:rsidR="00BC01B1" w:rsidRPr="005D5DCB">
          <w:rPr>
            <w:rStyle w:val="Hyperlink"/>
            <w:noProof/>
          </w:rPr>
          <w:t>Índice de controle social no setor de água</w:t>
        </w:r>
        <w:r w:rsidR="00BC01B1">
          <w:rPr>
            <w:noProof/>
            <w:webHidden/>
          </w:rPr>
          <w:tab/>
        </w:r>
        <w:r w:rsidR="00BC01B1">
          <w:rPr>
            <w:noProof/>
            <w:webHidden/>
          </w:rPr>
          <w:fldChar w:fldCharType="begin"/>
        </w:r>
        <w:r w:rsidR="00BC01B1">
          <w:rPr>
            <w:noProof/>
            <w:webHidden/>
          </w:rPr>
          <w:instrText xml:space="preserve"> PAGEREF _Toc509935642 \h </w:instrText>
        </w:r>
        <w:r w:rsidR="00BC01B1">
          <w:rPr>
            <w:noProof/>
            <w:webHidden/>
          </w:rPr>
        </w:r>
        <w:r w:rsidR="00BC01B1">
          <w:rPr>
            <w:noProof/>
            <w:webHidden/>
          </w:rPr>
          <w:fldChar w:fldCharType="separate"/>
        </w:r>
        <w:r>
          <w:rPr>
            <w:noProof/>
            <w:webHidden/>
          </w:rPr>
          <w:t>339</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43" w:history="1">
        <w:r w:rsidR="00BC01B1" w:rsidRPr="005D5DCB">
          <w:rPr>
            <w:rStyle w:val="Hyperlink"/>
            <w:noProof/>
          </w:rPr>
          <w:t>9.1.6.2.</w:t>
        </w:r>
        <w:r w:rsidR="00BC01B1">
          <w:rPr>
            <w:rFonts w:asciiTheme="minorHAnsi" w:eastAsiaTheme="minorEastAsia" w:hAnsiTheme="minorHAnsi" w:cstheme="minorBidi"/>
            <w:noProof/>
          </w:rPr>
          <w:tab/>
        </w:r>
        <w:r w:rsidR="00BC01B1" w:rsidRPr="005D5DCB">
          <w:rPr>
            <w:rStyle w:val="Hyperlink"/>
            <w:noProof/>
          </w:rPr>
          <w:t>Índice de controle social no setor de esgotos</w:t>
        </w:r>
        <w:r w:rsidR="00BC01B1">
          <w:rPr>
            <w:noProof/>
            <w:webHidden/>
          </w:rPr>
          <w:tab/>
        </w:r>
        <w:r w:rsidR="00BC01B1">
          <w:rPr>
            <w:noProof/>
            <w:webHidden/>
          </w:rPr>
          <w:fldChar w:fldCharType="begin"/>
        </w:r>
        <w:r w:rsidR="00BC01B1">
          <w:rPr>
            <w:noProof/>
            <w:webHidden/>
          </w:rPr>
          <w:instrText xml:space="preserve"> PAGEREF _Toc509935643 \h </w:instrText>
        </w:r>
        <w:r w:rsidR="00BC01B1">
          <w:rPr>
            <w:noProof/>
            <w:webHidden/>
          </w:rPr>
        </w:r>
        <w:r w:rsidR="00BC01B1">
          <w:rPr>
            <w:noProof/>
            <w:webHidden/>
          </w:rPr>
          <w:fldChar w:fldCharType="separate"/>
        </w:r>
        <w:r>
          <w:rPr>
            <w:noProof/>
            <w:webHidden/>
          </w:rPr>
          <w:t>339</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44" w:history="1">
        <w:r w:rsidR="00BC01B1" w:rsidRPr="005D5DCB">
          <w:rPr>
            <w:rStyle w:val="Hyperlink"/>
            <w:noProof/>
          </w:rPr>
          <w:t>9.1.6.3.</w:t>
        </w:r>
        <w:r w:rsidR="00BC01B1">
          <w:rPr>
            <w:rFonts w:asciiTheme="minorHAnsi" w:eastAsiaTheme="minorEastAsia" w:hAnsiTheme="minorHAnsi" w:cstheme="minorBidi"/>
            <w:noProof/>
          </w:rPr>
          <w:tab/>
        </w:r>
        <w:r w:rsidR="00BC01B1" w:rsidRPr="005D5DCB">
          <w:rPr>
            <w:rStyle w:val="Hyperlink"/>
            <w:noProof/>
          </w:rPr>
          <w:t>Índice de controle social no setor de drenagem</w:t>
        </w:r>
        <w:r w:rsidR="00BC01B1">
          <w:rPr>
            <w:noProof/>
            <w:webHidden/>
          </w:rPr>
          <w:tab/>
        </w:r>
        <w:r w:rsidR="00BC01B1">
          <w:rPr>
            <w:noProof/>
            <w:webHidden/>
          </w:rPr>
          <w:fldChar w:fldCharType="begin"/>
        </w:r>
        <w:r w:rsidR="00BC01B1">
          <w:rPr>
            <w:noProof/>
            <w:webHidden/>
          </w:rPr>
          <w:instrText xml:space="preserve"> PAGEREF _Toc509935644 \h </w:instrText>
        </w:r>
        <w:r w:rsidR="00BC01B1">
          <w:rPr>
            <w:noProof/>
            <w:webHidden/>
          </w:rPr>
        </w:r>
        <w:r w:rsidR="00BC01B1">
          <w:rPr>
            <w:noProof/>
            <w:webHidden/>
          </w:rPr>
          <w:fldChar w:fldCharType="separate"/>
        </w:r>
        <w:r>
          <w:rPr>
            <w:noProof/>
            <w:webHidden/>
          </w:rPr>
          <w:t>340</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45" w:history="1">
        <w:r w:rsidR="00BC01B1" w:rsidRPr="005D5DCB">
          <w:rPr>
            <w:rStyle w:val="Hyperlink"/>
            <w:noProof/>
          </w:rPr>
          <w:t>9.1.6.4.</w:t>
        </w:r>
        <w:r w:rsidR="00BC01B1">
          <w:rPr>
            <w:rFonts w:asciiTheme="minorHAnsi" w:eastAsiaTheme="minorEastAsia" w:hAnsiTheme="minorHAnsi" w:cstheme="minorBidi"/>
            <w:noProof/>
          </w:rPr>
          <w:tab/>
        </w:r>
        <w:r w:rsidR="00BC01B1" w:rsidRPr="005D5DCB">
          <w:rPr>
            <w:rStyle w:val="Hyperlink"/>
            <w:noProof/>
          </w:rPr>
          <w:t>Índice de controle social no setor de resíduos</w:t>
        </w:r>
        <w:r w:rsidR="00BC01B1">
          <w:rPr>
            <w:noProof/>
            <w:webHidden/>
          </w:rPr>
          <w:tab/>
        </w:r>
        <w:r w:rsidR="00BC01B1">
          <w:rPr>
            <w:noProof/>
            <w:webHidden/>
          </w:rPr>
          <w:fldChar w:fldCharType="begin"/>
        </w:r>
        <w:r w:rsidR="00BC01B1">
          <w:rPr>
            <w:noProof/>
            <w:webHidden/>
          </w:rPr>
          <w:instrText xml:space="preserve"> PAGEREF _Toc509935645 \h </w:instrText>
        </w:r>
        <w:r w:rsidR="00BC01B1">
          <w:rPr>
            <w:noProof/>
            <w:webHidden/>
          </w:rPr>
        </w:r>
        <w:r w:rsidR="00BC01B1">
          <w:rPr>
            <w:noProof/>
            <w:webHidden/>
          </w:rPr>
          <w:fldChar w:fldCharType="separate"/>
        </w:r>
        <w:r>
          <w:rPr>
            <w:noProof/>
            <w:webHidden/>
          </w:rPr>
          <w:t>340</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46" w:history="1">
        <w:r w:rsidR="00BC01B1" w:rsidRPr="005D5DCB">
          <w:rPr>
            <w:rStyle w:val="Hyperlink"/>
            <w:noProof/>
          </w:rPr>
          <w:t>9.1.6.5.</w:t>
        </w:r>
        <w:r w:rsidR="00BC01B1">
          <w:rPr>
            <w:rFonts w:asciiTheme="minorHAnsi" w:eastAsiaTheme="minorEastAsia" w:hAnsiTheme="minorHAnsi" w:cstheme="minorBidi"/>
            <w:noProof/>
          </w:rPr>
          <w:tab/>
        </w:r>
        <w:r w:rsidR="00BC01B1" w:rsidRPr="005D5DCB">
          <w:rPr>
            <w:rStyle w:val="Hyperlink"/>
            <w:noProof/>
          </w:rPr>
          <w:t>Índice de controle social no saneamento básico municipal</w:t>
        </w:r>
        <w:r w:rsidR="00BC01B1">
          <w:rPr>
            <w:noProof/>
            <w:webHidden/>
          </w:rPr>
          <w:tab/>
        </w:r>
        <w:r w:rsidR="00BC01B1">
          <w:rPr>
            <w:noProof/>
            <w:webHidden/>
          </w:rPr>
          <w:fldChar w:fldCharType="begin"/>
        </w:r>
        <w:r w:rsidR="00BC01B1">
          <w:rPr>
            <w:noProof/>
            <w:webHidden/>
          </w:rPr>
          <w:instrText xml:space="preserve"> PAGEREF _Toc509935646 \h </w:instrText>
        </w:r>
        <w:r w:rsidR="00BC01B1">
          <w:rPr>
            <w:noProof/>
            <w:webHidden/>
          </w:rPr>
        </w:r>
        <w:r w:rsidR="00BC01B1">
          <w:rPr>
            <w:noProof/>
            <w:webHidden/>
          </w:rPr>
          <w:fldChar w:fldCharType="separate"/>
        </w:r>
        <w:r>
          <w:rPr>
            <w:noProof/>
            <w:webHidden/>
          </w:rPr>
          <w:t>340</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647" w:history="1">
        <w:r w:rsidR="00BC01B1" w:rsidRPr="005D5DCB">
          <w:rPr>
            <w:rStyle w:val="Hyperlink"/>
            <w:noProof/>
          </w:rPr>
          <w:t>9.1.7.</w:t>
        </w:r>
        <w:r w:rsidR="00BC01B1">
          <w:rPr>
            <w:rFonts w:asciiTheme="minorHAnsi" w:eastAsiaTheme="minorEastAsia" w:hAnsiTheme="minorHAnsi" w:cstheme="minorBidi"/>
            <w:i w:val="0"/>
            <w:noProof/>
            <w:sz w:val="22"/>
            <w:lang w:eastAsia="pt-BR"/>
          </w:rPr>
          <w:tab/>
        </w:r>
        <w:r w:rsidR="00BC01B1" w:rsidRPr="005D5DCB">
          <w:rPr>
            <w:rStyle w:val="Hyperlink"/>
            <w:noProof/>
          </w:rPr>
          <w:t>Indicador para o objetivo 7</w:t>
        </w:r>
        <w:r w:rsidR="00BC01B1">
          <w:rPr>
            <w:noProof/>
            <w:webHidden/>
          </w:rPr>
          <w:tab/>
        </w:r>
        <w:r w:rsidR="00BC01B1">
          <w:rPr>
            <w:noProof/>
            <w:webHidden/>
          </w:rPr>
          <w:fldChar w:fldCharType="begin"/>
        </w:r>
        <w:r w:rsidR="00BC01B1">
          <w:rPr>
            <w:noProof/>
            <w:webHidden/>
          </w:rPr>
          <w:instrText xml:space="preserve"> PAGEREF _Toc509935647 \h </w:instrText>
        </w:r>
        <w:r w:rsidR="00BC01B1">
          <w:rPr>
            <w:noProof/>
            <w:webHidden/>
          </w:rPr>
        </w:r>
        <w:r w:rsidR="00BC01B1">
          <w:rPr>
            <w:noProof/>
            <w:webHidden/>
          </w:rPr>
          <w:fldChar w:fldCharType="separate"/>
        </w:r>
        <w:r>
          <w:rPr>
            <w:noProof/>
            <w:webHidden/>
          </w:rPr>
          <w:t>340</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48" w:history="1">
        <w:r w:rsidR="00BC01B1" w:rsidRPr="005D5DCB">
          <w:rPr>
            <w:rStyle w:val="Hyperlink"/>
            <w:noProof/>
          </w:rPr>
          <w:t>9.1.7.1.</w:t>
        </w:r>
        <w:r w:rsidR="00BC01B1">
          <w:rPr>
            <w:rFonts w:asciiTheme="minorHAnsi" w:eastAsiaTheme="minorEastAsia" w:hAnsiTheme="minorHAnsi" w:cstheme="minorBidi"/>
            <w:noProof/>
          </w:rPr>
          <w:tab/>
        </w:r>
        <w:r w:rsidR="00BC01B1" w:rsidRPr="005D5DCB">
          <w:rPr>
            <w:rStyle w:val="Hyperlink"/>
            <w:noProof/>
          </w:rPr>
          <w:t>Número de disciplinas com conteúdo de saneamento básico por escola</w:t>
        </w:r>
        <w:r w:rsidR="00BC01B1">
          <w:rPr>
            <w:noProof/>
            <w:webHidden/>
          </w:rPr>
          <w:tab/>
        </w:r>
        <w:r w:rsidR="00BC01B1">
          <w:rPr>
            <w:noProof/>
            <w:webHidden/>
          </w:rPr>
          <w:fldChar w:fldCharType="begin"/>
        </w:r>
        <w:r w:rsidR="00BC01B1">
          <w:rPr>
            <w:noProof/>
            <w:webHidden/>
          </w:rPr>
          <w:instrText xml:space="preserve"> PAGEREF _Toc509935648 \h </w:instrText>
        </w:r>
        <w:r w:rsidR="00BC01B1">
          <w:rPr>
            <w:noProof/>
            <w:webHidden/>
          </w:rPr>
        </w:r>
        <w:r w:rsidR="00BC01B1">
          <w:rPr>
            <w:noProof/>
            <w:webHidden/>
          </w:rPr>
          <w:fldChar w:fldCharType="separate"/>
        </w:r>
        <w:r>
          <w:rPr>
            <w:noProof/>
            <w:webHidden/>
          </w:rPr>
          <w:t>341</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49" w:history="1">
        <w:r w:rsidR="00BC01B1" w:rsidRPr="005D5DCB">
          <w:rPr>
            <w:rStyle w:val="Hyperlink"/>
            <w:noProof/>
          </w:rPr>
          <w:t>9.1.7.2.</w:t>
        </w:r>
        <w:r w:rsidR="00BC01B1">
          <w:rPr>
            <w:rFonts w:asciiTheme="minorHAnsi" w:eastAsiaTheme="minorEastAsia" w:hAnsiTheme="minorHAnsi" w:cstheme="minorBidi"/>
            <w:noProof/>
          </w:rPr>
          <w:tab/>
        </w:r>
        <w:r w:rsidR="00BC01B1" w:rsidRPr="005D5DCB">
          <w:rPr>
            <w:rStyle w:val="Hyperlink"/>
            <w:noProof/>
          </w:rPr>
          <w:t>Índice Municipal de Educação em Saneamento Básico</w:t>
        </w:r>
        <w:r w:rsidR="00BC01B1">
          <w:rPr>
            <w:noProof/>
            <w:webHidden/>
          </w:rPr>
          <w:tab/>
        </w:r>
        <w:r w:rsidR="00BC01B1">
          <w:rPr>
            <w:noProof/>
            <w:webHidden/>
          </w:rPr>
          <w:fldChar w:fldCharType="begin"/>
        </w:r>
        <w:r w:rsidR="00BC01B1">
          <w:rPr>
            <w:noProof/>
            <w:webHidden/>
          </w:rPr>
          <w:instrText xml:space="preserve"> PAGEREF _Toc509935649 \h </w:instrText>
        </w:r>
        <w:r w:rsidR="00BC01B1">
          <w:rPr>
            <w:noProof/>
            <w:webHidden/>
          </w:rPr>
        </w:r>
        <w:r w:rsidR="00BC01B1">
          <w:rPr>
            <w:noProof/>
            <w:webHidden/>
          </w:rPr>
          <w:fldChar w:fldCharType="separate"/>
        </w:r>
        <w:r>
          <w:rPr>
            <w:noProof/>
            <w:webHidden/>
          </w:rPr>
          <w:t>341</w:t>
        </w:r>
        <w:r w:rsidR="00BC01B1">
          <w:rPr>
            <w:noProof/>
            <w:webHidden/>
          </w:rPr>
          <w:fldChar w:fldCharType="end"/>
        </w:r>
      </w:hyperlink>
    </w:p>
    <w:p w:rsidR="00BC01B1" w:rsidRDefault="001B481B">
      <w:pPr>
        <w:pStyle w:val="Sumrio2"/>
        <w:tabs>
          <w:tab w:val="left" w:pos="1134"/>
        </w:tabs>
        <w:rPr>
          <w:rFonts w:asciiTheme="minorHAnsi" w:eastAsiaTheme="minorEastAsia" w:hAnsiTheme="minorHAnsi" w:cstheme="minorBidi"/>
          <w:noProof/>
          <w:sz w:val="22"/>
          <w:lang w:eastAsia="pt-BR"/>
        </w:rPr>
      </w:pPr>
      <w:hyperlink w:anchor="_Toc509935650" w:history="1">
        <w:r w:rsidR="00BC01B1" w:rsidRPr="005D5DCB">
          <w:rPr>
            <w:rStyle w:val="Hyperlink"/>
            <w:noProof/>
          </w:rPr>
          <w:t>9.2.</w:t>
        </w:r>
        <w:r w:rsidR="00BC01B1">
          <w:rPr>
            <w:rFonts w:asciiTheme="minorHAnsi" w:eastAsiaTheme="minorEastAsia" w:hAnsiTheme="minorHAnsi" w:cstheme="minorBidi"/>
            <w:noProof/>
            <w:sz w:val="22"/>
            <w:lang w:eastAsia="pt-BR"/>
          </w:rPr>
          <w:tab/>
        </w:r>
        <w:r w:rsidR="00BC01B1" w:rsidRPr="005D5DCB">
          <w:rPr>
            <w:rStyle w:val="Hyperlink"/>
            <w:noProof/>
          </w:rPr>
          <w:t>Sistema de Abastecimento de Água</w:t>
        </w:r>
        <w:r w:rsidR="00BC01B1">
          <w:rPr>
            <w:noProof/>
            <w:webHidden/>
          </w:rPr>
          <w:tab/>
        </w:r>
        <w:r w:rsidR="00BC01B1">
          <w:rPr>
            <w:noProof/>
            <w:webHidden/>
          </w:rPr>
          <w:fldChar w:fldCharType="begin"/>
        </w:r>
        <w:r w:rsidR="00BC01B1">
          <w:rPr>
            <w:noProof/>
            <w:webHidden/>
          </w:rPr>
          <w:instrText xml:space="preserve"> PAGEREF _Toc509935650 \h </w:instrText>
        </w:r>
        <w:r w:rsidR="00BC01B1">
          <w:rPr>
            <w:noProof/>
            <w:webHidden/>
          </w:rPr>
        </w:r>
        <w:r w:rsidR="00BC01B1">
          <w:rPr>
            <w:noProof/>
            <w:webHidden/>
          </w:rPr>
          <w:fldChar w:fldCharType="separate"/>
        </w:r>
        <w:r>
          <w:rPr>
            <w:noProof/>
            <w:webHidden/>
          </w:rPr>
          <w:t>341</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651" w:history="1">
        <w:r w:rsidR="00BC01B1" w:rsidRPr="005D5DCB">
          <w:rPr>
            <w:rStyle w:val="Hyperlink"/>
            <w:noProof/>
          </w:rPr>
          <w:t>9.2.1.</w:t>
        </w:r>
        <w:r w:rsidR="00BC01B1">
          <w:rPr>
            <w:rFonts w:asciiTheme="minorHAnsi" w:eastAsiaTheme="minorEastAsia" w:hAnsiTheme="minorHAnsi" w:cstheme="minorBidi"/>
            <w:i w:val="0"/>
            <w:noProof/>
            <w:sz w:val="22"/>
            <w:lang w:eastAsia="pt-BR"/>
          </w:rPr>
          <w:tab/>
        </w:r>
        <w:r w:rsidR="00BC01B1" w:rsidRPr="005D5DCB">
          <w:rPr>
            <w:rStyle w:val="Hyperlink"/>
            <w:noProof/>
          </w:rPr>
          <w:t>Indicadores para o objetivo 1</w:t>
        </w:r>
        <w:r w:rsidR="00BC01B1">
          <w:rPr>
            <w:noProof/>
            <w:webHidden/>
          </w:rPr>
          <w:tab/>
        </w:r>
        <w:r w:rsidR="00BC01B1">
          <w:rPr>
            <w:noProof/>
            <w:webHidden/>
          </w:rPr>
          <w:fldChar w:fldCharType="begin"/>
        </w:r>
        <w:r w:rsidR="00BC01B1">
          <w:rPr>
            <w:noProof/>
            <w:webHidden/>
          </w:rPr>
          <w:instrText xml:space="preserve"> PAGEREF _Toc509935651 \h </w:instrText>
        </w:r>
        <w:r w:rsidR="00BC01B1">
          <w:rPr>
            <w:noProof/>
            <w:webHidden/>
          </w:rPr>
        </w:r>
        <w:r w:rsidR="00BC01B1">
          <w:rPr>
            <w:noProof/>
            <w:webHidden/>
          </w:rPr>
          <w:fldChar w:fldCharType="separate"/>
        </w:r>
        <w:r>
          <w:rPr>
            <w:noProof/>
            <w:webHidden/>
          </w:rPr>
          <w:t>343</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52" w:history="1">
        <w:r w:rsidR="00BC01B1" w:rsidRPr="005D5DCB">
          <w:rPr>
            <w:rStyle w:val="Hyperlink"/>
            <w:noProof/>
          </w:rPr>
          <w:t>9.2.1.1.</w:t>
        </w:r>
        <w:r w:rsidR="00BC01B1">
          <w:rPr>
            <w:rFonts w:asciiTheme="minorHAnsi" w:eastAsiaTheme="minorEastAsia" w:hAnsiTheme="minorHAnsi" w:cstheme="minorBidi"/>
            <w:noProof/>
          </w:rPr>
          <w:tab/>
        </w:r>
        <w:r w:rsidR="00BC01B1" w:rsidRPr="005D5DCB">
          <w:rPr>
            <w:rStyle w:val="Hyperlink"/>
            <w:noProof/>
          </w:rPr>
          <w:t>Índice de atendimento total de água</w:t>
        </w:r>
        <w:r w:rsidR="00BC01B1">
          <w:rPr>
            <w:noProof/>
            <w:webHidden/>
          </w:rPr>
          <w:tab/>
        </w:r>
        <w:r w:rsidR="00BC01B1">
          <w:rPr>
            <w:noProof/>
            <w:webHidden/>
          </w:rPr>
          <w:fldChar w:fldCharType="begin"/>
        </w:r>
        <w:r w:rsidR="00BC01B1">
          <w:rPr>
            <w:noProof/>
            <w:webHidden/>
          </w:rPr>
          <w:instrText xml:space="preserve"> PAGEREF _Toc509935652 \h </w:instrText>
        </w:r>
        <w:r w:rsidR="00BC01B1">
          <w:rPr>
            <w:noProof/>
            <w:webHidden/>
          </w:rPr>
        </w:r>
        <w:r w:rsidR="00BC01B1">
          <w:rPr>
            <w:noProof/>
            <w:webHidden/>
          </w:rPr>
          <w:fldChar w:fldCharType="separate"/>
        </w:r>
        <w:r>
          <w:rPr>
            <w:noProof/>
            <w:webHidden/>
          </w:rPr>
          <w:t>343</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53" w:history="1">
        <w:r w:rsidR="00BC01B1" w:rsidRPr="005D5DCB">
          <w:rPr>
            <w:rStyle w:val="Hyperlink"/>
            <w:noProof/>
          </w:rPr>
          <w:t>9.2.1.2.</w:t>
        </w:r>
        <w:r w:rsidR="00BC01B1">
          <w:rPr>
            <w:rFonts w:asciiTheme="minorHAnsi" w:eastAsiaTheme="minorEastAsia" w:hAnsiTheme="minorHAnsi" w:cstheme="minorBidi"/>
            <w:noProof/>
          </w:rPr>
          <w:tab/>
        </w:r>
        <w:r w:rsidR="00BC01B1" w:rsidRPr="005D5DCB">
          <w:rPr>
            <w:rStyle w:val="Hyperlink"/>
            <w:noProof/>
          </w:rPr>
          <w:t>Índice de atendimento urbano de água</w:t>
        </w:r>
        <w:r w:rsidR="00BC01B1">
          <w:rPr>
            <w:noProof/>
            <w:webHidden/>
          </w:rPr>
          <w:tab/>
        </w:r>
        <w:r w:rsidR="00BC01B1">
          <w:rPr>
            <w:noProof/>
            <w:webHidden/>
          </w:rPr>
          <w:fldChar w:fldCharType="begin"/>
        </w:r>
        <w:r w:rsidR="00BC01B1">
          <w:rPr>
            <w:noProof/>
            <w:webHidden/>
          </w:rPr>
          <w:instrText xml:space="preserve"> PAGEREF _Toc509935653 \h </w:instrText>
        </w:r>
        <w:r w:rsidR="00BC01B1">
          <w:rPr>
            <w:noProof/>
            <w:webHidden/>
          </w:rPr>
        </w:r>
        <w:r w:rsidR="00BC01B1">
          <w:rPr>
            <w:noProof/>
            <w:webHidden/>
          </w:rPr>
          <w:fldChar w:fldCharType="separate"/>
        </w:r>
        <w:r>
          <w:rPr>
            <w:noProof/>
            <w:webHidden/>
          </w:rPr>
          <w:t>343</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54" w:history="1">
        <w:r w:rsidR="00BC01B1" w:rsidRPr="005D5DCB">
          <w:rPr>
            <w:rStyle w:val="Hyperlink"/>
            <w:noProof/>
          </w:rPr>
          <w:t>9.2.1.3.</w:t>
        </w:r>
        <w:r w:rsidR="00BC01B1">
          <w:rPr>
            <w:rFonts w:asciiTheme="minorHAnsi" w:eastAsiaTheme="minorEastAsia" w:hAnsiTheme="minorHAnsi" w:cstheme="minorBidi"/>
            <w:noProof/>
          </w:rPr>
          <w:tab/>
        </w:r>
        <w:r w:rsidR="00BC01B1" w:rsidRPr="005D5DCB">
          <w:rPr>
            <w:rStyle w:val="Hyperlink"/>
            <w:noProof/>
          </w:rPr>
          <w:t>Índice de abastecimento rural de água</w:t>
        </w:r>
        <w:r w:rsidR="00BC01B1">
          <w:rPr>
            <w:noProof/>
            <w:webHidden/>
          </w:rPr>
          <w:tab/>
        </w:r>
        <w:r w:rsidR="00BC01B1">
          <w:rPr>
            <w:noProof/>
            <w:webHidden/>
          </w:rPr>
          <w:fldChar w:fldCharType="begin"/>
        </w:r>
        <w:r w:rsidR="00BC01B1">
          <w:rPr>
            <w:noProof/>
            <w:webHidden/>
          </w:rPr>
          <w:instrText xml:space="preserve"> PAGEREF _Toc509935654 \h </w:instrText>
        </w:r>
        <w:r w:rsidR="00BC01B1">
          <w:rPr>
            <w:noProof/>
            <w:webHidden/>
          </w:rPr>
        </w:r>
        <w:r w:rsidR="00BC01B1">
          <w:rPr>
            <w:noProof/>
            <w:webHidden/>
          </w:rPr>
          <w:fldChar w:fldCharType="separate"/>
        </w:r>
        <w:r>
          <w:rPr>
            <w:noProof/>
            <w:webHidden/>
          </w:rPr>
          <w:t>344</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55" w:history="1">
        <w:r w:rsidR="00BC01B1" w:rsidRPr="005D5DCB">
          <w:rPr>
            <w:rStyle w:val="Hyperlink"/>
            <w:noProof/>
          </w:rPr>
          <w:t>9.2.1.4.</w:t>
        </w:r>
        <w:r w:rsidR="00BC01B1">
          <w:rPr>
            <w:rFonts w:asciiTheme="minorHAnsi" w:eastAsiaTheme="minorEastAsia" w:hAnsiTheme="minorHAnsi" w:cstheme="minorBidi"/>
            <w:noProof/>
          </w:rPr>
          <w:tab/>
        </w:r>
        <w:r w:rsidR="00BC01B1" w:rsidRPr="005D5DCB">
          <w:rPr>
            <w:rStyle w:val="Hyperlink"/>
            <w:noProof/>
          </w:rPr>
          <w:t>Índice de monitoramento de poços particulares</w:t>
        </w:r>
        <w:r w:rsidR="00BC01B1">
          <w:rPr>
            <w:noProof/>
            <w:webHidden/>
          </w:rPr>
          <w:tab/>
        </w:r>
        <w:r w:rsidR="00BC01B1">
          <w:rPr>
            <w:noProof/>
            <w:webHidden/>
          </w:rPr>
          <w:fldChar w:fldCharType="begin"/>
        </w:r>
        <w:r w:rsidR="00BC01B1">
          <w:rPr>
            <w:noProof/>
            <w:webHidden/>
          </w:rPr>
          <w:instrText xml:space="preserve"> PAGEREF _Toc509935655 \h </w:instrText>
        </w:r>
        <w:r w:rsidR="00BC01B1">
          <w:rPr>
            <w:noProof/>
            <w:webHidden/>
          </w:rPr>
        </w:r>
        <w:r w:rsidR="00BC01B1">
          <w:rPr>
            <w:noProof/>
            <w:webHidden/>
          </w:rPr>
          <w:fldChar w:fldCharType="separate"/>
        </w:r>
        <w:r>
          <w:rPr>
            <w:noProof/>
            <w:webHidden/>
          </w:rPr>
          <w:t>344</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56" w:history="1">
        <w:r w:rsidR="00BC01B1" w:rsidRPr="005D5DCB">
          <w:rPr>
            <w:rStyle w:val="Hyperlink"/>
            <w:noProof/>
          </w:rPr>
          <w:t>9.2.1.5.</w:t>
        </w:r>
        <w:r w:rsidR="00BC01B1">
          <w:rPr>
            <w:rFonts w:asciiTheme="minorHAnsi" w:eastAsiaTheme="minorEastAsia" w:hAnsiTheme="minorHAnsi" w:cstheme="minorBidi"/>
            <w:noProof/>
          </w:rPr>
          <w:tab/>
        </w:r>
        <w:r w:rsidR="00BC01B1" w:rsidRPr="005D5DCB">
          <w:rPr>
            <w:rStyle w:val="Hyperlink"/>
            <w:noProof/>
          </w:rPr>
          <w:t>Economias atingidas por paralisações</w:t>
        </w:r>
        <w:r w:rsidR="00BC01B1">
          <w:rPr>
            <w:noProof/>
            <w:webHidden/>
          </w:rPr>
          <w:tab/>
        </w:r>
        <w:r w:rsidR="00BC01B1">
          <w:rPr>
            <w:noProof/>
            <w:webHidden/>
          </w:rPr>
          <w:fldChar w:fldCharType="begin"/>
        </w:r>
        <w:r w:rsidR="00BC01B1">
          <w:rPr>
            <w:noProof/>
            <w:webHidden/>
          </w:rPr>
          <w:instrText xml:space="preserve"> PAGEREF _Toc509935656 \h </w:instrText>
        </w:r>
        <w:r w:rsidR="00BC01B1">
          <w:rPr>
            <w:noProof/>
            <w:webHidden/>
          </w:rPr>
        </w:r>
        <w:r w:rsidR="00BC01B1">
          <w:rPr>
            <w:noProof/>
            <w:webHidden/>
          </w:rPr>
          <w:fldChar w:fldCharType="separate"/>
        </w:r>
        <w:r>
          <w:rPr>
            <w:noProof/>
            <w:webHidden/>
          </w:rPr>
          <w:t>345</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57" w:history="1">
        <w:r w:rsidR="00BC01B1" w:rsidRPr="005D5DCB">
          <w:rPr>
            <w:rStyle w:val="Hyperlink"/>
            <w:noProof/>
          </w:rPr>
          <w:t>9.2.1.6.</w:t>
        </w:r>
        <w:r w:rsidR="00BC01B1">
          <w:rPr>
            <w:rFonts w:asciiTheme="minorHAnsi" w:eastAsiaTheme="minorEastAsia" w:hAnsiTheme="minorHAnsi" w:cstheme="minorBidi"/>
            <w:noProof/>
          </w:rPr>
          <w:tab/>
        </w:r>
        <w:r w:rsidR="00BC01B1" w:rsidRPr="005D5DCB">
          <w:rPr>
            <w:rStyle w:val="Hyperlink"/>
            <w:noProof/>
          </w:rPr>
          <w:t>Duração média das paralisações</w:t>
        </w:r>
        <w:r w:rsidR="00BC01B1">
          <w:rPr>
            <w:noProof/>
            <w:webHidden/>
          </w:rPr>
          <w:tab/>
        </w:r>
        <w:r w:rsidR="00BC01B1">
          <w:rPr>
            <w:noProof/>
            <w:webHidden/>
          </w:rPr>
          <w:fldChar w:fldCharType="begin"/>
        </w:r>
        <w:r w:rsidR="00BC01B1">
          <w:rPr>
            <w:noProof/>
            <w:webHidden/>
          </w:rPr>
          <w:instrText xml:space="preserve"> PAGEREF _Toc509935657 \h </w:instrText>
        </w:r>
        <w:r w:rsidR="00BC01B1">
          <w:rPr>
            <w:noProof/>
            <w:webHidden/>
          </w:rPr>
        </w:r>
        <w:r w:rsidR="00BC01B1">
          <w:rPr>
            <w:noProof/>
            <w:webHidden/>
          </w:rPr>
          <w:fldChar w:fldCharType="separate"/>
        </w:r>
        <w:r>
          <w:rPr>
            <w:noProof/>
            <w:webHidden/>
          </w:rPr>
          <w:t>345</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58" w:history="1">
        <w:r w:rsidR="00BC01B1" w:rsidRPr="005D5DCB">
          <w:rPr>
            <w:rStyle w:val="Hyperlink"/>
            <w:noProof/>
          </w:rPr>
          <w:t>9.2.1.7.</w:t>
        </w:r>
        <w:r w:rsidR="00BC01B1">
          <w:rPr>
            <w:rFonts w:asciiTheme="minorHAnsi" w:eastAsiaTheme="minorEastAsia" w:hAnsiTheme="minorHAnsi" w:cstheme="minorBidi"/>
            <w:noProof/>
          </w:rPr>
          <w:tab/>
        </w:r>
        <w:r w:rsidR="00BC01B1" w:rsidRPr="005D5DCB">
          <w:rPr>
            <w:rStyle w:val="Hyperlink"/>
            <w:noProof/>
          </w:rPr>
          <w:t>Incidência das análises de cloro residual fora do padrão</w:t>
        </w:r>
        <w:r w:rsidR="00BC01B1">
          <w:rPr>
            <w:noProof/>
            <w:webHidden/>
          </w:rPr>
          <w:tab/>
        </w:r>
        <w:r w:rsidR="00BC01B1">
          <w:rPr>
            <w:noProof/>
            <w:webHidden/>
          </w:rPr>
          <w:fldChar w:fldCharType="begin"/>
        </w:r>
        <w:r w:rsidR="00BC01B1">
          <w:rPr>
            <w:noProof/>
            <w:webHidden/>
          </w:rPr>
          <w:instrText xml:space="preserve"> PAGEREF _Toc509935658 \h </w:instrText>
        </w:r>
        <w:r w:rsidR="00BC01B1">
          <w:rPr>
            <w:noProof/>
            <w:webHidden/>
          </w:rPr>
        </w:r>
        <w:r w:rsidR="00BC01B1">
          <w:rPr>
            <w:noProof/>
            <w:webHidden/>
          </w:rPr>
          <w:fldChar w:fldCharType="separate"/>
        </w:r>
        <w:r>
          <w:rPr>
            <w:noProof/>
            <w:webHidden/>
          </w:rPr>
          <w:t>346</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59" w:history="1">
        <w:r w:rsidR="00BC01B1" w:rsidRPr="005D5DCB">
          <w:rPr>
            <w:rStyle w:val="Hyperlink"/>
            <w:noProof/>
          </w:rPr>
          <w:t>9.2.1.8.</w:t>
        </w:r>
        <w:r w:rsidR="00BC01B1">
          <w:rPr>
            <w:rFonts w:asciiTheme="minorHAnsi" w:eastAsiaTheme="minorEastAsia" w:hAnsiTheme="minorHAnsi" w:cstheme="minorBidi"/>
            <w:noProof/>
          </w:rPr>
          <w:tab/>
        </w:r>
        <w:r w:rsidR="00BC01B1" w:rsidRPr="005D5DCB">
          <w:rPr>
            <w:rStyle w:val="Hyperlink"/>
            <w:noProof/>
          </w:rPr>
          <w:t>Incidência das análises de turbidez fora do padrão</w:t>
        </w:r>
        <w:r w:rsidR="00BC01B1">
          <w:rPr>
            <w:noProof/>
            <w:webHidden/>
          </w:rPr>
          <w:tab/>
        </w:r>
        <w:r w:rsidR="00BC01B1">
          <w:rPr>
            <w:noProof/>
            <w:webHidden/>
          </w:rPr>
          <w:fldChar w:fldCharType="begin"/>
        </w:r>
        <w:r w:rsidR="00BC01B1">
          <w:rPr>
            <w:noProof/>
            <w:webHidden/>
          </w:rPr>
          <w:instrText xml:space="preserve"> PAGEREF _Toc509935659 \h </w:instrText>
        </w:r>
        <w:r w:rsidR="00BC01B1">
          <w:rPr>
            <w:noProof/>
            <w:webHidden/>
          </w:rPr>
        </w:r>
        <w:r w:rsidR="00BC01B1">
          <w:rPr>
            <w:noProof/>
            <w:webHidden/>
          </w:rPr>
          <w:fldChar w:fldCharType="separate"/>
        </w:r>
        <w:r>
          <w:rPr>
            <w:noProof/>
            <w:webHidden/>
          </w:rPr>
          <w:t>346</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60" w:history="1">
        <w:r w:rsidR="00BC01B1" w:rsidRPr="005D5DCB">
          <w:rPr>
            <w:rStyle w:val="Hyperlink"/>
            <w:noProof/>
          </w:rPr>
          <w:t>9.2.1.9.</w:t>
        </w:r>
        <w:r w:rsidR="00BC01B1">
          <w:rPr>
            <w:rFonts w:asciiTheme="minorHAnsi" w:eastAsiaTheme="minorEastAsia" w:hAnsiTheme="minorHAnsi" w:cstheme="minorBidi"/>
            <w:noProof/>
          </w:rPr>
          <w:tab/>
        </w:r>
        <w:r w:rsidR="00BC01B1" w:rsidRPr="005D5DCB">
          <w:rPr>
            <w:rStyle w:val="Hyperlink"/>
            <w:noProof/>
          </w:rPr>
          <w:t>Índice de conformidade da quantidade de amostras - cloro residual</w:t>
        </w:r>
        <w:r w:rsidR="00BC01B1">
          <w:rPr>
            <w:noProof/>
            <w:webHidden/>
          </w:rPr>
          <w:tab/>
        </w:r>
        <w:r w:rsidR="00BC01B1">
          <w:rPr>
            <w:noProof/>
            <w:webHidden/>
          </w:rPr>
          <w:fldChar w:fldCharType="begin"/>
        </w:r>
        <w:r w:rsidR="00BC01B1">
          <w:rPr>
            <w:noProof/>
            <w:webHidden/>
          </w:rPr>
          <w:instrText xml:space="preserve"> PAGEREF _Toc509935660 \h </w:instrText>
        </w:r>
        <w:r w:rsidR="00BC01B1">
          <w:rPr>
            <w:noProof/>
            <w:webHidden/>
          </w:rPr>
        </w:r>
        <w:r w:rsidR="00BC01B1">
          <w:rPr>
            <w:noProof/>
            <w:webHidden/>
          </w:rPr>
          <w:fldChar w:fldCharType="separate"/>
        </w:r>
        <w:r>
          <w:rPr>
            <w:noProof/>
            <w:webHidden/>
          </w:rPr>
          <w:t>346</w:t>
        </w:r>
        <w:r w:rsidR="00BC01B1">
          <w:rPr>
            <w:noProof/>
            <w:webHidden/>
          </w:rPr>
          <w:fldChar w:fldCharType="end"/>
        </w:r>
      </w:hyperlink>
    </w:p>
    <w:p w:rsidR="00BC01B1" w:rsidRDefault="001B481B">
      <w:pPr>
        <w:pStyle w:val="Sumrio4"/>
        <w:tabs>
          <w:tab w:val="left" w:pos="1927"/>
        </w:tabs>
        <w:rPr>
          <w:rFonts w:asciiTheme="minorHAnsi" w:eastAsiaTheme="minorEastAsia" w:hAnsiTheme="minorHAnsi" w:cstheme="minorBidi"/>
          <w:noProof/>
        </w:rPr>
      </w:pPr>
      <w:hyperlink w:anchor="_Toc509935661" w:history="1">
        <w:r w:rsidR="00BC01B1" w:rsidRPr="005D5DCB">
          <w:rPr>
            <w:rStyle w:val="Hyperlink"/>
            <w:noProof/>
          </w:rPr>
          <w:t>9.2.1.10.</w:t>
        </w:r>
        <w:r w:rsidR="00BC01B1">
          <w:rPr>
            <w:rFonts w:asciiTheme="minorHAnsi" w:eastAsiaTheme="minorEastAsia" w:hAnsiTheme="minorHAnsi" w:cstheme="minorBidi"/>
            <w:noProof/>
          </w:rPr>
          <w:tab/>
        </w:r>
        <w:r w:rsidR="00BC01B1" w:rsidRPr="005D5DCB">
          <w:rPr>
            <w:rStyle w:val="Hyperlink"/>
            <w:noProof/>
          </w:rPr>
          <w:t>Índice de conformidade da quantidade de amostras - turbidez</w:t>
        </w:r>
        <w:r w:rsidR="00BC01B1">
          <w:rPr>
            <w:noProof/>
            <w:webHidden/>
          </w:rPr>
          <w:tab/>
        </w:r>
        <w:r w:rsidR="00BC01B1">
          <w:rPr>
            <w:noProof/>
            <w:webHidden/>
          </w:rPr>
          <w:fldChar w:fldCharType="begin"/>
        </w:r>
        <w:r w:rsidR="00BC01B1">
          <w:rPr>
            <w:noProof/>
            <w:webHidden/>
          </w:rPr>
          <w:instrText xml:space="preserve"> PAGEREF _Toc509935661 \h </w:instrText>
        </w:r>
        <w:r w:rsidR="00BC01B1">
          <w:rPr>
            <w:noProof/>
            <w:webHidden/>
          </w:rPr>
        </w:r>
        <w:r w:rsidR="00BC01B1">
          <w:rPr>
            <w:noProof/>
            <w:webHidden/>
          </w:rPr>
          <w:fldChar w:fldCharType="separate"/>
        </w:r>
        <w:r>
          <w:rPr>
            <w:noProof/>
            <w:webHidden/>
          </w:rPr>
          <w:t>347</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662" w:history="1">
        <w:r w:rsidR="00BC01B1" w:rsidRPr="005D5DCB">
          <w:rPr>
            <w:rStyle w:val="Hyperlink"/>
            <w:noProof/>
          </w:rPr>
          <w:t>9.2.2.</w:t>
        </w:r>
        <w:r w:rsidR="00BC01B1">
          <w:rPr>
            <w:rFonts w:asciiTheme="minorHAnsi" w:eastAsiaTheme="minorEastAsia" w:hAnsiTheme="minorHAnsi" w:cstheme="minorBidi"/>
            <w:i w:val="0"/>
            <w:noProof/>
            <w:sz w:val="22"/>
            <w:lang w:eastAsia="pt-BR"/>
          </w:rPr>
          <w:tab/>
        </w:r>
        <w:r w:rsidR="00BC01B1" w:rsidRPr="005D5DCB">
          <w:rPr>
            <w:rStyle w:val="Hyperlink"/>
            <w:noProof/>
          </w:rPr>
          <w:t>Indicadores para o objetivo 2</w:t>
        </w:r>
        <w:r w:rsidR="00BC01B1">
          <w:rPr>
            <w:noProof/>
            <w:webHidden/>
          </w:rPr>
          <w:tab/>
        </w:r>
        <w:r w:rsidR="00BC01B1">
          <w:rPr>
            <w:noProof/>
            <w:webHidden/>
          </w:rPr>
          <w:fldChar w:fldCharType="begin"/>
        </w:r>
        <w:r w:rsidR="00BC01B1">
          <w:rPr>
            <w:noProof/>
            <w:webHidden/>
          </w:rPr>
          <w:instrText xml:space="preserve"> PAGEREF _Toc509935662 \h </w:instrText>
        </w:r>
        <w:r w:rsidR="00BC01B1">
          <w:rPr>
            <w:noProof/>
            <w:webHidden/>
          </w:rPr>
        </w:r>
        <w:r w:rsidR="00BC01B1">
          <w:rPr>
            <w:noProof/>
            <w:webHidden/>
          </w:rPr>
          <w:fldChar w:fldCharType="separate"/>
        </w:r>
        <w:r>
          <w:rPr>
            <w:noProof/>
            <w:webHidden/>
          </w:rPr>
          <w:t>347</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63" w:history="1">
        <w:r w:rsidR="00BC01B1" w:rsidRPr="005D5DCB">
          <w:rPr>
            <w:rStyle w:val="Hyperlink"/>
            <w:noProof/>
          </w:rPr>
          <w:t>9.2.2.1.</w:t>
        </w:r>
        <w:r w:rsidR="00BC01B1">
          <w:rPr>
            <w:rFonts w:asciiTheme="minorHAnsi" w:eastAsiaTheme="minorEastAsia" w:hAnsiTheme="minorHAnsi" w:cstheme="minorBidi"/>
            <w:noProof/>
          </w:rPr>
          <w:tab/>
        </w:r>
        <w:r w:rsidR="00BC01B1" w:rsidRPr="005D5DCB">
          <w:rPr>
            <w:rStyle w:val="Hyperlink"/>
            <w:noProof/>
          </w:rPr>
          <w:t>Índice de perdas na distribuição</w:t>
        </w:r>
        <w:r w:rsidR="00BC01B1">
          <w:rPr>
            <w:noProof/>
            <w:webHidden/>
          </w:rPr>
          <w:tab/>
        </w:r>
        <w:r w:rsidR="00BC01B1">
          <w:rPr>
            <w:noProof/>
            <w:webHidden/>
          </w:rPr>
          <w:fldChar w:fldCharType="begin"/>
        </w:r>
        <w:r w:rsidR="00BC01B1">
          <w:rPr>
            <w:noProof/>
            <w:webHidden/>
          </w:rPr>
          <w:instrText xml:space="preserve"> PAGEREF _Toc509935663 \h </w:instrText>
        </w:r>
        <w:r w:rsidR="00BC01B1">
          <w:rPr>
            <w:noProof/>
            <w:webHidden/>
          </w:rPr>
        </w:r>
        <w:r w:rsidR="00BC01B1">
          <w:rPr>
            <w:noProof/>
            <w:webHidden/>
          </w:rPr>
          <w:fldChar w:fldCharType="separate"/>
        </w:r>
        <w:r>
          <w:rPr>
            <w:noProof/>
            <w:webHidden/>
          </w:rPr>
          <w:t>347</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64" w:history="1">
        <w:r w:rsidR="00BC01B1" w:rsidRPr="005D5DCB">
          <w:rPr>
            <w:rStyle w:val="Hyperlink"/>
            <w:noProof/>
          </w:rPr>
          <w:t>9.2.2.2.</w:t>
        </w:r>
        <w:r w:rsidR="00BC01B1">
          <w:rPr>
            <w:rFonts w:asciiTheme="minorHAnsi" w:eastAsiaTheme="minorEastAsia" w:hAnsiTheme="minorHAnsi" w:cstheme="minorBidi"/>
            <w:noProof/>
          </w:rPr>
          <w:tab/>
        </w:r>
        <w:r w:rsidR="00BC01B1" w:rsidRPr="005D5DCB">
          <w:rPr>
            <w:rStyle w:val="Hyperlink"/>
            <w:noProof/>
          </w:rPr>
          <w:t xml:space="preserve">Consumo médio </w:t>
        </w:r>
        <w:r w:rsidR="00BC01B1" w:rsidRPr="005D5DCB">
          <w:rPr>
            <w:rStyle w:val="Hyperlink"/>
            <w:i/>
            <w:noProof/>
          </w:rPr>
          <w:t>per capita</w:t>
        </w:r>
        <w:r w:rsidR="00BC01B1" w:rsidRPr="005D5DCB">
          <w:rPr>
            <w:rStyle w:val="Hyperlink"/>
            <w:noProof/>
          </w:rPr>
          <w:t xml:space="preserve"> de água</w:t>
        </w:r>
        <w:r w:rsidR="00BC01B1">
          <w:rPr>
            <w:noProof/>
            <w:webHidden/>
          </w:rPr>
          <w:tab/>
        </w:r>
        <w:r w:rsidR="00BC01B1">
          <w:rPr>
            <w:noProof/>
            <w:webHidden/>
          </w:rPr>
          <w:fldChar w:fldCharType="begin"/>
        </w:r>
        <w:r w:rsidR="00BC01B1">
          <w:rPr>
            <w:noProof/>
            <w:webHidden/>
          </w:rPr>
          <w:instrText xml:space="preserve"> PAGEREF _Toc509935664 \h </w:instrText>
        </w:r>
        <w:r w:rsidR="00BC01B1">
          <w:rPr>
            <w:noProof/>
            <w:webHidden/>
          </w:rPr>
        </w:r>
        <w:r w:rsidR="00BC01B1">
          <w:rPr>
            <w:noProof/>
            <w:webHidden/>
          </w:rPr>
          <w:fldChar w:fldCharType="separate"/>
        </w:r>
        <w:r>
          <w:rPr>
            <w:noProof/>
            <w:webHidden/>
          </w:rPr>
          <w:t>349</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665" w:history="1">
        <w:r w:rsidR="00BC01B1" w:rsidRPr="005D5DCB">
          <w:rPr>
            <w:rStyle w:val="Hyperlink"/>
            <w:noProof/>
          </w:rPr>
          <w:t>9.2.3.</w:t>
        </w:r>
        <w:r w:rsidR="00BC01B1">
          <w:rPr>
            <w:rFonts w:asciiTheme="minorHAnsi" w:eastAsiaTheme="minorEastAsia" w:hAnsiTheme="minorHAnsi" w:cstheme="minorBidi"/>
            <w:i w:val="0"/>
            <w:noProof/>
            <w:sz w:val="22"/>
            <w:lang w:eastAsia="pt-BR"/>
          </w:rPr>
          <w:tab/>
        </w:r>
        <w:r w:rsidR="00BC01B1" w:rsidRPr="005D5DCB">
          <w:rPr>
            <w:rStyle w:val="Hyperlink"/>
            <w:noProof/>
          </w:rPr>
          <w:t>Indicadores para o objetivo 3</w:t>
        </w:r>
        <w:r w:rsidR="00BC01B1">
          <w:rPr>
            <w:noProof/>
            <w:webHidden/>
          </w:rPr>
          <w:tab/>
        </w:r>
        <w:r w:rsidR="00BC01B1">
          <w:rPr>
            <w:noProof/>
            <w:webHidden/>
          </w:rPr>
          <w:fldChar w:fldCharType="begin"/>
        </w:r>
        <w:r w:rsidR="00BC01B1">
          <w:rPr>
            <w:noProof/>
            <w:webHidden/>
          </w:rPr>
          <w:instrText xml:space="preserve"> PAGEREF _Toc509935665 \h </w:instrText>
        </w:r>
        <w:r w:rsidR="00BC01B1">
          <w:rPr>
            <w:noProof/>
            <w:webHidden/>
          </w:rPr>
        </w:r>
        <w:r w:rsidR="00BC01B1">
          <w:rPr>
            <w:noProof/>
            <w:webHidden/>
          </w:rPr>
          <w:fldChar w:fldCharType="separate"/>
        </w:r>
        <w:r>
          <w:rPr>
            <w:noProof/>
            <w:webHidden/>
          </w:rPr>
          <w:t>349</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66" w:history="1">
        <w:r w:rsidR="00BC01B1" w:rsidRPr="005D5DCB">
          <w:rPr>
            <w:rStyle w:val="Hyperlink"/>
            <w:noProof/>
          </w:rPr>
          <w:t>9.2.3.1.</w:t>
        </w:r>
        <w:r w:rsidR="00BC01B1">
          <w:rPr>
            <w:rFonts w:asciiTheme="minorHAnsi" w:eastAsiaTheme="minorEastAsia" w:hAnsiTheme="minorHAnsi" w:cstheme="minorBidi"/>
            <w:noProof/>
          </w:rPr>
          <w:tab/>
        </w:r>
        <w:r w:rsidR="00BC01B1" w:rsidRPr="005D5DCB">
          <w:rPr>
            <w:rStyle w:val="Hyperlink"/>
            <w:noProof/>
          </w:rPr>
          <w:t>Índice de atendimento às ações propostas para o SAA</w:t>
        </w:r>
        <w:r w:rsidR="00BC01B1">
          <w:rPr>
            <w:noProof/>
            <w:webHidden/>
          </w:rPr>
          <w:tab/>
        </w:r>
        <w:r w:rsidR="00BC01B1">
          <w:rPr>
            <w:noProof/>
            <w:webHidden/>
          </w:rPr>
          <w:fldChar w:fldCharType="begin"/>
        </w:r>
        <w:r w:rsidR="00BC01B1">
          <w:rPr>
            <w:noProof/>
            <w:webHidden/>
          </w:rPr>
          <w:instrText xml:space="preserve"> PAGEREF _Toc509935666 \h </w:instrText>
        </w:r>
        <w:r w:rsidR="00BC01B1">
          <w:rPr>
            <w:noProof/>
            <w:webHidden/>
          </w:rPr>
        </w:r>
        <w:r w:rsidR="00BC01B1">
          <w:rPr>
            <w:noProof/>
            <w:webHidden/>
          </w:rPr>
          <w:fldChar w:fldCharType="separate"/>
        </w:r>
        <w:r>
          <w:rPr>
            <w:noProof/>
            <w:webHidden/>
          </w:rPr>
          <w:t>349</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67" w:history="1">
        <w:r w:rsidR="00BC01B1" w:rsidRPr="005D5DCB">
          <w:rPr>
            <w:rStyle w:val="Hyperlink"/>
            <w:noProof/>
          </w:rPr>
          <w:t>9.2.3.2.</w:t>
        </w:r>
        <w:r w:rsidR="00BC01B1">
          <w:rPr>
            <w:rFonts w:asciiTheme="minorHAnsi" w:eastAsiaTheme="minorEastAsia" w:hAnsiTheme="minorHAnsi" w:cstheme="minorBidi"/>
            <w:noProof/>
          </w:rPr>
          <w:tab/>
        </w:r>
        <w:r w:rsidR="00BC01B1" w:rsidRPr="005D5DCB">
          <w:rPr>
            <w:rStyle w:val="Hyperlink"/>
            <w:noProof/>
          </w:rPr>
          <w:t>Tarifa média de água</w:t>
        </w:r>
        <w:r w:rsidR="00BC01B1">
          <w:rPr>
            <w:noProof/>
            <w:webHidden/>
          </w:rPr>
          <w:tab/>
        </w:r>
        <w:r w:rsidR="00BC01B1">
          <w:rPr>
            <w:noProof/>
            <w:webHidden/>
          </w:rPr>
          <w:fldChar w:fldCharType="begin"/>
        </w:r>
        <w:r w:rsidR="00BC01B1">
          <w:rPr>
            <w:noProof/>
            <w:webHidden/>
          </w:rPr>
          <w:instrText xml:space="preserve"> PAGEREF _Toc509935667 \h </w:instrText>
        </w:r>
        <w:r w:rsidR="00BC01B1">
          <w:rPr>
            <w:noProof/>
            <w:webHidden/>
          </w:rPr>
        </w:r>
        <w:r w:rsidR="00BC01B1">
          <w:rPr>
            <w:noProof/>
            <w:webHidden/>
          </w:rPr>
          <w:fldChar w:fldCharType="separate"/>
        </w:r>
        <w:r>
          <w:rPr>
            <w:noProof/>
            <w:webHidden/>
          </w:rPr>
          <w:t>350</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68" w:history="1">
        <w:r w:rsidR="00BC01B1" w:rsidRPr="005D5DCB">
          <w:rPr>
            <w:rStyle w:val="Hyperlink"/>
            <w:noProof/>
          </w:rPr>
          <w:t>9.2.3.3.</w:t>
        </w:r>
        <w:r w:rsidR="00BC01B1">
          <w:rPr>
            <w:rFonts w:asciiTheme="minorHAnsi" w:eastAsiaTheme="minorEastAsia" w:hAnsiTheme="minorHAnsi" w:cstheme="minorBidi"/>
            <w:noProof/>
          </w:rPr>
          <w:tab/>
        </w:r>
        <w:r w:rsidR="00BC01B1" w:rsidRPr="005D5DCB">
          <w:rPr>
            <w:rStyle w:val="Hyperlink"/>
            <w:noProof/>
          </w:rPr>
          <w:t>Margem da despesa de exploração</w:t>
        </w:r>
        <w:r w:rsidR="00BC01B1">
          <w:rPr>
            <w:noProof/>
            <w:webHidden/>
          </w:rPr>
          <w:tab/>
        </w:r>
        <w:r w:rsidR="00BC01B1">
          <w:rPr>
            <w:noProof/>
            <w:webHidden/>
          </w:rPr>
          <w:fldChar w:fldCharType="begin"/>
        </w:r>
        <w:r w:rsidR="00BC01B1">
          <w:rPr>
            <w:noProof/>
            <w:webHidden/>
          </w:rPr>
          <w:instrText xml:space="preserve"> PAGEREF _Toc509935668 \h </w:instrText>
        </w:r>
        <w:r w:rsidR="00BC01B1">
          <w:rPr>
            <w:noProof/>
            <w:webHidden/>
          </w:rPr>
        </w:r>
        <w:r w:rsidR="00BC01B1">
          <w:rPr>
            <w:noProof/>
            <w:webHidden/>
          </w:rPr>
          <w:fldChar w:fldCharType="separate"/>
        </w:r>
        <w:r>
          <w:rPr>
            <w:noProof/>
            <w:webHidden/>
          </w:rPr>
          <w:t>350</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69" w:history="1">
        <w:r w:rsidR="00BC01B1" w:rsidRPr="005D5DCB">
          <w:rPr>
            <w:rStyle w:val="Hyperlink"/>
            <w:noProof/>
          </w:rPr>
          <w:t>9.2.3.4.</w:t>
        </w:r>
        <w:r w:rsidR="00BC01B1">
          <w:rPr>
            <w:rFonts w:asciiTheme="minorHAnsi" w:eastAsiaTheme="minorEastAsia" w:hAnsiTheme="minorHAnsi" w:cstheme="minorBidi"/>
            <w:noProof/>
          </w:rPr>
          <w:tab/>
        </w:r>
        <w:r w:rsidR="00BC01B1" w:rsidRPr="005D5DCB">
          <w:rPr>
            <w:rStyle w:val="Hyperlink"/>
            <w:noProof/>
          </w:rPr>
          <w:t>Indicador de desempenho financeiro</w:t>
        </w:r>
        <w:r w:rsidR="00BC01B1">
          <w:rPr>
            <w:noProof/>
            <w:webHidden/>
          </w:rPr>
          <w:tab/>
        </w:r>
        <w:r w:rsidR="00BC01B1">
          <w:rPr>
            <w:noProof/>
            <w:webHidden/>
          </w:rPr>
          <w:fldChar w:fldCharType="begin"/>
        </w:r>
        <w:r w:rsidR="00BC01B1">
          <w:rPr>
            <w:noProof/>
            <w:webHidden/>
          </w:rPr>
          <w:instrText xml:space="preserve"> PAGEREF _Toc509935669 \h </w:instrText>
        </w:r>
        <w:r w:rsidR="00BC01B1">
          <w:rPr>
            <w:noProof/>
            <w:webHidden/>
          </w:rPr>
        </w:r>
        <w:r w:rsidR="00BC01B1">
          <w:rPr>
            <w:noProof/>
            <w:webHidden/>
          </w:rPr>
          <w:fldChar w:fldCharType="separate"/>
        </w:r>
        <w:r>
          <w:rPr>
            <w:noProof/>
            <w:webHidden/>
          </w:rPr>
          <w:t>351</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670" w:history="1">
        <w:r w:rsidR="00BC01B1" w:rsidRPr="005D5DCB">
          <w:rPr>
            <w:rStyle w:val="Hyperlink"/>
            <w:noProof/>
          </w:rPr>
          <w:t>9.2.4.</w:t>
        </w:r>
        <w:r w:rsidR="00BC01B1">
          <w:rPr>
            <w:rFonts w:asciiTheme="minorHAnsi" w:eastAsiaTheme="minorEastAsia" w:hAnsiTheme="minorHAnsi" w:cstheme="minorBidi"/>
            <w:i w:val="0"/>
            <w:noProof/>
            <w:sz w:val="22"/>
            <w:lang w:eastAsia="pt-BR"/>
          </w:rPr>
          <w:tab/>
        </w:r>
        <w:r w:rsidR="00BC01B1" w:rsidRPr="005D5DCB">
          <w:rPr>
            <w:rStyle w:val="Hyperlink"/>
            <w:noProof/>
          </w:rPr>
          <w:t>Indicadores para o objetivo 4</w:t>
        </w:r>
        <w:r w:rsidR="00BC01B1">
          <w:rPr>
            <w:noProof/>
            <w:webHidden/>
          </w:rPr>
          <w:tab/>
        </w:r>
        <w:r w:rsidR="00BC01B1">
          <w:rPr>
            <w:noProof/>
            <w:webHidden/>
          </w:rPr>
          <w:fldChar w:fldCharType="begin"/>
        </w:r>
        <w:r w:rsidR="00BC01B1">
          <w:rPr>
            <w:noProof/>
            <w:webHidden/>
          </w:rPr>
          <w:instrText xml:space="preserve"> PAGEREF _Toc509935670 \h </w:instrText>
        </w:r>
        <w:r w:rsidR="00BC01B1">
          <w:rPr>
            <w:noProof/>
            <w:webHidden/>
          </w:rPr>
        </w:r>
        <w:r w:rsidR="00BC01B1">
          <w:rPr>
            <w:noProof/>
            <w:webHidden/>
          </w:rPr>
          <w:fldChar w:fldCharType="separate"/>
        </w:r>
        <w:r>
          <w:rPr>
            <w:noProof/>
            <w:webHidden/>
          </w:rPr>
          <w:t>352</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71" w:history="1">
        <w:r w:rsidR="00BC01B1" w:rsidRPr="005D5DCB">
          <w:rPr>
            <w:rStyle w:val="Hyperlink"/>
            <w:noProof/>
          </w:rPr>
          <w:t>9.2.4.1.</w:t>
        </w:r>
        <w:r w:rsidR="00BC01B1">
          <w:rPr>
            <w:rFonts w:asciiTheme="minorHAnsi" w:eastAsiaTheme="minorEastAsia" w:hAnsiTheme="minorHAnsi" w:cstheme="minorBidi"/>
            <w:noProof/>
          </w:rPr>
          <w:tab/>
        </w:r>
        <w:r w:rsidR="00BC01B1" w:rsidRPr="005D5DCB">
          <w:rPr>
            <w:rStyle w:val="Hyperlink"/>
            <w:noProof/>
          </w:rPr>
          <w:t>Índice de monitoramento da regularidade das outorgas</w:t>
        </w:r>
        <w:r w:rsidR="00BC01B1">
          <w:rPr>
            <w:noProof/>
            <w:webHidden/>
          </w:rPr>
          <w:tab/>
        </w:r>
        <w:r w:rsidR="00BC01B1">
          <w:rPr>
            <w:noProof/>
            <w:webHidden/>
          </w:rPr>
          <w:fldChar w:fldCharType="begin"/>
        </w:r>
        <w:r w:rsidR="00BC01B1">
          <w:rPr>
            <w:noProof/>
            <w:webHidden/>
          </w:rPr>
          <w:instrText xml:space="preserve"> PAGEREF _Toc509935671 \h </w:instrText>
        </w:r>
        <w:r w:rsidR="00BC01B1">
          <w:rPr>
            <w:noProof/>
            <w:webHidden/>
          </w:rPr>
        </w:r>
        <w:r w:rsidR="00BC01B1">
          <w:rPr>
            <w:noProof/>
            <w:webHidden/>
          </w:rPr>
          <w:fldChar w:fldCharType="separate"/>
        </w:r>
        <w:r>
          <w:rPr>
            <w:noProof/>
            <w:webHidden/>
          </w:rPr>
          <w:t>352</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72" w:history="1">
        <w:r w:rsidR="00BC01B1" w:rsidRPr="005D5DCB">
          <w:rPr>
            <w:rStyle w:val="Hyperlink"/>
            <w:noProof/>
          </w:rPr>
          <w:t>9.2.4.2.</w:t>
        </w:r>
        <w:r w:rsidR="00BC01B1">
          <w:rPr>
            <w:rFonts w:asciiTheme="minorHAnsi" w:eastAsiaTheme="minorEastAsia" w:hAnsiTheme="minorHAnsi" w:cstheme="minorBidi"/>
            <w:noProof/>
          </w:rPr>
          <w:tab/>
        </w:r>
        <w:r w:rsidR="00BC01B1" w:rsidRPr="005D5DCB">
          <w:rPr>
            <w:rStyle w:val="Hyperlink"/>
            <w:noProof/>
          </w:rPr>
          <w:t>Índice de monitoramento da regularidade das licenças ambientais</w:t>
        </w:r>
        <w:r w:rsidR="00BC01B1">
          <w:rPr>
            <w:noProof/>
            <w:webHidden/>
          </w:rPr>
          <w:tab/>
        </w:r>
        <w:r w:rsidR="00BC01B1">
          <w:rPr>
            <w:noProof/>
            <w:webHidden/>
          </w:rPr>
          <w:fldChar w:fldCharType="begin"/>
        </w:r>
        <w:r w:rsidR="00BC01B1">
          <w:rPr>
            <w:noProof/>
            <w:webHidden/>
          </w:rPr>
          <w:instrText xml:space="preserve"> PAGEREF _Toc509935672 \h </w:instrText>
        </w:r>
        <w:r w:rsidR="00BC01B1">
          <w:rPr>
            <w:noProof/>
            <w:webHidden/>
          </w:rPr>
        </w:r>
        <w:r w:rsidR="00BC01B1">
          <w:rPr>
            <w:noProof/>
            <w:webHidden/>
          </w:rPr>
          <w:fldChar w:fldCharType="separate"/>
        </w:r>
        <w:r>
          <w:rPr>
            <w:noProof/>
            <w:webHidden/>
          </w:rPr>
          <w:t>352</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673" w:history="1">
        <w:r w:rsidR="00BC01B1" w:rsidRPr="005D5DCB">
          <w:rPr>
            <w:rStyle w:val="Hyperlink"/>
            <w:noProof/>
          </w:rPr>
          <w:t>9.2.5.</w:t>
        </w:r>
        <w:r w:rsidR="00BC01B1">
          <w:rPr>
            <w:rFonts w:asciiTheme="minorHAnsi" w:eastAsiaTheme="minorEastAsia" w:hAnsiTheme="minorHAnsi" w:cstheme="minorBidi"/>
            <w:i w:val="0"/>
            <w:noProof/>
            <w:sz w:val="22"/>
            <w:lang w:eastAsia="pt-BR"/>
          </w:rPr>
          <w:tab/>
        </w:r>
        <w:r w:rsidR="00BC01B1" w:rsidRPr="005D5DCB">
          <w:rPr>
            <w:rStyle w:val="Hyperlink"/>
            <w:noProof/>
          </w:rPr>
          <w:t>Indicadores para o objetivo 5</w:t>
        </w:r>
        <w:r w:rsidR="00BC01B1">
          <w:rPr>
            <w:noProof/>
            <w:webHidden/>
          </w:rPr>
          <w:tab/>
        </w:r>
        <w:r w:rsidR="00BC01B1">
          <w:rPr>
            <w:noProof/>
            <w:webHidden/>
          </w:rPr>
          <w:fldChar w:fldCharType="begin"/>
        </w:r>
        <w:r w:rsidR="00BC01B1">
          <w:rPr>
            <w:noProof/>
            <w:webHidden/>
          </w:rPr>
          <w:instrText xml:space="preserve"> PAGEREF _Toc509935673 \h </w:instrText>
        </w:r>
        <w:r w:rsidR="00BC01B1">
          <w:rPr>
            <w:noProof/>
            <w:webHidden/>
          </w:rPr>
        </w:r>
        <w:r w:rsidR="00BC01B1">
          <w:rPr>
            <w:noProof/>
            <w:webHidden/>
          </w:rPr>
          <w:fldChar w:fldCharType="separate"/>
        </w:r>
        <w:r>
          <w:rPr>
            <w:noProof/>
            <w:webHidden/>
          </w:rPr>
          <w:t>352</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74" w:history="1">
        <w:r w:rsidR="00BC01B1" w:rsidRPr="005D5DCB">
          <w:rPr>
            <w:rStyle w:val="Hyperlink"/>
            <w:noProof/>
          </w:rPr>
          <w:t>9.2.5.1.</w:t>
        </w:r>
        <w:r w:rsidR="00BC01B1">
          <w:rPr>
            <w:rFonts w:asciiTheme="minorHAnsi" w:eastAsiaTheme="minorEastAsia" w:hAnsiTheme="minorHAnsi" w:cstheme="minorBidi"/>
            <w:noProof/>
          </w:rPr>
          <w:tab/>
        </w:r>
        <w:r w:rsidR="00BC01B1" w:rsidRPr="005D5DCB">
          <w:rPr>
            <w:rStyle w:val="Hyperlink"/>
            <w:noProof/>
          </w:rPr>
          <w:t>Índice de respostas satisfatórias à pesquisa de satisfação</w:t>
        </w:r>
        <w:r w:rsidR="00BC01B1">
          <w:rPr>
            <w:noProof/>
            <w:webHidden/>
          </w:rPr>
          <w:tab/>
        </w:r>
        <w:r w:rsidR="00BC01B1">
          <w:rPr>
            <w:noProof/>
            <w:webHidden/>
          </w:rPr>
          <w:fldChar w:fldCharType="begin"/>
        </w:r>
        <w:r w:rsidR="00BC01B1">
          <w:rPr>
            <w:noProof/>
            <w:webHidden/>
          </w:rPr>
          <w:instrText xml:space="preserve"> PAGEREF _Toc509935674 \h </w:instrText>
        </w:r>
        <w:r w:rsidR="00BC01B1">
          <w:rPr>
            <w:noProof/>
            <w:webHidden/>
          </w:rPr>
        </w:r>
        <w:r w:rsidR="00BC01B1">
          <w:rPr>
            <w:noProof/>
            <w:webHidden/>
          </w:rPr>
          <w:fldChar w:fldCharType="separate"/>
        </w:r>
        <w:r>
          <w:rPr>
            <w:noProof/>
            <w:webHidden/>
          </w:rPr>
          <w:t>352</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75" w:history="1">
        <w:r w:rsidR="00BC01B1" w:rsidRPr="005D5DCB">
          <w:rPr>
            <w:rStyle w:val="Hyperlink"/>
            <w:noProof/>
          </w:rPr>
          <w:t>9.2.5.2.</w:t>
        </w:r>
        <w:r w:rsidR="00BC01B1">
          <w:rPr>
            <w:rFonts w:asciiTheme="minorHAnsi" w:eastAsiaTheme="minorEastAsia" w:hAnsiTheme="minorHAnsi" w:cstheme="minorBidi"/>
            <w:noProof/>
          </w:rPr>
          <w:tab/>
        </w:r>
        <w:r w:rsidR="00BC01B1" w:rsidRPr="005D5DCB">
          <w:rPr>
            <w:rStyle w:val="Hyperlink"/>
            <w:noProof/>
          </w:rPr>
          <w:t>Evolução do número de eventos oficiais realizados por ano no município, que envolvam temas de saneamento básico</w:t>
        </w:r>
        <w:r w:rsidR="00BC01B1">
          <w:rPr>
            <w:noProof/>
            <w:webHidden/>
          </w:rPr>
          <w:tab/>
        </w:r>
        <w:r w:rsidR="00BC01B1">
          <w:rPr>
            <w:noProof/>
            <w:webHidden/>
          </w:rPr>
          <w:fldChar w:fldCharType="begin"/>
        </w:r>
        <w:r w:rsidR="00BC01B1">
          <w:rPr>
            <w:noProof/>
            <w:webHidden/>
          </w:rPr>
          <w:instrText xml:space="preserve"> PAGEREF _Toc509935675 \h </w:instrText>
        </w:r>
        <w:r w:rsidR="00BC01B1">
          <w:rPr>
            <w:noProof/>
            <w:webHidden/>
          </w:rPr>
        </w:r>
        <w:r w:rsidR="00BC01B1">
          <w:rPr>
            <w:noProof/>
            <w:webHidden/>
          </w:rPr>
          <w:fldChar w:fldCharType="separate"/>
        </w:r>
        <w:r>
          <w:rPr>
            <w:noProof/>
            <w:webHidden/>
          </w:rPr>
          <w:t>353</w:t>
        </w:r>
        <w:r w:rsidR="00BC01B1">
          <w:rPr>
            <w:noProof/>
            <w:webHidden/>
          </w:rPr>
          <w:fldChar w:fldCharType="end"/>
        </w:r>
      </w:hyperlink>
    </w:p>
    <w:p w:rsidR="00BC01B1" w:rsidRDefault="001B481B">
      <w:pPr>
        <w:pStyle w:val="Sumrio2"/>
        <w:tabs>
          <w:tab w:val="left" w:pos="1134"/>
        </w:tabs>
        <w:rPr>
          <w:rFonts w:asciiTheme="minorHAnsi" w:eastAsiaTheme="minorEastAsia" w:hAnsiTheme="minorHAnsi" w:cstheme="minorBidi"/>
          <w:noProof/>
          <w:sz w:val="22"/>
          <w:lang w:eastAsia="pt-BR"/>
        </w:rPr>
      </w:pPr>
      <w:hyperlink w:anchor="_Toc509935676" w:history="1">
        <w:r w:rsidR="00BC01B1" w:rsidRPr="005D5DCB">
          <w:rPr>
            <w:rStyle w:val="Hyperlink"/>
            <w:noProof/>
          </w:rPr>
          <w:t>9.3.</w:t>
        </w:r>
        <w:r w:rsidR="00BC01B1">
          <w:rPr>
            <w:rFonts w:asciiTheme="minorHAnsi" w:eastAsiaTheme="minorEastAsia" w:hAnsiTheme="minorHAnsi" w:cstheme="minorBidi"/>
            <w:noProof/>
            <w:sz w:val="22"/>
            <w:lang w:eastAsia="pt-BR"/>
          </w:rPr>
          <w:tab/>
        </w:r>
        <w:r w:rsidR="00BC01B1" w:rsidRPr="005D5DCB">
          <w:rPr>
            <w:rStyle w:val="Hyperlink"/>
            <w:noProof/>
          </w:rPr>
          <w:t>Sistema de Esgotamento Sanitário</w:t>
        </w:r>
        <w:r w:rsidR="00BC01B1">
          <w:rPr>
            <w:noProof/>
            <w:webHidden/>
          </w:rPr>
          <w:tab/>
        </w:r>
        <w:r w:rsidR="00BC01B1">
          <w:rPr>
            <w:noProof/>
            <w:webHidden/>
          </w:rPr>
          <w:fldChar w:fldCharType="begin"/>
        </w:r>
        <w:r w:rsidR="00BC01B1">
          <w:rPr>
            <w:noProof/>
            <w:webHidden/>
          </w:rPr>
          <w:instrText xml:space="preserve"> PAGEREF _Toc509935676 \h </w:instrText>
        </w:r>
        <w:r w:rsidR="00BC01B1">
          <w:rPr>
            <w:noProof/>
            <w:webHidden/>
          </w:rPr>
        </w:r>
        <w:r w:rsidR="00BC01B1">
          <w:rPr>
            <w:noProof/>
            <w:webHidden/>
          </w:rPr>
          <w:fldChar w:fldCharType="separate"/>
        </w:r>
        <w:r>
          <w:rPr>
            <w:noProof/>
            <w:webHidden/>
          </w:rPr>
          <w:t>353</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677" w:history="1">
        <w:r w:rsidR="00BC01B1" w:rsidRPr="005D5DCB">
          <w:rPr>
            <w:rStyle w:val="Hyperlink"/>
            <w:noProof/>
          </w:rPr>
          <w:t>9.3.1.</w:t>
        </w:r>
        <w:r w:rsidR="00BC01B1">
          <w:rPr>
            <w:rFonts w:asciiTheme="minorHAnsi" w:eastAsiaTheme="minorEastAsia" w:hAnsiTheme="minorHAnsi" w:cstheme="minorBidi"/>
            <w:i w:val="0"/>
            <w:noProof/>
            <w:sz w:val="22"/>
            <w:lang w:eastAsia="pt-BR"/>
          </w:rPr>
          <w:tab/>
        </w:r>
        <w:r w:rsidR="00BC01B1" w:rsidRPr="005D5DCB">
          <w:rPr>
            <w:rStyle w:val="Hyperlink"/>
            <w:noProof/>
          </w:rPr>
          <w:t>Indicadores para o objetivo 1</w:t>
        </w:r>
        <w:r w:rsidR="00BC01B1">
          <w:rPr>
            <w:noProof/>
            <w:webHidden/>
          </w:rPr>
          <w:tab/>
        </w:r>
        <w:r w:rsidR="00BC01B1">
          <w:rPr>
            <w:noProof/>
            <w:webHidden/>
          </w:rPr>
          <w:fldChar w:fldCharType="begin"/>
        </w:r>
        <w:r w:rsidR="00BC01B1">
          <w:rPr>
            <w:noProof/>
            <w:webHidden/>
          </w:rPr>
          <w:instrText xml:space="preserve"> PAGEREF _Toc509935677 \h </w:instrText>
        </w:r>
        <w:r w:rsidR="00BC01B1">
          <w:rPr>
            <w:noProof/>
            <w:webHidden/>
          </w:rPr>
        </w:r>
        <w:r w:rsidR="00BC01B1">
          <w:rPr>
            <w:noProof/>
            <w:webHidden/>
          </w:rPr>
          <w:fldChar w:fldCharType="separate"/>
        </w:r>
        <w:r>
          <w:rPr>
            <w:noProof/>
            <w:webHidden/>
          </w:rPr>
          <w:t>355</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78" w:history="1">
        <w:r w:rsidR="00BC01B1" w:rsidRPr="005D5DCB">
          <w:rPr>
            <w:rStyle w:val="Hyperlink"/>
            <w:noProof/>
          </w:rPr>
          <w:t>9.3.1.1.</w:t>
        </w:r>
        <w:r w:rsidR="00BC01B1">
          <w:rPr>
            <w:rFonts w:asciiTheme="minorHAnsi" w:eastAsiaTheme="minorEastAsia" w:hAnsiTheme="minorHAnsi" w:cstheme="minorBidi"/>
            <w:noProof/>
          </w:rPr>
          <w:tab/>
        </w:r>
        <w:r w:rsidR="00BC01B1" w:rsidRPr="005D5DCB">
          <w:rPr>
            <w:rStyle w:val="Hyperlink"/>
            <w:noProof/>
          </w:rPr>
          <w:t>Índice de cobertura dos serviços de esgotamento sanitário</w:t>
        </w:r>
        <w:r w:rsidR="00BC01B1">
          <w:rPr>
            <w:noProof/>
            <w:webHidden/>
          </w:rPr>
          <w:tab/>
        </w:r>
        <w:r w:rsidR="00BC01B1">
          <w:rPr>
            <w:noProof/>
            <w:webHidden/>
          </w:rPr>
          <w:fldChar w:fldCharType="begin"/>
        </w:r>
        <w:r w:rsidR="00BC01B1">
          <w:rPr>
            <w:noProof/>
            <w:webHidden/>
          </w:rPr>
          <w:instrText xml:space="preserve"> PAGEREF _Toc509935678 \h </w:instrText>
        </w:r>
        <w:r w:rsidR="00BC01B1">
          <w:rPr>
            <w:noProof/>
            <w:webHidden/>
          </w:rPr>
        </w:r>
        <w:r w:rsidR="00BC01B1">
          <w:rPr>
            <w:noProof/>
            <w:webHidden/>
          </w:rPr>
          <w:fldChar w:fldCharType="separate"/>
        </w:r>
        <w:r>
          <w:rPr>
            <w:noProof/>
            <w:webHidden/>
          </w:rPr>
          <w:t>355</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79" w:history="1">
        <w:r w:rsidR="00BC01B1" w:rsidRPr="005D5DCB">
          <w:rPr>
            <w:rStyle w:val="Hyperlink"/>
            <w:noProof/>
          </w:rPr>
          <w:t>9.3.1.2.</w:t>
        </w:r>
        <w:r w:rsidR="00BC01B1">
          <w:rPr>
            <w:rFonts w:asciiTheme="minorHAnsi" w:eastAsiaTheme="minorEastAsia" w:hAnsiTheme="minorHAnsi" w:cstheme="minorBidi"/>
            <w:noProof/>
          </w:rPr>
          <w:tab/>
        </w:r>
        <w:r w:rsidR="00BC01B1" w:rsidRPr="005D5DCB">
          <w:rPr>
            <w:rStyle w:val="Hyperlink"/>
            <w:noProof/>
          </w:rPr>
          <w:t>Índice de coleta de esgotos</w:t>
        </w:r>
        <w:r w:rsidR="00BC01B1">
          <w:rPr>
            <w:noProof/>
            <w:webHidden/>
          </w:rPr>
          <w:tab/>
        </w:r>
        <w:r w:rsidR="00BC01B1">
          <w:rPr>
            <w:noProof/>
            <w:webHidden/>
          </w:rPr>
          <w:fldChar w:fldCharType="begin"/>
        </w:r>
        <w:r w:rsidR="00BC01B1">
          <w:rPr>
            <w:noProof/>
            <w:webHidden/>
          </w:rPr>
          <w:instrText xml:space="preserve"> PAGEREF _Toc509935679 \h </w:instrText>
        </w:r>
        <w:r w:rsidR="00BC01B1">
          <w:rPr>
            <w:noProof/>
            <w:webHidden/>
          </w:rPr>
        </w:r>
        <w:r w:rsidR="00BC01B1">
          <w:rPr>
            <w:noProof/>
            <w:webHidden/>
          </w:rPr>
          <w:fldChar w:fldCharType="separate"/>
        </w:r>
        <w:r>
          <w:rPr>
            <w:noProof/>
            <w:webHidden/>
          </w:rPr>
          <w:t>355</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80" w:history="1">
        <w:r w:rsidR="00BC01B1" w:rsidRPr="005D5DCB">
          <w:rPr>
            <w:rStyle w:val="Hyperlink"/>
            <w:noProof/>
          </w:rPr>
          <w:t>9.3.1.3.</w:t>
        </w:r>
        <w:r w:rsidR="00BC01B1">
          <w:rPr>
            <w:rFonts w:asciiTheme="minorHAnsi" w:eastAsiaTheme="minorEastAsia" w:hAnsiTheme="minorHAnsi" w:cstheme="minorBidi"/>
            <w:noProof/>
          </w:rPr>
          <w:tab/>
        </w:r>
        <w:r w:rsidR="00BC01B1" w:rsidRPr="005D5DCB">
          <w:rPr>
            <w:rStyle w:val="Hyperlink"/>
            <w:noProof/>
          </w:rPr>
          <w:t>Índice de tratamento de esgotos</w:t>
        </w:r>
        <w:r w:rsidR="00BC01B1">
          <w:rPr>
            <w:noProof/>
            <w:webHidden/>
          </w:rPr>
          <w:tab/>
        </w:r>
        <w:r w:rsidR="00BC01B1">
          <w:rPr>
            <w:noProof/>
            <w:webHidden/>
          </w:rPr>
          <w:fldChar w:fldCharType="begin"/>
        </w:r>
        <w:r w:rsidR="00BC01B1">
          <w:rPr>
            <w:noProof/>
            <w:webHidden/>
          </w:rPr>
          <w:instrText xml:space="preserve"> PAGEREF _Toc509935680 \h </w:instrText>
        </w:r>
        <w:r w:rsidR="00BC01B1">
          <w:rPr>
            <w:noProof/>
            <w:webHidden/>
          </w:rPr>
        </w:r>
        <w:r w:rsidR="00BC01B1">
          <w:rPr>
            <w:noProof/>
            <w:webHidden/>
          </w:rPr>
          <w:fldChar w:fldCharType="separate"/>
        </w:r>
        <w:r>
          <w:rPr>
            <w:noProof/>
            <w:webHidden/>
          </w:rPr>
          <w:t>356</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81" w:history="1">
        <w:r w:rsidR="00BC01B1" w:rsidRPr="005D5DCB">
          <w:rPr>
            <w:rStyle w:val="Hyperlink"/>
            <w:noProof/>
          </w:rPr>
          <w:t>9.3.1.4.</w:t>
        </w:r>
        <w:r w:rsidR="00BC01B1">
          <w:rPr>
            <w:rFonts w:asciiTheme="minorHAnsi" w:eastAsiaTheme="minorEastAsia" w:hAnsiTheme="minorHAnsi" w:cstheme="minorBidi"/>
            <w:noProof/>
          </w:rPr>
          <w:tab/>
        </w:r>
        <w:r w:rsidR="00BC01B1" w:rsidRPr="005D5DCB">
          <w:rPr>
            <w:rStyle w:val="Hyperlink"/>
            <w:noProof/>
          </w:rPr>
          <w:t>Indicador da utilização da infraestrutura de tratamento de esgotos</w:t>
        </w:r>
        <w:r w:rsidR="00BC01B1">
          <w:rPr>
            <w:noProof/>
            <w:webHidden/>
          </w:rPr>
          <w:tab/>
        </w:r>
        <w:r w:rsidR="00BC01B1">
          <w:rPr>
            <w:noProof/>
            <w:webHidden/>
          </w:rPr>
          <w:fldChar w:fldCharType="begin"/>
        </w:r>
        <w:r w:rsidR="00BC01B1">
          <w:rPr>
            <w:noProof/>
            <w:webHidden/>
          </w:rPr>
          <w:instrText xml:space="preserve"> PAGEREF _Toc509935681 \h </w:instrText>
        </w:r>
        <w:r w:rsidR="00BC01B1">
          <w:rPr>
            <w:noProof/>
            <w:webHidden/>
          </w:rPr>
        </w:r>
        <w:r w:rsidR="00BC01B1">
          <w:rPr>
            <w:noProof/>
            <w:webHidden/>
          </w:rPr>
          <w:fldChar w:fldCharType="separate"/>
        </w:r>
        <w:r>
          <w:rPr>
            <w:noProof/>
            <w:webHidden/>
          </w:rPr>
          <w:t>356</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682" w:history="1">
        <w:r w:rsidR="00BC01B1" w:rsidRPr="005D5DCB">
          <w:rPr>
            <w:rStyle w:val="Hyperlink"/>
            <w:noProof/>
          </w:rPr>
          <w:t>9.3.2.</w:t>
        </w:r>
        <w:r w:rsidR="00BC01B1">
          <w:rPr>
            <w:rFonts w:asciiTheme="minorHAnsi" w:eastAsiaTheme="minorEastAsia" w:hAnsiTheme="minorHAnsi" w:cstheme="minorBidi"/>
            <w:i w:val="0"/>
            <w:noProof/>
            <w:sz w:val="22"/>
            <w:lang w:eastAsia="pt-BR"/>
          </w:rPr>
          <w:tab/>
        </w:r>
        <w:r w:rsidR="00BC01B1" w:rsidRPr="005D5DCB">
          <w:rPr>
            <w:rStyle w:val="Hyperlink"/>
            <w:noProof/>
          </w:rPr>
          <w:t>Indicador para o objetivo 2</w:t>
        </w:r>
        <w:r w:rsidR="00BC01B1">
          <w:rPr>
            <w:noProof/>
            <w:webHidden/>
          </w:rPr>
          <w:tab/>
        </w:r>
        <w:r w:rsidR="00BC01B1">
          <w:rPr>
            <w:noProof/>
            <w:webHidden/>
          </w:rPr>
          <w:fldChar w:fldCharType="begin"/>
        </w:r>
        <w:r w:rsidR="00BC01B1">
          <w:rPr>
            <w:noProof/>
            <w:webHidden/>
          </w:rPr>
          <w:instrText xml:space="preserve"> PAGEREF _Toc509935682 \h </w:instrText>
        </w:r>
        <w:r w:rsidR="00BC01B1">
          <w:rPr>
            <w:noProof/>
            <w:webHidden/>
          </w:rPr>
        </w:r>
        <w:r w:rsidR="00BC01B1">
          <w:rPr>
            <w:noProof/>
            <w:webHidden/>
          </w:rPr>
          <w:fldChar w:fldCharType="separate"/>
        </w:r>
        <w:r>
          <w:rPr>
            <w:noProof/>
            <w:webHidden/>
          </w:rPr>
          <w:t>357</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83" w:history="1">
        <w:r w:rsidR="00BC01B1" w:rsidRPr="005D5DCB">
          <w:rPr>
            <w:rStyle w:val="Hyperlink"/>
            <w:noProof/>
          </w:rPr>
          <w:t>9.3.2.1.</w:t>
        </w:r>
        <w:r w:rsidR="00BC01B1">
          <w:rPr>
            <w:rFonts w:asciiTheme="minorHAnsi" w:eastAsiaTheme="minorEastAsia" w:hAnsiTheme="minorHAnsi" w:cstheme="minorBidi"/>
            <w:noProof/>
          </w:rPr>
          <w:tab/>
        </w:r>
        <w:r w:rsidR="00BC01B1" w:rsidRPr="005D5DCB">
          <w:rPr>
            <w:rStyle w:val="Hyperlink"/>
            <w:noProof/>
          </w:rPr>
          <w:t>Indicador da regularização e fiscalização das atividades de limpa fossa</w:t>
        </w:r>
        <w:r w:rsidR="00BC01B1">
          <w:rPr>
            <w:noProof/>
            <w:webHidden/>
          </w:rPr>
          <w:tab/>
        </w:r>
        <w:r w:rsidR="00BC01B1">
          <w:rPr>
            <w:noProof/>
            <w:webHidden/>
          </w:rPr>
          <w:fldChar w:fldCharType="begin"/>
        </w:r>
        <w:r w:rsidR="00BC01B1">
          <w:rPr>
            <w:noProof/>
            <w:webHidden/>
          </w:rPr>
          <w:instrText xml:space="preserve"> PAGEREF _Toc509935683 \h </w:instrText>
        </w:r>
        <w:r w:rsidR="00BC01B1">
          <w:rPr>
            <w:noProof/>
            <w:webHidden/>
          </w:rPr>
        </w:r>
        <w:r w:rsidR="00BC01B1">
          <w:rPr>
            <w:noProof/>
            <w:webHidden/>
          </w:rPr>
          <w:fldChar w:fldCharType="separate"/>
        </w:r>
        <w:r>
          <w:rPr>
            <w:noProof/>
            <w:webHidden/>
          </w:rPr>
          <w:t>357</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684" w:history="1">
        <w:r w:rsidR="00BC01B1" w:rsidRPr="005D5DCB">
          <w:rPr>
            <w:rStyle w:val="Hyperlink"/>
            <w:noProof/>
          </w:rPr>
          <w:t>9.3.3.</w:t>
        </w:r>
        <w:r w:rsidR="00BC01B1">
          <w:rPr>
            <w:rFonts w:asciiTheme="minorHAnsi" w:eastAsiaTheme="minorEastAsia" w:hAnsiTheme="minorHAnsi" w:cstheme="minorBidi"/>
            <w:i w:val="0"/>
            <w:noProof/>
            <w:sz w:val="22"/>
            <w:lang w:eastAsia="pt-BR"/>
          </w:rPr>
          <w:tab/>
        </w:r>
        <w:r w:rsidR="00BC01B1" w:rsidRPr="005D5DCB">
          <w:rPr>
            <w:rStyle w:val="Hyperlink"/>
            <w:noProof/>
          </w:rPr>
          <w:t>Indicadores para o objetivo 3</w:t>
        </w:r>
        <w:r w:rsidR="00BC01B1">
          <w:rPr>
            <w:noProof/>
            <w:webHidden/>
          </w:rPr>
          <w:tab/>
        </w:r>
        <w:r w:rsidR="00BC01B1">
          <w:rPr>
            <w:noProof/>
            <w:webHidden/>
          </w:rPr>
          <w:fldChar w:fldCharType="begin"/>
        </w:r>
        <w:r w:rsidR="00BC01B1">
          <w:rPr>
            <w:noProof/>
            <w:webHidden/>
          </w:rPr>
          <w:instrText xml:space="preserve"> PAGEREF _Toc509935684 \h </w:instrText>
        </w:r>
        <w:r w:rsidR="00BC01B1">
          <w:rPr>
            <w:noProof/>
            <w:webHidden/>
          </w:rPr>
        </w:r>
        <w:r w:rsidR="00BC01B1">
          <w:rPr>
            <w:noProof/>
            <w:webHidden/>
          </w:rPr>
          <w:fldChar w:fldCharType="separate"/>
        </w:r>
        <w:r>
          <w:rPr>
            <w:noProof/>
            <w:webHidden/>
          </w:rPr>
          <w:t>357</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85" w:history="1">
        <w:r w:rsidR="00BC01B1" w:rsidRPr="005D5DCB">
          <w:rPr>
            <w:rStyle w:val="Hyperlink"/>
            <w:noProof/>
          </w:rPr>
          <w:t>9.3.3.1.</w:t>
        </w:r>
        <w:r w:rsidR="00BC01B1">
          <w:rPr>
            <w:rFonts w:asciiTheme="minorHAnsi" w:eastAsiaTheme="minorEastAsia" w:hAnsiTheme="minorHAnsi" w:cstheme="minorBidi"/>
            <w:noProof/>
          </w:rPr>
          <w:tab/>
        </w:r>
        <w:r w:rsidR="00BC01B1" w:rsidRPr="005D5DCB">
          <w:rPr>
            <w:rStyle w:val="Hyperlink"/>
            <w:noProof/>
          </w:rPr>
          <w:t>Índice de atendimento às ações propostas para o SES</w:t>
        </w:r>
        <w:r w:rsidR="00BC01B1">
          <w:rPr>
            <w:noProof/>
            <w:webHidden/>
          </w:rPr>
          <w:tab/>
        </w:r>
        <w:r w:rsidR="00BC01B1">
          <w:rPr>
            <w:noProof/>
            <w:webHidden/>
          </w:rPr>
          <w:fldChar w:fldCharType="begin"/>
        </w:r>
        <w:r w:rsidR="00BC01B1">
          <w:rPr>
            <w:noProof/>
            <w:webHidden/>
          </w:rPr>
          <w:instrText xml:space="preserve"> PAGEREF _Toc509935685 \h </w:instrText>
        </w:r>
        <w:r w:rsidR="00BC01B1">
          <w:rPr>
            <w:noProof/>
            <w:webHidden/>
          </w:rPr>
        </w:r>
        <w:r w:rsidR="00BC01B1">
          <w:rPr>
            <w:noProof/>
            <w:webHidden/>
          </w:rPr>
          <w:fldChar w:fldCharType="separate"/>
        </w:r>
        <w:r>
          <w:rPr>
            <w:noProof/>
            <w:webHidden/>
          </w:rPr>
          <w:t>357</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86" w:history="1">
        <w:r w:rsidR="00BC01B1" w:rsidRPr="005D5DCB">
          <w:rPr>
            <w:rStyle w:val="Hyperlink"/>
            <w:noProof/>
          </w:rPr>
          <w:t>9.3.3.2.</w:t>
        </w:r>
        <w:r w:rsidR="00BC01B1">
          <w:rPr>
            <w:rFonts w:asciiTheme="minorHAnsi" w:eastAsiaTheme="minorEastAsia" w:hAnsiTheme="minorHAnsi" w:cstheme="minorBidi"/>
            <w:noProof/>
          </w:rPr>
          <w:tab/>
        </w:r>
        <w:r w:rsidR="00BC01B1" w:rsidRPr="005D5DCB">
          <w:rPr>
            <w:rStyle w:val="Hyperlink"/>
            <w:noProof/>
          </w:rPr>
          <w:t>Tarifa média de esgotos</w:t>
        </w:r>
        <w:r w:rsidR="00BC01B1">
          <w:rPr>
            <w:noProof/>
            <w:webHidden/>
          </w:rPr>
          <w:tab/>
        </w:r>
        <w:r w:rsidR="00BC01B1">
          <w:rPr>
            <w:noProof/>
            <w:webHidden/>
          </w:rPr>
          <w:fldChar w:fldCharType="begin"/>
        </w:r>
        <w:r w:rsidR="00BC01B1">
          <w:rPr>
            <w:noProof/>
            <w:webHidden/>
          </w:rPr>
          <w:instrText xml:space="preserve"> PAGEREF _Toc509935686 \h </w:instrText>
        </w:r>
        <w:r w:rsidR="00BC01B1">
          <w:rPr>
            <w:noProof/>
            <w:webHidden/>
          </w:rPr>
        </w:r>
        <w:r w:rsidR="00BC01B1">
          <w:rPr>
            <w:noProof/>
            <w:webHidden/>
          </w:rPr>
          <w:fldChar w:fldCharType="separate"/>
        </w:r>
        <w:r>
          <w:rPr>
            <w:noProof/>
            <w:webHidden/>
          </w:rPr>
          <w:t>357</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87" w:history="1">
        <w:r w:rsidR="00BC01B1" w:rsidRPr="005D5DCB">
          <w:rPr>
            <w:rStyle w:val="Hyperlink"/>
            <w:noProof/>
          </w:rPr>
          <w:t>9.3.3.3.</w:t>
        </w:r>
        <w:r w:rsidR="00BC01B1">
          <w:rPr>
            <w:rFonts w:asciiTheme="minorHAnsi" w:eastAsiaTheme="minorEastAsia" w:hAnsiTheme="minorHAnsi" w:cstheme="minorBidi"/>
            <w:noProof/>
          </w:rPr>
          <w:tab/>
        </w:r>
        <w:r w:rsidR="00BC01B1" w:rsidRPr="005D5DCB">
          <w:rPr>
            <w:rStyle w:val="Hyperlink"/>
            <w:noProof/>
          </w:rPr>
          <w:t>Duração média dos reparos de extravasamentos de esgotos</w:t>
        </w:r>
        <w:r w:rsidR="00BC01B1">
          <w:rPr>
            <w:noProof/>
            <w:webHidden/>
          </w:rPr>
          <w:tab/>
        </w:r>
        <w:r w:rsidR="00BC01B1">
          <w:rPr>
            <w:noProof/>
            <w:webHidden/>
          </w:rPr>
          <w:fldChar w:fldCharType="begin"/>
        </w:r>
        <w:r w:rsidR="00BC01B1">
          <w:rPr>
            <w:noProof/>
            <w:webHidden/>
          </w:rPr>
          <w:instrText xml:space="preserve"> PAGEREF _Toc509935687 \h </w:instrText>
        </w:r>
        <w:r w:rsidR="00BC01B1">
          <w:rPr>
            <w:noProof/>
            <w:webHidden/>
          </w:rPr>
        </w:r>
        <w:r w:rsidR="00BC01B1">
          <w:rPr>
            <w:noProof/>
            <w:webHidden/>
          </w:rPr>
          <w:fldChar w:fldCharType="separate"/>
        </w:r>
        <w:r>
          <w:rPr>
            <w:noProof/>
            <w:webHidden/>
          </w:rPr>
          <w:t>358</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688" w:history="1">
        <w:r w:rsidR="00BC01B1" w:rsidRPr="005D5DCB">
          <w:rPr>
            <w:rStyle w:val="Hyperlink"/>
            <w:noProof/>
          </w:rPr>
          <w:t>9.3.4.</w:t>
        </w:r>
        <w:r w:rsidR="00BC01B1">
          <w:rPr>
            <w:rFonts w:asciiTheme="minorHAnsi" w:eastAsiaTheme="minorEastAsia" w:hAnsiTheme="minorHAnsi" w:cstheme="minorBidi"/>
            <w:i w:val="0"/>
            <w:noProof/>
            <w:sz w:val="22"/>
            <w:lang w:eastAsia="pt-BR"/>
          </w:rPr>
          <w:tab/>
        </w:r>
        <w:r w:rsidR="00BC01B1" w:rsidRPr="005D5DCB">
          <w:rPr>
            <w:rStyle w:val="Hyperlink"/>
            <w:noProof/>
          </w:rPr>
          <w:t>Indicadores para o objetivo 4</w:t>
        </w:r>
        <w:r w:rsidR="00BC01B1">
          <w:rPr>
            <w:noProof/>
            <w:webHidden/>
          </w:rPr>
          <w:tab/>
        </w:r>
        <w:r w:rsidR="00BC01B1">
          <w:rPr>
            <w:noProof/>
            <w:webHidden/>
          </w:rPr>
          <w:fldChar w:fldCharType="begin"/>
        </w:r>
        <w:r w:rsidR="00BC01B1">
          <w:rPr>
            <w:noProof/>
            <w:webHidden/>
          </w:rPr>
          <w:instrText xml:space="preserve"> PAGEREF _Toc509935688 \h </w:instrText>
        </w:r>
        <w:r w:rsidR="00BC01B1">
          <w:rPr>
            <w:noProof/>
            <w:webHidden/>
          </w:rPr>
        </w:r>
        <w:r w:rsidR="00BC01B1">
          <w:rPr>
            <w:noProof/>
            <w:webHidden/>
          </w:rPr>
          <w:fldChar w:fldCharType="separate"/>
        </w:r>
        <w:r>
          <w:rPr>
            <w:noProof/>
            <w:webHidden/>
          </w:rPr>
          <w:t>358</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89" w:history="1">
        <w:r w:rsidR="00BC01B1" w:rsidRPr="005D5DCB">
          <w:rPr>
            <w:rStyle w:val="Hyperlink"/>
            <w:noProof/>
          </w:rPr>
          <w:t>9.3.4.1.</w:t>
        </w:r>
        <w:r w:rsidR="00BC01B1">
          <w:rPr>
            <w:rFonts w:asciiTheme="minorHAnsi" w:eastAsiaTheme="minorEastAsia" w:hAnsiTheme="minorHAnsi" w:cstheme="minorBidi"/>
            <w:noProof/>
          </w:rPr>
          <w:tab/>
        </w:r>
        <w:r w:rsidR="00BC01B1" w:rsidRPr="005D5DCB">
          <w:rPr>
            <w:rStyle w:val="Hyperlink"/>
            <w:noProof/>
          </w:rPr>
          <w:t>Indicador de eficiência de remoção de matéria orgânica</w:t>
        </w:r>
        <w:r w:rsidR="00BC01B1">
          <w:rPr>
            <w:noProof/>
            <w:webHidden/>
          </w:rPr>
          <w:tab/>
        </w:r>
        <w:r w:rsidR="00BC01B1">
          <w:rPr>
            <w:noProof/>
            <w:webHidden/>
          </w:rPr>
          <w:fldChar w:fldCharType="begin"/>
        </w:r>
        <w:r w:rsidR="00BC01B1">
          <w:rPr>
            <w:noProof/>
            <w:webHidden/>
          </w:rPr>
          <w:instrText xml:space="preserve"> PAGEREF _Toc509935689 \h </w:instrText>
        </w:r>
        <w:r w:rsidR="00BC01B1">
          <w:rPr>
            <w:noProof/>
            <w:webHidden/>
          </w:rPr>
        </w:r>
        <w:r w:rsidR="00BC01B1">
          <w:rPr>
            <w:noProof/>
            <w:webHidden/>
          </w:rPr>
          <w:fldChar w:fldCharType="separate"/>
        </w:r>
        <w:r>
          <w:rPr>
            <w:noProof/>
            <w:webHidden/>
          </w:rPr>
          <w:t>358</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90" w:history="1">
        <w:r w:rsidR="00BC01B1" w:rsidRPr="005D5DCB">
          <w:rPr>
            <w:rStyle w:val="Hyperlink"/>
            <w:noProof/>
          </w:rPr>
          <w:t>9.3.4.2.</w:t>
        </w:r>
        <w:r w:rsidR="00BC01B1">
          <w:rPr>
            <w:rFonts w:asciiTheme="minorHAnsi" w:eastAsiaTheme="minorEastAsia" w:hAnsiTheme="minorHAnsi" w:cstheme="minorBidi"/>
            <w:noProof/>
          </w:rPr>
          <w:tab/>
        </w:r>
        <w:r w:rsidR="00BC01B1" w:rsidRPr="005D5DCB">
          <w:rPr>
            <w:rStyle w:val="Hyperlink"/>
            <w:noProof/>
          </w:rPr>
          <w:t>Indicador da qualidade do corpo receptor</w:t>
        </w:r>
        <w:r w:rsidR="00BC01B1">
          <w:rPr>
            <w:noProof/>
            <w:webHidden/>
          </w:rPr>
          <w:tab/>
        </w:r>
        <w:r w:rsidR="00BC01B1">
          <w:rPr>
            <w:noProof/>
            <w:webHidden/>
          </w:rPr>
          <w:fldChar w:fldCharType="begin"/>
        </w:r>
        <w:r w:rsidR="00BC01B1">
          <w:rPr>
            <w:noProof/>
            <w:webHidden/>
          </w:rPr>
          <w:instrText xml:space="preserve"> PAGEREF _Toc509935690 \h </w:instrText>
        </w:r>
        <w:r w:rsidR="00BC01B1">
          <w:rPr>
            <w:noProof/>
            <w:webHidden/>
          </w:rPr>
        </w:r>
        <w:r w:rsidR="00BC01B1">
          <w:rPr>
            <w:noProof/>
            <w:webHidden/>
          </w:rPr>
          <w:fldChar w:fldCharType="separate"/>
        </w:r>
        <w:r>
          <w:rPr>
            <w:noProof/>
            <w:webHidden/>
          </w:rPr>
          <w:t>359</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91" w:history="1">
        <w:r w:rsidR="00BC01B1" w:rsidRPr="005D5DCB">
          <w:rPr>
            <w:rStyle w:val="Hyperlink"/>
            <w:noProof/>
          </w:rPr>
          <w:t>9.3.4.3.</w:t>
        </w:r>
        <w:r w:rsidR="00BC01B1">
          <w:rPr>
            <w:rFonts w:asciiTheme="minorHAnsi" w:eastAsiaTheme="minorEastAsia" w:hAnsiTheme="minorHAnsi" w:cstheme="minorBidi"/>
            <w:noProof/>
          </w:rPr>
          <w:tab/>
        </w:r>
        <w:r w:rsidR="00BC01B1" w:rsidRPr="005D5DCB">
          <w:rPr>
            <w:rStyle w:val="Hyperlink"/>
            <w:noProof/>
          </w:rPr>
          <w:t>Índice de ETEs com manuais de operações adequados</w:t>
        </w:r>
        <w:r w:rsidR="00BC01B1">
          <w:rPr>
            <w:noProof/>
            <w:webHidden/>
          </w:rPr>
          <w:tab/>
        </w:r>
        <w:r w:rsidR="00BC01B1">
          <w:rPr>
            <w:noProof/>
            <w:webHidden/>
          </w:rPr>
          <w:fldChar w:fldCharType="begin"/>
        </w:r>
        <w:r w:rsidR="00BC01B1">
          <w:rPr>
            <w:noProof/>
            <w:webHidden/>
          </w:rPr>
          <w:instrText xml:space="preserve"> PAGEREF _Toc509935691 \h </w:instrText>
        </w:r>
        <w:r w:rsidR="00BC01B1">
          <w:rPr>
            <w:noProof/>
            <w:webHidden/>
          </w:rPr>
        </w:r>
        <w:r w:rsidR="00BC01B1">
          <w:rPr>
            <w:noProof/>
            <w:webHidden/>
          </w:rPr>
          <w:fldChar w:fldCharType="separate"/>
        </w:r>
        <w:r>
          <w:rPr>
            <w:noProof/>
            <w:webHidden/>
          </w:rPr>
          <w:t>359</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92" w:history="1">
        <w:r w:rsidR="00BC01B1" w:rsidRPr="005D5DCB">
          <w:rPr>
            <w:rStyle w:val="Hyperlink"/>
            <w:noProof/>
          </w:rPr>
          <w:t>9.3.4.4.</w:t>
        </w:r>
        <w:r w:rsidR="00BC01B1">
          <w:rPr>
            <w:rFonts w:asciiTheme="minorHAnsi" w:eastAsiaTheme="minorEastAsia" w:hAnsiTheme="minorHAnsi" w:cstheme="minorBidi"/>
            <w:noProof/>
          </w:rPr>
          <w:tab/>
        </w:r>
        <w:r w:rsidR="00BC01B1" w:rsidRPr="005D5DCB">
          <w:rPr>
            <w:rStyle w:val="Hyperlink"/>
            <w:noProof/>
          </w:rPr>
          <w:t>Índice de destinação adequada dos lodos gerados na ETE</w:t>
        </w:r>
        <w:r w:rsidR="00BC01B1">
          <w:rPr>
            <w:noProof/>
            <w:webHidden/>
          </w:rPr>
          <w:tab/>
        </w:r>
        <w:r w:rsidR="00BC01B1">
          <w:rPr>
            <w:noProof/>
            <w:webHidden/>
          </w:rPr>
          <w:fldChar w:fldCharType="begin"/>
        </w:r>
        <w:r w:rsidR="00BC01B1">
          <w:rPr>
            <w:noProof/>
            <w:webHidden/>
          </w:rPr>
          <w:instrText xml:space="preserve"> PAGEREF _Toc509935692 \h </w:instrText>
        </w:r>
        <w:r w:rsidR="00BC01B1">
          <w:rPr>
            <w:noProof/>
            <w:webHidden/>
          </w:rPr>
        </w:r>
        <w:r w:rsidR="00BC01B1">
          <w:rPr>
            <w:noProof/>
            <w:webHidden/>
          </w:rPr>
          <w:fldChar w:fldCharType="separate"/>
        </w:r>
        <w:r>
          <w:rPr>
            <w:noProof/>
            <w:webHidden/>
          </w:rPr>
          <w:t>359</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93" w:history="1">
        <w:r w:rsidR="00BC01B1" w:rsidRPr="005D5DCB">
          <w:rPr>
            <w:rStyle w:val="Hyperlink"/>
            <w:noProof/>
          </w:rPr>
          <w:t>9.3.4.5.</w:t>
        </w:r>
        <w:r w:rsidR="00BC01B1">
          <w:rPr>
            <w:rFonts w:asciiTheme="minorHAnsi" w:eastAsiaTheme="minorEastAsia" w:hAnsiTheme="minorHAnsi" w:cstheme="minorBidi"/>
            <w:noProof/>
          </w:rPr>
          <w:tab/>
        </w:r>
        <w:r w:rsidR="00BC01B1" w:rsidRPr="005D5DCB">
          <w:rPr>
            <w:rStyle w:val="Hyperlink"/>
            <w:noProof/>
          </w:rPr>
          <w:t>Índice de regulamentação ambiental do setor</w:t>
        </w:r>
        <w:r w:rsidR="00BC01B1">
          <w:rPr>
            <w:noProof/>
            <w:webHidden/>
          </w:rPr>
          <w:tab/>
        </w:r>
        <w:r w:rsidR="00BC01B1">
          <w:rPr>
            <w:noProof/>
            <w:webHidden/>
          </w:rPr>
          <w:fldChar w:fldCharType="begin"/>
        </w:r>
        <w:r w:rsidR="00BC01B1">
          <w:rPr>
            <w:noProof/>
            <w:webHidden/>
          </w:rPr>
          <w:instrText xml:space="preserve"> PAGEREF _Toc509935693 \h </w:instrText>
        </w:r>
        <w:r w:rsidR="00BC01B1">
          <w:rPr>
            <w:noProof/>
            <w:webHidden/>
          </w:rPr>
        </w:r>
        <w:r w:rsidR="00BC01B1">
          <w:rPr>
            <w:noProof/>
            <w:webHidden/>
          </w:rPr>
          <w:fldChar w:fldCharType="separate"/>
        </w:r>
        <w:r>
          <w:rPr>
            <w:noProof/>
            <w:webHidden/>
          </w:rPr>
          <w:t>360</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694" w:history="1">
        <w:r w:rsidR="00BC01B1" w:rsidRPr="005D5DCB">
          <w:rPr>
            <w:rStyle w:val="Hyperlink"/>
            <w:noProof/>
          </w:rPr>
          <w:t>9.3.5.</w:t>
        </w:r>
        <w:r w:rsidR="00BC01B1">
          <w:rPr>
            <w:rFonts w:asciiTheme="minorHAnsi" w:eastAsiaTheme="minorEastAsia" w:hAnsiTheme="minorHAnsi" w:cstheme="minorBidi"/>
            <w:i w:val="0"/>
            <w:noProof/>
            <w:sz w:val="22"/>
            <w:lang w:eastAsia="pt-BR"/>
          </w:rPr>
          <w:tab/>
        </w:r>
        <w:r w:rsidR="00BC01B1" w:rsidRPr="005D5DCB">
          <w:rPr>
            <w:rStyle w:val="Hyperlink"/>
            <w:noProof/>
          </w:rPr>
          <w:t>Indicadores para o objetivo 5</w:t>
        </w:r>
        <w:r w:rsidR="00BC01B1">
          <w:rPr>
            <w:noProof/>
            <w:webHidden/>
          </w:rPr>
          <w:tab/>
        </w:r>
        <w:r w:rsidR="00BC01B1">
          <w:rPr>
            <w:noProof/>
            <w:webHidden/>
          </w:rPr>
          <w:fldChar w:fldCharType="begin"/>
        </w:r>
        <w:r w:rsidR="00BC01B1">
          <w:rPr>
            <w:noProof/>
            <w:webHidden/>
          </w:rPr>
          <w:instrText xml:space="preserve"> PAGEREF _Toc509935694 \h </w:instrText>
        </w:r>
        <w:r w:rsidR="00BC01B1">
          <w:rPr>
            <w:noProof/>
            <w:webHidden/>
          </w:rPr>
        </w:r>
        <w:r w:rsidR="00BC01B1">
          <w:rPr>
            <w:noProof/>
            <w:webHidden/>
          </w:rPr>
          <w:fldChar w:fldCharType="separate"/>
        </w:r>
        <w:r>
          <w:rPr>
            <w:noProof/>
            <w:webHidden/>
          </w:rPr>
          <w:t>360</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95" w:history="1">
        <w:r w:rsidR="00BC01B1" w:rsidRPr="005D5DCB">
          <w:rPr>
            <w:rStyle w:val="Hyperlink"/>
            <w:noProof/>
          </w:rPr>
          <w:t>9.3.5.1.</w:t>
        </w:r>
        <w:r w:rsidR="00BC01B1">
          <w:rPr>
            <w:rFonts w:asciiTheme="minorHAnsi" w:eastAsiaTheme="minorEastAsia" w:hAnsiTheme="minorHAnsi" w:cstheme="minorBidi"/>
            <w:noProof/>
          </w:rPr>
          <w:tab/>
        </w:r>
        <w:r w:rsidR="00BC01B1" w:rsidRPr="005D5DCB">
          <w:rPr>
            <w:rStyle w:val="Hyperlink"/>
            <w:noProof/>
          </w:rPr>
          <w:t>Índice de respostas satisfatórias à pesquisa de satisfação</w:t>
        </w:r>
        <w:r w:rsidR="00BC01B1">
          <w:rPr>
            <w:noProof/>
            <w:webHidden/>
          </w:rPr>
          <w:tab/>
        </w:r>
        <w:r w:rsidR="00BC01B1">
          <w:rPr>
            <w:noProof/>
            <w:webHidden/>
          </w:rPr>
          <w:fldChar w:fldCharType="begin"/>
        </w:r>
        <w:r w:rsidR="00BC01B1">
          <w:rPr>
            <w:noProof/>
            <w:webHidden/>
          </w:rPr>
          <w:instrText xml:space="preserve"> PAGEREF _Toc509935695 \h </w:instrText>
        </w:r>
        <w:r w:rsidR="00BC01B1">
          <w:rPr>
            <w:noProof/>
            <w:webHidden/>
          </w:rPr>
        </w:r>
        <w:r w:rsidR="00BC01B1">
          <w:rPr>
            <w:noProof/>
            <w:webHidden/>
          </w:rPr>
          <w:fldChar w:fldCharType="separate"/>
        </w:r>
        <w:r>
          <w:rPr>
            <w:noProof/>
            <w:webHidden/>
          </w:rPr>
          <w:t>360</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96" w:history="1">
        <w:r w:rsidR="00BC01B1" w:rsidRPr="005D5DCB">
          <w:rPr>
            <w:rStyle w:val="Hyperlink"/>
            <w:noProof/>
          </w:rPr>
          <w:t>9.3.5.2.</w:t>
        </w:r>
        <w:r w:rsidR="00BC01B1">
          <w:rPr>
            <w:rFonts w:asciiTheme="minorHAnsi" w:eastAsiaTheme="minorEastAsia" w:hAnsiTheme="minorHAnsi" w:cstheme="minorBidi"/>
            <w:noProof/>
          </w:rPr>
          <w:tab/>
        </w:r>
        <w:r w:rsidR="00BC01B1" w:rsidRPr="005D5DCB">
          <w:rPr>
            <w:rStyle w:val="Hyperlink"/>
            <w:noProof/>
          </w:rPr>
          <w:t>Evolução do número de eventos oficiais realizados por ano no município, que envolvam temas de saneamento básico</w:t>
        </w:r>
        <w:r w:rsidR="00BC01B1">
          <w:rPr>
            <w:noProof/>
            <w:webHidden/>
          </w:rPr>
          <w:tab/>
        </w:r>
        <w:r w:rsidR="00BC01B1">
          <w:rPr>
            <w:noProof/>
            <w:webHidden/>
          </w:rPr>
          <w:fldChar w:fldCharType="begin"/>
        </w:r>
        <w:r w:rsidR="00BC01B1">
          <w:rPr>
            <w:noProof/>
            <w:webHidden/>
          </w:rPr>
          <w:instrText xml:space="preserve"> PAGEREF _Toc509935696 \h </w:instrText>
        </w:r>
        <w:r w:rsidR="00BC01B1">
          <w:rPr>
            <w:noProof/>
            <w:webHidden/>
          </w:rPr>
        </w:r>
        <w:r w:rsidR="00BC01B1">
          <w:rPr>
            <w:noProof/>
            <w:webHidden/>
          </w:rPr>
          <w:fldChar w:fldCharType="separate"/>
        </w:r>
        <w:r>
          <w:rPr>
            <w:noProof/>
            <w:webHidden/>
          </w:rPr>
          <w:t>361</w:t>
        </w:r>
        <w:r w:rsidR="00BC01B1">
          <w:rPr>
            <w:noProof/>
            <w:webHidden/>
          </w:rPr>
          <w:fldChar w:fldCharType="end"/>
        </w:r>
      </w:hyperlink>
    </w:p>
    <w:p w:rsidR="00BC01B1" w:rsidRDefault="001B481B">
      <w:pPr>
        <w:pStyle w:val="Sumrio2"/>
        <w:tabs>
          <w:tab w:val="left" w:pos="1134"/>
        </w:tabs>
        <w:rPr>
          <w:rFonts w:asciiTheme="minorHAnsi" w:eastAsiaTheme="minorEastAsia" w:hAnsiTheme="minorHAnsi" w:cstheme="minorBidi"/>
          <w:noProof/>
          <w:sz w:val="22"/>
          <w:lang w:eastAsia="pt-BR"/>
        </w:rPr>
      </w:pPr>
      <w:hyperlink w:anchor="_Toc509935697" w:history="1">
        <w:r w:rsidR="00BC01B1" w:rsidRPr="005D5DCB">
          <w:rPr>
            <w:rStyle w:val="Hyperlink"/>
            <w:noProof/>
          </w:rPr>
          <w:t>9.4.</w:t>
        </w:r>
        <w:r w:rsidR="00BC01B1">
          <w:rPr>
            <w:rFonts w:asciiTheme="minorHAnsi" w:eastAsiaTheme="minorEastAsia" w:hAnsiTheme="minorHAnsi" w:cstheme="minorBidi"/>
            <w:noProof/>
            <w:sz w:val="22"/>
            <w:lang w:eastAsia="pt-BR"/>
          </w:rPr>
          <w:tab/>
        </w:r>
        <w:r w:rsidR="00BC01B1" w:rsidRPr="005D5DCB">
          <w:rPr>
            <w:rStyle w:val="Hyperlink"/>
            <w:noProof/>
          </w:rPr>
          <w:t>Sistema de Drenagem Urbana e Manejo de Águas Pluviais</w:t>
        </w:r>
        <w:r w:rsidR="00BC01B1">
          <w:rPr>
            <w:noProof/>
            <w:webHidden/>
          </w:rPr>
          <w:tab/>
        </w:r>
        <w:r w:rsidR="00BC01B1">
          <w:rPr>
            <w:noProof/>
            <w:webHidden/>
          </w:rPr>
          <w:fldChar w:fldCharType="begin"/>
        </w:r>
        <w:r w:rsidR="00BC01B1">
          <w:rPr>
            <w:noProof/>
            <w:webHidden/>
          </w:rPr>
          <w:instrText xml:space="preserve"> PAGEREF _Toc509935697 \h </w:instrText>
        </w:r>
        <w:r w:rsidR="00BC01B1">
          <w:rPr>
            <w:noProof/>
            <w:webHidden/>
          </w:rPr>
        </w:r>
        <w:r w:rsidR="00BC01B1">
          <w:rPr>
            <w:noProof/>
            <w:webHidden/>
          </w:rPr>
          <w:fldChar w:fldCharType="separate"/>
        </w:r>
        <w:r>
          <w:rPr>
            <w:noProof/>
            <w:webHidden/>
          </w:rPr>
          <w:t>361</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698" w:history="1">
        <w:r w:rsidR="00BC01B1" w:rsidRPr="005D5DCB">
          <w:rPr>
            <w:rStyle w:val="Hyperlink"/>
            <w:noProof/>
          </w:rPr>
          <w:t>9.4.1.</w:t>
        </w:r>
        <w:r w:rsidR="00BC01B1">
          <w:rPr>
            <w:rFonts w:asciiTheme="minorHAnsi" w:eastAsiaTheme="minorEastAsia" w:hAnsiTheme="minorHAnsi" w:cstheme="minorBidi"/>
            <w:i w:val="0"/>
            <w:noProof/>
            <w:sz w:val="22"/>
            <w:lang w:eastAsia="pt-BR"/>
          </w:rPr>
          <w:tab/>
        </w:r>
        <w:r w:rsidR="00BC01B1" w:rsidRPr="005D5DCB">
          <w:rPr>
            <w:rStyle w:val="Hyperlink"/>
            <w:noProof/>
          </w:rPr>
          <w:t>Indicadores para o objetivo 1</w:t>
        </w:r>
        <w:r w:rsidR="00BC01B1">
          <w:rPr>
            <w:noProof/>
            <w:webHidden/>
          </w:rPr>
          <w:tab/>
        </w:r>
        <w:r w:rsidR="00BC01B1">
          <w:rPr>
            <w:noProof/>
            <w:webHidden/>
          </w:rPr>
          <w:fldChar w:fldCharType="begin"/>
        </w:r>
        <w:r w:rsidR="00BC01B1">
          <w:rPr>
            <w:noProof/>
            <w:webHidden/>
          </w:rPr>
          <w:instrText xml:space="preserve"> PAGEREF _Toc509935698 \h </w:instrText>
        </w:r>
        <w:r w:rsidR="00BC01B1">
          <w:rPr>
            <w:noProof/>
            <w:webHidden/>
          </w:rPr>
        </w:r>
        <w:r w:rsidR="00BC01B1">
          <w:rPr>
            <w:noProof/>
            <w:webHidden/>
          </w:rPr>
          <w:fldChar w:fldCharType="separate"/>
        </w:r>
        <w:r>
          <w:rPr>
            <w:noProof/>
            <w:webHidden/>
          </w:rPr>
          <w:t>363</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699" w:history="1">
        <w:r w:rsidR="00BC01B1" w:rsidRPr="005D5DCB">
          <w:rPr>
            <w:rStyle w:val="Hyperlink"/>
            <w:noProof/>
          </w:rPr>
          <w:t>9.4.1.1.</w:t>
        </w:r>
        <w:r w:rsidR="00BC01B1">
          <w:rPr>
            <w:rFonts w:asciiTheme="minorHAnsi" w:eastAsiaTheme="minorEastAsia" w:hAnsiTheme="minorHAnsi" w:cstheme="minorBidi"/>
            <w:noProof/>
          </w:rPr>
          <w:tab/>
        </w:r>
        <w:r w:rsidR="00BC01B1" w:rsidRPr="005D5DCB">
          <w:rPr>
            <w:rStyle w:val="Hyperlink"/>
            <w:noProof/>
          </w:rPr>
          <w:t>Índice de pontos atingidos por alagamentos por ano</w:t>
        </w:r>
        <w:r w:rsidR="00BC01B1">
          <w:rPr>
            <w:noProof/>
            <w:webHidden/>
          </w:rPr>
          <w:tab/>
        </w:r>
        <w:r w:rsidR="00BC01B1">
          <w:rPr>
            <w:noProof/>
            <w:webHidden/>
          </w:rPr>
          <w:fldChar w:fldCharType="begin"/>
        </w:r>
        <w:r w:rsidR="00BC01B1">
          <w:rPr>
            <w:noProof/>
            <w:webHidden/>
          </w:rPr>
          <w:instrText xml:space="preserve"> PAGEREF _Toc509935699 \h </w:instrText>
        </w:r>
        <w:r w:rsidR="00BC01B1">
          <w:rPr>
            <w:noProof/>
            <w:webHidden/>
          </w:rPr>
        </w:r>
        <w:r w:rsidR="00BC01B1">
          <w:rPr>
            <w:noProof/>
            <w:webHidden/>
          </w:rPr>
          <w:fldChar w:fldCharType="separate"/>
        </w:r>
        <w:r>
          <w:rPr>
            <w:noProof/>
            <w:webHidden/>
          </w:rPr>
          <w:t>363</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00" w:history="1">
        <w:r w:rsidR="00BC01B1" w:rsidRPr="005D5DCB">
          <w:rPr>
            <w:rStyle w:val="Hyperlink"/>
            <w:noProof/>
          </w:rPr>
          <w:t>9.4.1.2.</w:t>
        </w:r>
        <w:r w:rsidR="00BC01B1">
          <w:rPr>
            <w:rFonts w:asciiTheme="minorHAnsi" w:eastAsiaTheme="minorEastAsia" w:hAnsiTheme="minorHAnsi" w:cstheme="minorBidi"/>
            <w:noProof/>
          </w:rPr>
          <w:tab/>
        </w:r>
        <w:r w:rsidR="00BC01B1" w:rsidRPr="005D5DCB">
          <w:rPr>
            <w:rStyle w:val="Hyperlink"/>
            <w:noProof/>
          </w:rPr>
          <w:t>Taxa de Cobertura do Sistema de Macrodrenagem na Área Urbana do Município</w:t>
        </w:r>
        <w:r w:rsidR="009B0332" w:rsidRPr="009B0332">
          <w:rPr>
            <w:rStyle w:val="Hyperlink"/>
            <w:noProof/>
            <w:webHidden/>
          </w:rPr>
          <w:tab/>
        </w:r>
        <w:r w:rsidR="00BC01B1">
          <w:rPr>
            <w:noProof/>
            <w:webHidden/>
          </w:rPr>
          <w:tab/>
        </w:r>
        <w:r w:rsidR="00BC01B1">
          <w:rPr>
            <w:noProof/>
            <w:webHidden/>
          </w:rPr>
          <w:fldChar w:fldCharType="begin"/>
        </w:r>
        <w:r w:rsidR="00BC01B1">
          <w:rPr>
            <w:noProof/>
            <w:webHidden/>
          </w:rPr>
          <w:instrText xml:space="preserve"> PAGEREF _Toc509935700 \h </w:instrText>
        </w:r>
        <w:r w:rsidR="00BC01B1">
          <w:rPr>
            <w:noProof/>
            <w:webHidden/>
          </w:rPr>
        </w:r>
        <w:r w:rsidR="00BC01B1">
          <w:rPr>
            <w:noProof/>
            <w:webHidden/>
          </w:rPr>
          <w:fldChar w:fldCharType="separate"/>
        </w:r>
        <w:r>
          <w:rPr>
            <w:noProof/>
            <w:webHidden/>
          </w:rPr>
          <w:t>363</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01" w:history="1">
        <w:r w:rsidR="00BC01B1" w:rsidRPr="005D5DCB">
          <w:rPr>
            <w:rStyle w:val="Hyperlink"/>
            <w:noProof/>
          </w:rPr>
          <w:t>9.4.1.3.</w:t>
        </w:r>
        <w:r w:rsidR="00BC01B1">
          <w:rPr>
            <w:rFonts w:asciiTheme="minorHAnsi" w:eastAsiaTheme="minorEastAsia" w:hAnsiTheme="minorHAnsi" w:cstheme="minorBidi"/>
            <w:noProof/>
          </w:rPr>
          <w:tab/>
        </w:r>
        <w:r w:rsidR="00BC01B1" w:rsidRPr="005D5DCB">
          <w:rPr>
            <w:rStyle w:val="Hyperlink"/>
            <w:noProof/>
          </w:rPr>
          <w:t>Parcela de Domicílios em Situação de Risco de Inundação</w:t>
        </w:r>
        <w:r w:rsidR="00BC01B1">
          <w:rPr>
            <w:noProof/>
            <w:webHidden/>
          </w:rPr>
          <w:tab/>
        </w:r>
        <w:r w:rsidR="00BC01B1">
          <w:rPr>
            <w:noProof/>
            <w:webHidden/>
          </w:rPr>
          <w:fldChar w:fldCharType="begin"/>
        </w:r>
        <w:r w:rsidR="00BC01B1">
          <w:rPr>
            <w:noProof/>
            <w:webHidden/>
          </w:rPr>
          <w:instrText xml:space="preserve"> PAGEREF _Toc509935701 \h </w:instrText>
        </w:r>
        <w:r w:rsidR="00BC01B1">
          <w:rPr>
            <w:noProof/>
            <w:webHidden/>
          </w:rPr>
        </w:r>
        <w:r w:rsidR="00BC01B1">
          <w:rPr>
            <w:noProof/>
            <w:webHidden/>
          </w:rPr>
          <w:fldChar w:fldCharType="separate"/>
        </w:r>
        <w:r>
          <w:rPr>
            <w:noProof/>
            <w:webHidden/>
          </w:rPr>
          <w:t>364</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02" w:history="1">
        <w:r w:rsidR="00BC01B1" w:rsidRPr="005D5DCB">
          <w:rPr>
            <w:rStyle w:val="Hyperlink"/>
            <w:noProof/>
          </w:rPr>
          <w:t>9.4.1.4.</w:t>
        </w:r>
        <w:r w:rsidR="00BC01B1">
          <w:rPr>
            <w:rFonts w:asciiTheme="minorHAnsi" w:eastAsiaTheme="minorEastAsia" w:hAnsiTheme="minorHAnsi" w:cstheme="minorBidi"/>
            <w:noProof/>
          </w:rPr>
          <w:tab/>
        </w:r>
        <w:r w:rsidR="00BC01B1" w:rsidRPr="005D5DCB">
          <w:rPr>
            <w:rStyle w:val="Hyperlink"/>
            <w:noProof/>
          </w:rPr>
          <w:t>Parcela da População Impactada por inundações.</w:t>
        </w:r>
        <w:r w:rsidR="00BC01B1">
          <w:rPr>
            <w:noProof/>
            <w:webHidden/>
          </w:rPr>
          <w:tab/>
        </w:r>
        <w:r w:rsidR="00BC01B1">
          <w:rPr>
            <w:noProof/>
            <w:webHidden/>
          </w:rPr>
          <w:fldChar w:fldCharType="begin"/>
        </w:r>
        <w:r w:rsidR="00BC01B1">
          <w:rPr>
            <w:noProof/>
            <w:webHidden/>
          </w:rPr>
          <w:instrText xml:space="preserve"> PAGEREF _Toc509935702 \h </w:instrText>
        </w:r>
        <w:r w:rsidR="00BC01B1">
          <w:rPr>
            <w:noProof/>
            <w:webHidden/>
          </w:rPr>
        </w:r>
        <w:r w:rsidR="00BC01B1">
          <w:rPr>
            <w:noProof/>
            <w:webHidden/>
          </w:rPr>
          <w:fldChar w:fldCharType="separate"/>
        </w:r>
        <w:r>
          <w:rPr>
            <w:noProof/>
            <w:webHidden/>
          </w:rPr>
          <w:t>364</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703" w:history="1">
        <w:r w:rsidR="00BC01B1" w:rsidRPr="005D5DCB">
          <w:rPr>
            <w:rStyle w:val="Hyperlink"/>
            <w:noProof/>
          </w:rPr>
          <w:t>9.4.2.</w:t>
        </w:r>
        <w:r w:rsidR="00BC01B1">
          <w:rPr>
            <w:rFonts w:asciiTheme="minorHAnsi" w:eastAsiaTheme="minorEastAsia" w:hAnsiTheme="minorHAnsi" w:cstheme="minorBidi"/>
            <w:i w:val="0"/>
            <w:noProof/>
            <w:sz w:val="22"/>
            <w:lang w:eastAsia="pt-BR"/>
          </w:rPr>
          <w:tab/>
        </w:r>
        <w:r w:rsidR="00BC01B1" w:rsidRPr="005D5DCB">
          <w:rPr>
            <w:rStyle w:val="Hyperlink"/>
            <w:noProof/>
          </w:rPr>
          <w:t>Indicadores para o objetivo 2</w:t>
        </w:r>
        <w:r w:rsidR="00BC01B1">
          <w:rPr>
            <w:noProof/>
            <w:webHidden/>
          </w:rPr>
          <w:tab/>
        </w:r>
        <w:r w:rsidR="00BC01B1">
          <w:rPr>
            <w:noProof/>
            <w:webHidden/>
          </w:rPr>
          <w:fldChar w:fldCharType="begin"/>
        </w:r>
        <w:r w:rsidR="00BC01B1">
          <w:rPr>
            <w:noProof/>
            <w:webHidden/>
          </w:rPr>
          <w:instrText xml:space="preserve"> PAGEREF _Toc509935703 \h </w:instrText>
        </w:r>
        <w:r w:rsidR="00BC01B1">
          <w:rPr>
            <w:noProof/>
            <w:webHidden/>
          </w:rPr>
        </w:r>
        <w:r w:rsidR="00BC01B1">
          <w:rPr>
            <w:noProof/>
            <w:webHidden/>
          </w:rPr>
          <w:fldChar w:fldCharType="separate"/>
        </w:r>
        <w:r>
          <w:rPr>
            <w:noProof/>
            <w:webHidden/>
          </w:rPr>
          <w:t>365</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04" w:history="1">
        <w:r w:rsidR="00BC01B1" w:rsidRPr="005D5DCB">
          <w:rPr>
            <w:rStyle w:val="Hyperlink"/>
            <w:noProof/>
          </w:rPr>
          <w:t>9.4.2.1.</w:t>
        </w:r>
        <w:r w:rsidR="00BC01B1">
          <w:rPr>
            <w:rFonts w:asciiTheme="minorHAnsi" w:eastAsiaTheme="minorEastAsia" w:hAnsiTheme="minorHAnsi" w:cstheme="minorBidi"/>
            <w:noProof/>
          </w:rPr>
          <w:tab/>
        </w:r>
        <w:r w:rsidR="00BC01B1" w:rsidRPr="005D5DCB">
          <w:rPr>
            <w:rStyle w:val="Hyperlink"/>
            <w:noProof/>
          </w:rPr>
          <w:t>Parcela da População Impactada por Escorregamento</w:t>
        </w:r>
        <w:r w:rsidR="00BC01B1">
          <w:rPr>
            <w:noProof/>
            <w:webHidden/>
          </w:rPr>
          <w:tab/>
        </w:r>
        <w:r w:rsidR="00BC01B1">
          <w:rPr>
            <w:noProof/>
            <w:webHidden/>
          </w:rPr>
          <w:fldChar w:fldCharType="begin"/>
        </w:r>
        <w:r w:rsidR="00BC01B1">
          <w:rPr>
            <w:noProof/>
            <w:webHidden/>
          </w:rPr>
          <w:instrText xml:space="preserve"> PAGEREF _Toc509935704 \h </w:instrText>
        </w:r>
        <w:r w:rsidR="00BC01B1">
          <w:rPr>
            <w:noProof/>
            <w:webHidden/>
          </w:rPr>
        </w:r>
        <w:r w:rsidR="00BC01B1">
          <w:rPr>
            <w:noProof/>
            <w:webHidden/>
          </w:rPr>
          <w:fldChar w:fldCharType="separate"/>
        </w:r>
        <w:r>
          <w:rPr>
            <w:noProof/>
            <w:webHidden/>
          </w:rPr>
          <w:t>365</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705" w:history="1">
        <w:r w:rsidR="00BC01B1" w:rsidRPr="005D5DCB">
          <w:rPr>
            <w:rStyle w:val="Hyperlink"/>
            <w:noProof/>
          </w:rPr>
          <w:t>9.4.3.</w:t>
        </w:r>
        <w:r w:rsidR="00BC01B1">
          <w:rPr>
            <w:rFonts w:asciiTheme="minorHAnsi" w:eastAsiaTheme="minorEastAsia" w:hAnsiTheme="minorHAnsi" w:cstheme="minorBidi"/>
            <w:i w:val="0"/>
            <w:noProof/>
            <w:sz w:val="22"/>
            <w:lang w:eastAsia="pt-BR"/>
          </w:rPr>
          <w:tab/>
        </w:r>
        <w:r w:rsidR="00BC01B1" w:rsidRPr="005D5DCB">
          <w:rPr>
            <w:rStyle w:val="Hyperlink"/>
            <w:noProof/>
          </w:rPr>
          <w:t>Indicadores para o objetivo 3</w:t>
        </w:r>
        <w:r w:rsidR="00BC01B1">
          <w:rPr>
            <w:noProof/>
            <w:webHidden/>
          </w:rPr>
          <w:tab/>
        </w:r>
        <w:r w:rsidR="00BC01B1">
          <w:rPr>
            <w:noProof/>
            <w:webHidden/>
          </w:rPr>
          <w:fldChar w:fldCharType="begin"/>
        </w:r>
        <w:r w:rsidR="00BC01B1">
          <w:rPr>
            <w:noProof/>
            <w:webHidden/>
          </w:rPr>
          <w:instrText xml:space="preserve"> PAGEREF _Toc509935705 \h </w:instrText>
        </w:r>
        <w:r w:rsidR="00BC01B1">
          <w:rPr>
            <w:noProof/>
            <w:webHidden/>
          </w:rPr>
        </w:r>
        <w:r w:rsidR="00BC01B1">
          <w:rPr>
            <w:noProof/>
            <w:webHidden/>
          </w:rPr>
          <w:fldChar w:fldCharType="separate"/>
        </w:r>
        <w:r>
          <w:rPr>
            <w:noProof/>
            <w:webHidden/>
          </w:rPr>
          <w:t>366</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06" w:history="1">
        <w:r w:rsidR="00BC01B1" w:rsidRPr="005D5DCB">
          <w:rPr>
            <w:rStyle w:val="Hyperlink"/>
            <w:noProof/>
          </w:rPr>
          <w:t>9.4.3.1.</w:t>
        </w:r>
        <w:r w:rsidR="00BC01B1">
          <w:rPr>
            <w:rFonts w:asciiTheme="minorHAnsi" w:eastAsiaTheme="minorEastAsia" w:hAnsiTheme="minorHAnsi" w:cstheme="minorBidi"/>
            <w:noProof/>
          </w:rPr>
          <w:tab/>
        </w:r>
        <w:r w:rsidR="00BC01B1" w:rsidRPr="005D5DCB">
          <w:rPr>
            <w:rStyle w:val="Hyperlink"/>
            <w:noProof/>
          </w:rPr>
          <w:t>Percentual de APPs de margens de cursos d’água preservadas</w:t>
        </w:r>
        <w:r w:rsidR="00BC01B1">
          <w:rPr>
            <w:noProof/>
            <w:webHidden/>
          </w:rPr>
          <w:tab/>
        </w:r>
        <w:r w:rsidR="00BC01B1">
          <w:rPr>
            <w:noProof/>
            <w:webHidden/>
          </w:rPr>
          <w:fldChar w:fldCharType="begin"/>
        </w:r>
        <w:r w:rsidR="00BC01B1">
          <w:rPr>
            <w:noProof/>
            <w:webHidden/>
          </w:rPr>
          <w:instrText xml:space="preserve"> PAGEREF _Toc509935706 \h </w:instrText>
        </w:r>
        <w:r w:rsidR="00BC01B1">
          <w:rPr>
            <w:noProof/>
            <w:webHidden/>
          </w:rPr>
        </w:r>
        <w:r w:rsidR="00BC01B1">
          <w:rPr>
            <w:noProof/>
            <w:webHidden/>
          </w:rPr>
          <w:fldChar w:fldCharType="separate"/>
        </w:r>
        <w:r>
          <w:rPr>
            <w:noProof/>
            <w:webHidden/>
          </w:rPr>
          <w:t>366</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07" w:history="1">
        <w:r w:rsidR="00BC01B1" w:rsidRPr="005D5DCB">
          <w:rPr>
            <w:rStyle w:val="Hyperlink"/>
            <w:noProof/>
          </w:rPr>
          <w:t>9.4.3.2.</w:t>
        </w:r>
        <w:r w:rsidR="00BC01B1">
          <w:rPr>
            <w:rFonts w:asciiTheme="minorHAnsi" w:eastAsiaTheme="minorEastAsia" w:hAnsiTheme="minorHAnsi" w:cstheme="minorBidi"/>
            <w:noProof/>
          </w:rPr>
          <w:tab/>
        </w:r>
        <w:r w:rsidR="00BC01B1" w:rsidRPr="005D5DCB">
          <w:rPr>
            <w:rStyle w:val="Hyperlink"/>
            <w:noProof/>
          </w:rPr>
          <w:t>Percentual de áreas impermeabilizadas</w:t>
        </w:r>
        <w:r w:rsidR="00BC01B1">
          <w:rPr>
            <w:noProof/>
            <w:webHidden/>
          </w:rPr>
          <w:tab/>
        </w:r>
        <w:r w:rsidR="00BC01B1">
          <w:rPr>
            <w:noProof/>
            <w:webHidden/>
          </w:rPr>
          <w:fldChar w:fldCharType="begin"/>
        </w:r>
        <w:r w:rsidR="00BC01B1">
          <w:rPr>
            <w:noProof/>
            <w:webHidden/>
          </w:rPr>
          <w:instrText xml:space="preserve"> PAGEREF _Toc509935707 \h </w:instrText>
        </w:r>
        <w:r w:rsidR="00BC01B1">
          <w:rPr>
            <w:noProof/>
            <w:webHidden/>
          </w:rPr>
        </w:r>
        <w:r w:rsidR="00BC01B1">
          <w:rPr>
            <w:noProof/>
            <w:webHidden/>
          </w:rPr>
          <w:fldChar w:fldCharType="separate"/>
        </w:r>
        <w:r>
          <w:rPr>
            <w:noProof/>
            <w:webHidden/>
          </w:rPr>
          <w:t>366</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08" w:history="1">
        <w:r w:rsidR="00BC01B1" w:rsidRPr="005D5DCB">
          <w:rPr>
            <w:rStyle w:val="Hyperlink"/>
            <w:noProof/>
          </w:rPr>
          <w:t>9.4.3.3.</w:t>
        </w:r>
        <w:r w:rsidR="00BC01B1">
          <w:rPr>
            <w:rFonts w:asciiTheme="minorHAnsi" w:eastAsiaTheme="minorEastAsia" w:hAnsiTheme="minorHAnsi" w:cstheme="minorBidi"/>
            <w:noProof/>
          </w:rPr>
          <w:tab/>
        </w:r>
        <w:r w:rsidR="00BC01B1" w:rsidRPr="005D5DCB">
          <w:rPr>
            <w:rStyle w:val="Hyperlink"/>
            <w:noProof/>
          </w:rPr>
          <w:t>Área verde por habitante</w:t>
        </w:r>
        <w:r w:rsidR="00BC01B1">
          <w:rPr>
            <w:noProof/>
            <w:webHidden/>
          </w:rPr>
          <w:tab/>
        </w:r>
        <w:r w:rsidR="00BC01B1">
          <w:rPr>
            <w:noProof/>
            <w:webHidden/>
          </w:rPr>
          <w:fldChar w:fldCharType="begin"/>
        </w:r>
        <w:r w:rsidR="00BC01B1">
          <w:rPr>
            <w:noProof/>
            <w:webHidden/>
          </w:rPr>
          <w:instrText xml:space="preserve"> PAGEREF _Toc509935708 \h </w:instrText>
        </w:r>
        <w:r w:rsidR="00BC01B1">
          <w:rPr>
            <w:noProof/>
            <w:webHidden/>
          </w:rPr>
        </w:r>
        <w:r w:rsidR="00BC01B1">
          <w:rPr>
            <w:noProof/>
            <w:webHidden/>
          </w:rPr>
          <w:fldChar w:fldCharType="separate"/>
        </w:r>
        <w:r>
          <w:rPr>
            <w:noProof/>
            <w:webHidden/>
          </w:rPr>
          <w:t>367</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709" w:history="1">
        <w:r w:rsidR="00BC01B1" w:rsidRPr="005D5DCB">
          <w:rPr>
            <w:rStyle w:val="Hyperlink"/>
            <w:noProof/>
          </w:rPr>
          <w:t>9.4.4.</w:t>
        </w:r>
        <w:r w:rsidR="00BC01B1">
          <w:rPr>
            <w:rFonts w:asciiTheme="minorHAnsi" w:eastAsiaTheme="minorEastAsia" w:hAnsiTheme="minorHAnsi" w:cstheme="minorBidi"/>
            <w:i w:val="0"/>
            <w:noProof/>
            <w:sz w:val="22"/>
            <w:lang w:eastAsia="pt-BR"/>
          </w:rPr>
          <w:tab/>
        </w:r>
        <w:r w:rsidR="00BC01B1" w:rsidRPr="005D5DCB">
          <w:rPr>
            <w:rStyle w:val="Hyperlink"/>
            <w:noProof/>
          </w:rPr>
          <w:t>Indicadores para o objetivo 4</w:t>
        </w:r>
        <w:r w:rsidR="00BC01B1">
          <w:rPr>
            <w:noProof/>
            <w:webHidden/>
          </w:rPr>
          <w:tab/>
        </w:r>
        <w:r w:rsidR="00BC01B1">
          <w:rPr>
            <w:noProof/>
            <w:webHidden/>
          </w:rPr>
          <w:fldChar w:fldCharType="begin"/>
        </w:r>
        <w:r w:rsidR="00BC01B1">
          <w:rPr>
            <w:noProof/>
            <w:webHidden/>
          </w:rPr>
          <w:instrText xml:space="preserve"> PAGEREF _Toc509935709 \h </w:instrText>
        </w:r>
        <w:r w:rsidR="00BC01B1">
          <w:rPr>
            <w:noProof/>
            <w:webHidden/>
          </w:rPr>
        </w:r>
        <w:r w:rsidR="00BC01B1">
          <w:rPr>
            <w:noProof/>
            <w:webHidden/>
          </w:rPr>
          <w:fldChar w:fldCharType="separate"/>
        </w:r>
        <w:r>
          <w:rPr>
            <w:noProof/>
            <w:webHidden/>
          </w:rPr>
          <w:t>367</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10" w:history="1">
        <w:r w:rsidR="00BC01B1" w:rsidRPr="005D5DCB">
          <w:rPr>
            <w:rStyle w:val="Hyperlink"/>
            <w:noProof/>
          </w:rPr>
          <w:t>9.4.4.1.</w:t>
        </w:r>
        <w:r w:rsidR="00BC01B1">
          <w:rPr>
            <w:rFonts w:asciiTheme="minorHAnsi" w:eastAsiaTheme="minorEastAsia" w:hAnsiTheme="minorHAnsi" w:cstheme="minorBidi"/>
            <w:noProof/>
          </w:rPr>
          <w:tab/>
        </w:r>
        <w:r w:rsidR="00BC01B1" w:rsidRPr="005D5DCB">
          <w:rPr>
            <w:rStyle w:val="Hyperlink"/>
            <w:noProof/>
          </w:rPr>
          <w:t>Índice de atendimento às ações propostas para o SDU</w:t>
        </w:r>
        <w:r w:rsidR="00BC01B1">
          <w:rPr>
            <w:noProof/>
            <w:webHidden/>
          </w:rPr>
          <w:tab/>
        </w:r>
        <w:r w:rsidR="00BC01B1">
          <w:rPr>
            <w:noProof/>
            <w:webHidden/>
          </w:rPr>
          <w:fldChar w:fldCharType="begin"/>
        </w:r>
        <w:r w:rsidR="00BC01B1">
          <w:rPr>
            <w:noProof/>
            <w:webHidden/>
          </w:rPr>
          <w:instrText xml:space="preserve"> PAGEREF _Toc509935710 \h </w:instrText>
        </w:r>
        <w:r w:rsidR="00BC01B1">
          <w:rPr>
            <w:noProof/>
            <w:webHidden/>
          </w:rPr>
        </w:r>
        <w:r w:rsidR="00BC01B1">
          <w:rPr>
            <w:noProof/>
            <w:webHidden/>
          </w:rPr>
          <w:fldChar w:fldCharType="separate"/>
        </w:r>
        <w:r>
          <w:rPr>
            <w:noProof/>
            <w:webHidden/>
          </w:rPr>
          <w:t>367</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11" w:history="1">
        <w:r w:rsidR="00BC01B1" w:rsidRPr="005D5DCB">
          <w:rPr>
            <w:rStyle w:val="Hyperlink"/>
            <w:noProof/>
          </w:rPr>
          <w:t>9.4.4.2.</w:t>
        </w:r>
        <w:r w:rsidR="00BC01B1">
          <w:rPr>
            <w:rFonts w:asciiTheme="minorHAnsi" w:eastAsiaTheme="minorEastAsia" w:hAnsiTheme="minorHAnsi" w:cstheme="minorBidi"/>
            <w:noProof/>
          </w:rPr>
          <w:tab/>
        </w:r>
        <w:r w:rsidR="00BC01B1" w:rsidRPr="005D5DCB">
          <w:rPr>
            <w:rStyle w:val="Hyperlink"/>
            <w:noProof/>
          </w:rPr>
          <w:t>Índice de cadastro do sistema de drenagem urbana</w:t>
        </w:r>
        <w:r w:rsidR="00BC01B1">
          <w:rPr>
            <w:noProof/>
            <w:webHidden/>
          </w:rPr>
          <w:tab/>
        </w:r>
        <w:r w:rsidR="00BC01B1">
          <w:rPr>
            <w:noProof/>
            <w:webHidden/>
          </w:rPr>
          <w:fldChar w:fldCharType="begin"/>
        </w:r>
        <w:r w:rsidR="00BC01B1">
          <w:rPr>
            <w:noProof/>
            <w:webHidden/>
          </w:rPr>
          <w:instrText xml:space="preserve"> PAGEREF _Toc509935711 \h </w:instrText>
        </w:r>
        <w:r w:rsidR="00BC01B1">
          <w:rPr>
            <w:noProof/>
            <w:webHidden/>
          </w:rPr>
        </w:r>
        <w:r w:rsidR="00BC01B1">
          <w:rPr>
            <w:noProof/>
            <w:webHidden/>
          </w:rPr>
          <w:fldChar w:fldCharType="separate"/>
        </w:r>
        <w:r>
          <w:rPr>
            <w:noProof/>
            <w:webHidden/>
          </w:rPr>
          <w:t>368</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12" w:history="1">
        <w:r w:rsidR="00BC01B1" w:rsidRPr="005D5DCB">
          <w:rPr>
            <w:rStyle w:val="Hyperlink"/>
            <w:noProof/>
          </w:rPr>
          <w:t>9.4.4.3.</w:t>
        </w:r>
        <w:r w:rsidR="00BC01B1">
          <w:rPr>
            <w:rFonts w:asciiTheme="minorHAnsi" w:eastAsiaTheme="minorEastAsia" w:hAnsiTheme="minorHAnsi" w:cstheme="minorBidi"/>
            <w:noProof/>
          </w:rPr>
          <w:tab/>
        </w:r>
        <w:r w:rsidR="00BC01B1" w:rsidRPr="005D5DCB">
          <w:rPr>
            <w:rStyle w:val="Hyperlink"/>
            <w:noProof/>
          </w:rPr>
          <w:t>Duração média dos reparos na rede de microdrenagem desde a solicitação do usuário</w:t>
        </w:r>
        <w:r w:rsidR="00BC01B1">
          <w:rPr>
            <w:noProof/>
            <w:webHidden/>
          </w:rPr>
          <w:tab/>
        </w:r>
        <w:r w:rsidR="00BC01B1">
          <w:rPr>
            <w:noProof/>
            <w:webHidden/>
          </w:rPr>
          <w:fldChar w:fldCharType="begin"/>
        </w:r>
        <w:r w:rsidR="00BC01B1">
          <w:rPr>
            <w:noProof/>
            <w:webHidden/>
          </w:rPr>
          <w:instrText xml:space="preserve"> PAGEREF _Toc509935712 \h </w:instrText>
        </w:r>
        <w:r w:rsidR="00BC01B1">
          <w:rPr>
            <w:noProof/>
            <w:webHidden/>
          </w:rPr>
        </w:r>
        <w:r w:rsidR="00BC01B1">
          <w:rPr>
            <w:noProof/>
            <w:webHidden/>
          </w:rPr>
          <w:fldChar w:fldCharType="separate"/>
        </w:r>
        <w:r>
          <w:rPr>
            <w:noProof/>
            <w:webHidden/>
          </w:rPr>
          <w:t>368</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13" w:history="1">
        <w:r w:rsidR="00BC01B1" w:rsidRPr="005D5DCB">
          <w:rPr>
            <w:rStyle w:val="Hyperlink"/>
            <w:noProof/>
          </w:rPr>
          <w:t>9.4.4.4.</w:t>
        </w:r>
        <w:r w:rsidR="00BC01B1">
          <w:rPr>
            <w:rFonts w:asciiTheme="minorHAnsi" w:eastAsiaTheme="minorEastAsia" w:hAnsiTheme="minorHAnsi" w:cstheme="minorBidi"/>
            <w:noProof/>
          </w:rPr>
          <w:tab/>
        </w:r>
        <w:r w:rsidR="00BC01B1" w:rsidRPr="005D5DCB">
          <w:rPr>
            <w:rStyle w:val="Hyperlink"/>
            <w:noProof/>
          </w:rPr>
          <w:t>Índice de Monitoramento Pluviométrico</w:t>
        </w:r>
        <w:r w:rsidR="00BC01B1">
          <w:rPr>
            <w:noProof/>
            <w:webHidden/>
          </w:rPr>
          <w:tab/>
        </w:r>
        <w:r w:rsidR="00BC01B1">
          <w:rPr>
            <w:noProof/>
            <w:webHidden/>
          </w:rPr>
          <w:fldChar w:fldCharType="begin"/>
        </w:r>
        <w:r w:rsidR="00BC01B1">
          <w:rPr>
            <w:noProof/>
            <w:webHidden/>
          </w:rPr>
          <w:instrText xml:space="preserve"> PAGEREF _Toc509935713 \h </w:instrText>
        </w:r>
        <w:r w:rsidR="00BC01B1">
          <w:rPr>
            <w:noProof/>
            <w:webHidden/>
          </w:rPr>
        </w:r>
        <w:r w:rsidR="00BC01B1">
          <w:rPr>
            <w:noProof/>
            <w:webHidden/>
          </w:rPr>
          <w:fldChar w:fldCharType="separate"/>
        </w:r>
        <w:r>
          <w:rPr>
            <w:noProof/>
            <w:webHidden/>
          </w:rPr>
          <w:t>369</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14" w:history="1">
        <w:r w:rsidR="00BC01B1" w:rsidRPr="005D5DCB">
          <w:rPr>
            <w:rStyle w:val="Hyperlink"/>
            <w:noProof/>
          </w:rPr>
          <w:t>9.4.4.5.</w:t>
        </w:r>
        <w:r w:rsidR="00BC01B1">
          <w:rPr>
            <w:rFonts w:asciiTheme="minorHAnsi" w:eastAsiaTheme="minorEastAsia" w:hAnsiTheme="minorHAnsi" w:cstheme="minorBidi"/>
            <w:noProof/>
          </w:rPr>
          <w:tab/>
        </w:r>
        <w:r w:rsidR="00BC01B1" w:rsidRPr="005D5DCB">
          <w:rPr>
            <w:rStyle w:val="Hyperlink"/>
            <w:noProof/>
          </w:rPr>
          <w:t>Índice de Monitoramento Fluviométrico</w:t>
        </w:r>
        <w:r w:rsidR="00BC01B1">
          <w:rPr>
            <w:noProof/>
            <w:webHidden/>
          </w:rPr>
          <w:tab/>
        </w:r>
        <w:r w:rsidR="00BC01B1">
          <w:rPr>
            <w:noProof/>
            <w:webHidden/>
          </w:rPr>
          <w:fldChar w:fldCharType="begin"/>
        </w:r>
        <w:r w:rsidR="00BC01B1">
          <w:rPr>
            <w:noProof/>
            <w:webHidden/>
          </w:rPr>
          <w:instrText xml:space="preserve"> PAGEREF _Toc509935714 \h </w:instrText>
        </w:r>
        <w:r w:rsidR="00BC01B1">
          <w:rPr>
            <w:noProof/>
            <w:webHidden/>
          </w:rPr>
        </w:r>
        <w:r w:rsidR="00BC01B1">
          <w:rPr>
            <w:noProof/>
            <w:webHidden/>
          </w:rPr>
          <w:fldChar w:fldCharType="separate"/>
        </w:r>
        <w:r>
          <w:rPr>
            <w:noProof/>
            <w:webHidden/>
          </w:rPr>
          <w:t>369</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715" w:history="1">
        <w:r w:rsidR="00BC01B1" w:rsidRPr="005D5DCB">
          <w:rPr>
            <w:rStyle w:val="Hyperlink"/>
            <w:noProof/>
          </w:rPr>
          <w:t>9.4.5.</w:t>
        </w:r>
        <w:r w:rsidR="00BC01B1">
          <w:rPr>
            <w:rFonts w:asciiTheme="minorHAnsi" w:eastAsiaTheme="minorEastAsia" w:hAnsiTheme="minorHAnsi" w:cstheme="minorBidi"/>
            <w:i w:val="0"/>
            <w:noProof/>
            <w:sz w:val="22"/>
            <w:lang w:eastAsia="pt-BR"/>
          </w:rPr>
          <w:tab/>
        </w:r>
        <w:r w:rsidR="00BC01B1" w:rsidRPr="005D5DCB">
          <w:rPr>
            <w:rStyle w:val="Hyperlink"/>
            <w:noProof/>
          </w:rPr>
          <w:t>Indicador para o objetivo 5</w:t>
        </w:r>
        <w:r w:rsidR="00BC01B1">
          <w:rPr>
            <w:noProof/>
            <w:webHidden/>
          </w:rPr>
          <w:tab/>
        </w:r>
        <w:r w:rsidR="00BC01B1">
          <w:rPr>
            <w:noProof/>
            <w:webHidden/>
          </w:rPr>
          <w:fldChar w:fldCharType="begin"/>
        </w:r>
        <w:r w:rsidR="00BC01B1">
          <w:rPr>
            <w:noProof/>
            <w:webHidden/>
          </w:rPr>
          <w:instrText xml:space="preserve"> PAGEREF _Toc509935715 \h </w:instrText>
        </w:r>
        <w:r w:rsidR="00BC01B1">
          <w:rPr>
            <w:noProof/>
            <w:webHidden/>
          </w:rPr>
        </w:r>
        <w:r w:rsidR="00BC01B1">
          <w:rPr>
            <w:noProof/>
            <w:webHidden/>
          </w:rPr>
          <w:fldChar w:fldCharType="separate"/>
        </w:r>
        <w:r>
          <w:rPr>
            <w:noProof/>
            <w:webHidden/>
          </w:rPr>
          <w:t>369</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16" w:history="1">
        <w:r w:rsidR="00BC01B1" w:rsidRPr="005D5DCB">
          <w:rPr>
            <w:rStyle w:val="Hyperlink"/>
            <w:noProof/>
          </w:rPr>
          <w:t>9.4.5.1.</w:t>
        </w:r>
        <w:r w:rsidR="00BC01B1">
          <w:rPr>
            <w:rFonts w:asciiTheme="minorHAnsi" w:eastAsiaTheme="minorEastAsia" w:hAnsiTheme="minorHAnsi" w:cstheme="minorBidi"/>
            <w:noProof/>
          </w:rPr>
          <w:tab/>
        </w:r>
        <w:r w:rsidR="00BC01B1" w:rsidRPr="005D5DCB">
          <w:rPr>
            <w:rStyle w:val="Hyperlink"/>
            <w:noProof/>
          </w:rPr>
          <w:t>Nível de regulamentação ambiental do setor</w:t>
        </w:r>
        <w:r w:rsidR="00BC01B1">
          <w:rPr>
            <w:noProof/>
            <w:webHidden/>
          </w:rPr>
          <w:tab/>
        </w:r>
        <w:r w:rsidR="00BC01B1">
          <w:rPr>
            <w:noProof/>
            <w:webHidden/>
          </w:rPr>
          <w:fldChar w:fldCharType="begin"/>
        </w:r>
        <w:r w:rsidR="00BC01B1">
          <w:rPr>
            <w:noProof/>
            <w:webHidden/>
          </w:rPr>
          <w:instrText xml:space="preserve"> PAGEREF _Toc509935716 \h </w:instrText>
        </w:r>
        <w:r w:rsidR="00BC01B1">
          <w:rPr>
            <w:noProof/>
            <w:webHidden/>
          </w:rPr>
        </w:r>
        <w:r w:rsidR="00BC01B1">
          <w:rPr>
            <w:noProof/>
            <w:webHidden/>
          </w:rPr>
          <w:fldChar w:fldCharType="separate"/>
        </w:r>
        <w:r>
          <w:rPr>
            <w:noProof/>
            <w:webHidden/>
          </w:rPr>
          <w:t>369</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717" w:history="1">
        <w:r w:rsidR="00BC01B1" w:rsidRPr="005D5DCB">
          <w:rPr>
            <w:rStyle w:val="Hyperlink"/>
            <w:noProof/>
          </w:rPr>
          <w:t>9.4.6.</w:t>
        </w:r>
        <w:r w:rsidR="00BC01B1">
          <w:rPr>
            <w:rFonts w:asciiTheme="minorHAnsi" w:eastAsiaTheme="minorEastAsia" w:hAnsiTheme="minorHAnsi" w:cstheme="minorBidi"/>
            <w:i w:val="0"/>
            <w:noProof/>
            <w:sz w:val="22"/>
            <w:lang w:eastAsia="pt-BR"/>
          </w:rPr>
          <w:tab/>
        </w:r>
        <w:r w:rsidR="00BC01B1" w:rsidRPr="005D5DCB">
          <w:rPr>
            <w:rStyle w:val="Hyperlink"/>
            <w:noProof/>
          </w:rPr>
          <w:t>Indicadores para o objetivo 6</w:t>
        </w:r>
        <w:r w:rsidR="00BC01B1">
          <w:rPr>
            <w:noProof/>
            <w:webHidden/>
          </w:rPr>
          <w:tab/>
        </w:r>
        <w:r w:rsidR="00BC01B1">
          <w:rPr>
            <w:noProof/>
            <w:webHidden/>
          </w:rPr>
          <w:fldChar w:fldCharType="begin"/>
        </w:r>
        <w:r w:rsidR="00BC01B1">
          <w:rPr>
            <w:noProof/>
            <w:webHidden/>
          </w:rPr>
          <w:instrText xml:space="preserve"> PAGEREF _Toc509935717 \h </w:instrText>
        </w:r>
        <w:r w:rsidR="00BC01B1">
          <w:rPr>
            <w:noProof/>
            <w:webHidden/>
          </w:rPr>
        </w:r>
        <w:r w:rsidR="00BC01B1">
          <w:rPr>
            <w:noProof/>
            <w:webHidden/>
          </w:rPr>
          <w:fldChar w:fldCharType="separate"/>
        </w:r>
        <w:r>
          <w:rPr>
            <w:noProof/>
            <w:webHidden/>
          </w:rPr>
          <w:t>370</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18" w:history="1">
        <w:r w:rsidR="00BC01B1" w:rsidRPr="005D5DCB">
          <w:rPr>
            <w:rStyle w:val="Hyperlink"/>
            <w:noProof/>
          </w:rPr>
          <w:t>9.4.6.1.</w:t>
        </w:r>
        <w:r w:rsidR="00BC01B1">
          <w:rPr>
            <w:rFonts w:asciiTheme="minorHAnsi" w:eastAsiaTheme="minorEastAsia" w:hAnsiTheme="minorHAnsi" w:cstheme="minorBidi"/>
            <w:noProof/>
          </w:rPr>
          <w:tab/>
        </w:r>
        <w:r w:rsidR="00BC01B1" w:rsidRPr="005D5DCB">
          <w:rPr>
            <w:rStyle w:val="Hyperlink"/>
            <w:noProof/>
          </w:rPr>
          <w:t>Índice de respostas satisfatórias a reclamações</w:t>
        </w:r>
        <w:r w:rsidR="00BC01B1">
          <w:rPr>
            <w:noProof/>
            <w:webHidden/>
          </w:rPr>
          <w:tab/>
        </w:r>
        <w:r w:rsidR="00BC01B1">
          <w:rPr>
            <w:noProof/>
            <w:webHidden/>
          </w:rPr>
          <w:fldChar w:fldCharType="begin"/>
        </w:r>
        <w:r w:rsidR="00BC01B1">
          <w:rPr>
            <w:noProof/>
            <w:webHidden/>
          </w:rPr>
          <w:instrText xml:space="preserve"> PAGEREF _Toc509935718 \h </w:instrText>
        </w:r>
        <w:r w:rsidR="00BC01B1">
          <w:rPr>
            <w:noProof/>
            <w:webHidden/>
          </w:rPr>
        </w:r>
        <w:r w:rsidR="00BC01B1">
          <w:rPr>
            <w:noProof/>
            <w:webHidden/>
          </w:rPr>
          <w:fldChar w:fldCharType="separate"/>
        </w:r>
        <w:r>
          <w:rPr>
            <w:noProof/>
            <w:webHidden/>
          </w:rPr>
          <w:t>370</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19" w:history="1">
        <w:r w:rsidR="00BC01B1" w:rsidRPr="005D5DCB">
          <w:rPr>
            <w:rStyle w:val="Hyperlink"/>
            <w:noProof/>
          </w:rPr>
          <w:t>9.4.6.2.</w:t>
        </w:r>
        <w:r w:rsidR="00BC01B1">
          <w:rPr>
            <w:rFonts w:asciiTheme="minorHAnsi" w:eastAsiaTheme="minorEastAsia" w:hAnsiTheme="minorHAnsi" w:cstheme="minorBidi"/>
            <w:noProof/>
          </w:rPr>
          <w:tab/>
        </w:r>
        <w:r w:rsidR="00BC01B1" w:rsidRPr="005D5DCB">
          <w:rPr>
            <w:rStyle w:val="Hyperlink"/>
            <w:noProof/>
          </w:rPr>
          <w:t>Número de eventos realizados anualmente a respeito da drenagem urbana e proteção dos mananciais</w:t>
        </w:r>
        <w:r w:rsidR="00BC01B1">
          <w:rPr>
            <w:noProof/>
            <w:webHidden/>
          </w:rPr>
          <w:tab/>
        </w:r>
        <w:r w:rsidR="00BC01B1">
          <w:rPr>
            <w:noProof/>
            <w:webHidden/>
          </w:rPr>
          <w:fldChar w:fldCharType="begin"/>
        </w:r>
        <w:r w:rsidR="00BC01B1">
          <w:rPr>
            <w:noProof/>
            <w:webHidden/>
          </w:rPr>
          <w:instrText xml:space="preserve"> PAGEREF _Toc509935719 \h </w:instrText>
        </w:r>
        <w:r w:rsidR="00BC01B1">
          <w:rPr>
            <w:noProof/>
            <w:webHidden/>
          </w:rPr>
        </w:r>
        <w:r w:rsidR="00BC01B1">
          <w:rPr>
            <w:noProof/>
            <w:webHidden/>
          </w:rPr>
          <w:fldChar w:fldCharType="separate"/>
        </w:r>
        <w:r>
          <w:rPr>
            <w:noProof/>
            <w:webHidden/>
          </w:rPr>
          <w:t>370</w:t>
        </w:r>
        <w:r w:rsidR="00BC01B1">
          <w:rPr>
            <w:noProof/>
            <w:webHidden/>
          </w:rPr>
          <w:fldChar w:fldCharType="end"/>
        </w:r>
      </w:hyperlink>
    </w:p>
    <w:p w:rsidR="00BC01B1" w:rsidRDefault="001B481B">
      <w:pPr>
        <w:pStyle w:val="Sumrio2"/>
        <w:tabs>
          <w:tab w:val="left" w:pos="1134"/>
        </w:tabs>
        <w:rPr>
          <w:rFonts w:asciiTheme="minorHAnsi" w:eastAsiaTheme="minorEastAsia" w:hAnsiTheme="minorHAnsi" w:cstheme="minorBidi"/>
          <w:noProof/>
          <w:sz w:val="22"/>
          <w:lang w:eastAsia="pt-BR"/>
        </w:rPr>
      </w:pPr>
      <w:hyperlink w:anchor="_Toc509935720" w:history="1">
        <w:r w:rsidR="00BC01B1" w:rsidRPr="005D5DCB">
          <w:rPr>
            <w:rStyle w:val="Hyperlink"/>
            <w:noProof/>
          </w:rPr>
          <w:t>9.5.</w:t>
        </w:r>
        <w:r w:rsidR="00BC01B1">
          <w:rPr>
            <w:rFonts w:asciiTheme="minorHAnsi" w:eastAsiaTheme="minorEastAsia" w:hAnsiTheme="minorHAnsi" w:cstheme="minorBidi"/>
            <w:noProof/>
            <w:sz w:val="22"/>
            <w:lang w:eastAsia="pt-BR"/>
          </w:rPr>
          <w:tab/>
        </w:r>
        <w:r w:rsidR="00BC01B1" w:rsidRPr="005D5DCB">
          <w:rPr>
            <w:rStyle w:val="Hyperlink"/>
            <w:noProof/>
          </w:rPr>
          <w:t>Sistema de Limpeza Urbana e Manejo de Resíduos Sólidos</w:t>
        </w:r>
        <w:r w:rsidR="00BC01B1">
          <w:rPr>
            <w:noProof/>
            <w:webHidden/>
          </w:rPr>
          <w:tab/>
        </w:r>
        <w:r w:rsidR="00BC01B1">
          <w:rPr>
            <w:noProof/>
            <w:webHidden/>
          </w:rPr>
          <w:fldChar w:fldCharType="begin"/>
        </w:r>
        <w:r w:rsidR="00BC01B1">
          <w:rPr>
            <w:noProof/>
            <w:webHidden/>
          </w:rPr>
          <w:instrText xml:space="preserve"> PAGEREF _Toc509935720 \h </w:instrText>
        </w:r>
        <w:r w:rsidR="00BC01B1">
          <w:rPr>
            <w:noProof/>
            <w:webHidden/>
          </w:rPr>
        </w:r>
        <w:r w:rsidR="00BC01B1">
          <w:rPr>
            <w:noProof/>
            <w:webHidden/>
          </w:rPr>
          <w:fldChar w:fldCharType="separate"/>
        </w:r>
        <w:r>
          <w:rPr>
            <w:noProof/>
            <w:webHidden/>
          </w:rPr>
          <w:t>371</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721" w:history="1">
        <w:r w:rsidR="00BC01B1" w:rsidRPr="005D5DCB">
          <w:rPr>
            <w:rStyle w:val="Hyperlink"/>
            <w:noProof/>
          </w:rPr>
          <w:t>9.5.1.</w:t>
        </w:r>
        <w:r w:rsidR="00BC01B1">
          <w:rPr>
            <w:rFonts w:asciiTheme="minorHAnsi" w:eastAsiaTheme="minorEastAsia" w:hAnsiTheme="minorHAnsi" w:cstheme="minorBidi"/>
            <w:i w:val="0"/>
            <w:noProof/>
            <w:sz w:val="22"/>
            <w:lang w:eastAsia="pt-BR"/>
          </w:rPr>
          <w:tab/>
        </w:r>
        <w:r w:rsidR="00BC01B1" w:rsidRPr="005D5DCB">
          <w:rPr>
            <w:rStyle w:val="Hyperlink"/>
            <w:noProof/>
          </w:rPr>
          <w:t>Indicadores para o objetivo 1</w:t>
        </w:r>
        <w:r w:rsidR="00BC01B1">
          <w:rPr>
            <w:noProof/>
            <w:webHidden/>
          </w:rPr>
          <w:tab/>
        </w:r>
        <w:r w:rsidR="00BC01B1">
          <w:rPr>
            <w:noProof/>
            <w:webHidden/>
          </w:rPr>
          <w:fldChar w:fldCharType="begin"/>
        </w:r>
        <w:r w:rsidR="00BC01B1">
          <w:rPr>
            <w:noProof/>
            <w:webHidden/>
          </w:rPr>
          <w:instrText xml:space="preserve"> PAGEREF _Toc509935721 \h </w:instrText>
        </w:r>
        <w:r w:rsidR="00BC01B1">
          <w:rPr>
            <w:noProof/>
            <w:webHidden/>
          </w:rPr>
        </w:r>
        <w:r w:rsidR="00BC01B1">
          <w:rPr>
            <w:noProof/>
            <w:webHidden/>
          </w:rPr>
          <w:fldChar w:fldCharType="separate"/>
        </w:r>
        <w:r>
          <w:rPr>
            <w:noProof/>
            <w:webHidden/>
          </w:rPr>
          <w:t>374</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22" w:history="1">
        <w:r w:rsidR="00BC01B1" w:rsidRPr="005D5DCB">
          <w:rPr>
            <w:rStyle w:val="Hyperlink"/>
            <w:noProof/>
          </w:rPr>
          <w:t>9.5.1.1.</w:t>
        </w:r>
        <w:r w:rsidR="00BC01B1">
          <w:rPr>
            <w:rFonts w:asciiTheme="minorHAnsi" w:eastAsiaTheme="minorEastAsia" w:hAnsiTheme="minorHAnsi" w:cstheme="minorBidi"/>
            <w:noProof/>
          </w:rPr>
          <w:tab/>
        </w:r>
        <w:r w:rsidR="00BC01B1" w:rsidRPr="005D5DCB">
          <w:rPr>
            <w:rStyle w:val="Hyperlink"/>
            <w:noProof/>
          </w:rPr>
          <w:t>Índice de atendimento às ações propostas para o SLU/MRS</w:t>
        </w:r>
        <w:r w:rsidR="00BC01B1">
          <w:rPr>
            <w:noProof/>
            <w:webHidden/>
          </w:rPr>
          <w:tab/>
        </w:r>
        <w:r w:rsidR="00BC01B1">
          <w:rPr>
            <w:noProof/>
            <w:webHidden/>
          </w:rPr>
          <w:fldChar w:fldCharType="begin"/>
        </w:r>
        <w:r w:rsidR="00BC01B1">
          <w:rPr>
            <w:noProof/>
            <w:webHidden/>
          </w:rPr>
          <w:instrText xml:space="preserve"> PAGEREF _Toc509935722 \h </w:instrText>
        </w:r>
        <w:r w:rsidR="00BC01B1">
          <w:rPr>
            <w:noProof/>
            <w:webHidden/>
          </w:rPr>
        </w:r>
        <w:r w:rsidR="00BC01B1">
          <w:rPr>
            <w:noProof/>
            <w:webHidden/>
          </w:rPr>
          <w:fldChar w:fldCharType="separate"/>
        </w:r>
        <w:r>
          <w:rPr>
            <w:noProof/>
            <w:webHidden/>
          </w:rPr>
          <w:t>374</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23" w:history="1">
        <w:r w:rsidR="00BC01B1" w:rsidRPr="005D5DCB">
          <w:rPr>
            <w:rStyle w:val="Hyperlink"/>
            <w:noProof/>
          </w:rPr>
          <w:t>9.5.1.2.</w:t>
        </w:r>
        <w:r w:rsidR="00BC01B1">
          <w:rPr>
            <w:rFonts w:asciiTheme="minorHAnsi" w:eastAsiaTheme="minorEastAsia" w:hAnsiTheme="minorHAnsi" w:cstheme="minorBidi"/>
            <w:noProof/>
          </w:rPr>
          <w:tab/>
        </w:r>
        <w:r w:rsidR="00BC01B1" w:rsidRPr="005D5DCB">
          <w:rPr>
            <w:rStyle w:val="Hyperlink"/>
            <w:noProof/>
          </w:rPr>
          <w:t>Porcentagem de cobertura do serviço de coleta seletiva no município</w:t>
        </w:r>
        <w:r w:rsidR="00BC01B1">
          <w:rPr>
            <w:noProof/>
            <w:webHidden/>
          </w:rPr>
          <w:tab/>
        </w:r>
        <w:r w:rsidR="00BC01B1">
          <w:rPr>
            <w:noProof/>
            <w:webHidden/>
          </w:rPr>
          <w:fldChar w:fldCharType="begin"/>
        </w:r>
        <w:r w:rsidR="00BC01B1">
          <w:rPr>
            <w:noProof/>
            <w:webHidden/>
          </w:rPr>
          <w:instrText xml:space="preserve"> PAGEREF _Toc509935723 \h </w:instrText>
        </w:r>
        <w:r w:rsidR="00BC01B1">
          <w:rPr>
            <w:noProof/>
            <w:webHidden/>
          </w:rPr>
        </w:r>
        <w:r w:rsidR="00BC01B1">
          <w:rPr>
            <w:noProof/>
            <w:webHidden/>
          </w:rPr>
          <w:fldChar w:fldCharType="separate"/>
        </w:r>
        <w:r>
          <w:rPr>
            <w:noProof/>
            <w:webHidden/>
          </w:rPr>
          <w:t>374</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24" w:history="1">
        <w:r w:rsidR="00BC01B1" w:rsidRPr="005D5DCB">
          <w:rPr>
            <w:rStyle w:val="Hyperlink"/>
            <w:noProof/>
          </w:rPr>
          <w:t>9.5.1.3.</w:t>
        </w:r>
        <w:r w:rsidR="00BC01B1">
          <w:rPr>
            <w:rFonts w:asciiTheme="minorHAnsi" w:eastAsiaTheme="minorEastAsia" w:hAnsiTheme="minorHAnsi" w:cstheme="minorBidi"/>
            <w:noProof/>
          </w:rPr>
          <w:tab/>
        </w:r>
        <w:r w:rsidR="00BC01B1" w:rsidRPr="005D5DCB">
          <w:rPr>
            <w:rStyle w:val="Hyperlink"/>
            <w:noProof/>
          </w:rPr>
          <w:t>Porcentagem de cobertura dos serviços de coleta regular de RDO (Resíduos Sólidos Domiciliares) em toda área do município (urbana e rural)</w:t>
        </w:r>
        <w:r w:rsidR="00BC01B1">
          <w:rPr>
            <w:noProof/>
            <w:webHidden/>
          </w:rPr>
          <w:tab/>
        </w:r>
        <w:r w:rsidR="00BC01B1">
          <w:rPr>
            <w:noProof/>
            <w:webHidden/>
          </w:rPr>
          <w:fldChar w:fldCharType="begin"/>
        </w:r>
        <w:r w:rsidR="00BC01B1">
          <w:rPr>
            <w:noProof/>
            <w:webHidden/>
          </w:rPr>
          <w:instrText xml:space="preserve"> PAGEREF _Toc509935724 \h </w:instrText>
        </w:r>
        <w:r w:rsidR="00BC01B1">
          <w:rPr>
            <w:noProof/>
            <w:webHidden/>
          </w:rPr>
        </w:r>
        <w:r w:rsidR="00BC01B1">
          <w:rPr>
            <w:noProof/>
            <w:webHidden/>
          </w:rPr>
          <w:fldChar w:fldCharType="separate"/>
        </w:r>
        <w:r>
          <w:rPr>
            <w:noProof/>
            <w:webHidden/>
          </w:rPr>
          <w:t>375</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25" w:history="1">
        <w:r w:rsidR="00BC01B1" w:rsidRPr="005D5DCB">
          <w:rPr>
            <w:rStyle w:val="Hyperlink"/>
            <w:noProof/>
          </w:rPr>
          <w:t>9.5.1.4.</w:t>
        </w:r>
        <w:r w:rsidR="00BC01B1">
          <w:rPr>
            <w:rFonts w:asciiTheme="minorHAnsi" w:eastAsiaTheme="minorEastAsia" w:hAnsiTheme="minorHAnsi" w:cstheme="minorBidi"/>
            <w:noProof/>
          </w:rPr>
          <w:tab/>
        </w:r>
        <w:r w:rsidR="00BC01B1" w:rsidRPr="005D5DCB">
          <w:rPr>
            <w:rStyle w:val="Hyperlink"/>
            <w:noProof/>
          </w:rPr>
          <w:t>Porcentagem de cobertura dos serviços de varrição, poda, capina, roçagem e raspagem na área total do município (urbana + rural)</w:t>
        </w:r>
        <w:r w:rsidR="00BC01B1">
          <w:rPr>
            <w:noProof/>
            <w:webHidden/>
          </w:rPr>
          <w:tab/>
        </w:r>
        <w:r w:rsidR="00BC01B1">
          <w:rPr>
            <w:noProof/>
            <w:webHidden/>
          </w:rPr>
          <w:fldChar w:fldCharType="begin"/>
        </w:r>
        <w:r w:rsidR="00BC01B1">
          <w:rPr>
            <w:noProof/>
            <w:webHidden/>
          </w:rPr>
          <w:instrText xml:space="preserve"> PAGEREF _Toc509935725 \h </w:instrText>
        </w:r>
        <w:r w:rsidR="00BC01B1">
          <w:rPr>
            <w:noProof/>
            <w:webHidden/>
          </w:rPr>
        </w:r>
        <w:r w:rsidR="00BC01B1">
          <w:rPr>
            <w:noProof/>
            <w:webHidden/>
          </w:rPr>
          <w:fldChar w:fldCharType="separate"/>
        </w:r>
        <w:r>
          <w:rPr>
            <w:noProof/>
            <w:webHidden/>
          </w:rPr>
          <w:t>376</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26" w:history="1">
        <w:r w:rsidR="00BC01B1" w:rsidRPr="005D5DCB">
          <w:rPr>
            <w:rStyle w:val="Hyperlink"/>
            <w:noProof/>
          </w:rPr>
          <w:t>9.5.1.5.</w:t>
        </w:r>
        <w:r w:rsidR="00BC01B1">
          <w:rPr>
            <w:rFonts w:asciiTheme="minorHAnsi" w:eastAsiaTheme="minorEastAsia" w:hAnsiTheme="minorHAnsi" w:cstheme="minorBidi"/>
            <w:noProof/>
          </w:rPr>
          <w:tab/>
        </w:r>
        <w:r w:rsidR="00BC01B1" w:rsidRPr="005D5DCB">
          <w:rPr>
            <w:rStyle w:val="Hyperlink"/>
            <w:noProof/>
          </w:rPr>
          <w:t>Porcentagem de cobertura de coleta de resíduos orgânicos no município (área urbana e rural)</w:t>
        </w:r>
        <w:r w:rsidR="00BC01B1">
          <w:rPr>
            <w:noProof/>
            <w:webHidden/>
          </w:rPr>
          <w:tab/>
        </w:r>
        <w:r w:rsidR="00BC01B1">
          <w:rPr>
            <w:noProof/>
            <w:webHidden/>
          </w:rPr>
          <w:fldChar w:fldCharType="begin"/>
        </w:r>
        <w:r w:rsidR="00BC01B1">
          <w:rPr>
            <w:noProof/>
            <w:webHidden/>
          </w:rPr>
          <w:instrText xml:space="preserve"> PAGEREF _Toc509935726 \h </w:instrText>
        </w:r>
        <w:r w:rsidR="00BC01B1">
          <w:rPr>
            <w:noProof/>
            <w:webHidden/>
          </w:rPr>
        </w:r>
        <w:r w:rsidR="00BC01B1">
          <w:rPr>
            <w:noProof/>
            <w:webHidden/>
          </w:rPr>
          <w:fldChar w:fldCharType="separate"/>
        </w:r>
        <w:r>
          <w:rPr>
            <w:noProof/>
            <w:webHidden/>
          </w:rPr>
          <w:t>376</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727" w:history="1">
        <w:r w:rsidR="00BC01B1" w:rsidRPr="005D5DCB">
          <w:rPr>
            <w:rStyle w:val="Hyperlink"/>
            <w:noProof/>
          </w:rPr>
          <w:t>9.5.2.</w:t>
        </w:r>
        <w:r w:rsidR="00BC01B1">
          <w:rPr>
            <w:rFonts w:asciiTheme="minorHAnsi" w:eastAsiaTheme="minorEastAsia" w:hAnsiTheme="minorHAnsi" w:cstheme="minorBidi"/>
            <w:i w:val="0"/>
            <w:noProof/>
            <w:sz w:val="22"/>
            <w:lang w:eastAsia="pt-BR"/>
          </w:rPr>
          <w:tab/>
        </w:r>
        <w:r w:rsidR="00BC01B1" w:rsidRPr="005D5DCB">
          <w:rPr>
            <w:rStyle w:val="Hyperlink"/>
            <w:noProof/>
          </w:rPr>
          <w:t>Indicadores para o objetivo 2</w:t>
        </w:r>
        <w:r w:rsidR="00BC01B1">
          <w:rPr>
            <w:noProof/>
            <w:webHidden/>
          </w:rPr>
          <w:tab/>
        </w:r>
        <w:r w:rsidR="00BC01B1">
          <w:rPr>
            <w:noProof/>
            <w:webHidden/>
          </w:rPr>
          <w:fldChar w:fldCharType="begin"/>
        </w:r>
        <w:r w:rsidR="00BC01B1">
          <w:rPr>
            <w:noProof/>
            <w:webHidden/>
          </w:rPr>
          <w:instrText xml:space="preserve"> PAGEREF _Toc509935727 \h </w:instrText>
        </w:r>
        <w:r w:rsidR="00BC01B1">
          <w:rPr>
            <w:noProof/>
            <w:webHidden/>
          </w:rPr>
        </w:r>
        <w:r w:rsidR="00BC01B1">
          <w:rPr>
            <w:noProof/>
            <w:webHidden/>
          </w:rPr>
          <w:fldChar w:fldCharType="separate"/>
        </w:r>
        <w:r>
          <w:rPr>
            <w:noProof/>
            <w:webHidden/>
          </w:rPr>
          <w:t>377</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28" w:history="1">
        <w:r w:rsidR="00BC01B1" w:rsidRPr="005D5DCB">
          <w:rPr>
            <w:rStyle w:val="Hyperlink"/>
            <w:noProof/>
          </w:rPr>
          <w:t>9.5.2.1.</w:t>
        </w:r>
        <w:r w:rsidR="00BC01B1">
          <w:rPr>
            <w:rFonts w:asciiTheme="minorHAnsi" w:eastAsiaTheme="minorEastAsia" w:hAnsiTheme="minorHAnsi" w:cstheme="minorBidi"/>
            <w:noProof/>
          </w:rPr>
          <w:tab/>
        </w:r>
        <w:r w:rsidR="00BC01B1" w:rsidRPr="005D5DCB">
          <w:rPr>
            <w:rStyle w:val="Hyperlink"/>
            <w:noProof/>
          </w:rPr>
          <w:t>Extensão varrida anualmente por extensão total de vias</w:t>
        </w:r>
        <w:r w:rsidR="00BC01B1">
          <w:rPr>
            <w:noProof/>
            <w:webHidden/>
          </w:rPr>
          <w:tab/>
        </w:r>
        <w:r w:rsidR="00BC01B1">
          <w:rPr>
            <w:noProof/>
            <w:webHidden/>
          </w:rPr>
          <w:fldChar w:fldCharType="begin"/>
        </w:r>
        <w:r w:rsidR="00BC01B1">
          <w:rPr>
            <w:noProof/>
            <w:webHidden/>
          </w:rPr>
          <w:instrText xml:space="preserve"> PAGEREF _Toc509935728 \h </w:instrText>
        </w:r>
        <w:r w:rsidR="00BC01B1">
          <w:rPr>
            <w:noProof/>
            <w:webHidden/>
          </w:rPr>
        </w:r>
        <w:r w:rsidR="00BC01B1">
          <w:rPr>
            <w:noProof/>
            <w:webHidden/>
          </w:rPr>
          <w:fldChar w:fldCharType="separate"/>
        </w:r>
        <w:r>
          <w:rPr>
            <w:noProof/>
            <w:webHidden/>
          </w:rPr>
          <w:t>377</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29" w:history="1">
        <w:r w:rsidR="00BC01B1" w:rsidRPr="005D5DCB">
          <w:rPr>
            <w:rStyle w:val="Hyperlink"/>
            <w:noProof/>
          </w:rPr>
          <w:t>9.5.2.2.</w:t>
        </w:r>
        <w:r w:rsidR="00BC01B1">
          <w:rPr>
            <w:rFonts w:asciiTheme="minorHAnsi" w:eastAsiaTheme="minorEastAsia" w:hAnsiTheme="minorHAnsi" w:cstheme="minorBidi"/>
            <w:noProof/>
          </w:rPr>
          <w:tab/>
        </w:r>
        <w:r w:rsidR="00BC01B1" w:rsidRPr="005D5DCB">
          <w:rPr>
            <w:rStyle w:val="Hyperlink"/>
            <w:noProof/>
          </w:rPr>
          <w:t>Índice da área atendida com serviços de capina e roçagem</w:t>
        </w:r>
        <w:r w:rsidR="00BC01B1">
          <w:rPr>
            <w:noProof/>
            <w:webHidden/>
          </w:rPr>
          <w:tab/>
        </w:r>
        <w:r w:rsidR="00BC01B1">
          <w:rPr>
            <w:noProof/>
            <w:webHidden/>
          </w:rPr>
          <w:fldChar w:fldCharType="begin"/>
        </w:r>
        <w:r w:rsidR="00BC01B1">
          <w:rPr>
            <w:noProof/>
            <w:webHidden/>
          </w:rPr>
          <w:instrText xml:space="preserve"> PAGEREF _Toc509935729 \h </w:instrText>
        </w:r>
        <w:r w:rsidR="00BC01B1">
          <w:rPr>
            <w:noProof/>
            <w:webHidden/>
          </w:rPr>
        </w:r>
        <w:r w:rsidR="00BC01B1">
          <w:rPr>
            <w:noProof/>
            <w:webHidden/>
          </w:rPr>
          <w:fldChar w:fldCharType="separate"/>
        </w:r>
        <w:r>
          <w:rPr>
            <w:noProof/>
            <w:webHidden/>
          </w:rPr>
          <w:t>378</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30" w:history="1">
        <w:r w:rsidR="00BC01B1" w:rsidRPr="005D5DCB">
          <w:rPr>
            <w:rStyle w:val="Hyperlink"/>
            <w:noProof/>
          </w:rPr>
          <w:t>9.5.2.3.</w:t>
        </w:r>
        <w:r w:rsidR="00BC01B1">
          <w:rPr>
            <w:rFonts w:asciiTheme="minorHAnsi" w:eastAsiaTheme="minorEastAsia" w:hAnsiTheme="minorHAnsi" w:cstheme="minorBidi"/>
            <w:noProof/>
          </w:rPr>
          <w:tab/>
        </w:r>
        <w:r w:rsidR="00BC01B1" w:rsidRPr="005D5DCB">
          <w:rPr>
            <w:rStyle w:val="Hyperlink"/>
            <w:noProof/>
          </w:rPr>
          <w:t>Índice de prestação de serviços de poda e corte da arborização</w:t>
        </w:r>
        <w:r w:rsidR="00BC01B1">
          <w:rPr>
            <w:noProof/>
            <w:webHidden/>
          </w:rPr>
          <w:tab/>
        </w:r>
        <w:r w:rsidR="00BC01B1">
          <w:rPr>
            <w:noProof/>
            <w:webHidden/>
          </w:rPr>
          <w:fldChar w:fldCharType="begin"/>
        </w:r>
        <w:r w:rsidR="00BC01B1">
          <w:rPr>
            <w:noProof/>
            <w:webHidden/>
          </w:rPr>
          <w:instrText xml:space="preserve"> PAGEREF _Toc509935730 \h </w:instrText>
        </w:r>
        <w:r w:rsidR="00BC01B1">
          <w:rPr>
            <w:noProof/>
            <w:webHidden/>
          </w:rPr>
        </w:r>
        <w:r w:rsidR="00BC01B1">
          <w:rPr>
            <w:noProof/>
            <w:webHidden/>
          </w:rPr>
          <w:fldChar w:fldCharType="separate"/>
        </w:r>
        <w:r>
          <w:rPr>
            <w:noProof/>
            <w:webHidden/>
          </w:rPr>
          <w:t>378</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31" w:history="1">
        <w:r w:rsidR="00BC01B1" w:rsidRPr="005D5DCB">
          <w:rPr>
            <w:rStyle w:val="Hyperlink"/>
            <w:noProof/>
          </w:rPr>
          <w:t>9.5.2.4.</w:t>
        </w:r>
        <w:r w:rsidR="00BC01B1">
          <w:rPr>
            <w:rFonts w:asciiTheme="minorHAnsi" w:eastAsiaTheme="minorEastAsia" w:hAnsiTheme="minorHAnsi" w:cstheme="minorBidi"/>
            <w:noProof/>
          </w:rPr>
          <w:tab/>
        </w:r>
        <w:r w:rsidR="00BC01B1" w:rsidRPr="005D5DCB">
          <w:rPr>
            <w:rStyle w:val="Hyperlink"/>
            <w:noProof/>
          </w:rPr>
          <w:t>Porcentagem do total de resíduos de poda e capina, roçagem e raspagem que é enviada para a compostagem</w:t>
        </w:r>
        <w:r w:rsidR="00BC01B1">
          <w:rPr>
            <w:noProof/>
            <w:webHidden/>
          </w:rPr>
          <w:tab/>
        </w:r>
        <w:r w:rsidR="00BC01B1">
          <w:rPr>
            <w:noProof/>
            <w:webHidden/>
          </w:rPr>
          <w:fldChar w:fldCharType="begin"/>
        </w:r>
        <w:r w:rsidR="00BC01B1">
          <w:rPr>
            <w:noProof/>
            <w:webHidden/>
          </w:rPr>
          <w:instrText xml:space="preserve"> PAGEREF _Toc509935731 \h </w:instrText>
        </w:r>
        <w:r w:rsidR="00BC01B1">
          <w:rPr>
            <w:noProof/>
            <w:webHidden/>
          </w:rPr>
        </w:r>
        <w:r w:rsidR="00BC01B1">
          <w:rPr>
            <w:noProof/>
            <w:webHidden/>
          </w:rPr>
          <w:fldChar w:fldCharType="separate"/>
        </w:r>
        <w:r>
          <w:rPr>
            <w:noProof/>
            <w:webHidden/>
          </w:rPr>
          <w:t>378</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32" w:history="1">
        <w:r w:rsidR="00BC01B1" w:rsidRPr="005D5DCB">
          <w:rPr>
            <w:rStyle w:val="Hyperlink"/>
            <w:noProof/>
          </w:rPr>
          <w:t>9.5.2.5.</w:t>
        </w:r>
        <w:r w:rsidR="00BC01B1">
          <w:rPr>
            <w:rFonts w:asciiTheme="minorHAnsi" w:eastAsiaTheme="minorEastAsia" w:hAnsiTheme="minorHAnsi" w:cstheme="minorBidi"/>
            <w:noProof/>
          </w:rPr>
          <w:tab/>
        </w:r>
        <w:r w:rsidR="00BC01B1" w:rsidRPr="005D5DCB">
          <w:rPr>
            <w:rStyle w:val="Hyperlink"/>
            <w:noProof/>
          </w:rPr>
          <w:t>Volume de resíduos dispostos no aterro (em metros cúbicos)</w:t>
        </w:r>
        <w:r w:rsidR="00BC01B1">
          <w:rPr>
            <w:noProof/>
            <w:webHidden/>
          </w:rPr>
          <w:tab/>
        </w:r>
        <w:r w:rsidR="00BC01B1">
          <w:rPr>
            <w:noProof/>
            <w:webHidden/>
          </w:rPr>
          <w:fldChar w:fldCharType="begin"/>
        </w:r>
        <w:r w:rsidR="00BC01B1">
          <w:rPr>
            <w:noProof/>
            <w:webHidden/>
          </w:rPr>
          <w:instrText xml:space="preserve"> PAGEREF _Toc509935732 \h </w:instrText>
        </w:r>
        <w:r w:rsidR="00BC01B1">
          <w:rPr>
            <w:noProof/>
            <w:webHidden/>
          </w:rPr>
        </w:r>
        <w:r w:rsidR="00BC01B1">
          <w:rPr>
            <w:noProof/>
            <w:webHidden/>
          </w:rPr>
          <w:fldChar w:fldCharType="separate"/>
        </w:r>
        <w:r>
          <w:rPr>
            <w:noProof/>
            <w:webHidden/>
          </w:rPr>
          <w:t>379</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733" w:history="1">
        <w:r w:rsidR="00BC01B1" w:rsidRPr="005D5DCB">
          <w:rPr>
            <w:rStyle w:val="Hyperlink"/>
            <w:noProof/>
          </w:rPr>
          <w:t>9.5.3.</w:t>
        </w:r>
        <w:r w:rsidR="00BC01B1">
          <w:rPr>
            <w:rFonts w:asciiTheme="minorHAnsi" w:eastAsiaTheme="minorEastAsia" w:hAnsiTheme="minorHAnsi" w:cstheme="minorBidi"/>
            <w:i w:val="0"/>
            <w:noProof/>
            <w:sz w:val="22"/>
            <w:lang w:eastAsia="pt-BR"/>
          </w:rPr>
          <w:tab/>
        </w:r>
        <w:r w:rsidR="00BC01B1" w:rsidRPr="005D5DCB">
          <w:rPr>
            <w:rStyle w:val="Hyperlink"/>
            <w:noProof/>
          </w:rPr>
          <w:t>Indicadores para o objetivo 3</w:t>
        </w:r>
        <w:r w:rsidR="00BC01B1">
          <w:rPr>
            <w:noProof/>
            <w:webHidden/>
          </w:rPr>
          <w:tab/>
        </w:r>
        <w:r w:rsidR="00BC01B1">
          <w:rPr>
            <w:noProof/>
            <w:webHidden/>
          </w:rPr>
          <w:fldChar w:fldCharType="begin"/>
        </w:r>
        <w:r w:rsidR="00BC01B1">
          <w:rPr>
            <w:noProof/>
            <w:webHidden/>
          </w:rPr>
          <w:instrText xml:space="preserve"> PAGEREF _Toc509935733 \h </w:instrText>
        </w:r>
        <w:r w:rsidR="00BC01B1">
          <w:rPr>
            <w:noProof/>
            <w:webHidden/>
          </w:rPr>
        </w:r>
        <w:r w:rsidR="00BC01B1">
          <w:rPr>
            <w:noProof/>
            <w:webHidden/>
          </w:rPr>
          <w:fldChar w:fldCharType="separate"/>
        </w:r>
        <w:r>
          <w:rPr>
            <w:noProof/>
            <w:webHidden/>
          </w:rPr>
          <w:t>379</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34" w:history="1">
        <w:r w:rsidR="00BC01B1" w:rsidRPr="005D5DCB">
          <w:rPr>
            <w:rStyle w:val="Hyperlink"/>
            <w:noProof/>
          </w:rPr>
          <w:t>9.5.3.1.</w:t>
        </w:r>
        <w:r w:rsidR="00BC01B1">
          <w:rPr>
            <w:rFonts w:asciiTheme="minorHAnsi" w:eastAsiaTheme="minorEastAsia" w:hAnsiTheme="minorHAnsi" w:cstheme="minorBidi"/>
            <w:noProof/>
          </w:rPr>
          <w:tab/>
        </w:r>
        <w:r w:rsidR="00BC01B1" w:rsidRPr="005D5DCB">
          <w:rPr>
            <w:rStyle w:val="Hyperlink"/>
            <w:noProof/>
          </w:rPr>
          <w:t>Porcentagem do total de resíduos recicláveis que é disposta em aterro sanitário</w:t>
        </w:r>
        <w:r w:rsidR="009B0332" w:rsidRPr="009B0332">
          <w:rPr>
            <w:rStyle w:val="Hyperlink"/>
            <w:noProof/>
            <w:webHidden/>
          </w:rPr>
          <w:tab/>
        </w:r>
        <w:r w:rsidR="00BC01B1">
          <w:rPr>
            <w:noProof/>
            <w:webHidden/>
          </w:rPr>
          <w:tab/>
        </w:r>
        <w:r w:rsidR="00BC01B1">
          <w:rPr>
            <w:noProof/>
            <w:webHidden/>
          </w:rPr>
          <w:fldChar w:fldCharType="begin"/>
        </w:r>
        <w:r w:rsidR="00BC01B1">
          <w:rPr>
            <w:noProof/>
            <w:webHidden/>
          </w:rPr>
          <w:instrText xml:space="preserve"> PAGEREF _Toc509935734 \h </w:instrText>
        </w:r>
        <w:r w:rsidR="00BC01B1">
          <w:rPr>
            <w:noProof/>
            <w:webHidden/>
          </w:rPr>
        </w:r>
        <w:r w:rsidR="00BC01B1">
          <w:rPr>
            <w:noProof/>
            <w:webHidden/>
          </w:rPr>
          <w:fldChar w:fldCharType="separate"/>
        </w:r>
        <w:r>
          <w:rPr>
            <w:noProof/>
            <w:webHidden/>
          </w:rPr>
          <w:t>379</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35" w:history="1">
        <w:r w:rsidR="00BC01B1" w:rsidRPr="005D5DCB">
          <w:rPr>
            <w:rStyle w:val="Hyperlink"/>
            <w:noProof/>
          </w:rPr>
          <w:t>9.5.3.2.</w:t>
        </w:r>
        <w:r w:rsidR="00BC01B1">
          <w:rPr>
            <w:rFonts w:asciiTheme="minorHAnsi" w:eastAsiaTheme="minorEastAsia" w:hAnsiTheme="minorHAnsi" w:cstheme="minorBidi"/>
            <w:noProof/>
          </w:rPr>
          <w:tab/>
        </w:r>
        <w:r w:rsidR="00BC01B1" w:rsidRPr="005D5DCB">
          <w:rPr>
            <w:rStyle w:val="Hyperlink"/>
            <w:noProof/>
          </w:rPr>
          <w:t>Porcentagem de resíduos compostáveis presentes entre os resíduos sólidos dispostos em aterro sanitário</w:t>
        </w:r>
        <w:r w:rsidR="00BC01B1">
          <w:rPr>
            <w:noProof/>
            <w:webHidden/>
          </w:rPr>
          <w:tab/>
        </w:r>
        <w:r w:rsidR="00BC01B1">
          <w:rPr>
            <w:noProof/>
            <w:webHidden/>
          </w:rPr>
          <w:fldChar w:fldCharType="begin"/>
        </w:r>
        <w:r w:rsidR="00BC01B1">
          <w:rPr>
            <w:noProof/>
            <w:webHidden/>
          </w:rPr>
          <w:instrText xml:space="preserve"> PAGEREF _Toc509935735 \h </w:instrText>
        </w:r>
        <w:r w:rsidR="00BC01B1">
          <w:rPr>
            <w:noProof/>
            <w:webHidden/>
          </w:rPr>
        </w:r>
        <w:r w:rsidR="00BC01B1">
          <w:rPr>
            <w:noProof/>
            <w:webHidden/>
          </w:rPr>
          <w:fldChar w:fldCharType="separate"/>
        </w:r>
        <w:r>
          <w:rPr>
            <w:noProof/>
            <w:webHidden/>
          </w:rPr>
          <w:t>380</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36" w:history="1">
        <w:r w:rsidR="00BC01B1" w:rsidRPr="005D5DCB">
          <w:rPr>
            <w:rStyle w:val="Hyperlink"/>
            <w:noProof/>
          </w:rPr>
          <w:t>9.5.3.3.</w:t>
        </w:r>
        <w:r w:rsidR="00BC01B1">
          <w:rPr>
            <w:rFonts w:asciiTheme="minorHAnsi" w:eastAsiaTheme="minorEastAsia" w:hAnsiTheme="minorHAnsi" w:cstheme="minorBidi"/>
            <w:noProof/>
          </w:rPr>
          <w:tab/>
        </w:r>
        <w:r w:rsidR="00BC01B1" w:rsidRPr="005D5DCB">
          <w:rPr>
            <w:rStyle w:val="Hyperlink"/>
            <w:noProof/>
          </w:rPr>
          <w:t>Índice de comercialização de materiais recicláveis</w:t>
        </w:r>
        <w:r w:rsidR="00BC01B1">
          <w:rPr>
            <w:noProof/>
            <w:webHidden/>
          </w:rPr>
          <w:tab/>
        </w:r>
        <w:r w:rsidR="00BC01B1">
          <w:rPr>
            <w:noProof/>
            <w:webHidden/>
          </w:rPr>
          <w:fldChar w:fldCharType="begin"/>
        </w:r>
        <w:r w:rsidR="00BC01B1">
          <w:rPr>
            <w:noProof/>
            <w:webHidden/>
          </w:rPr>
          <w:instrText xml:space="preserve"> PAGEREF _Toc509935736 \h </w:instrText>
        </w:r>
        <w:r w:rsidR="00BC01B1">
          <w:rPr>
            <w:noProof/>
            <w:webHidden/>
          </w:rPr>
        </w:r>
        <w:r w:rsidR="00BC01B1">
          <w:rPr>
            <w:noProof/>
            <w:webHidden/>
          </w:rPr>
          <w:fldChar w:fldCharType="separate"/>
        </w:r>
        <w:r>
          <w:rPr>
            <w:noProof/>
            <w:webHidden/>
          </w:rPr>
          <w:t>380</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737" w:history="1">
        <w:r w:rsidR="00BC01B1" w:rsidRPr="005D5DCB">
          <w:rPr>
            <w:rStyle w:val="Hyperlink"/>
            <w:noProof/>
          </w:rPr>
          <w:t>9.5.4.</w:t>
        </w:r>
        <w:r w:rsidR="00BC01B1">
          <w:rPr>
            <w:rFonts w:asciiTheme="minorHAnsi" w:eastAsiaTheme="minorEastAsia" w:hAnsiTheme="minorHAnsi" w:cstheme="minorBidi"/>
            <w:i w:val="0"/>
            <w:noProof/>
            <w:sz w:val="22"/>
            <w:lang w:eastAsia="pt-BR"/>
          </w:rPr>
          <w:tab/>
        </w:r>
        <w:r w:rsidR="00BC01B1" w:rsidRPr="005D5DCB">
          <w:rPr>
            <w:rStyle w:val="Hyperlink"/>
            <w:noProof/>
          </w:rPr>
          <w:t>Indicadores para o objetivo 4</w:t>
        </w:r>
        <w:r w:rsidR="00BC01B1">
          <w:rPr>
            <w:noProof/>
            <w:webHidden/>
          </w:rPr>
          <w:tab/>
        </w:r>
        <w:r w:rsidR="00BC01B1">
          <w:rPr>
            <w:noProof/>
            <w:webHidden/>
          </w:rPr>
          <w:fldChar w:fldCharType="begin"/>
        </w:r>
        <w:r w:rsidR="00BC01B1">
          <w:rPr>
            <w:noProof/>
            <w:webHidden/>
          </w:rPr>
          <w:instrText xml:space="preserve"> PAGEREF _Toc509935737 \h </w:instrText>
        </w:r>
        <w:r w:rsidR="00BC01B1">
          <w:rPr>
            <w:noProof/>
            <w:webHidden/>
          </w:rPr>
        </w:r>
        <w:r w:rsidR="00BC01B1">
          <w:rPr>
            <w:noProof/>
            <w:webHidden/>
          </w:rPr>
          <w:fldChar w:fldCharType="separate"/>
        </w:r>
        <w:r>
          <w:rPr>
            <w:noProof/>
            <w:webHidden/>
          </w:rPr>
          <w:t>381</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38" w:history="1">
        <w:r w:rsidR="00BC01B1" w:rsidRPr="005D5DCB">
          <w:rPr>
            <w:rStyle w:val="Hyperlink"/>
            <w:noProof/>
          </w:rPr>
          <w:t>9.5.4.1.</w:t>
        </w:r>
        <w:r w:rsidR="00BC01B1">
          <w:rPr>
            <w:rFonts w:asciiTheme="minorHAnsi" w:eastAsiaTheme="minorEastAsia" w:hAnsiTheme="minorHAnsi" w:cstheme="minorBidi"/>
            <w:noProof/>
          </w:rPr>
          <w:tab/>
        </w:r>
        <w:r w:rsidR="00BC01B1" w:rsidRPr="005D5DCB">
          <w:rPr>
            <w:rStyle w:val="Hyperlink"/>
            <w:noProof/>
          </w:rPr>
          <w:t>Autossuficiência financeira da prefeitura com o manejo de resíduos sólidos urbanos</w:t>
        </w:r>
        <w:r w:rsidR="00BC01B1">
          <w:rPr>
            <w:noProof/>
            <w:webHidden/>
          </w:rPr>
          <w:tab/>
        </w:r>
        <w:r w:rsidR="00BC01B1">
          <w:rPr>
            <w:noProof/>
            <w:webHidden/>
          </w:rPr>
          <w:fldChar w:fldCharType="begin"/>
        </w:r>
        <w:r w:rsidR="00BC01B1">
          <w:rPr>
            <w:noProof/>
            <w:webHidden/>
          </w:rPr>
          <w:instrText xml:space="preserve"> PAGEREF _Toc509935738 \h </w:instrText>
        </w:r>
        <w:r w:rsidR="00BC01B1">
          <w:rPr>
            <w:noProof/>
            <w:webHidden/>
          </w:rPr>
        </w:r>
        <w:r w:rsidR="00BC01B1">
          <w:rPr>
            <w:noProof/>
            <w:webHidden/>
          </w:rPr>
          <w:fldChar w:fldCharType="separate"/>
        </w:r>
        <w:r>
          <w:rPr>
            <w:noProof/>
            <w:webHidden/>
          </w:rPr>
          <w:t>381</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39" w:history="1">
        <w:r w:rsidR="00BC01B1" w:rsidRPr="005D5DCB">
          <w:rPr>
            <w:rStyle w:val="Hyperlink"/>
            <w:noProof/>
          </w:rPr>
          <w:t>9.5.4.2.</w:t>
        </w:r>
        <w:r w:rsidR="00BC01B1">
          <w:rPr>
            <w:rFonts w:asciiTheme="minorHAnsi" w:eastAsiaTheme="minorEastAsia" w:hAnsiTheme="minorHAnsi" w:cstheme="minorBidi"/>
            <w:noProof/>
          </w:rPr>
          <w:tab/>
        </w:r>
        <w:r w:rsidR="00BC01B1" w:rsidRPr="005D5DCB">
          <w:rPr>
            <w:rStyle w:val="Hyperlink"/>
            <w:noProof/>
          </w:rPr>
          <w:t>Custo unitário médio do serviço de manejo de resíduos sólidos urbanos</w:t>
        </w:r>
        <w:r w:rsidR="009B0332" w:rsidRPr="009B0332">
          <w:rPr>
            <w:rStyle w:val="Hyperlink"/>
            <w:noProof/>
            <w:webHidden/>
          </w:rPr>
          <w:tab/>
        </w:r>
        <w:r w:rsidR="00BC01B1">
          <w:rPr>
            <w:noProof/>
            <w:webHidden/>
          </w:rPr>
          <w:tab/>
        </w:r>
        <w:r w:rsidR="00BC01B1">
          <w:rPr>
            <w:noProof/>
            <w:webHidden/>
          </w:rPr>
          <w:fldChar w:fldCharType="begin"/>
        </w:r>
        <w:r w:rsidR="00BC01B1">
          <w:rPr>
            <w:noProof/>
            <w:webHidden/>
          </w:rPr>
          <w:instrText xml:space="preserve"> PAGEREF _Toc509935739 \h </w:instrText>
        </w:r>
        <w:r w:rsidR="00BC01B1">
          <w:rPr>
            <w:noProof/>
            <w:webHidden/>
          </w:rPr>
        </w:r>
        <w:r w:rsidR="00BC01B1">
          <w:rPr>
            <w:noProof/>
            <w:webHidden/>
          </w:rPr>
          <w:fldChar w:fldCharType="separate"/>
        </w:r>
        <w:r>
          <w:rPr>
            <w:noProof/>
            <w:webHidden/>
          </w:rPr>
          <w:t>382</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40" w:history="1">
        <w:r w:rsidR="00BC01B1" w:rsidRPr="005D5DCB">
          <w:rPr>
            <w:rStyle w:val="Hyperlink"/>
            <w:noProof/>
          </w:rPr>
          <w:t>9.5.4.3.</w:t>
        </w:r>
        <w:r w:rsidR="00BC01B1">
          <w:rPr>
            <w:rFonts w:asciiTheme="minorHAnsi" w:eastAsiaTheme="minorEastAsia" w:hAnsiTheme="minorHAnsi" w:cstheme="minorBidi"/>
            <w:noProof/>
          </w:rPr>
          <w:tab/>
        </w:r>
        <w:r w:rsidR="00BC01B1" w:rsidRPr="005D5DCB">
          <w:rPr>
            <w:rStyle w:val="Hyperlink"/>
            <w:noProof/>
          </w:rPr>
          <w:t>Porcentagem de grandes geradores que utilizam o serviço de coleta convencional de resíduos</w:t>
        </w:r>
        <w:r w:rsidR="00BC01B1">
          <w:rPr>
            <w:noProof/>
            <w:webHidden/>
          </w:rPr>
          <w:tab/>
        </w:r>
        <w:r w:rsidR="00BC01B1">
          <w:rPr>
            <w:noProof/>
            <w:webHidden/>
          </w:rPr>
          <w:fldChar w:fldCharType="begin"/>
        </w:r>
        <w:r w:rsidR="00BC01B1">
          <w:rPr>
            <w:noProof/>
            <w:webHidden/>
          </w:rPr>
          <w:instrText xml:space="preserve"> PAGEREF _Toc509935740 \h </w:instrText>
        </w:r>
        <w:r w:rsidR="00BC01B1">
          <w:rPr>
            <w:noProof/>
            <w:webHidden/>
          </w:rPr>
        </w:r>
        <w:r w:rsidR="00BC01B1">
          <w:rPr>
            <w:noProof/>
            <w:webHidden/>
          </w:rPr>
          <w:fldChar w:fldCharType="separate"/>
        </w:r>
        <w:r>
          <w:rPr>
            <w:noProof/>
            <w:webHidden/>
          </w:rPr>
          <w:t>382</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41" w:history="1">
        <w:r w:rsidR="00BC01B1" w:rsidRPr="005D5DCB">
          <w:rPr>
            <w:rStyle w:val="Hyperlink"/>
            <w:noProof/>
          </w:rPr>
          <w:t>9.5.4.4.</w:t>
        </w:r>
        <w:r w:rsidR="00BC01B1">
          <w:rPr>
            <w:rFonts w:asciiTheme="minorHAnsi" w:eastAsiaTheme="minorEastAsia" w:hAnsiTheme="minorHAnsi" w:cstheme="minorBidi"/>
            <w:noProof/>
          </w:rPr>
          <w:tab/>
        </w:r>
        <w:r w:rsidR="00BC01B1" w:rsidRPr="005D5DCB">
          <w:rPr>
            <w:rStyle w:val="Hyperlink"/>
            <w:noProof/>
          </w:rPr>
          <w:t>Existência de mapa atualizado da rota de movimentação de resíduos sólidos urbanos</w:t>
        </w:r>
        <w:r w:rsidR="00BC01B1">
          <w:rPr>
            <w:noProof/>
            <w:webHidden/>
          </w:rPr>
          <w:tab/>
        </w:r>
        <w:r w:rsidR="00BC01B1">
          <w:rPr>
            <w:noProof/>
            <w:webHidden/>
          </w:rPr>
          <w:fldChar w:fldCharType="begin"/>
        </w:r>
        <w:r w:rsidR="00BC01B1">
          <w:rPr>
            <w:noProof/>
            <w:webHidden/>
          </w:rPr>
          <w:instrText xml:space="preserve"> PAGEREF _Toc509935741 \h </w:instrText>
        </w:r>
        <w:r w:rsidR="00BC01B1">
          <w:rPr>
            <w:noProof/>
            <w:webHidden/>
          </w:rPr>
        </w:r>
        <w:r w:rsidR="00BC01B1">
          <w:rPr>
            <w:noProof/>
            <w:webHidden/>
          </w:rPr>
          <w:fldChar w:fldCharType="separate"/>
        </w:r>
        <w:r>
          <w:rPr>
            <w:noProof/>
            <w:webHidden/>
          </w:rPr>
          <w:t>383</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42" w:history="1">
        <w:r w:rsidR="00BC01B1" w:rsidRPr="005D5DCB">
          <w:rPr>
            <w:rStyle w:val="Hyperlink"/>
            <w:noProof/>
          </w:rPr>
          <w:t>9.5.4.5.</w:t>
        </w:r>
        <w:r w:rsidR="00BC01B1">
          <w:rPr>
            <w:rFonts w:asciiTheme="minorHAnsi" w:eastAsiaTheme="minorEastAsia" w:hAnsiTheme="minorHAnsi" w:cstheme="minorBidi"/>
            <w:noProof/>
          </w:rPr>
          <w:tab/>
        </w:r>
        <w:r w:rsidR="00BC01B1" w:rsidRPr="005D5DCB">
          <w:rPr>
            <w:rStyle w:val="Hyperlink"/>
            <w:noProof/>
          </w:rPr>
          <w:t>Existência de mecanismos econômicos para remuneração e cobrança dos serviços prestados e incentivo econômico à reciclagem</w:t>
        </w:r>
        <w:r w:rsidR="00BC01B1">
          <w:rPr>
            <w:noProof/>
            <w:webHidden/>
          </w:rPr>
          <w:tab/>
        </w:r>
        <w:r w:rsidR="00BC01B1">
          <w:rPr>
            <w:noProof/>
            <w:webHidden/>
          </w:rPr>
          <w:fldChar w:fldCharType="begin"/>
        </w:r>
        <w:r w:rsidR="00BC01B1">
          <w:rPr>
            <w:noProof/>
            <w:webHidden/>
          </w:rPr>
          <w:instrText xml:space="preserve"> PAGEREF _Toc509935742 \h </w:instrText>
        </w:r>
        <w:r w:rsidR="00BC01B1">
          <w:rPr>
            <w:noProof/>
            <w:webHidden/>
          </w:rPr>
        </w:r>
        <w:r w:rsidR="00BC01B1">
          <w:rPr>
            <w:noProof/>
            <w:webHidden/>
          </w:rPr>
          <w:fldChar w:fldCharType="separate"/>
        </w:r>
        <w:r>
          <w:rPr>
            <w:noProof/>
            <w:webHidden/>
          </w:rPr>
          <w:t>383</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43" w:history="1">
        <w:r w:rsidR="00BC01B1" w:rsidRPr="005D5DCB">
          <w:rPr>
            <w:rStyle w:val="Hyperlink"/>
            <w:noProof/>
          </w:rPr>
          <w:t>9.5.4.6.</w:t>
        </w:r>
        <w:r w:rsidR="00BC01B1">
          <w:rPr>
            <w:rFonts w:asciiTheme="minorHAnsi" w:eastAsiaTheme="minorEastAsia" w:hAnsiTheme="minorHAnsi" w:cstheme="minorBidi"/>
            <w:noProof/>
          </w:rPr>
          <w:tab/>
        </w:r>
        <w:r w:rsidR="00BC01B1" w:rsidRPr="005D5DCB">
          <w:rPr>
            <w:rStyle w:val="Hyperlink"/>
            <w:noProof/>
          </w:rPr>
          <w:t>Existência de Plano de Resíduos de Construção Civil e periodicidade de revisão</w:t>
        </w:r>
        <w:r w:rsidR="00BC01B1">
          <w:rPr>
            <w:noProof/>
            <w:webHidden/>
          </w:rPr>
          <w:tab/>
        </w:r>
        <w:r w:rsidR="00BC01B1">
          <w:rPr>
            <w:noProof/>
            <w:webHidden/>
          </w:rPr>
          <w:fldChar w:fldCharType="begin"/>
        </w:r>
        <w:r w:rsidR="00BC01B1">
          <w:rPr>
            <w:noProof/>
            <w:webHidden/>
          </w:rPr>
          <w:instrText xml:space="preserve"> PAGEREF _Toc509935743 \h </w:instrText>
        </w:r>
        <w:r w:rsidR="00BC01B1">
          <w:rPr>
            <w:noProof/>
            <w:webHidden/>
          </w:rPr>
        </w:r>
        <w:r w:rsidR="00BC01B1">
          <w:rPr>
            <w:noProof/>
            <w:webHidden/>
          </w:rPr>
          <w:fldChar w:fldCharType="separate"/>
        </w:r>
        <w:r>
          <w:rPr>
            <w:noProof/>
            <w:webHidden/>
          </w:rPr>
          <w:t>383</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44" w:history="1">
        <w:r w:rsidR="00BC01B1" w:rsidRPr="005D5DCB">
          <w:rPr>
            <w:rStyle w:val="Hyperlink"/>
            <w:noProof/>
          </w:rPr>
          <w:t>9.5.4.7.</w:t>
        </w:r>
        <w:r w:rsidR="00BC01B1">
          <w:rPr>
            <w:rFonts w:asciiTheme="minorHAnsi" w:eastAsiaTheme="minorEastAsia" w:hAnsiTheme="minorHAnsi" w:cstheme="minorBidi"/>
            <w:noProof/>
          </w:rPr>
          <w:tab/>
        </w:r>
        <w:r w:rsidR="00BC01B1" w:rsidRPr="005D5DCB">
          <w:rPr>
            <w:rStyle w:val="Hyperlink"/>
            <w:noProof/>
          </w:rPr>
          <w:t>Existência e funcionamento adequado da logística reversa para os resíduos especiais</w:t>
        </w:r>
        <w:r w:rsidR="00BC01B1">
          <w:rPr>
            <w:noProof/>
            <w:webHidden/>
          </w:rPr>
          <w:tab/>
        </w:r>
        <w:r w:rsidR="00BC01B1">
          <w:rPr>
            <w:noProof/>
            <w:webHidden/>
          </w:rPr>
          <w:fldChar w:fldCharType="begin"/>
        </w:r>
        <w:r w:rsidR="00BC01B1">
          <w:rPr>
            <w:noProof/>
            <w:webHidden/>
          </w:rPr>
          <w:instrText xml:space="preserve"> PAGEREF _Toc509935744 \h </w:instrText>
        </w:r>
        <w:r w:rsidR="00BC01B1">
          <w:rPr>
            <w:noProof/>
            <w:webHidden/>
          </w:rPr>
        </w:r>
        <w:r w:rsidR="00BC01B1">
          <w:rPr>
            <w:noProof/>
            <w:webHidden/>
          </w:rPr>
          <w:fldChar w:fldCharType="separate"/>
        </w:r>
        <w:r>
          <w:rPr>
            <w:noProof/>
            <w:webHidden/>
          </w:rPr>
          <w:t>383</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45" w:history="1">
        <w:r w:rsidR="00BC01B1" w:rsidRPr="005D5DCB">
          <w:rPr>
            <w:rStyle w:val="Hyperlink"/>
            <w:noProof/>
          </w:rPr>
          <w:t>9.5.4.8.</w:t>
        </w:r>
        <w:r w:rsidR="00BC01B1">
          <w:rPr>
            <w:rFonts w:asciiTheme="minorHAnsi" w:eastAsiaTheme="minorEastAsia" w:hAnsiTheme="minorHAnsi" w:cstheme="minorBidi"/>
            <w:noProof/>
          </w:rPr>
          <w:tab/>
        </w:r>
        <w:r w:rsidR="00BC01B1" w:rsidRPr="005D5DCB">
          <w:rPr>
            <w:rStyle w:val="Hyperlink"/>
            <w:noProof/>
          </w:rPr>
          <w:t>Pontos de disposição irregular de Resíduos de Construção Civil</w:t>
        </w:r>
        <w:r w:rsidR="00BC01B1">
          <w:rPr>
            <w:noProof/>
            <w:webHidden/>
          </w:rPr>
          <w:tab/>
        </w:r>
        <w:r w:rsidR="00BC01B1">
          <w:rPr>
            <w:noProof/>
            <w:webHidden/>
          </w:rPr>
          <w:fldChar w:fldCharType="begin"/>
        </w:r>
        <w:r w:rsidR="00BC01B1">
          <w:rPr>
            <w:noProof/>
            <w:webHidden/>
          </w:rPr>
          <w:instrText xml:space="preserve"> PAGEREF _Toc509935745 \h </w:instrText>
        </w:r>
        <w:r w:rsidR="00BC01B1">
          <w:rPr>
            <w:noProof/>
            <w:webHidden/>
          </w:rPr>
        </w:r>
        <w:r w:rsidR="00BC01B1">
          <w:rPr>
            <w:noProof/>
            <w:webHidden/>
          </w:rPr>
          <w:fldChar w:fldCharType="separate"/>
        </w:r>
        <w:r>
          <w:rPr>
            <w:noProof/>
            <w:webHidden/>
          </w:rPr>
          <w:t>383</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46" w:history="1">
        <w:r w:rsidR="00BC01B1" w:rsidRPr="005D5DCB">
          <w:rPr>
            <w:rStyle w:val="Hyperlink"/>
            <w:noProof/>
          </w:rPr>
          <w:t>9.5.4.9.</w:t>
        </w:r>
        <w:r w:rsidR="00BC01B1">
          <w:rPr>
            <w:rFonts w:asciiTheme="minorHAnsi" w:eastAsiaTheme="minorEastAsia" w:hAnsiTheme="minorHAnsi" w:cstheme="minorBidi"/>
            <w:noProof/>
          </w:rPr>
          <w:tab/>
        </w:r>
        <w:r w:rsidR="00BC01B1" w:rsidRPr="005D5DCB">
          <w:rPr>
            <w:rStyle w:val="Hyperlink"/>
            <w:noProof/>
          </w:rPr>
          <w:t>Massa de RCC per capita em relação à população urbana (kg/hab./dia)</w:t>
        </w:r>
        <w:r w:rsidR="00BC01B1">
          <w:rPr>
            <w:noProof/>
            <w:webHidden/>
          </w:rPr>
          <w:tab/>
        </w:r>
        <w:r w:rsidR="00BC01B1">
          <w:rPr>
            <w:noProof/>
            <w:webHidden/>
          </w:rPr>
          <w:fldChar w:fldCharType="begin"/>
        </w:r>
        <w:r w:rsidR="00BC01B1">
          <w:rPr>
            <w:noProof/>
            <w:webHidden/>
          </w:rPr>
          <w:instrText xml:space="preserve"> PAGEREF _Toc509935746 \h </w:instrText>
        </w:r>
        <w:r w:rsidR="00BC01B1">
          <w:rPr>
            <w:noProof/>
            <w:webHidden/>
          </w:rPr>
        </w:r>
        <w:r w:rsidR="00BC01B1">
          <w:rPr>
            <w:noProof/>
            <w:webHidden/>
          </w:rPr>
          <w:fldChar w:fldCharType="separate"/>
        </w:r>
        <w:r>
          <w:rPr>
            <w:noProof/>
            <w:webHidden/>
          </w:rPr>
          <w:t>384</w:t>
        </w:r>
        <w:r w:rsidR="00BC01B1">
          <w:rPr>
            <w:noProof/>
            <w:webHidden/>
          </w:rPr>
          <w:fldChar w:fldCharType="end"/>
        </w:r>
      </w:hyperlink>
    </w:p>
    <w:p w:rsidR="00BC01B1" w:rsidRDefault="001B481B">
      <w:pPr>
        <w:pStyle w:val="Sumrio4"/>
        <w:tabs>
          <w:tab w:val="left" w:pos="1927"/>
        </w:tabs>
        <w:rPr>
          <w:rFonts w:asciiTheme="minorHAnsi" w:eastAsiaTheme="minorEastAsia" w:hAnsiTheme="minorHAnsi" w:cstheme="minorBidi"/>
          <w:noProof/>
        </w:rPr>
      </w:pPr>
      <w:hyperlink w:anchor="_Toc509935747" w:history="1">
        <w:r w:rsidR="00BC01B1" w:rsidRPr="005D5DCB">
          <w:rPr>
            <w:rStyle w:val="Hyperlink"/>
            <w:noProof/>
          </w:rPr>
          <w:t>9.5.4.10.</w:t>
        </w:r>
        <w:r w:rsidR="00BC01B1">
          <w:rPr>
            <w:rFonts w:asciiTheme="minorHAnsi" w:eastAsiaTheme="minorEastAsia" w:hAnsiTheme="minorHAnsi" w:cstheme="minorBidi"/>
            <w:noProof/>
          </w:rPr>
          <w:tab/>
        </w:r>
        <w:r w:rsidR="00BC01B1" w:rsidRPr="005D5DCB">
          <w:rPr>
            <w:rStyle w:val="Hyperlink"/>
            <w:noProof/>
          </w:rPr>
          <w:t>Percentual de Resíduos da Construção Civil (RCC) coletado de forma regular</w:t>
        </w:r>
        <w:r w:rsidR="00BC01B1">
          <w:rPr>
            <w:noProof/>
            <w:webHidden/>
          </w:rPr>
          <w:tab/>
        </w:r>
        <w:r w:rsidR="009B0332" w:rsidRPr="009B0332">
          <w:rPr>
            <w:noProof/>
            <w:webHidden/>
          </w:rPr>
          <w:tab/>
        </w:r>
        <w:r w:rsidR="00BC01B1">
          <w:rPr>
            <w:noProof/>
            <w:webHidden/>
          </w:rPr>
          <w:fldChar w:fldCharType="begin"/>
        </w:r>
        <w:r w:rsidR="00BC01B1">
          <w:rPr>
            <w:noProof/>
            <w:webHidden/>
          </w:rPr>
          <w:instrText xml:space="preserve"> PAGEREF _Toc509935747 \h </w:instrText>
        </w:r>
        <w:r w:rsidR="00BC01B1">
          <w:rPr>
            <w:noProof/>
            <w:webHidden/>
          </w:rPr>
        </w:r>
        <w:r w:rsidR="00BC01B1">
          <w:rPr>
            <w:noProof/>
            <w:webHidden/>
          </w:rPr>
          <w:fldChar w:fldCharType="separate"/>
        </w:r>
        <w:r>
          <w:rPr>
            <w:noProof/>
            <w:webHidden/>
          </w:rPr>
          <w:t>384</w:t>
        </w:r>
        <w:r w:rsidR="00BC01B1">
          <w:rPr>
            <w:noProof/>
            <w:webHidden/>
          </w:rPr>
          <w:fldChar w:fldCharType="end"/>
        </w:r>
      </w:hyperlink>
    </w:p>
    <w:p w:rsidR="00BC01B1" w:rsidRDefault="001B481B">
      <w:pPr>
        <w:pStyle w:val="Sumrio4"/>
        <w:tabs>
          <w:tab w:val="left" w:pos="1927"/>
        </w:tabs>
        <w:rPr>
          <w:rFonts w:asciiTheme="minorHAnsi" w:eastAsiaTheme="minorEastAsia" w:hAnsiTheme="minorHAnsi" w:cstheme="minorBidi"/>
          <w:noProof/>
        </w:rPr>
      </w:pPr>
      <w:hyperlink w:anchor="_Toc509935748" w:history="1">
        <w:r w:rsidR="00BC01B1" w:rsidRPr="005D5DCB">
          <w:rPr>
            <w:rStyle w:val="Hyperlink"/>
            <w:noProof/>
          </w:rPr>
          <w:t>9.5.4.11.</w:t>
        </w:r>
        <w:r w:rsidR="00BC01B1">
          <w:rPr>
            <w:rFonts w:asciiTheme="minorHAnsi" w:eastAsiaTheme="minorEastAsia" w:hAnsiTheme="minorHAnsi" w:cstheme="minorBidi"/>
            <w:noProof/>
          </w:rPr>
          <w:tab/>
        </w:r>
        <w:r w:rsidR="00BC01B1" w:rsidRPr="005D5DCB">
          <w:rPr>
            <w:rStyle w:val="Hyperlink"/>
            <w:noProof/>
          </w:rPr>
          <w:t>Índice de resposta às informações de resíduos sólidos do SNIS (%)</w:t>
        </w:r>
        <w:r w:rsidR="00BC01B1">
          <w:rPr>
            <w:noProof/>
            <w:webHidden/>
          </w:rPr>
          <w:tab/>
        </w:r>
        <w:r w:rsidR="00BC01B1">
          <w:rPr>
            <w:noProof/>
            <w:webHidden/>
          </w:rPr>
          <w:fldChar w:fldCharType="begin"/>
        </w:r>
        <w:r w:rsidR="00BC01B1">
          <w:rPr>
            <w:noProof/>
            <w:webHidden/>
          </w:rPr>
          <w:instrText xml:space="preserve"> PAGEREF _Toc509935748 \h </w:instrText>
        </w:r>
        <w:r w:rsidR="00BC01B1">
          <w:rPr>
            <w:noProof/>
            <w:webHidden/>
          </w:rPr>
        </w:r>
        <w:r w:rsidR="00BC01B1">
          <w:rPr>
            <w:noProof/>
            <w:webHidden/>
          </w:rPr>
          <w:fldChar w:fldCharType="separate"/>
        </w:r>
        <w:r>
          <w:rPr>
            <w:noProof/>
            <w:webHidden/>
          </w:rPr>
          <w:t>384</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749" w:history="1">
        <w:r w:rsidR="00BC01B1" w:rsidRPr="005D5DCB">
          <w:rPr>
            <w:rStyle w:val="Hyperlink"/>
            <w:noProof/>
          </w:rPr>
          <w:t>9.5.5.</w:t>
        </w:r>
        <w:r w:rsidR="00BC01B1">
          <w:rPr>
            <w:rFonts w:asciiTheme="minorHAnsi" w:eastAsiaTheme="minorEastAsia" w:hAnsiTheme="minorHAnsi" w:cstheme="minorBidi"/>
            <w:i w:val="0"/>
            <w:noProof/>
            <w:sz w:val="22"/>
            <w:lang w:eastAsia="pt-BR"/>
          </w:rPr>
          <w:tab/>
        </w:r>
        <w:r w:rsidR="00BC01B1" w:rsidRPr="005D5DCB">
          <w:rPr>
            <w:rStyle w:val="Hyperlink"/>
            <w:noProof/>
          </w:rPr>
          <w:t>Indicador para o objetivo 5</w:t>
        </w:r>
        <w:r w:rsidR="00BC01B1">
          <w:rPr>
            <w:noProof/>
            <w:webHidden/>
          </w:rPr>
          <w:tab/>
        </w:r>
        <w:r w:rsidR="00BC01B1">
          <w:rPr>
            <w:noProof/>
            <w:webHidden/>
          </w:rPr>
          <w:fldChar w:fldCharType="begin"/>
        </w:r>
        <w:r w:rsidR="00BC01B1">
          <w:rPr>
            <w:noProof/>
            <w:webHidden/>
          </w:rPr>
          <w:instrText xml:space="preserve"> PAGEREF _Toc509935749 \h </w:instrText>
        </w:r>
        <w:r w:rsidR="00BC01B1">
          <w:rPr>
            <w:noProof/>
            <w:webHidden/>
          </w:rPr>
        </w:r>
        <w:r w:rsidR="00BC01B1">
          <w:rPr>
            <w:noProof/>
            <w:webHidden/>
          </w:rPr>
          <w:fldChar w:fldCharType="separate"/>
        </w:r>
        <w:r>
          <w:rPr>
            <w:noProof/>
            <w:webHidden/>
          </w:rPr>
          <w:t>385</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50" w:history="1">
        <w:r w:rsidR="00BC01B1" w:rsidRPr="005D5DCB">
          <w:rPr>
            <w:rStyle w:val="Hyperlink"/>
            <w:noProof/>
          </w:rPr>
          <w:t>9.5.5.1.</w:t>
        </w:r>
        <w:r w:rsidR="00BC01B1">
          <w:rPr>
            <w:rFonts w:asciiTheme="minorHAnsi" w:eastAsiaTheme="minorEastAsia" w:hAnsiTheme="minorHAnsi" w:cstheme="minorBidi"/>
            <w:noProof/>
          </w:rPr>
          <w:tab/>
        </w:r>
        <w:r w:rsidR="00BC01B1" w:rsidRPr="005D5DCB">
          <w:rPr>
            <w:rStyle w:val="Hyperlink"/>
            <w:noProof/>
          </w:rPr>
          <w:t>Número de instrumentos legais relacionados ao sistema de limpeza urbana e manejo de resíduos sólidos publicadas no município.</w:t>
        </w:r>
        <w:r w:rsidR="00BC01B1">
          <w:rPr>
            <w:noProof/>
            <w:webHidden/>
          </w:rPr>
          <w:tab/>
        </w:r>
        <w:r w:rsidR="00BC01B1">
          <w:rPr>
            <w:noProof/>
            <w:webHidden/>
          </w:rPr>
          <w:fldChar w:fldCharType="begin"/>
        </w:r>
        <w:r w:rsidR="00BC01B1">
          <w:rPr>
            <w:noProof/>
            <w:webHidden/>
          </w:rPr>
          <w:instrText xml:space="preserve"> PAGEREF _Toc509935750 \h </w:instrText>
        </w:r>
        <w:r w:rsidR="00BC01B1">
          <w:rPr>
            <w:noProof/>
            <w:webHidden/>
          </w:rPr>
        </w:r>
        <w:r w:rsidR="00BC01B1">
          <w:rPr>
            <w:noProof/>
            <w:webHidden/>
          </w:rPr>
          <w:fldChar w:fldCharType="separate"/>
        </w:r>
        <w:r>
          <w:rPr>
            <w:noProof/>
            <w:webHidden/>
          </w:rPr>
          <w:t>385</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51" w:history="1">
        <w:r w:rsidR="00BC01B1" w:rsidRPr="005D5DCB">
          <w:rPr>
            <w:rStyle w:val="Hyperlink"/>
            <w:noProof/>
          </w:rPr>
          <w:t>9.5.5.2.</w:t>
        </w:r>
        <w:r w:rsidR="00BC01B1">
          <w:rPr>
            <w:rFonts w:asciiTheme="minorHAnsi" w:eastAsiaTheme="minorEastAsia" w:hAnsiTheme="minorHAnsi" w:cstheme="minorBidi"/>
            <w:noProof/>
          </w:rPr>
          <w:tab/>
        </w:r>
        <w:r w:rsidR="00BC01B1" w:rsidRPr="005D5DCB">
          <w:rPr>
            <w:rStyle w:val="Hyperlink"/>
            <w:noProof/>
          </w:rPr>
          <w:t>Taxa de regularização ambiental</w:t>
        </w:r>
        <w:r w:rsidR="00BC01B1">
          <w:rPr>
            <w:noProof/>
            <w:webHidden/>
          </w:rPr>
          <w:tab/>
        </w:r>
        <w:r w:rsidR="00BC01B1">
          <w:rPr>
            <w:noProof/>
            <w:webHidden/>
          </w:rPr>
          <w:fldChar w:fldCharType="begin"/>
        </w:r>
        <w:r w:rsidR="00BC01B1">
          <w:rPr>
            <w:noProof/>
            <w:webHidden/>
          </w:rPr>
          <w:instrText xml:space="preserve"> PAGEREF _Toc509935751 \h </w:instrText>
        </w:r>
        <w:r w:rsidR="00BC01B1">
          <w:rPr>
            <w:noProof/>
            <w:webHidden/>
          </w:rPr>
        </w:r>
        <w:r w:rsidR="00BC01B1">
          <w:rPr>
            <w:noProof/>
            <w:webHidden/>
          </w:rPr>
          <w:fldChar w:fldCharType="separate"/>
        </w:r>
        <w:r>
          <w:rPr>
            <w:noProof/>
            <w:webHidden/>
          </w:rPr>
          <w:t>385</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52" w:history="1">
        <w:r w:rsidR="00BC01B1" w:rsidRPr="005D5DCB">
          <w:rPr>
            <w:rStyle w:val="Hyperlink"/>
            <w:noProof/>
          </w:rPr>
          <w:t>9.5.5.3.</w:t>
        </w:r>
        <w:r w:rsidR="00BC01B1">
          <w:rPr>
            <w:rFonts w:asciiTheme="minorHAnsi" w:eastAsiaTheme="minorEastAsia" w:hAnsiTheme="minorHAnsi" w:cstheme="minorBidi"/>
            <w:noProof/>
          </w:rPr>
          <w:tab/>
        </w:r>
        <w:r w:rsidR="00BC01B1" w:rsidRPr="005D5DCB">
          <w:rPr>
            <w:rStyle w:val="Hyperlink"/>
            <w:noProof/>
          </w:rPr>
          <w:t>Porcentagem de geradores com entrega do Plano de Gerenciamento de Resíduos Sólidos (PGRS) em dia</w:t>
        </w:r>
        <w:r w:rsidR="00BC01B1">
          <w:rPr>
            <w:noProof/>
            <w:webHidden/>
          </w:rPr>
          <w:tab/>
        </w:r>
        <w:r w:rsidR="00BC01B1">
          <w:rPr>
            <w:noProof/>
            <w:webHidden/>
          </w:rPr>
          <w:fldChar w:fldCharType="begin"/>
        </w:r>
        <w:r w:rsidR="00BC01B1">
          <w:rPr>
            <w:noProof/>
            <w:webHidden/>
          </w:rPr>
          <w:instrText xml:space="preserve"> PAGEREF _Toc509935752 \h </w:instrText>
        </w:r>
        <w:r w:rsidR="00BC01B1">
          <w:rPr>
            <w:noProof/>
            <w:webHidden/>
          </w:rPr>
        </w:r>
        <w:r w:rsidR="00BC01B1">
          <w:rPr>
            <w:noProof/>
            <w:webHidden/>
          </w:rPr>
          <w:fldChar w:fldCharType="separate"/>
        </w:r>
        <w:r>
          <w:rPr>
            <w:noProof/>
            <w:webHidden/>
          </w:rPr>
          <w:t>385</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753" w:history="1">
        <w:r w:rsidR="00BC01B1" w:rsidRPr="005D5DCB">
          <w:rPr>
            <w:rStyle w:val="Hyperlink"/>
            <w:noProof/>
          </w:rPr>
          <w:t>9.5.6.</w:t>
        </w:r>
        <w:r w:rsidR="00BC01B1">
          <w:rPr>
            <w:rFonts w:asciiTheme="minorHAnsi" w:eastAsiaTheme="minorEastAsia" w:hAnsiTheme="minorHAnsi" w:cstheme="minorBidi"/>
            <w:i w:val="0"/>
            <w:noProof/>
            <w:sz w:val="22"/>
            <w:lang w:eastAsia="pt-BR"/>
          </w:rPr>
          <w:tab/>
        </w:r>
        <w:r w:rsidR="00BC01B1" w:rsidRPr="005D5DCB">
          <w:rPr>
            <w:rStyle w:val="Hyperlink"/>
            <w:noProof/>
          </w:rPr>
          <w:t>Indicador para o objetivo 6</w:t>
        </w:r>
        <w:r w:rsidR="00BC01B1">
          <w:rPr>
            <w:noProof/>
            <w:webHidden/>
          </w:rPr>
          <w:tab/>
        </w:r>
        <w:r w:rsidR="00BC01B1">
          <w:rPr>
            <w:noProof/>
            <w:webHidden/>
          </w:rPr>
          <w:fldChar w:fldCharType="begin"/>
        </w:r>
        <w:r w:rsidR="00BC01B1">
          <w:rPr>
            <w:noProof/>
            <w:webHidden/>
          </w:rPr>
          <w:instrText xml:space="preserve"> PAGEREF _Toc509935753 \h </w:instrText>
        </w:r>
        <w:r w:rsidR="00BC01B1">
          <w:rPr>
            <w:noProof/>
            <w:webHidden/>
          </w:rPr>
        </w:r>
        <w:r w:rsidR="00BC01B1">
          <w:rPr>
            <w:noProof/>
            <w:webHidden/>
          </w:rPr>
          <w:fldChar w:fldCharType="separate"/>
        </w:r>
        <w:r>
          <w:rPr>
            <w:noProof/>
            <w:webHidden/>
          </w:rPr>
          <w:t>386</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54" w:history="1">
        <w:r w:rsidR="00BC01B1" w:rsidRPr="005D5DCB">
          <w:rPr>
            <w:rStyle w:val="Hyperlink"/>
            <w:noProof/>
          </w:rPr>
          <w:t>9.5.6.1.</w:t>
        </w:r>
        <w:r w:rsidR="00BC01B1">
          <w:rPr>
            <w:rFonts w:asciiTheme="minorHAnsi" w:eastAsiaTheme="minorEastAsia" w:hAnsiTheme="minorHAnsi" w:cstheme="minorBidi"/>
            <w:noProof/>
          </w:rPr>
          <w:tab/>
        </w:r>
        <w:r w:rsidR="00BC01B1" w:rsidRPr="005D5DCB">
          <w:rPr>
            <w:rStyle w:val="Hyperlink"/>
            <w:noProof/>
          </w:rPr>
          <w:t>Quantidade de empreendimentos licenciados</w:t>
        </w:r>
        <w:r w:rsidR="00BC01B1">
          <w:rPr>
            <w:noProof/>
            <w:webHidden/>
          </w:rPr>
          <w:tab/>
        </w:r>
        <w:r w:rsidR="00BC01B1">
          <w:rPr>
            <w:noProof/>
            <w:webHidden/>
          </w:rPr>
          <w:fldChar w:fldCharType="begin"/>
        </w:r>
        <w:r w:rsidR="00BC01B1">
          <w:rPr>
            <w:noProof/>
            <w:webHidden/>
          </w:rPr>
          <w:instrText xml:space="preserve"> PAGEREF _Toc509935754 \h </w:instrText>
        </w:r>
        <w:r w:rsidR="00BC01B1">
          <w:rPr>
            <w:noProof/>
            <w:webHidden/>
          </w:rPr>
        </w:r>
        <w:r w:rsidR="00BC01B1">
          <w:rPr>
            <w:noProof/>
            <w:webHidden/>
          </w:rPr>
          <w:fldChar w:fldCharType="separate"/>
        </w:r>
        <w:r>
          <w:rPr>
            <w:noProof/>
            <w:webHidden/>
          </w:rPr>
          <w:t>386</w:t>
        </w:r>
        <w:r w:rsidR="00BC01B1">
          <w:rPr>
            <w:noProof/>
            <w:webHidden/>
          </w:rPr>
          <w:fldChar w:fldCharType="end"/>
        </w:r>
      </w:hyperlink>
    </w:p>
    <w:p w:rsidR="00BC01B1" w:rsidRDefault="001B481B">
      <w:pPr>
        <w:pStyle w:val="Sumrio3"/>
        <w:tabs>
          <w:tab w:val="left" w:pos="1540"/>
        </w:tabs>
        <w:rPr>
          <w:rFonts w:asciiTheme="minorHAnsi" w:eastAsiaTheme="minorEastAsia" w:hAnsiTheme="minorHAnsi" w:cstheme="minorBidi"/>
          <w:i w:val="0"/>
          <w:noProof/>
          <w:sz w:val="22"/>
          <w:lang w:eastAsia="pt-BR"/>
        </w:rPr>
      </w:pPr>
      <w:hyperlink w:anchor="_Toc509935755" w:history="1">
        <w:r w:rsidR="00BC01B1" w:rsidRPr="005D5DCB">
          <w:rPr>
            <w:rStyle w:val="Hyperlink"/>
            <w:noProof/>
          </w:rPr>
          <w:t>9.5.7.</w:t>
        </w:r>
        <w:r w:rsidR="00BC01B1">
          <w:rPr>
            <w:rFonts w:asciiTheme="minorHAnsi" w:eastAsiaTheme="minorEastAsia" w:hAnsiTheme="minorHAnsi" w:cstheme="minorBidi"/>
            <w:i w:val="0"/>
            <w:noProof/>
            <w:sz w:val="22"/>
            <w:lang w:eastAsia="pt-BR"/>
          </w:rPr>
          <w:tab/>
        </w:r>
        <w:r w:rsidR="00BC01B1" w:rsidRPr="005D5DCB">
          <w:rPr>
            <w:rStyle w:val="Hyperlink"/>
            <w:noProof/>
          </w:rPr>
          <w:t>Indicadores para o objetivo 7</w:t>
        </w:r>
        <w:r w:rsidR="00BC01B1">
          <w:rPr>
            <w:noProof/>
            <w:webHidden/>
          </w:rPr>
          <w:tab/>
        </w:r>
        <w:r w:rsidR="00BC01B1">
          <w:rPr>
            <w:noProof/>
            <w:webHidden/>
          </w:rPr>
          <w:fldChar w:fldCharType="begin"/>
        </w:r>
        <w:r w:rsidR="00BC01B1">
          <w:rPr>
            <w:noProof/>
            <w:webHidden/>
          </w:rPr>
          <w:instrText xml:space="preserve"> PAGEREF _Toc509935755 \h </w:instrText>
        </w:r>
        <w:r w:rsidR="00BC01B1">
          <w:rPr>
            <w:noProof/>
            <w:webHidden/>
          </w:rPr>
        </w:r>
        <w:r w:rsidR="00BC01B1">
          <w:rPr>
            <w:noProof/>
            <w:webHidden/>
          </w:rPr>
          <w:fldChar w:fldCharType="separate"/>
        </w:r>
        <w:r>
          <w:rPr>
            <w:noProof/>
            <w:webHidden/>
          </w:rPr>
          <w:t>386</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56" w:history="1">
        <w:r w:rsidR="00BC01B1" w:rsidRPr="005D5DCB">
          <w:rPr>
            <w:rStyle w:val="Hyperlink"/>
            <w:noProof/>
          </w:rPr>
          <w:t>9.5.7.1.</w:t>
        </w:r>
        <w:r w:rsidR="00BC01B1">
          <w:rPr>
            <w:rFonts w:asciiTheme="minorHAnsi" w:eastAsiaTheme="minorEastAsia" w:hAnsiTheme="minorHAnsi" w:cstheme="minorBidi"/>
            <w:noProof/>
          </w:rPr>
          <w:tab/>
        </w:r>
        <w:r w:rsidR="00BC01B1" w:rsidRPr="005D5DCB">
          <w:rPr>
            <w:rStyle w:val="Hyperlink"/>
            <w:noProof/>
          </w:rPr>
          <w:t>Número de eventos oficiais realizados no município, por ano, voltados à conscientização da população sobre os resíduos sólidos</w:t>
        </w:r>
        <w:r w:rsidR="00BC01B1">
          <w:rPr>
            <w:noProof/>
            <w:webHidden/>
          </w:rPr>
          <w:tab/>
        </w:r>
        <w:r w:rsidR="00BC01B1">
          <w:rPr>
            <w:noProof/>
            <w:webHidden/>
          </w:rPr>
          <w:fldChar w:fldCharType="begin"/>
        </w:r>
        <w:r w:rsidR="00BC01B1">
          <w:rPr>
            <w:noProof/>
            <w:webHidden/>
          </w:rPr>
          <w:instrText xml:space="preserve"> PAGEREF _Toc509935756 \h </w:instrText>
        </w:r>
        <w:r w:rsidR="00BC01B1">
          <w:rPr>
            <w:noProof/>
            <w:webHidden/>
          </w:rPr>
        </w:r>
        <w:r w:rsidR="00BC01B1">
          <w:rPr>
            <w:noProof/>
            <w:webHidden/>
          </w:rPr>
          <w:fldChar w:fldCharType="separate"/>
        </w:r>
        <w:r>
          <w:rPr>
            <w:noProof/>
            <w:webHidden/>
          </w:rPr>
          <w:t>386</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57" w:history="1">
        <w:r w:rsidR="00BC01B1" w:rsidRPr="005D5DCB">
          <w:rPr>
            <w:rStyle w:val="Hyperlink"/>
            <w:noProof/>
          </w:rPr>
          <w:t>9.5.7.2.</w:t>
        </w:r>
        <w:r w:rsidR="00BC01B1">
          <w:rPr>
            <w:rFonts w:asciiTheme="minorHAnsi" w:eastAsiaTheme="minorEastAsia" w:hAnsiTheme="minorHAnsi" w:cstheme="minorBidi"/>
            <w:noProof/>
          </w:rPr>
          <w:tab/>
        </w:r>
        <w:r w:rsidR="00BC01B1" w:rsidRPr="005D5DCB">
          <w:rPr>
            <w:rStyle w:val="Hyperlink"/>
            <w:noProof/>
          </w:rPr>
          <w:t>Existência de informações atualizadas, sistematizadas e disponibilizadas para a população</w:t>
        </w:r>
        <w:r w:rsidR="00BC01B1">
          <w:rPr>
            <w:noProof/>
            <w:webHidden/>
          </w:rPr>
          <w:tab/>
        </w:r>
        <w:r w:rsidR="00BC01B1">
          <w:rPr>
            <w:noProof/>
            <w:webHidden/>
          </w:rPr>
          <w:fldChar w:fldCharType="begin"/>
        </w:r>
        <w:r w:rsidR="00BC01B1">
          <w:rPr>
            <w:noProof/>
            <w:webHidden/>
          </w:rPr>
          <w:instrText xml:space="preserve"> PAGEREF _Toc509935757 \h </w:instrText>
        </w:r>
        <w:r w:rsidR="00BC01B1">
          <w:rPr>
            <w:noProof/>
            <w:webHidden/>
          </w:rPr>
        </w:r>
        <w:r w:rsidR="00BC01B1">
          <w:rPr>
            <w:noProof/>
            <w:webHidden/>
          </w:rPr>
          <w:fldChar w:fldCharType="separate"/>
        </w:r>
        <w:r>
          <w:rPr>
            <w:noProof/>
            <w:webHidden/>
          </w:rPr>
          <w:t>386</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58" w:history="1">
        <w:r w:rsidR="00BC01B1" w:rsidRPr="005D5DCB">
          <w:rPr>
            <w:rStyle w:val="Hyperlink"/>
            <w:noProof/>
          </w:rPr>
          <w:t>9.5.7.3.</w:t>
        </w:r>
        <w:r w:rsidR="00BC01B1">
          <w:rPr>
            <w:rFonts w:asciiTheme="minorHAnsi" w:eastAsiaTheme="minorEastAsia" w:hAnsiTheme="minorHAnsi" w:cstheme="minorBidi"/>
            <w:noProof/>
          </w:rPr>
          <w:tab/>
        </w:r>
        <w:r w:rsidR="00BC01B1" w:rsidRPr="005D5DCB">
          <w:rPr>
            <w:rStyle w:val="Hyperlink"/>
            <w:noProof/>
          </w:rPr>
          <w:t>Participação da população através de canais específicos para gestão dos RSU</w:t>
        </w:r>
        <w:r w:rsidR="00BC01B1">
          <w:rPr>
            <w:noProof/>
            <w:webHidden/>
          </w:rPr>
          <w:tab/>
        </w:r>
        <w:r w:rsidR="009B0332" w:rsidRPr="009B0332">
          <w:rPr>
            <w:noProof/>
            <w:webHidden/>
          </w:rPr>
          <w:tab/>
        </w:r>
        <w:r w:rsidR="00BC01B1">
          <w:rPr>
            <w:noProof/>
            <w:webHidden/>
          </w:rPr>
          <w:fldChar w:fldCharType="begin"/>
        </w:r>
        <w:r w:rsidR="00BC01B1">
          <w:rPr>
            <w:noProof/>
            <w:webHidden/>
          </w:rPr>
          <w:instrText xml:space="preserve"> PAGEREF _Toc509935758 \h </w:instrText>
        </w:r>
        <w:r w:rsidR="00BC01B1">
          <w:rPr>
            <w:noProof/>
            <w:webHidden/>
          </w:rPr>
        </w:r>
        <w:r w:rsidR="00BC01B1">
          <w:rPr>
            <w:noProof/>
            <w:webHidden/>
          </w:rPr>
          <w:fldChar w:fldCharType="separate"/>
        </w:r>
        <w:r>
          <w:rPr>
            <w:noProof/>
            <w:webHidden/>
          </w:rPr>
          <w:t>387</w:t>
        </w:r>
        <w:r w:rsidR="00BC01B1">
          <w:rPr>
            <w:noProof/>
            <w:webHidden/>
          </w:rPr>
          <w:fldChar w:fldCharType="end"/>
        </w:r>
      </w:hyperlink>
    </w:p>
    <w:p w:rsidR="00BC01B1" w:rsidRDefault="001B481B">
      <w:pPr>
        <w:pStyle w:val="Sumrio4"/>
        <w:tabs>
          <w:tab w:val="left" w:pos="1805"/>
        </w:tabs>
        <w:rPr>
          <w:rFonts w:asciiTheme="minorHAnsi" w:eastAsiaTheme="minorEastAsia" w:hAnsiTheme="minorHAnsi" w:cstheme="minorBidi"/>
          <w:noProof/>
        </w:rPr>
      </w:pPr>
      <w:hyperlink w:anchor="_Toc509935759" w:history="1">
        <w:r w:rsidR="00BC01B1" w:rsidRPr="005D5DCB">
          <w:rPr>
            <w:rStyle w:val="Hyperlink"/>
            <w:noProof/>
          </w:rPr>
          <w:t>9.5.7.4.</w:t>
        </w:r>
        <w:r w:rsidR="00BC01B1">
          <w:rPr>
            <w:rFonts w:asciiTheme="minorHAnsi" w:eastAsiaTheme="minorEastAsia" w:hAnsiTheme="minorHAnsi" w:cstheme="minorBidi"/>
            <w:noProof/>
          </w:rPr>
          <w:tab/>
        </w:r>
        <w:r w:rsidR="00BC01B1" w:rsidRPr="005D5DCB">
          <w:rPr>
            <w:rStyle w:val="Hyperlink"/>
            <w:noProof/>
          </w:rPr>
          <w:t>Índice de respostas satisfatórias a reclamações</w:t>
        </w:r>
        <w:r w:rsidR="00BC01B1">
          <w:rPr>
            <w:noProof/>
            <w:webHidden/>
          </w:rPr>
          <w:tab/>
        </w:r>
        <w:r w:rsidR="00BC01B1">
          <w:rPr>
            <w:noProof/>
            <w:webHidden/>
          </w:rPr>
          <w:fldChar w:fldCharType="begin"/>
        </w:r>
        <w:r w:rsidR="00BC01B1">
          <w:rPr>
            <w:noProof/>
            <w:webHidden/>
          </w:rPr>
          <w:instrText xml:space="preserve"> PAGEREF _Toc509935759 \h </w:instrText>
        </w:r>
        <w:r w:rsidR="00BC01B1">
          <w:rPr>
            <w:noProof/>
            <w:webHidden/>
          </w:rPr>
        </w:r>
        <w:r w:rsidR="00BC01B1">
          <w:rPr>
            <w:noProof/>
            <w:webHidden/>
          </w:rPr>
          <w:fldChar w:fldCharType="separate"/>
        </w:r>
        <w:r>
          <w:rPr>
            <w:noProof/>
            <w:webHidden/>
          </w:rPr>
          <w:t>387</w:t>
        </w:r>
        <w:r w:rsidR="00BC01B1">
          <w:rPr>
            <w:noProof/>
            <w:webHidden/>
          </w:rPr>
          <w:fldChar w:fldCharType="end"/>
        </w:r>
      </w:hyperlink>
    </w:p>
    <w:p w:rsidR="00BC01B1" w:rsidRDefault="001B481B">
      <w:pPr>
        <w:pStyle w:val="Sumrio1"/>
        <w:tabs>
          <w:tab w:val="left" w:pos="567"/>
        </w:tabs>
        <w:rPr>
          <w:rFonts w:asciiTheme="minorHAnsi" w:eastAsiaTheme="minorEastAsia" w:hAnsiTheme="minorHAnsi" w:cstheme="minorBidi"/>
          <w:b w:val="0"/>
          <w:noProof/>
          <w:sz w:val="22"/>
          <w:szCs w:val="22"/>
        </w:rPr>
      </w:pPr>
      <w:hyperlink w:anchor="_Toc509935760" w:history="1">
        <w:r w:rsidR="00BC01B1" w:rsidRPr="005D5DCB">
          <w:rPr>
            <w:rStyle w:val="Hyperlink"/>
            <w:noProof/>
          </w:rPr>
          <w:t>10.</w:t>
        </w:r>
        <w:r w:rsidR="00BC01B1">
          <w:rPr>
            <w:rFonts w:asciiTheme="minorHAnsi" w:eastAsiaTheme="minorEastAsia" w:hAnsiTheme="minorHAnsi" w:cstheme="minorBidi"/>
            <w:b w:val="0"/>
            <w:noProof/>
            <w:sz w:val="22"/>
            <w:szCs w:val="22"/>
          </w:rPr>
          <w:tab/>
        </w:r>
        <w:r w:rsidR="00BC01B1" w:rsidRPr="005D5DCB">
          <w:rPr>
            <w:rStyle w:val="Hyperlink"/>
            <w:noProof/>
          </w:rPr>
          <w:t>Base de dados espaciais</w:t>
        </w:r>
        <w:r w:rsidR="00BC01B1">
          <w:rPr>
            <w:noProof/>
            <w:webHidden/>
          </w:rPr>
          <w:tab/>
        </w:r>
        <w:r w:rsidR="00BC01B1">
          <w:rPr>
            <w:noProof/>
            <w:webHidden/>
          </w:rPr>
          <w:fldChar w:fldCharType="begin"/>
        </w:r>
        <w:r w:rsidR="00BC01B1">
          <w:rPr>
            <w:noProof/>
            <w:webHidden/>
          </w:rPr>
          <w:instrText xml:space="preserve"> PAGEREF _Toc509935760 \h </w:instrText>
        </w:r>
        <w:r w:rsidR="00BC01B1">
          <w:rPr>
            <w:noProof/>
            <w:webHidden/>
          </w:rPr>
        </w:r>
        <w:r w:rsidR="00BC01B1">
          <w:rPr>
            <w:noProof/>
            <w:webHidden/>
          </w:rPr>
          <w:fldChar w:fldCharType="separate"/>
        </w:r>
        <w:r>
          <w:rPr>
            <w:noProof/>
            <w:webHidden/>
          </w:rPr>
          <w:t>387</w:t>
        </w:r>
        <w:r w:rsidR="00BC01B1">
          <w:rPr>
            <w:noProof/>
            <w:webHidden/>
          </w:rPr>
          <w:fldChar w:fldCharType="end"/>
        </w:r>
      </w:hyperlink>
    </w:p>
    <w:p w:rsidR="00BC01B1" w:rsidRDefault="001B481B">
      <w:pPr>
        <w:pStyle w:val="Sumrio1"/>
        <w:tabs>
          <w:tab w:val="left" w:pos="567"/>
        </w:tabs>
        <w:rPr>
          <w:rFonts w:asciiTheme="minorHAnsi" w:eastAsiaTheme="minorEastAsia" w:hAnsiTheme="minorHAnsi" w:cstheme="minorBidi"/>
          <w:b w:val="0"/>
          <w:noProof/>
          <w:sz w:val="22"/>
          <w:szCs w:val="22"/>
        </w:rPr>
      </w:pPr>
      <w:hyperlink w:anchor="_Toc509935761" w:history="1">
        <w:r w:rsidR="00BC01B1" w:rsidRPr="005D5DCB">
          <w:rPr>
            <w:rStyle w:val="Hyperlink"/>
            <w:noProof/>
          </w:rPr>
          <w:t>11.</w:t>
        </w:r>
        <w:r w:rsidR="00BC01B1">
          <w:rPr>
            <w:rFonts w:asciiTheme="minorHAnsi" w:eastAsiaTheme="minorEastAsia" w:hAnsiTheme="minorHAnsi" w:cstheme="minorBidi"/>
            <w:b w:val="0"/>
            <w:noProof/>
            <w:sz w:val="22"/>
            <w:szCs w:val="22"/>
          </w:rPr>
          <w:tab/>
        </w:r>
        <w:r w:rsidR="00BC01B1" w:rsidRPr="005D5DCB">
          <w:rPr>
            <w:rStyle w:val="Hyperlink"/>
            <w:noProof/>
          </w:rPr>
          <w:t>Minuta de Projeto de Lei</w:t>
        </w:r>
        <w:r w:rsidR="00BC01B1">
          <w:rPr>
            <w:noProof/>
            <w:webHidden/>
          </w:rPr>
          <w:tab/>
        </w:r>
        <w:r w:rsidR="00BC01B1">
          <w:rPr>
            <w:noProof/>
            <w:webHidden/>
          </w:rPr>
          <w:fldChar w:fldCharType="begin"/>
        </w:r>
        <w:r w:rsidR="00BC01B1">
          <w:rPr>
            <w:noProof/>
            <w:webHidden/>
          </w:rPr>
          <w:instrText xml:space="preserve"> PAGEREF _Toc509935761 \h </w:instrText>
        </w:r>
        <w:r w:rsidR="00BC01B1">
          <w:rPr>
            <w:noProof/>
            <w:webHidden/>
          </w:rPr>
        </w:r>
        <w:r w:rsidR="00BC01B1">
          <w:rPr>
            <w:noProof/>
            <w:webHidden/>
          </w:rPr>
          <w:fldChar w:fldCharType="separate"/>
        </w:r>
        <w:r>
          <w:rPr>
            <w:noProof/>
            <w:webHidden/>
          </w:rPr>
          <w:t>389</w:t>
        </w:r>
        <w:r w:rsidR="00BC01B1">
          <w:rPr>
            <w:noProof/>
            <w:webHidden/>
          </w:rPr>
          <w:fldChar w:fldCharType="end"/>
        </w:r>
      </w:hyperlink>
    </w:p>
    <w:p w:rsidR="00BC01B1" w:rsidRDefault="001B481B">
      <w:pPr>
        <w:pStyle w:val="Sumrio1"/>
        <w:tabs>
          <w:tab w:val="left" w:pos="567"/>
        </w:tabs>
        <w:rPr>
          <w:rFonts w:asciiTheme="minorHAnsi" w:eastAsiaTheme="minorEastAsia" w:hAnsiTheme="minorHAnsi" w:cstheme="minorBidi"/>
          <w:b w:val="0"/>
          <w:noProof/>
          <w:sz w:val="22"/>
          <w:szCs w:val="22"/>
        </w:rPr>
      </w:pPr>
      <w:hyperlink w:anchor="_Toc509935762" w:history="1">
        <w:r w:rsidR="00BC01B1" w:rsidRPr="005D5DCB">
          <w:rPr>
            <w:rStyle w:val="Hyperlink"/>
            <w:noProof/>
          </w:rPr>
          <w:t>12.</w:t>
        </w:r>
        <w:r w:rsidR="00BC01B1">
          <w:rPr>
            <w:rFonts w:asciiTheme="minorHAnsi" w:eastAsiaTheme="minorEastAsia" w:hAnsiTheme="minorHAnsi" w:cstheme="minorBidi"/>
            <w:b w:val="0"/>
            <w:noProof/>
            <w:sz w:val="22"/>
            <w:szCs w:val="22"/>
          </w:rPr>
          <w:tab/>
        </w:r>
        <w:r w:rsidR="00BC01B1" w:rsidRPr="005D5DCB">
          <w:rPr>
            <w:rStyle w:val="Hyperlink"/>
            <w:noProof/>
          </w:rPr>
          <w:t>Audiência Pública</w:t>
        </w:r>
        <w:r w:rsidR="00BC01B1">
          <w:rPr>
            <w:noProof/>
            <w:webHidden/>
          </w:rPr>
          <w:tab/>
        </w:r>
        <w:r w:rsidR="00BC01B1">
          <w:rPr>
            <w:noProof/>
            <w:webHidden/>
          </w:rPr>
          <w:fldChar w:fldCharType="begin"/>
        </w:r>
        <w:r w:rsidR="00BC01B1">
          <w:rPr>
            <w:noProof/>
            <w:webHidden/>
          </w:rPr>
          <w:instrText xml:space="preserve"> PAGEREF _Toc509935762 \h </w:instrText>
        </w:r>
        <w:r w:rsidR="00BC01B1">
          <w:rPr>
            <w:noProof/>
            <w:webHidden/>
          </w:rPr>
        </w:r>
        <w:r w:rsidR="00BC01B1">
          <w:rPr>
            <w:noProof/>
            <w:webHidden/>
          </w:rPr>
          <w:fldChar w:fldCharType="separate"/>
        </w:r>
        <w:r>
          <w:rPr>
            <w:noProof/>
            <w:webHidden/>
          </w:rPr>
          <w:t>390</w:t>
        </w:r>
        <w:r w:rsidR="00BC01B1">
          <w:rPr>
            <w:noProof/>
            <w:webHidden/>
          </w:rPr>
          <w:fldChar w:fldCharType="end"/>
        </w:r>
      </w:hyperlink>
    </w:p>
    <w:p w:rsidR="00BC01B1" w:rsidRDefault="001B481B">
      <w:pPr>
        <w:pStyle w:val="Sumrio1"/>
        <w:tabs>
          <w:tab w:val="left" w:pos="567"/>
        </w:tabs>
        <w:rPr>
          <w:rFonts w:asciiTheme="minorHAnsi" w:eastAsiaTheme="minorEastAsia" w:hAnsiTheme="minorHAnsi" w:cstheme="minorBidi"/>
          <w:b w:val="0"/>
          <w:noProof/>
          <w:sz w:val="22"/>
          <w:szCs w:val="22"/>
        </w:rPr>
      </w:pPr>
      <w:hyperlink w:anchor="_Toc509935763" w:history="1">
        <w:r w:rsidR="00BC01B1" w:rsidRPr="005D5DCB">
          <w:rPr>
            <w:rStyle w:val="Hyperlink"/>
            <w:noProof/>
          </w:rPr>
          <w:t>13.</w:t>
        </w:r>
        <w:r w:rsidR="00BC01B1">
          <w:rPr>
            <w:rFonts w:asciiTheme="minorHAnsi" w:eastAsiaTheme="minorEastAsia" w:hAnsiTheme="minorHAnsi" w:cstheme="minorBidi"/>
            <w:b w:val="0"/>
            <w:noProof/>
            <w:sz w:val="22"/>
            <w:szCs w:val="22"/>
          </w:rPr>
          <w:tab/>
        </w:r>
        <w:r w:rsidR="00BC01B1" w:rsidRPr="005D5DCB">
          <w:rPr>
            <w:rStyle w:val="Hyperlink"/>
            <w:noProof/>
          </w:rPr>
          <w:t>Considerações finais do PMSB</w:t>
        </w:r>
        <w:r w:rsidR="00BC01B1">
          <w:rPr>
            <w:noProof/>
            <w:webHidden/>
          </w:rPr>
          <w:tab/>
        </w:r>
        <w:r w:rsidR="00BC01B1">
          <w:rPr>
            <w:noProof/>
            <w:webHidden/>
          </w:rPr>
          <w:fldChar w:fldCharType="begin"/>
        </w:r>
        <w:r w:rsidR="00BC01B1">
          <w:rPr>
            <w:noProof/>
            <w:webHidden/>
          </w:rPr>
          <w:instrText xml:space="preserve"> PAGEREF _Toc509935763 \h </w:instrText>
        </w:r>
        <w:r w:rsidR="00BC01B1">
          <w:rPr>
            <w:noProof/>
            <w:webHidden/>
          </w:rPr>
        </w:r>
        <w:r w:rsidR="00BC01B1">
          <w:rPr>
            <w:noProof/>
            <w:webHidden/>
          </w:rPr>
          <w:fldChar w:fldCharType="separate"/>
        </w:r>
        <w:r>
          <w:rPr>
            <w:noProof/>
            <w:webHidden/>
          </w:rPr>
          <w:t>393</w:t>
        </w:r>
        <w:r w:rsidR="00BC01B1">
          <w:rPr>
            <w:noProof/>
            <w:webHidden/>
          </w:rPr>
          <w:fldChar w:fldCharType="end"/>
        </w:r>
      </w:hyperlink>
    </w:p>
    <w:p w:rsidR="00BC01B1" w:rsidRDefault="001B481B">
      <w:pPr>
        <w:pStyle w:val="Sumrio1"/>
        <w:tabs>
          <w:tab w:val="left" w:pos="567"/>
        </w:tabs>
        <w:rPr>
          <w:rFonts w:asciiTheme="minorHAnsi" w:eastAsiaTheme="minorEastAsia" w:hAnsiTheme="minorHAnsi" w:cstheme="minorBidi"/>
          <w:b w:val="0"/>
          <w:noProof/>
          <w:sz w:val="22"/>
          <w:szCs w:val="22"/>
        </w:rPr>
      </w:pPr>
      <w:hyperlink w:anchor="_Toc509935764" w:history="1">
        <w:r w:rsidR="00BC01B1" w:rsidRPr="005D5DCB">
          <w:rPr>
            <w:rStyle w:val="Hyperlink"/>
            <w:noProof/>
          </w:rPr>
          <w:t>14.</w:t>
        </w:r>
        <w:r w:rsidR="00BC01B1">
          <w:rPr>
            <w:rFonts w:asciiTheme="minorHAnsi" w:eastAsiaTheme="minorEastAsia" w:hAnsiTheme="minorHAnsi" w:cstheme="minorBidi"/>
            <w:b w:val="0"/>
            <w:noProof/>
            <w:sz w:val="22"/>
            <w:szCs w:val="22"/>
          </w:rPr>
          <w:tab/>
        </w:r>
        <w:r w:rsidR="00BC01B1" w:rsidRPr="005D5DCB">
          <w:rPr>
            <w:rStyle w:val="Hyperlink"/>
            <w:noProof/>
          </w:rPr>
          <w:t>Bibliografia</w:t>
        </w:r>
        <w:r w:rsidR="00BC01B1">
          <w:rPr>
            <w:noProof/>
            <w:webHidden/>
          </w:rPr>
          <w:tab/>
        </w:r>
        <w:r w:rsidR="00BC01B1">
          <w:rPr>
            <w:noProof/>
            <w:webHidden/>
          </w:rPr>
          <w:fldChar w:fldCharType="begin"/>
        </w:r>
        <w:r w:rsidR="00BC01B1">
          <w:rPr>
            <w:noProof/>
            <w:webHidden/>
          </w:rPr>
          <w:instrText xml:space="preserve"> PAGEREF _Toc509935764 \h </w:instrText>
        </w:r>
        <w:r w:rsidR="00BC01B1">
          <w:rPr>
            <w:noProof/>
            <w:webHidden/>
          </w:rPr>
        </w:r>
        <w:r w:rsidR="00BC01B1">
          <w:rPr>
            <w:noProof/>
            <w:webHidden/>
          </w:rPr>
          <w:fldChar w:fldCharType="separate"/>
        </w:r>
        <w:r>
          <w:rPr>
            <w:noProof/>
            <w:webHidden/>
          </w:rPr>
          <w:t>396</w:t>
        </w:r>
        <w:r w:rsidR="00BC01B1">
          <w:rPr>
            <w:noProof/>
            <w:webHidden/>
          </w:rPr>
          <w:fldChar w:fldCharType="end"/>
        </w:r>
      </w:hyperlink>
    </w:p>
    <w:p w:rsidR="00BC01B1" w:rsidRDefault="001B481B">
      <w:pPr>
        <w:pStyle w:val="Sumrio1"/>
        <w:tabs>
          <w:tab w:val="left" w:pos="567"/>
        </w:tabs>
        <w:rPr>
          <w:rFonts w:asciiTheme="minorHAnsi" w:eastAsiaTheme="minorEastAsia" w:hAnsiTheme="minorHAnsi" w:cstheme="minorBidi"/>
          <w:b w:val="0"/>
          <w:noProof/>
          <w:sz w:val="22"/>
          <w:szCs w:val="22"/>
        </w:rPr>
      </w:pPr>
      <w:hyperlink w:anchor="_Toc509935765" w:history="1">
        <w:r w:rsidR="00BC01B1" w:rsidRPr="005D5DCB">
          <w:rPr>
            <w:rStyle w:val="Hyperlink"/>
            <w:noProof/>
          </w:rPr>
          <w:t>15.</w:t>
        </w:r>
        <w:r w:rsidR="00BC01B1">
          <w:rPr>
            <w:rFonts w:asciiTheme="minorHAnsi" w:eastAsiaTheme="minorEastAsia" w:hAnsiTheme="minorHAnsi" w:cstheme="minorBidi"/>
            <w:b w:val="0"/>
            <w:noProof/>
            <w:sz w:val="22"/>
            <w:szCs w:val="22"/>
          </w:rPr>
          <w:tab/>
        </w:r>
        <w:r w:rsidR="00BC01B1" w:rsidRPr="005D5DCB">
          <w:rPr>
            <w:rStyle w:val="Hyperlink"/>
            <w:noProof/>
          </w:rPr>
          <w:t>Anexos</w:t>
        </w:r>
        <w:r w:rsidR="00BC01B1">
          <w:rPr>
            <w:noProof/>
            <w:webHidden/>
          </w:rPr>
          <w:tab/>
        </w:r>
        <w:r w:rsidR="00BC01B1">
          <w:rPr>
            <w:noProof/>
            <w:webHidden/>
          </w:rPr>
          <w:fldChar w:fldCharType="begin"/>
        </w:r>
        <w:r w:rsidR="00BC01B1">
          <w:rPr>
            <w:noProof/>
            <w:webHidden/>
          </w:rPr>
          <w:instrText xml:space="preserve"> PAGEREF _Toc509935765 \h </w:instrText>
        </w:r>
        <w:r w:rsidR="00BC01B1">
          <w:rPr>
            <w:noProof/>
            <w:webHidden/>
          </w:rPr>
        </w:r>
        <w:r w:rsidR="00BC01B1">
          <w:rPr>
            <w:noProof/>
            <w:webHidden/>
          </w:rPr>
          <w:fldChar w:fldCharType="separate"/>
        </w:r>
        <w:r>
          <w:rPr>
            <w:noProof/>
            <w:webHidden/>
          </w:rPr>
          <w:t>418</w:t>
        </w:r>
        <w:r w:rsidR="00BC01B1">
          <w:rPr>
            <w:noProof/>
            <w:webHidden/>
          </w:rPr>
          <w:fldChar w:fldCharType="end"/>
        </w:r>
      </w:hyperlink>
    </w:p>
    <w:p w:rsidR="003E5877" w:rsidRDefault="00FF7681" w:rsidP="003E5877">
      <w:pPr>
        <w:rPr>
          <w:b/>
        </w:rPr>
      </w:pPr>
      <w:r>
        <w:rPr>
          <w:rFonts w:eastAsia="Times New Roman" w:cs="Arial"/>
          <w:szCs w:val="20"/>
          <w:lang w:eastAsia="pt-BR"/>
        </w:rPr>
        <w:fldChar w:fldCharType="end"/>
      </w:r>
    </w:p>
    <w:p w:rsidR="003E5877" w:rsidRDefault="003E5877" w:rsidP="003E5877">
      <w:pPr>
        <w:pStyle w:val="Ttulo1"/>
      </w:pPr>
      <w:bookmarkStart w:id="1" w:name="_Toc509935449"/>
      <w:r>
        <w:t xml:space="preserve">Lista de </w:t>
      </w:r>
      <w:r w:rsidRPr="00172B43">
        <w:t>Figuras</w:t>
      </w:r>
      <w:bookmarkEnd w:id="1"/>
    </w:p>
    <w:p w:rsidR="00BC01B1" w:rsidRDefault="003E5877">
      <w:pPr>
        <w:pStyle w:val="ndicedeilustraes"/>
        <w:rPr>
          <w:rFonts w:asciiTheme="minorHAnsi" w:eastAsiaTheme="minorEastAsia" w:hAnsiTheme="minorHAnsi" w:cstheme="minorBidi"/>
          <w:noProof/>
          <w:sz w:val="22"/>
          <w:lang w:eastAsia="pt-BR"/>
        </w:rPr>
      </w:pPr>
      <w:r>
        <w:fldChar w:fldCharType="begin"/>
      </w:r>
      <w:r>
        <w:instrText xml:space="preserve"> TOC \h \z \c "Figura" </w:instrText>
      </w:r>
      <w:r>
        <w:fldChar w:fldCharType="separate"/>
      </w:r>
      <w:hyperlink w:anchor="_Toc509935766" w:history="1">
        <w:r w:rsidR="00BC01B1" w:rsidRPr="00B3616D">
          <w:rPr>
            <w:rStyle w:val="Hyperlink"/>
            <w:noProof/>
          </w:rPr>
          <w:t>Figura 1 - Objetivos da regulação dos serviços de saneamento básico</w:t>
        </w:r>
        <w:r w:rsidR="00BC01B1">
          <w:rPr>
            <w:noProof/>
            <w:webHidden/>
          </w:rPr>
          <w:tab/>
        </w:r>
        <w:r w:rsidR="00BC01B1">
          <w:rPr>
            <w:noProof/>
            <w:webHidden/>
          </w:rPr>
          <w:fldChar w:fldCharType="begin"/>
        </w:r>
        <w:r w:rsidR="00BC01B1">
          <w:rPr>
            <w:noProof/>
            <w:webHidden/>
          </w:rPr>
          <w:instrText xml:space="preserve"> PAGEREF _Toc509935766 \h </w:instrText>
        </w:r>
        <w:r w:rsidR="00BC01B1">
          <w:rPr>
            <w:noProof/>
            <w:webHidden/>
          </w:rPr>
        </w:r>
        <w:r w:rsidR="00BC01B1">
          <w:rPr>
            <w:noProof/>
            <w:webHidden/>
          </w:rPr>
          <w:fldChar w:fldCharType="separate"/>
        </w:r>
        <w:r w:rsidR="001B481B">
          <w:rPr>
            <w:noProof/>
            <w:webHidden/>
          </w:rPr>
          <w:t>56</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67" w:history="1">
        <w:r w:rsidR="00BC01B1" w:rsidRPr="00B3616D">
          <w:rPr>
            <w:rStyle w:val="Hyperlink"/>
            <w:noProof/>
          </w:rPr>
          <w:t>Figura 2 - Gestão dos resíduos domiciliares</w:t>
        </w:r>
        <w:r w:rsidR="00BC01B1">
          <w:rPr>
            <w:noProof/>
            <w:webHidden/>
          </w:rPr>
          <w:tab/>
        </w:r>
        <w:r w:rsidR="00BC01B1">
          <w:rPr>
            <w:noProof/>
            <w:webHidden/>
          </w:rPr>
          <w:fldChar w:fldCharType="begin"/>
        </w:r>
        <w:r w:rsidR="00BC01B1">
          <w:rPr>
            <w:noProof/>
            <w:webHidden/>
          </w:rPr>
          <w:instrText xml:space="preserve"> PAGEREF _Toc509935767 \h </w:instrText>
        </w:r>
        <w:r w:rsidR="00BC01B1">
          <w:rPr>
            <w:noProof/>
            <w:webHidden/>
          </w:rPr>
        </w:r>
        <w:r w:rsidR="00BC01B1">
          <w:rPr>
            <w:noProof/>
            <w:webHidden/>
          </w:rPr>
          <w:fldChar w:fldCharType="separate"/>
        </w:r>
        <w:r>
          <w:rPr>
            <w:noProof/>
            <w:webHidden/>
          </w:rPr>
          <w:t>88</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68" w:history="1">
        <w:r w:rsidR="00BC01B1" w:rsidRPr="00B3616D">
          <w:rPr>
            <w:rStyle w:val="Hyperlink"/>
            <w:noProof/>
          </w:rPr>
          <w:t>Figura 3 - Procedimentos para não geração, redução, reutilização e reciclagem de resíduos sólidos</w:t>
        </w:r>
        <w:r w:rsidR="00BC01B1">
          <w:rPr>
            <w:noProof/>
            <w:webHidden/>
          </w:rPr>
          <w:tab/>
        </w:r>
        <w:r w:rsidR="00BC01B1">
          <w:rPr>
            <w:noProof/>
            <w:webHidden/>
          </w:rPr>
          <w:fldChar w:fldCharType="begin"/>
        </w:r>
        <w:r w:rsidR="00BC01B1">
          <w:rPr>
            <w:noProof/>
            <w:webHidden/>
          </w:rPr>
          <w:instrText xml:space="preserve"> PAGEREF _Toc509935768 \h </w:instrText>
        </w:r>
        <w:r w:rsidR="00BC01B1">
          <w:rPr>
            <w:noProof/>
            <w:webHidden/>
          </w:rPr>
        </w:r>
        <w:r w:rsidR="00BC01B1">
          <w:rPr>
            <w:noProof/>
            <w:webHidden/>
          </w:rPr>
          <w:fldChar w:fldCharType="separate"/>
        </w:r>
        <w:r>
          <w:rPr>
            <w:noProof/>
            <w:webHidden/>
          </w:rPr>
          <w:t>88</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69" w:history="1">
        <w:r w:rsidR="00BC01B1" w:rsidRPr="00B3616D">
          <w:rPr>
            <w:rStyle w:val="Hyperlink"/>
            <w:noProof/>
          </w:rPr>
          <w:t>Figura 4 - Método heurístico de traçado de itinerários de coleta</w:t>
        </w:r>
        <w:r w:rsidR="00BC01B1">
          <w:rPr>
            <w:noProof/>
            <w:webHidden/>
          </w:rPr>
          <w:tab/>
        </w:r>
        <w:r w:rsidR="00BC01B1">
          <w:rPr>
            <w:noProof/>
            <w:webHidden/>
          </w:rPr>
          <w:fldChar w:fldCharType="begin"/>
        </w:r>
        <w:r w:rsidR="00BC01B1">
          <w:rPr>
            <w:noProof/>
            <w:webHidden/>
          </w:rPr>
          <w:instrText xml:space="preserve"> PAGEREF _Toc509935769 \h </w:instrText>
        </w:r>
        <w:r w:rsidR="00BC01B1">
          <w:rPr>
            <w:noProof/>
            <w:webHidden/>
          </w:rPr>
        </w:r>
        <w:r w:rsidR="00BC01B1">
          <w:rPr>
            <w:noProof/>
            <w:webHidden/>
          </w:rPr>
          <w:fldChar w:fldCharType="separate"/>
        </w:r>
        <w:r>
          <w:rPr>
            <w:noProof/>
            <w:webHidden/>
          </w:rPr>
          <w:t>95</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70" w:history="1">
        <w:r w:rsidR="00BC01B1" w:rsidRPr="00B3616D">
          <w:rPr>
            <w:rStyle w:val="Hyperlink"/>
            <w:noProof/>
          </w:rPr>
          <w:t>Figura 5 - Área de transbordo e triagem de resíduos sólidos</w:t>
        </w:r>
        <w:r w:rsidR="00BC01B1">
          <w:rPr>
            <w:noProof/>
            <w:webHidden/>
          </w:rPr>
          <w:tab/>
        </w:r>
        <w:r w:rsidR="00BC01B1">
          <w:rPr>
            <w:noProof/>
            <w:webHidden/>
          </w:rPr>
          <w:fldChar w:fldCharType="begin"/>
        </w:r>
        <w:r w:rsidR="00BC01B1">
          <w:rPr>
            <w:noProof/>
            <w:webHidden/>
          </w:rPr>
          <w:instrText xml:space="preserve"> PAGEREF _Toc509935770 \h </w:instrText>
        </w:r>
        <w:r w:rsidR="00BC01B1">
          <w:rPr>
            <w:noProof/>
            <w:webHidden/>
          </w:rPr>
        </w:r>
        <w:r w:rsidR="00BC01B1">
          <w:rPr>
            <w:noProof/>
            <w:webHidden/>
          </w:rPr>
          <w:fldChar w:fldCharType="separate"/>
        </w:r>
        <w:r>
          <w:rPr>
            <w:noProof/>
            <w:webHidden/>
          </w:rPr>
          <w:t>98</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71" w:history="1">
        <w:r w:rsidR="00BC01B1" w:rsidRPr="00B3616D">
          <w:rPr>
            <w:rStyle w:val="Hyperlink"/>
            <w:noProof/>
          </w:rPr>
          <w:t>Figura 6 - Etapas para o desenvolvimento de um Plano de Segurança da Água</w:t>
        </w:r>
        <w:r w:rsidR="00BC01B1">
          <w:rPr>
            <w:noProof/>
            <w:webHidden/>
          </w:rPr>
          <w:tab/>
        </w:r>
        <w:r w:rsidR="00BC01B1">
          <w:rPr>
            <w:noProof/>
            <w:webHidden/>
          </w:rPr>
          <w:fldChar w:fldCharType="begin"/>
        </w:r>
        <w:r w:rsidR="00BC01B1">
          <w:rPr>
            <w:noProof/>
            <w:webHidden/>
          </w:rPr>
          <w:instrText xml:space="preserve"> PAGEREF _Toc509935771 \h </w:instrText>
        </w:r>
        <w:r w:rsidR="00BC01B1">
          <w:rPr>
            <w:noProof/>
            <w:webHidden/>
          </w:rPr>
        </w:r>
        <w:r w:rsidR="00BC01B1">
          <w:rPr>
            <w:noProof/>
            <w:webHidden/>
          </w:rPr>
          <w:fldChar w:fldCharType="separate"/>
        </w:r>
        <w:r>
          <w:rPr>
            <w:noProof/>
            <w:webHidden/>
          </w:rPr>
          <w:t>181</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72" w:history="1">
        <w:r w:rsidR="00BC01B1" w:rsidRPr="00B3616D">
          <w:rPr>
            <w:rStyle w:val="Hyperlink"/>
            <w:noProof/>
          </w:rPr>
          <w:t>Figura 7 - Estrutura geral de um ecoponto</w:t>
        </w:r>
        <w:r w:rsidR="00BC01B1">
          <w:rPr>
            <w:noProof/>
            <w:webHidden/>
          </w:rPr>
          <w:tab/>
        </w:r>
        <w:r w:rsidR="00BC01B1">
          <w:rPr>
            <w:noProof/>
            <w:webHidden/>
          </w:rPr>
          <w:fldChar w:fldCharType="begin"/>
        </w:r>
        <w:r w:rsidR="00BC01B1">
          <w:rPr>
            <w:noProof/>
            <w:webHidden/>
          </w:rPr>
          <w:instrText xml:space="preserve"> PAGEREF _Toc509935772 \h </w:instrText>
        </w:r>
        <w:r w:rsidR="00BC01B1">
          <w:rPr>
            <w:noProof/>
            <w:webHidden/>
          </w:rPr>
        </w:r>
        <w:r w:rsidR="00BC01B1">
          <w:rPr>
            <w:noProof/>
            <w:webHidden/>
          </w:rPr>
          <w:fldChar w:fldCharType="separate"/>
        </w:r>
        <w:r>
          <w:rPr>
            <w:noProof/>
            <w:webHidden/>
          </w:rPr>
          <w:t>282</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73" w:history="1">
        <w:r w:rsidR="00BC01B1" w:rsidRPr="00B3616D">
          <w:rPr>
            <w:rStyle w:val="Hyperlink"/>
            <w:noProof/>
          </w:rPr>
          <w:t>Figura 8 - Gestão Integrada em Proteção e Defesa Civil</w:t>
        </w:r>
        <w:r w:rsidR="00BC01B1">
          <w:rPr>
            <w:noProof/>
            <w:webHidden/>
          </w:rPr>
          <w:tab/>
        </w:r>
        <w:r w:rsidR="00BC01B1">
          <w:rPr>
            <w:noProof/>
            <w:webHidden/>
          </w:rPr>
          <w:fldChar w:fldCharType="begin"/>
        </w:r>
        <w:r w:rsidR="00BC01B1">
          <w:rPr>
            <w:noProof/>
            <w:webHidden/>
          </w:rPr>
          <w:instrText xml:space="preserve"> PAGEREF _Toc509935773 \h </w:instrText>
        </w:r>
        <w:r w:rsidR="00BC01B1">
          <w:rPr>
            <w:noProof/>
            <w:webHidden/>
          </w:rPr>
        </w:r>
        <w:r w:rsidR="00BC01B1">
          <w:rPr>
            <w:noProof/>
            <w:webHidden/>
          </w:rPr>
          <w:fldChar w:fldCharType="separate"/>
        </w:r>
        <w:r>
          <w:rPr>
            <w:noProof/>
            <w:webHidden/>
          </w:rPr>
          <w:t>288</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74" w:history="1">
        <w:r w:rsidR="00BC01B1" w:rsidRPr="00B3616D">
          <w:rPr>
            <w:rStyle w:val="Hyperlink"/>
            <w:noProof/>
          </w:rPr>
          <w:t>Figura 9 - Questões relevantes para estruturação de um plano de contingência</w:t>
        </w:r>
        <w:r w:rsidR="00BC01B1">
          <w:rPr>
            <w:noProof/>
            <w:webHidden/>
          </w:rPr>
          <w:tab/>
        </w:r>
        <w:r w:rsidR="00BC01B1">
          <w:rPr>
            <w:noProof/>
            <w:webHidden/>
          </w:rPr>
          <w:fldChar w:fldCharType="begin"/>
        </w:r>
        <w:r w:rsidR="00BC01B1">
          <w:rPr>
            <w:noProof/>
            <w:webHidden/>
          </w:rPr>
          <w:instrText xml:space="preserve"> PAGEREF _Toc509935774 \h </w:instrText>
        </w:r>
        <w:r w:rsidR="00BC01B1">
          <w:rPr>
            <w:noProof/>
            <w:webHidden/>
          </w:rPr>
        </w:r>
        <w:r w:rsidR="00BC01B1">
          <w:rPr>
            <w:noProof/>
            <w:webHidden/>
          </w:rPr>
          <w:fldChar w:fldCharType="separate"/>
        </w:r>
        <w:r>
          <w:rPr>
            <w:noProof/>
            <w:webHidden/>
          </w:rPr>
          <w:t>297</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75" w:history="1">
        <w:r w:rsidR="00BC01B1" w:rsidRPr="00B3616D">
          <w:rPr>
            <w:rStyle w:val="Hyperlink"/>
            <w:noProof/>
          </w:rPr>
          <w:t>Figura 10 - Fluxograma esquemático do Sistema de Informação</w:t>
        </w:r>
        <w:r w:rsidR="00BC01B1">
          <w:rPr>
            <w:noProof/>
            <w:webHidden/>
          </w:rPr>
          <w:tab/>
        </w:r>
        <w:r w:rsidR="00BC01B1">
          <w:rPr>
            <w:noProof/>
            <w:webHidden/>
          </w:rPr>
          <w:fldChar w:fldCharType="begin"/>
        </w:r>
        <w:r w:rsidR="00BC01B1">
          <w:rPr>
            <w:noProof/>
            <w:webHidden/>
          </w:rPr>
          <w:instrText xml:space="preserve"> PAGEREF _Toc509935775 \h </w:instrText>
        </w:r>
        <w:r w:rsidR="00BC01B1">
          <w:rPr>
            <w:noProof/>
            <w:webHidden/>
          </w:rPr>
        </w:r>
        <w:r w:rsidR="00BC01B1">
          <w:rPr>
            <w:noProof/>
            <w:webHidden/>
          </w:rPr>
          <w:fldChar w:fldCharType="separate"/>
        </w:r>
        <w:r>
          <w:rPr>
            <w:noProof/>
            <w:webHidden/>
          </w:rPr>
          <w:t>326</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76" w:history="1">
        <w:r w:rsidR="00BC01B1" w:rsidRPr="00B3616D">
          <w:rPr>
            <w:rStyle w:val="Hyperlink"/>
            <w:noProof/>
          </w:rPr>
          <w:t>Figura 11 - Fotografias da Audiência Pública do PMSB de Córrego Novo-MG</w:t>
        </w:r>
        <w:r w:rsidR="00BC01B1">
          <w:rPr>
            <w:noProof/>
            <w:webHidden/>
          </w:rPr>
          <w:tab/>
        </w:r>
        <w:r w:rsidR="00BC01B1">
          <w:rPr>
            <w:noProof/>
            <w:webHidden/>
          </w:rPr>
          <w:fldChar w:fldCharType="begin"/>
        </w:r>
        <w:r w:rsidR="00BC01B1">
          <w:rPr>
            <w:noProof/>
            <w:webHidden/>
          </w:rPr>
          <w:instrText xml:space="preserve"> PAGEREF _Toc509935776 \h </w:instrText>
        </w:r>
        <w:r w:rsidR="00BC01B1">
          <w:rPr>
            <w:noProof/>
            <w:webHidden/>
          </w:rPr>
        </w:r>
        <w:r w:rsidR="00BC01B1">
          <w:rPr>
            <w:noProof/>
            <w:webHidden/>
          </w:rPr>
          <w:fldChar w:fldCharType="separate"/>
        </w:r>
        <w:r>
          <w:rPr>
            <w:noProof/>
            <w:webHidden/>
          </w:rPr>
          <w:t>390</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77" w:history="1">
        <w:r w:rsidR="00BC01B1" w:rsidRPr="00B3616D">
          <w:rPr>
            <w:rStyle w:val="Hyperlink"/>
            <w:noProof/>
          </w:rPr>
          <w:t>Figura 12 - Lista de Presença da Audiência Pública</w:t>
        </w:r>
        <w:r w:rsidR="00BC01B1">
          <w:rPr>
            <w:noProof/>
            <w:webHidden/>
          </w:rPr>
          <w:tab/>
        </w:r>
        <w:r w:rsidR="00BC01B1">
          <w:rPr>
            <w:noProof/>
            <w:webHidden/>
          </w:rPr>
          <w:fldChar w:fldCharType="begin"/>
        </w:r>
        <w:r w:rsidR="00BC01B1">
          <w:rPr>
            <w:noProof/>
            <w:webHidden/>
          </w:rPr>
          <w:instrText xml:space="preserve"> PAGEREF _Toc509935777 \h </w:instrText>
        </w:r>
        <w:r w:rsidR="00BC01B1">
          <w:rPr>
            <w:noProof/>
            <w:webHidden/>
          </w:rPr>
        </w:r>
        <w:r w:rsidR="00BC01B1">
          <w:rPr>
            <w:noProof/>
            <w:webHidden/>
          </w:rPr>
          <w:fldChar w:fldCharType="separate"/>
        </w:r>
        <w:r>
          <w:rPr>
            <w:noProof/>
            <w:webHidden/>
          </w:rPr>
          <w:t>392</w:t>
        </w:r>
        <w:r w:rsidR="00BC01B1">
          <w:rPr>
            <w:noProof/>
            <w:webHidden/>
          </w:rPr>
          <w:fldChar w:fldCharType="end"/>
        </w:r>
      </w:hyperlink>
    </w:p>
    <w:p w:rsidR="003E5877" w:rsidRDefault="003E5877" w:rsidP="003E5877">
      <w:r>
        <w:fldChar w:fldCharType="end"/>
      </w:r>
    </w:p>
    <w:p w:rsidR="003E5877" w:rsidRPr="00172B43" w:rsidRDefault="003E5877" w:rsidP="003E5877">
      <w:pPr>
        <w:pStyle w:val="Ttulo1"/>
      </w:pPr>
      <w:bookmarkStart w:id="2" w:name="_Toc509935450"/>
      <w:r>
        <w:t xml:space="preserve">Lista de </w:t>
      </w:r>
      <w:r w:rsidRPr="00172B43">
        <w:t>Quadros</w:t>
      </w:r>
      <w:bookmarkEnd w:id="2"/>
    </w:p>
    <w:p w:rsidR="00BC01B1" w:rsidRDefault="003E5877">
      <w:pPr>
        <w:pStyle w:val="ndicedeilustraes"/>
        <w:rPr>
          <w:rFonts w:asciiTheme="minorHAnsi" w:eastAsiaTheme="minorEastAsia" w:hAnsiTheme="minorHAnsi" w:cstheme="minorBidi"/>
          <w:noProof/>
          <w:sz w:val="22"/>
          <w:lang w:eastAsia="pt-BR"/>
        </w:rPr>
      </w:pPr>
      <w:r>
        <w:fldChar w:fldCharType="begin"/>
      </w:r>
      <w:r>
        <w:instrText xml:space="preserve"> TOC \h \z \c "Quadro" </w:instrText>
      </w:r>
      <w:r>
        <w:fldChar w:fldCharType="separate"/>
      </w:r>
      <w:hyperlink w:anchor="_Toc509935778" w:history="1">
        <w:r w:rsidR="00BC01B1" w:rsidRPr="00DE18BF">
          <w:rPr>
            <w:rStyle w:val="Hyperlink"/>
            <w:noProof/>
          </w:rPr>
          <w:t>Quadro 1 - Formas de prestação de serviços públicos admitidas pela Constituição Federal</w:t>
        </w:r>
        <w:r w:rsidR="00BC01B1">
          <w:rPr>
            <w:noProof/>
            <w:webHidden/>
          </w:rPr>
          <w:tab/>
        </w:r>
        <w:r w:rsidR="00BC01B1">
          <w:rPr>
            <w:noProof/>
            <w:webHidden/>
          </w:rPr>
          <w:fldChar w:fldCharType="begin"/>
        </w:r>
        <w:r w:rsidR="00BC01B1">
          <w:rPr>
            <w:noProof/>
            <w:webHidden/>
          </w:rPr>
          <w:instrText xml:space="preserve"> PAGEREF _Toc509935778 \h </w:instrText>
        </w:r>
        <w:r w:rsidR="00BC01B1">
          <w:rPr>
            <w:noProof/>
            <w:webHidden/>
          </w:rPr>
        </w:r>
        <w:r w:rsidR="00BC01B1">
          <w:rPr>
            <w:noProof/>
            <w:webHidden/>
          </w:rPr>
          <w:fldChar w:fldCharType="separate"/>
        </w:r>
        <w:r w:rsidR="001B481B">
          <w:rPr>
            <w:noProof/>
            <w:webHidden/>
          </w:rPr>
          <w:t>45</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79" w:history="1">
        <w:r w:rsidR="00BC01B1" w:rsidRPr="00DE18BF">
          <w:rPr>
            <w:rStyle w:val="Hyperlink"/>
            <w:noProof/>
          </w:rPr>
          <w:t>Quadro 2 - Comparativo entre Departamento e Autarquia</w:t>
        </w:r>
        <w:r w:rsidR="00BC01B1">
          <w:rPr>
            <w:noProof/>
            <w:webHidden/>
          </w:rPr>
          <w:tab/>
        </w:r>
        <w:r w:rsidR="00BC01B1">
          <w:rPr>
            <w:noProof/>
            <w:webHidden/>
          </w:rPr>
          <w:fldChar w:fldCharType="begin"/>
        </w:r>
        <w:r w:rsidR="00BC01B1">
          <w:rPr>
            <w:noProof/>
            <w:webHidden/>
          </w:rPr>
          <w:instrText xml:space="preserve"> PAGEREF _Toc509935779 \h </w:instrText>
        </w:r>
        <w:r w:rsidR="00BC01B1">
          <w:rPr>
            <w:noProof/>
            <w:webHidden/>
          </w:rPr>
        </w:r>
        <w:r w:rsidR="00BC01B1">
          <w:rPr>
            <w:noProof/>
            <w:webHidden/>
          </w:rPr>
          <w:fldChar w:fldCharType="separate"/>
        </w:r>
        <w:r>
          <w:rPr>
            <w:noProof/>
            <w:webHidden/>
          </w:rPr>
          <w:t>51</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80" w:history="1">
        <w:r w:rsidR="00BC01B1" w:rsidRPr="00DE18BF">
          <w:rPr>
            <w:rStyle w:val="Hyperlink"/>
            <w:noProof/>
          </w:rPr>
          <w:t>Quadro 3 - Vantagens e desvantagens dos modelos de regulação</w:t>
        </w:r>
        <w:r w:rsidR="00BC01B1">
          <w:rPr>
            <w:noProof/>
            <w:webHidden/>
          </w:rPr>
          <w:tab/>
        </w:r>
        <w:r w:rsidR="00BC01B1">
          <w:rPr>
            <w:noProof/>
            <w:webHidden/>
          </w:rPr>
          <w:fldChar w:fldCharType="begin"/>
        </w:r>
        <w:r w:rsidR="00BC01B1">
          <w:rPr>
            <w:noProof/>
            <w:webHidden/>
          </w:rPr>
          <w:instrText xml:space="preserve"> PAGEREF _Toc509935780 \h </w:instrText>
        </w:r>
        <w:r w:rsidR="00BC01B1">
          <w:rPr>
            <w:noProof/>
            <w:webHidden/>
          </w:rPr>
        </w:r>
        <w:r w:rsidR="00BC01B1">
          <w:rPr>
            <w:noProof/>
            <w:webHidden/>
          </w:rPr>
          <w:fldChar w:fldCharType="separate"/>
        </w:r>
        <w:r>
          <w:rPr>
            <w:noProof/>
            <w:webHidden/>
          </w:rPr>
          <w:t>56</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81" w:history="1">
        <w:r w:rsidR="00BC01B1" w:rsidRPr="00DE18BF">
          <w:rPr>
            <w:rStyle w:val="Hyperlink"/>
            <w:noProof/>
          </w:rPr>
          <w:t>Quadro 4 - Funções da gestão e entidades passíveis de atuar como responsáveis</w:t>
        </w:r>
        <w:r w:rsidR="00BC01B1">
          <w:rPr>
            <w:noProof/>
            <w:webHidden/>
          </w:rPr>
          <w:tab/>
        </w:r>
        <w:r w:rsidR="00BC01B1">
          <w:rPr>
            <w:noProof/>
            <w:webHidden/>
          </w:rPr>
          <w:fldChar w:fldCharType="begin"/>
        </w:r>
        <w:r w:rsidR="00BC01B1">
          <w:rPr>
            <w:noProof/>
            <w:webHidden/>
          </w:rPr>
          <w:instrText xml:space="preserve"> PAGEREF _Toc509935781 \h </w:instrText>
        </w:r>
        <w:r w:rsidR="00BC01B1">
          <w:rPr>
            <w:noProof/>
            <w:webHidden/>
          </w:rPr>
        </w:r>
        <w:r w:rsidR="00BC01B1">
          <w:rPr>
            <w:noProof/>
            <w:webHidden/>
          </w:rPr>
          <w:fldChar w:fldCharType="separate"/>
        </w:r>
        <w:r>
          <w:rPr>
            <w:noProof/>
            <w:webHidden/>
          </w:rPr>
          <w:t>59</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82" w:history="1">
        <w:r w:rsidR="00BC01B1" w:rsidRPr="00DE18BF">
          <w:rPr>
            <w:rStyle w:val="Hyperlink"/>
            <w:noProof/>
          </w:rPr>
          <w:t>Quadro 5 - Resíduos dos Serviços Públicos de Saneamento Básico – Regras de estocagem</w:t>
        </w:r>
        <w:r w:rsidR="00BC01B1">
          <w:rPr>
            <w:noProof/>
            <w:webHidden/>
          </w:rPr>
          <w:tab/>
        </w:r>
        <w:r w:rsidR="00BC01B1">
          <w:rPr>
            <w:noProof/>
            <w:webHidden/>
          </w:rPr>
          <w:fldChar w:fldCharType="begin"/>
        </w:r>
        <w:r w:rsidR="00BC01B1">
          <w:rPr>
            <w:noProof/>
            <w:webHidden/>
          </w:rPr>
          <w:instrText xml:space="preserve"> PAGEREF _Toc509935782 \h </w:instrText>
        </w:r>
        <w:r w:rsidR="00BC01B1">
          <w:rPr>
            <w:noProof/>
            <w:webHidden/>
          </w:rPr>
        </w:r>
        <w:r w:rsidR="00BC01B1">
          <w:rPr>
            <w:noProof/>
            <w:webHidden/>
          </w:rPr>
          <w:fldChar w:fldCharType="separate"/>
        </w:r>
        <w:r>
          <w:rPr>
            <w:noProof/>
            <w:webHidden/>
          </w:rPr>
          <w:t>60</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83" w:history="1">
        <w:r w:rsidR="00BC01B1" w:rsidRPr="00DE18BF">
          <w:rPr>
            <w:rStyle w:val="Hyperlink"/>
            <w:noProof/>
          </w:rPr>
          <w:t>Quadro 6 - Resíduos dos Serviços Públicos de Saneamento Básico – Regras de transporte</w:t>
        </w:r>
        <w:r w:rsidR="00BC01B1">
          <w:rPr>
            <w:noProof/>
            <w:webHidden/>
          </w:rPr>
          <w:tab/>
        </w:r>
        <w:r w:rsidR="00BC01B1">
          <w:rPr>
            <w:noProof/>
            <w:webHidden/>
          </w:rPr>
          <w:fldChar w:fldCharType="begin"/>
        </w:r>
        <w:r w:rsidR="00BC01B1">
          <w:rPr>
            <w:noProof/>
            <w:webHidden/>
          </w:rPr>
          <w:instrText xml:space="preserve"> PAGEREF _Toc509935783 \h </w:instrText>
        </w:r>
        <w:r w:rsidR="00BC01B1">
          <w:rPr>
            <w:noProof/>
            <w:webHidden/>
          </w:rPr>
        </w:r>
        <w:r w:rsidR="00BC01B1">
          <w:rPr>
            <w:noProof/>
            <w:webHidden/>
          </w:rPr>
          <w:fldChar w:fldCharType="separate"/>
        </w:r>
        <w:r>
          <w:rPr>
            <w:noProof/>
            <w:webHidden/>
          </w:rPr>
          <w:t>60</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84" w:history="1">
        <w:r w:rsidR="00BC01B1" w:rsidRPr="00DE18BF">
          <w:rPr>
            <w:rStyle w:val="Hyperlink"/>
            <w:noProof/>
          </w:rPr>
          <w:t>Quadro 7 - Resíduos dos Serviços Públicos de Saneamento Básico – Regras de disposição final</w:t>
        </w:r>
        <w:r w:rsidR="00BC01B1">
          <w:rPr>
            <w:noProof/>
            <w:webHidden/>
          </w:rPr>
          <w:tab/>
        </w:r>
        <w:r w:rsidR="00BC01B1">
          <w:rPr>
            <w:noProof/>
            <w:webHidden/>
          </w:rPr>
          <w:fldChar w:fldCharType="begin"/>
        </w:r>
        <w:r w:rsidR="00BC01B1">
          <w:rPr>
            <w:noProof/>
            <w:webHidden/>
          </w:rPr>
          <w:instrText xml:space="preserve"> PAGEREF _Toc509935784 \h </w:instrText>
        </w:r>
        <w:r w:rsidR="00BC01B1">
          <w:rPr>
            <w:noProof/>
            <w:webHidden/>
          </w:rPr>
        </w:r>
        <w:r w:rsidR="00BC01B1">
          <w:rPr>
            <w:noProof/>
            <w:webHidden/>
          </w:rPr>
          <w:fldChar w:fldCharType="separate"/>
        </w:r>
        <w:r>
          <w:rPr>
            <w:noProof/>
            <w:webHidden/>
          </w:rPr>
          <w:t>61</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85" w:history="1">
        <w:r w:rsidR="00BC01B1" w:rsidRPr="00DE18BF">
          <w:rPr>
            <w:rStyle w:val="Hyperlink"/>
            <w:noProof/>
          </w:rPr>
          <w:t>Quadro 8 - Resíduos dos Serviços Públicos de Saneamento Básico – Legislação e normas</w:t>
        </w:r>
        <w:r w:rsidR="00BC01B1">
          <w:rPr>
            <w:noProof/>
            <w:webHidden/>
          </w:rPr>
          <w:tab/>
        </w:r>
        <w:r w:rsidR="00BC01B1">
          <w:rPr>
            <w:noProof/>
            <w:webHidden/>
          </w:rPr>
          <w:fldChar w:fldCharType="begin"/>
        </w:r>
        <w:r w:rsidR="00BC01B1">
          <w:rPr>
            <w:noProof/>
            <w:webHidden/>
          </w:rPr>
          <w:instrText xml:space="preserve"> PAGEREF _Toc509935785 \h </w:instrText>
        </w:r>
        <w:r w:rsidR="00BC01B1">
          <w:rPr>
            <w:noProof/>
            <w:webHidden/>
          </w:rPr>
        </w:r>
        <w:r w:rsidR="00BC01B1">
          <w:rPr>
            <w:noProof/>
            <w:webHidden/>
          </w:rPr>
          <w:fldChar w:fldCharType="separate"/>
        </w:r>
        <w:r>
          <w:rPr>
            <w:noProof/>
            <w:webHidden/>
          </w:rPr>
          <w:t>63</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86" w:history="1">
        <w:r w:rsidR="00BC01B1" w:rsidRPr="00DE18BF">
          <w:rPr>
            <w:rStyle w:val="Hyperlink"/>
            <w:noProof/>
          </w:rPr>
          <w:t>Quadro 9 - Resíduos dos Serviços de Transporte – Classificação</w:t>
        </w:r>
        <w:r w:rsidR="00BC01B1">
          <w:rPr>
            <w:noProof/>
            <w:webHidden/>
          </w:rPr>
          <w:tab/>
        </w:r>
        <w:r w:rsidR="00BC01B1">
          <w:rPr>
            <w:noProof/>
            <w:webHidden/>
          </w:rPr>
          <w:fldChar w:fldCharType="begin"/>
        </w:r>
        <w:r w:rsidR="00BC01B1">
          <w:rPr>
            <w:noProof/>
            <w:webHidden/>
          </w:rPr>
          <w:instrText xml:space="preserve"> PAGEREF _Toc509935786 \h </w:instrText>
        </w:r>
        <w:r w:rsidR="00BC01B1">
          <w:rPr>
            <w:noProof/>
            <w:webHidden/>
          </w:rPr>
        </w:r>
        <w:r w:rsidR="00BC01B1">
          <w:rPr>
            <w:noProof/>
            <w:webHidden/>
          </w:rPr>
          <w:fldChar w:fldCharType="separate"/>
        </w:r>
        <w:r>
          <w:rPr>
            <w:noProof/>
            <w:webHidden/>
          </w:rPr>
          <w:t>63</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87" w:history="1">
        <w:r w:rsidR="00BC01B1" w:rsidRPr="00DE18BF">
          <w:rPr>
            <w:rStyle w:val="Hyperlink"/>
            <w:noProof/>
          </w:rPr>
          <w:t>Quadro 10 - Resíduos dos Serviços de Transporte – Regras de coleta e transporte</w:t>
        </w:r>
        <w:r w:rsidR="00BC01B1">
          <w:rPr>
            <w:noProof/>
            <w:webHidden/>
          </w:rPr>
          <w:tab/>
        </w:r>
        <w:r w:rsidR="00BC01B1">
          <w:rPr>
            <w:noProof/>
            <w:webHidden/>
          </w:rPr>
          <w:fldChar w:fldCharType="begin"/>
        </w:r>
        <w:r w:rsidR="00BC01B1">
          <w:rPr>
            <w:noProof/>
            <w:webHidden/>
          </w:rPr>
          <w:instrText xml:space="preserve"> PAGEREF _Toc509935787 \h </w:instrText>
        </w:r>
        <w:r w:rsidR="00BC01B1">
          <w:rPr>
            <w:noProof/>
            <w:webHidden/>
          </w:rPr>
        </w:r>
        <w:r w:rsidR="00BC01B1">
          <w:rPr>
            <w:noProof/>
            <w:webHidden/>
          </w:rPr>
          <w:fldChar w:fldCharType="separate"/>
        </w:r>
        <w:r>
          <w:rPr>
            <w:noProof/>
            <w:webHidden/>
          </w:rPr>
          <w:t>64</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88" w:history="1">
        <w:r w:rsidR="00BC01B1" w:rsidRPr="00DE18BF">
          <w:rPr>
            <w:rStyle w:val="Hyperlink"/>
            <w:noProof/>
          </w:rPr>
          <w:t>Quadro 11 - Resíduos dos Serviços de Transporte – Regras de tratamento e disposição final</w:t>
        </w:r>
        <w:r w:rsidR="00BC01B1">
          <w:rPr>
            <w:noProof/>
            <w:webHidden/>
          </w:rPr>
          <w:tab/>
        </w:r>
        <w:r w:rsidR="00BC01B1">
          <w:rPr>
            <w:noProof/>
            <w:webHidden/>
          </w:rPr>
          <w:fldChar w:fldCharType="begin"/>
        </w:r>
        <w:r w:rsidR="00BC01B1">
          <w:rPr>
            <w:noProof/>
            <w:webHidden/>
          </w:rPr>
          <w:instrText xml:space="preserve"> PAGEREF _Toc509935788 \h </w:instrText>
        </w:r>
        <w:r w:rsidR="00BC01B1">
          <w:rPr>
            <w:noProof/>
            <w:webHidden/>
          </w:rPr>
        </w:r>
        <w:r w:rsidR="00BC01B1">
          <w:rPr>
            <w:noProof/>
            <w:webHidden/>
          </w:rPr>
          <w:fldChar w:fldCharType="separate"/>
        </w:r>
        <w:r>
          <w:rPr>
            <w:noProof/>
            <w:webHidden/>
          </w:rPr>
          <w:t>65</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89" w:history="1">
        <w:r w:rsidR="00BC01B1" w:rsidRPr="00DE18BF">
          <w:rPr>
            <w:rStyle w:val="Hyperlink"/>
            <w:noProof/>
          </w:rPr>
          <w:t>Quadro 12 - Resíduos dos Serviços de Transporte – Regras de licenciamento</w:t>
        </w:r>
        <w:r w:rsidR="00BC01B1">
          <w:rPr>
            <w:noProof/>
            <w:webHidden/>
          </w:rPr>
          <w:tab/>
        </w:r>
        <w:r w:rsidR="00BC01B1">
          <w:rPr>
            <w:noProof/>
            <w:webHidden/>
          </w:rPr>
          <w:fldChar w:fldCharType="begin"/>
        </w:r>
        <w:r w:rsidR="00BC01B1">
          <w:rPr>
            <w:noProof/>
            <w:webHidden/>
          </w:rPr>
          <w:instrText xml:space="preserve"> PAGEREF _Toc509935789 \h </w:instrText>
        </w:r>
        <w:r w:rsidR="00BC01B1">
          <w:rPr>
            <w:noProof/>
            <w:webHidden/>
          </w:rPr>
        </w:r>
        <w:r w:rsidR="00BC01B1">
          <w:rPr>
            <w:noProof/>
            <w:webHidden/>
          </w:rPr>
          <w:fldChar w:fldCharType="separate"/>
        </w:r>
        <w:r>
          <w:rPr>
            <w:noProof/>
            <w:webHidden/>
          </w:rPr>
          <w:t>66</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90" w:history="1">
        <w:r w:rsidR="00BC01B1" w:rsidRPr="00DE18BF">
          <w:rPr>
            <w:rStyle w:val="Hyperlink"/>
            <w:noProof/>
          </w:rPr>
          <w:t>Quadro 13 - Resíduos dos Serviços de Transporte – Legislação e normas</w:t>
        </w:r>
        <w:r w:rsidR="00BC01B1">
          <w:rPr>
            <w:noProof/>
            <w:webHidden/>
          </w:rPr>
          <w:tab/>
        </w:r>
        <w:r w:rsidR="00BC01B1">
          <w:rPr>
            <w:noProof/>
            <w:webHidden/>
          </w:rPr>
          <w:fldChar w:fldCharType="begin"/>
        </w:r>
        <w:r w:rsidR="00BC01B1">
          <w:rPr>
            <w:noProof/>
            <w:webHidden/>
          </w:rPr>
          <w:instrText xml:space="preserve"> PAGEREF _Toc509935790 \h </w:instrText>
        </w:r>
        <w:r w:rsidR="00BC01B1">
          <w:rPr>
            <w:noProof/>
            <w:webHidden/>
          </w:rPr>
        </w:r>
        <w:r w:rsidR="00BC01B1">
          <w:rPr>
            <w:noProof/>
            <w:webHidden/>
          </w:rPr>
          <w:fldChar w:fldCharType="separate"/>
        </w:r>
        <w:r>
          <w:rPr>
            <w:noProof/>
            <w:webHidden/>
          </w:rPr>
          <w:t>66</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91" w:history="1">
        <w:r w:rsidR="00BC01B1" w:rsidRPr="00DE18BF">
          <w:rPr>
            <w:rStyle w:val="Hyperlink"/>
            <w:noProof/>
          </w:rPr>
          <w:t>Quadro 14 - Resíduos de Serviço de Saúde – Classificação</w:t>
        </w:r>
        <w:r w:rsidR="00BC01B1">
          <w:rPr>
            <w:noProof/>
            <w:webHidden/>
          </w:rPr>
          <w:tab/>
        </w:r>
        <w:r w:rsidR="00BC01B1">
          <w:rPr>
            <w:noProof/>
            <w:webHidden/>
          </w:rPr>
          <w:fldChar w:fldCharType="begin"/>
        </w:r>
        <w:r w:rsidR="00BC01B1">
          <w:rPr>
            <w:noProof/>
            <w:webHidden/>
          </w:rPr>
          <w:instrText xml:space="preserve"> PAGEREF _Toc509935791 \h </w:instrText>
        </w:r>
        <w:r w:rsidR="00BC01B1">
          <w:rPr>
            <w:noProof/>
            <w:webHidden/>
          </w:rPr>
        </w:r>
        <w:r w:rsidR="00BC01B1">
          <w:rPr>
            <w:noProof/>
            <w:webHidden/>
          </w:rPr>
          <w:fldChar w:fldCharType="separate"/>
        </w:r>
        <w:r>
          <w:rPr>
            <w:noProof/>
            <w:webHidden/>
          </w:rPr>
          <w:t>67</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92" w:history="1">
        <w:r w:rsidR="00BC01B1" w:rsidRPr="00DE18BF">
          <w:rPr>
            <w:rStyle w:val="Hyperlink"/>
            <w:noProof/>
          </w:rPr>
          <w:t>Quadro 15 - Resíduos de Serviço de Saúde – Símbolos de identificação</w:t>
        </w:r>
        <w:r w:rsidR="00BC01B1">
          <w:rPr>
            <w:noProof/>
            <w:webHidden/>
          </w:rPr>
          <w:tab/>
        </w:r>
        <w:r w:rsidR="00BC01B1">
          <w:rPr>
            <w:noProof/>
            <w:webHidden/>
          </w:rPr>
          <w:fldChar w:fldCharType="begin"/>
        </w:r>
        <w:r w:rsidR="00BC01B1">
          <w:rPr>
            <w:noProof/>
            <w:webHidden/>
          </w:rPr>
          <w:instrText xml:space="preserve"> PAGEREF _Toc509935792 \h </w:instrText>
        </w:r>
        <w:r w:rsidR="00BC01B1">
          <w:rPr>
            <w:noProof/>
            <w:webHidden/>
          </w:rPr>
        </w:r>
        <w:r w:rsidR="00BC01B1">
          <w:rPr>
            <w:noProof/>
            <w:webHidden/>
          </w:rPr>
          <w:fldChar w:fldCharType="separate"/>
        </w:r>
        <w:r>
          <w:rPr>
            <w:noProof/>
            <w:webHidden/>
          </w:rPr>
          <w:t>69</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93" w:history="1">
        <w:r w:rsidR="00BC01B1" w:rsidRPr="00DE18BF">
          <w:rPr>
            <w:rStyle w:val="Hyperlink"/>
            <w:noProof/>
          </w:rPr>
          <w:t>Quadro 16 - Resíduos de Serviço de Saúde – Regras de acondicionamento</w:t>
        </w:r>
        <w:r w:rsidR="00BC01B1">
          <w:rPr>
            <w:noProof/>
            <w:webHidden/>
          </w:rPr>
          <w:tab/>
        </w:r>
        <w:r w:rsidR="00BC01B1">
          <w:rPr>
            <w:noProof/>
            <w:webHidden/>
          </w:rPr>
          <w:fldChar w:fldCharType="begin"/>
        </w:r>
        <w:r w:rsidR="00BC01B1">
          <w:rPr>
            <w:noProof/>
            <w:webHidden/>
          </w:rPr>
          <w:instrText xml:space="preserve"> PAGEREF _Toc509935793 \h </w:instrText>
        </w:r>
        <w:r w:rsidR="00BC01B1">
          <w:rPr>
            <w:noProof/>
            <w:webHidden/>
          </w:rPr>
        </w:r>
        <w:r w:rsidR="00BC01B1">
          <w:rPr>
            <w:noProof/>
            <w:webHidden/>
          </w:rPr>
          <w:fldChar w:fldCharType="separate"/>
        </w:r>
        <w:r>
          <w:rPr>
            <w:noProof/>
            <w:webHidden/>
          </w:rPr>
          <w:t>69</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94" w:history="1">
        <w:r w:rsidR="00BC01B1" w:rsidRPr="00DE18BF">
          <w:rPr>
            <w:rStyle w:val="Hyperlink"/>
            <w:noProof/>
          </w:rPr>
          <w:t>Quadro 17 - Resíduos de Serviço de Saúde – Regras de coleta e transporte</w:t>
        </w:r>
        <w:r w:rsidR="00BC01B1">
          <w:rPr>
            <w:noProof/>
            <w:webHidden/>
          </w:rPr>
          <w:tab/>
        </w:r>
        <w:r w:rsidR="00BC01B1">
          <w:rPr>
            <w:noProof/>
            <w:webHidden/>
          </w:rPr>
          <w:fldChar w:fldCharType="begin"/>
        </w:r>
        <w:r w:rsidR="00BC01B1">
          <w:rPr>
            <w:noProof/>
            <w:webHidden/>
          </w:rPr>
          <w:instrText xml:space="preserve"> PAGEREF _Toc509935794 \h </w:instrText>
        </w:r>
        <w:r w:rsidR="00BC01B1">
          <w:rPr>
            <w:noProof/>
            <w:webHidden/>
          </w:rPr>
        </w:r>
        <w:r w:rsidR="00BC01B1">
          <w:rPr>
            <w:noProof/>
            <w:webHidden/>
          </w:rPr>
          <w:fldChar w:fldCharType="separate"/>
        </w:r>
        <w:r>
          <w:rPr>
            <w:noProof/>
            <w:webHidden/>
          </w:rPr>
          <w:t>70</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95" w:history="1">
        <w:r w:rsidR="00BC01B1" w:rsidRPr="00DE18BF">
          <w:rPr>
            <w:rStyle w:val="Hyperlink"/>
            <w:noProof/>
          </w:rPr>
          <w:t>Quadro 18 - Resíduos de Serviço de Saúde – Regras de triagem e transbordo</w:t>
        </w:r>
        <w:r w:rsidR="00BC01B1">
          <w:rPr>
            <w:noProof/>
            <w:webHidden/>
          </w:rPr>
          <w:tab/>
        </w:r>
        <w:r w:rsidR="00BC01B1">
          <w:rPr>
            <w:noProof/>
            <w:webHidden/>
          </w:rPr>
          <w:fldChar w:fldCharType="begin"/>
        </w:r>
        <w:r w:rsidR="00BC01B1">
          <w:rPr>
            <w:noProof/>
            <w:webHidden/>
          </w:rPr>
          <w:instrText xml:space="preserve"> PAGEREF _Toc509935795 \h </w:instrText>
        </w:r>
        <w:r w:rsidR="00BC01B1">
          <w:rPr>
            <w:noProof/>
            <w:webHidden/>
          </w:rPr>
        </w:r>
        <w:r w:rsidR="00BC01B1">
          <w:rPr>
            <w:noProof/>
            <w:webHidden/>
          </w:rPr>
          <w:fldChar w:fldCharType="separate"/>
        </w:r>
        <w:r>
          <w:rPr>
            <w:noProof/>
            <w:webHidden/>
          </w:rPr>
          <w:t>70</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96" w:history="1">
        <w:r w:rsidR="00BC01B1" w:rsidRPr="00DE18BF">
          <w:rPr>
            <w:rStyle w:val="Hyperlink"/>
            <w:noProof/>
          </w:rPr>
          <w:t>Quadro 19 - Resíduos de Serviço de Saúde – Métodos de tratamento</w:t>
        </w:r>
        <w:r w:rsidR="00BC01B1">
          <w:rPr>
            <w:noProof/>
            <w:webHidden/>
          </w:rPr>
          <w:tab/>
        </w:r>
        <w:r w:rsidR="00BC01B1">
          <w:rPr>
            <w:noProof/>
            <w:webHidden/>
          </w:rPr>
          <w:fldChar w:fldCharType="begin"/>
        </w:r>
        <w:r w:rsidR="00BC01B1">
          <w:rPr>
            <w:noProof/>
            <w:webHidden/>
          </w:rPr>
          <w:instrText xml:space="preserve"> PAGEREF _Toc509935796 \h </w:instrText>
        </w:r>
        <w:r w:rsidR="00BC01B1">
          <w:rPr>
            <w:noProof/>
            <w:webHidden/>
          </w:rPr>
        </w:r>
        <w:r w:rsidR="00BC01B1">
          <w:rPr>
            <w:noProof/>
            <w:webHidden/>
          </w:rPr>
          <w:fldChar w:fldCharType="separate"/>
        </w:r>
        <w:r>
          <w:rPr>
            <w:noProof/>
            <w:webHidden/>
          </w:rPr>
          <w:t>71</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97" w:history="1">
        <w:r w:rsidR="00BC01B1" w:rsidRPr="00DE18BF">
          <w:rPr>
            <w:rStyle w:val="Hyperlink"/>
            <w:noProof/>
          </w:rPr>
          <w:t>Quadro 20 - Resíduos de Serviço de Saúde – Regras de tratamento e disposição final</w:t>
        </w:r>
        <w:r w:rsidR="00BC01B1">
          <w:rPr>
            <w:noProof/>
            <w:webHidden/>
          </w:rPr>
          <w:tab/>
        </w:r>
        <w:r w:rsidR="00BC01B1">
          <w:rPr>
            <w:noProof/>
            <w:webHidden/>
          </w:rPr>
          <w:fldChar w:fldCharType="begin"/>
        </w:r>
        <w:r w:rsidR="00BC01B1">
          <w:rPr>
            <w:noProof/>
            <w:webHidden/>
          </w:rPr>
          <w:instrText xml:space="preserve"> PAGEREF _Toc509935797 \h </w:instrText>
        </w:r>
        <w:r w:rsidR="00BC01B1">
          <w:rPr>
            <w:noProof/>
            <w:webHidden/>
          </w:rPr>
        </w:r>
        <w:r w:rsidR="00BC01B1">
          <w:rPr>
            <w:noProof/>
            <w:webHidden/>
          </w:rPr>
          <w:fldChar w:fldCharType="separate"/>
        </w:r>
        <w:r>
          <w:rPr>
            <w:noProof/>
            <w:webHidden/>
          </w:rPr>
          <w:t>71</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98" w:history="1">
        <w:r w:rsidR="00BC01B1" w:rsidRPr="00DE18BF">
          <w:rPr>
            <w:rStyle w:val="Hyperlink"/>
            <w:noProof/>
          </w:rPr>
          <w:t>Quadro 21 - Resíduos de Serviço de Saúde – Regras de licenciamento</w:t>
        </w:r>
        <w:r w:rsidR="00BC01B1">
          <w:rPr>
            <w:noProof/>
            <w:webHidden/>
          </w:rPr>
          <w:tab/>
        </w:r>
        <w:r w:rsidR="00BC01B1">
          <w:rPr>
            <w:noProof/>
            <w:webHidden/>
          </w:rPr>
          <w:fldChar w:fldCharType="begin"/>
        </w:r>
        <w:r w:rsidR="00BC01B1">
          <w:rPr>
            <w:noProof/>
            <w:webHidden/>
          </w:rPr>
          <w:instrText xml:space="preserve"> PAGEREF _Toc509935798 \h </w:instrText>
        </w:r>
        <w:r w:rsidR="00BC01B1">
          <w:rPr>
            <w:noProof/>
            <w:webHidden/>
          </w:rPr>
        </w:r>
        <w:r w:rsidR="00BC01B1">
          <w:rPr>
            <w:noProof/>
            <w:webHidden/>
          </w:rPr>
          <w:fldChar w:fldCharType="separate"/>
        </w:r>
        <w:r>
          <w:rPr>
            <w:noProof/>
            <w:webHidden/>
          </w:rPr>
          <w:t>72</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799" w:history="1">
        <w:r w:rsidR="00BC01B1" w:rsidRPr="00DE18BF">
          <w:rPr>
            <w:rStyle w:val="Hyperlink"/>
            <w:noProof/>
          </w:rPr>
          <w:t>Quadro 22 - Resíduos de Serviço de Saúde – Legislação e normas</w:t>
        </w:r>
        <w:r w:rsidR="00BC01B1">
          <w:rPr>
            <w:noProof/>
            <w:webHidden/>
          </w:rPr>
          <w:tab/>
        </w:r>
        <w:r w:rsidR="00BC01B1">
          <w:rPr>
            <w:noProof/>
            <w:webHidden/>
          </w:rPr>
          <w:fldChar w:fldCharType="begin"/>
        </w:r>
        <w:r w:rsidR="00BC01B1">
          <w:rPr>
            <w:noProof/>
            <w:webHidden/>
          </w:rPr>
          <w:instrText xml:space="preserve"> PAGEREF _Toc509935799 \h </w:instrText>
        </w:r>
        <w:r w:rsidR="00BC01B1">
          <w:rPr>
            <w:noProof/>
            <w:webHidden/>
          </w:rPr>
        </w:r>
        <w:r w:rsidR="00BC01B1">
          <w:rPr>
            <w:noProof/>
            <w:webHidden/>
          </w:rPr>
          <w:fldChar w:fldCharType="separate"/>
        </w:r>
        <w:r>
          <w:rPr>
            <w:noProof/>
            <w:webHidden/>
          </w:rPr>
          <w:t>73</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00" w:history="1">
        <w:r w:rsidR="00BC01B1" w:rsidRPr="00DE18BF">
          <w:rPr>
            <w:rStyle w:val="Hyperlink"/>
            <w:noProof/>
          </w:rPr>
          <w:t>Quadro 23 - Resíduos de Mineração – Normas</w:t>
        </w:r>
        <w:r w:rsidR="00BC01B1">
          <w:rPr>
            <w:noProof/>
            <w:webHidden/>
          </w:rPr>
          <w:tab/>
        </w:r>
        <w:r w:rsidR="00BC01B1">
          <w:rPr>
            <w:noProof/>
            <w:webHidden/>
          </w:rPr>
          <w:fldChar w:fldCharType="begin"/>
        </w:r>
        <w:r w:rsidR="00BC01B1">
          <w:rPr>
            <w:noProof/>
            <w:webHidden/>
          </w:rPr>
          <w:instrText xml:space="preserve"> PAGEREF _Toc509935800 \h </w:instrText>
        </w:r>
        <w:r w:rsidR="00BC01B1">
          <w:rPr>
            <w:noProof/>
            <w:webHidden/>
          </w:rPr>
        </w:r>
        <w:r w:rsidR="00BC01B1">
          <w:rPr>
            <w:noProof/>
            <w:webHidden/>
          </w:rPr>
          <w:fldChar w:fldCharType="separate"/>
        </w:r>
        <w:r>
          <w:rPr>
            <w:noProof/>
            <w:webHidden/>
          </w:rPr>
          <w:t>74</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01" w:history="1">
        <w:r w:rsidR="00BC01B1" w:rsidRPr="00DE18BF">
          <w:rPr>
            <w:rStyle w:val="Hyperlink"/>
            <w:noProof/>
          </w:rPr>
          <w:t>Quadro 24 - Resíduos de Construção Civil – Classificação</w:t>
        </w:r>
        <w:r w:rsidR="00BC01B1">
          <w:rPr>
            <w:noProof/>
            <w:webHidden/>
          </w:rPr>
          <w:tab/>
        </w:r>
        <w:r w:rsidR="00BC01B1">
          <w:rPr>
            <w:noProof/>
            <w:webHidden/>
          </w:rPr>
          <w:fldChar w:fldCharType="begin"/>
        </w:r>
        <w:r w:rsidR="00BC01B1">
          <w:rPr>
            <w:noProof/>
            <w:webHidden/>
          </w:rPr>
          <w:instrText xml:space="preserve"> PAGEREF _Toc509935801 \h </w:instrText>
        </w:r>
        <w:r w:rsidR="00BC01B1">
          <w:rPr>
            <w:noProof/>
            <w:webHidden/>
          </w:rPr>
        </w:r>
        <w:r w:rsidR="00BC01B1">
          <w:rPr>
            <w:noProof/>
            <w:webHidden/>
          </w:rPr>
          <w:fldChar w:fldCharType="separate"/>
        </w:r>
        <w:r>
          <w:rPr>
            <w:noProof/>
            <w:webHidden/>
          </w:rPr>
          <w:t>75</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02" w:history="1">
        <w:r w:rsidR="00BC01B1" w:rsidRPr="00DE18BF">
          <w:rPr>
            <w:rStyle w:val="Hyperlink"/>
            <w:noProof/>
          </w:rPr>
          <w:t>Quadro 25 - Resíduos de Construção Civil – Regras de coleta e transporte</w:t>
        </w:r>
        <w:r w:rsidR="00BC01B1">
          <w:rPr>
            <w:noProof/>
            <w:webHidden/>
          </w:rPr>
          <w:tab/>
        </w:r>
        <w:r w:rsidR="00BC01B1">
          <w:rPr>
            <w:noProof/>
            <w:webHidden/>
          </w:rPr>
          <w:fldChar w:fldCharType="begin"/>
        </w:r>
        <w:r w:rsidR="00BC01B1">
          <w:rPr>
            <w:noProof/>
            <w:webHidden/>
          </w:rPr>
          <w:instrText xml:space="preserve"> PAGEREF _Toc509935802 \h </w:instrText>
        </w:r>
        <w:r w:rsidR="00BC01B1">
          <w:rPr>
            <w:noProof/>
            <w:webHidden/>
          </w:rPr>
        </w:r>
        <w:r w:rsidR="00BC01B1">
          <w:rPr>
            <w:noProof/>
            <w:webHidden/>
          </w:rPr>
          <w:fldChar w:fldCharType="separate"/>
        </w:r>
        <w:r>
          <w:rPr>
            <w:noProof/>
            <w:webHidden/>
          </w:rPr>
          <w:t>76</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03" w:history="1">
        <w:r w:rsidR="00BC01B1" w:rsidRPr="00DE18BF">
          <w:rPr>
            <w:rStyle w:val="Hyperlink"/>
            <w:noProof/>
          </w:rPr>
          <w:t>Quadro 26 - Resíduos de Construção Civil – Regras de tratamento e disposição</w:t>
        </w:r>
        <w:r w:rsidR="00BC01B1">
          <w:rPr>
            <w:noProof/>
            <w:webHidden/>
          </w:rPr>
          <w:tab/>
        </w:r>
        <w:r w:rsidR="00BC01B1">
          <w:rPr>
            <w:noProof/>
            <w:webHidden/>
          </w:rPr>
          <w:fldChar w:fldCharType="begin"/>
        </w:r>
        <w:r w:rsidR="00BC01B1">
          <w:rPr>
            <w:noProof/>
            <w:webHidden/>
          </w:rPr>
          <w:instrText xml:space="preserve"> PAGEREF _Toc509935803 \h </w:instrText>
        </w:r>
        <w:r w:rsidR="00BC01B1">
          <w:rPr>
            <w:noProof/>
            <w:webHidden/>
          </w:rPr>
        </w:r>
        <w:r w:rsidR="00BC01B1">
          <w:rPr>
            <w:noProof/>
            <w:webHidden/>
          </w:rPr>
          <w:fldChar w:fldCharType="separate"/>
        </w:r>
        <w:r>
          <w:rPr>
            <w:noProof/>
            <w:webHidden/>
          </w:rPr>
          <w:t>76</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04" w:history="1">
        <w:r w:rsidR="00BC01B1" w:rsidRPr="00DE18BF">
          <w:rPr>
            <w:rStyle w:val="Hyperlink"/>
            <w:noProof/>
          </w:rPr>
          <w:t>Quadro 27 - Resíduos de Construção Civil – Regras de licenciamento</w:t>
        </w:r>
        <w:r w:rsidR="00BC01B1">
          <w:rPr>
            <w:noProof/>
            <w:webHidden/>
          </w:rPr>
          <w:tab/>
        </w:r>
        <w:r w:rsidR="00BC01B1">
          <w:rPr>
            <w:noProof/>
            <w:webHidden/>
          </w:rPr>
          <w:fldChar w:fldCharType="begin"/>
        </w:r>
        <w:r w:rsidR="00BC01B1">
          <w:rPr>
            <w:noProof/>
            <w:webHidden/>
          </w:rPr>
          <w:instrText xml:space="preserve"> PAGEREF _Toc509935804 \h </w:instrText>
        </w:r>
        <w:r w:rsidR="00BC01B1">
          <w:rPr>
            <w:noProof/>
            <w:webHidden/>
          </w:rPr>
        </w:r>
        <w:r w:rsidR="00BC01B1">
          <w:rPr>
            <w:noProof/>
            <w:webHidden/>
          </w:rPr>
          <w:fldChar w:fldCharType="separate"/>
        </w:r>
        <w:r>
          <w:rPr>
            <w:noProof/>
            <w:webHidden/>
          </w:rPr>
          <w:t>77</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05" w:history="1">
        <w:r w:rsidR="00BC01B1" w:rsidRPr="00DE18BF">
          <w:rPr>
            <w:rStyle w:val="Hyperlink"/>
            <w:noProof/>
          </w:rPr>
          <w:t>Quadro 28 - Resíduos de Construção Civil – Legislação e normas</w:t>
        </w:r>
        <w:r w:rsidR="00BC01B1">
          <w:rPr>
            <w:noProof/>
            <w:webHidden/>
          </w:rPr>
          <w:tab/>
        </w:r>
        <w:r w:rsidR="00BC01B1">
          <w:rPr>
            <w:noProof/>
            <w:webHidden/>
          </w:rPr>
          <w:fldChar w:fldCharType="begin"/>
        </w:r>
        <w:r w:rsidR="00BC01B1">
          <w:rPr>
            <w:noProof/>
            <w:webHidden/>
          </w:rPr>
          <w:instrText xml:space="preserve"> PAGEREF _Toc509935805 \h </w:instrText>
        </w:r>
        <w:r w:rsidR="00BC01B1">
          <w:rPr>
            <w:noProof/>
            <w:webHidden/>
          </w:rPr>
        </w:r>
        <w:r w:rsidR="00BC01B1">
          <w:rPr>
            <w:noProof/>
            <w:webHidden/>
          </w:rPr>
          <w:fldChar w:fldCharType="separate"/>
        </w:r>
        <w:r>
          <w:rPr>
            <w:noProof/>
            <w:webHidden/>
          </w:rPr>
          <w:t>77</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06" w:history="1">
        <w:r w:rsidR="00BC01B1" w:rsidRPr="00DE18BF">
          <w:rPr>
            <w:rStyle w:val="Hyperlink"/>
            <w:noProof/>
          </w:rPr>
          <w:t>Quadro 29 - Resíduos Agrossilvopastoris – Regras de coleta e transporte</w:t>
        </w:r>
        <w:r w:rsidR="00BC01B1">
          <w:rPr>
            <w:noProof/>
            <w:webHidden/>
          </w:rPr>
          <w:tab/>
        </w:r>
        <w:r w:rsidR="00BC01B1">
          <w:rPr>
            <w:noProof/>
            <w:webHidden/>
          </w:rPr>
          <w:fldChar w:fldCharType="begin"/>
        </w:r>
        <w:r w:rsidR="00BC01B1">
          <w:rPr>
            <w:noProof/>
            <w:webHidden/>
          </w:rPr>
          <w:instrText xml:space="preserve"> PAGEREF _Toc509935806 \h </w:instrText>
        </w:r>
        <w:r w:rsidR="00BC01B1">
          <w:rPr>
            <w:noProof/>
            <w:webHidden/>
          </w:rPr>
        </w:r>
        <w:r w:rsidR="00BC01B1">
          <w:rPr>
            <w:noProof/>
            <w:webHidden/>
          </w:rPr>
          <w:fldChar w:fldCharType="separate"/>
        </w:r>
        <w:r>
          <w:rPr>
            <w:noProof/>
            <w:webHidden/>
          </w:rPr>
          <w:t>78</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07" w:history="1">
        <w:r w:rsidR="00BC01B1" w:rsidRPr="00DE18BF">
          <w:rPr>
            <w:rStyle w:val="Hyperlink"/>
            <w:noProof/>
          </w:rPr>
          <w:t>Quadro 30 - Resíduos Agrossilvopastoris – Regras de triagem e transbordo</w:t>
        </w:r>
        <w:r w:rsidR="00BC01B1">
          <w:rPr>
            <w:noProof/>
            <w:webHidden/>
          </w:rPr>
          <w:tab/>
        </w:r>
        <w:r w:rsidR="00BC01B1">
          <w:rPr>
            <w:noProof/>
            <w:webHidden/>
          </w:rPr>
          <w:fldChar w:fldCharType="begin"/>
        </w:r>
        <w:r w:rsidR="00BC01B1">
          <w:rPr>
            <w:noProof/>
            <w:webHidden/>
          </w:rPr>
          <w:instrText xml:space="preserve"> PAGEREF _Toc509935807 \h </w:instrText>
        </w:r>
        <w:r w:rsidR="00BC01B1">
          <w:rPr>
            <w:noProof/>
            <w:webHidden/>
          </w:rPr>
        </w:r>
        <w:r w:rsidR="00BC01B1">
          <w:rPr>
            <w:noProof/>
            <w:webHidden/>
          </w:rPr>
          <w:fldChar w:fldCharType="separate"/>
        </w:r>
        <w:r>
          <w:rPr>
            <w:noProof/>
            <w:webHidden/>
          </w:rPr>
          <w:t>79</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08" w:history="1">
        <w:r w:rsidR="00BC01B1" w:rsidRPr="00DE18BF">
          <w:rPr>
            <w:rStyle w:val="Hyperlink"/>
            <w:noProof/>
          </w:rPr>
          <w:t>Quadro 31 - Resíduos Agrossilvopastoris – Regras de tratamento e disposição</w:t>
        </w:r>
        <w:r w:rsidR="00BC01B1">
          <w:rPr>
            <w:noProof/>
            <w:webHidden/>
          </w:rPr>
          <w:tab/>
        </w:r>
        <w:r w:rsidR="00BC01B1">
          <w:rPr>
            <w:noProof/>
            <w:webHidden/>
          </w:rPr>
          <w:fldChar w:fldCharType="begin"/>
        </w:r>
        <w:r w:rsidR="00BC01B1">
          <w:rPr>
            <w:noProof/>
            <w:webHidden/>
          </w:rPr>
          <w:instrText xml:space="preserve"> PAGEREF _Toc509935808 \h </w:instrText>
        </w:r>
        <w:r w:rsidR="00BC01B1">
          <w:rPr>
            <w:noProof/>
            <w:webHidden/>
          </w:rPr>
        </w:r>
        <w:r w:rsidR="00BC01B1">
          <w:rPr>
            <w:noProof/>
            <w:webHidden/>
          </w:rPr>
          <w:fldChar w:fldCharType="separate"/>
        </w:r>
        <w:r>
          <w:rPr>
            <w:noProof/>
            <w:webHidden/>
          </w:rPr>
          <w:t>79</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09" w:history="1">
        <w:r w:rsidR="00BC01B1" w:rsidRPr="00DE18BF">
          <w:rPr>
            <w:rStyle w:val="Hyperlink"/>
            <w:noProof/>
          </w:rPr>
          <w:t>Quadro 32 - Resíduos Agrossilvopastoris – Regras de licenciamento</w:t>
        </w:r>
        <w:r w:rsidR="00BC01B1">
          <w:rPr>
            <w:noProof/>
            <w:webHidden/>
          </w:rPr>
          <w:tab/>
        </w:r>
        <w:r w:rsidR="00BC01B1">
          <w:rPr>
            <w:noProof/>
            <w:webHidden/>
          </w:rPr>
          <w:fldChar w:fldCharType="begin"/>
        </w:r>
        <w:r w:rsidR="00BC01B1">
          <w:rPr>
            <w:noProof/>
            <w:webHidden/>
          </w:rPr>
          <w:instrText xml:space="preserve"> PAGEREF _Toc509935809 \h </w:instrText>
        </w:r>
        <w:r w:rsidR="00BC01B1">
          <w:rPr>
            <w:noProof/>
            <w:webHidden/>
          </w:rPr>
        </w:r>
        <w:r w:rsidR="00BC01B1">
          <w:rPr>
            <w:noProof/>
            <w:webHidden/>
          </w:rPr>
          <w:fldChar w:fldCharType="separate"/>
        </w:r>
        <w:r>
          <w:rPr>
            <w:noProof/>
            <w:webHidden/>
          </w:rPr>
          <w:t>79</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10" w:history="1">
        <w:r w:rsidR="00BC01B1" w:rsidRPr="00DE18BF">
          <w:rPr>
            <w:rStyle w:val="Hyperlink"/>
            <w:noProof/>
          </w:rPr>
          <w:t>Quadro 33 - Resíduos Agrossilvopastoris – Legislação e normas</w:t>
        </w:r>
        <w:r w:rsidR="00BC01B1">
          <w:rPr>
            <w:noProof/>
            <w:webHidden/>
          </w:rPr>
          <w:tab/>
        </w:r>
        <w:r w:rsidR="00BC01B1">
          <w:rPr>
            <w:noProof/>
            <w:webHidden/>
          </w:rPr>
          <w:fldChar w:fldCharType="begin"/>
        </w:r>
        <w:r w:rsidR="00BC01B1">
          <w:rPr>
            <w:noProof/>
            <w:webHidden/>
          </w:rPr>
          <w:instrText xml:space="preserve"> PAGEREF _Toc509935810 \h </w:instrText>
        </w:r>
        <w:r w:rsidR="00BC01B1">
          <w:rPr>
            <w:noProof/>
            <w:webHidden/>
          </w:rPr>
        </w:r>
        <w:r w:rsidR="00BC01B1">
          <w:rPr>
            <w:noProof/>
            <w:webHidden/>
          </w:rPr>
          <w:fldChar w:fldCharType="separate"/>
        </w:r>
        <w:r>
          <w:rPr>
            <w:noProof/>
            <w:webHidden/>
          </w:rPr>
          <w:t>79</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11" w:history="1">
        <w:r w:rsidR="00BC01B1" w:rsidRPr="00DE18BF">
          <w:rPr>
            <w:rStyle w:val="Hyperlink"/>
            <w:noProof/>
          </w:rPr>
          <w:t>Quadro 34 - Resíduos Industriais – Regras de licenciamento e obrigações legais</w:t>
        </w:r>
        <w:r w:rsidR="00BC01B1">
          <w:rPr>
            <w:noProof/>
            <w:webHidden/>
          </w:rPr>
          <w:tab/>
        </w:r>
        <w:r w:rsidR="00BC01B1">
          <w:rPr>
            <w:noProof/>
            <w:webHidden/>
          </w:rPr>
          <w:fldChar w:fldCharType="begin"/>
        </w:r>
        <w:r w:rsidR="00BC01B1">
          <w:rPr>
            <w:noProof/>
            <w:webHidden/>
          </w:rPr>
          <w:instrText xml:space="preserve"> PAGEREF _Toc509935811 \h </w:instrText>
        </w:r>
        <w:r w:rsidR="00BC01B1">
          <w:rPr>
            <w:noProof/>
            <w:webHidden/>
          </w:rPr>
        </w:r>
        <w:r w:rsidR="00BC01B1">
          <w:rPr>
            <w:noProof/>
            <w:webHidden/>
          </w:rPr>
          <w:fldChar w:fldCharType="separate"/>
        </w:r>
        <w:r>
          <w:rPr>
            <w:noProof/>
            <w:webHidden/>
          </w:rPr>
          <w:t>82</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12" w:history="1">
        <w:r w:rsidR="00BC01B1" w:rsidRPr="00DE18BF">
          <w:rPr>
            <w:rStyle w:val="Hyperlink"/>
            <w:noProof/>
          </w:rPr>
          <w:t>Quadro 35 - Resíduos Industriais – Legislação e normas</w:t>
        </w:r>
        <w:r w:rsidR="00BC01B1">
          <w:rPr>
            <w:noProof/>
            <w:webHidden/>
          </w:rPr>
          <w:tab/>
        </w:r>
        <w:r w:rsidR="00BC01B1">
          <w:rPr>
            <w:noProof/>
            <w:webHidden/>
          </w:rPr>
          <w:fldChar w:fldCharType="begin"/>
        </w:r>
        <w:r w:rsidR="00BC01B1">
          <w:rPr>
            <w:noProof/>
            <w:webHidden/>
          </w:rPr>
          <w:instrText xml:space="preserve"> PAGEREF _Toc509935812 \h </w:instrText>
        </w:r>
        <w:r w:rsidR="00BC01B1">
          <w:rPr>
            <w:noProof/>
            <w:webHidden/>
          </w:rPr>
        </w:r>
        <w:r w:rsidR="00BC01B1">
          <w:rPr>
            <w:noProof/>
            <w:webHidden/>
          </w:rPr>
          <w:fldChar w:fldCharType="separate"/>
        </w:r>
        <w:r>
          <w:rPr>
            <w:noProof/>
            <w:webHidden/>
          </w:rPr>
          <w:t>82</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13" w:history="1">
        <w:r w:rsidR="00BC01B1" w:rsidRPr="00DE18BF">
          <w:rPr>
            <w:rStyle w:val="Hyperlink"/>
            <w:noProof/>
          </w:rPr>
          <w:t>Quadro 36 - Resíduos de Estabelecimentos Comerciais – Regras de sobre óleos lubrificantes, pilhas e baterias, pneus inservíveis, embalagens de agrotóxico, lixo eletrônico e lâmpadas fluorescentes</w:t>
        </w:r>
        <w:r w:rsidR="00BC01B1">
          <w:rPr>
            <w:noProof/>
            <w:webHidden/>
          </w:rPr>
          <w:tab/>
        </w:r>
        <w:r w:rsidR="00BC01B1">
          <w:rPr>
            <w:noProof/>
            <w:webHidden/>
          </w:rPr>
          <w:fldChar w:fldCharType="begin"/>
        </w:r>
        <w:r w:rsidR="00BC01B1">
          <w:rPr>
            <w:noProof/>
            <w:webHidden/>
          </w:rPr>
          <w:instrText xml:space="preserve"> PAGEREF _Toc509935813 \h </w:instrText>
        </w:r>
        <w:r w:rsidR="00BC01B1">
          <w:rPr>
            <w:noProof/>
            <w:webHidden/>
          </w:rPr>
        </w:r>
        <w:r w:rsidR="00BC01B1">
          <w:rPr>
            <w:noProof/>
            <w:webHidden/>
          </w:rPr>
          <w:fldChar w:fldCharType="separate"/>
        </w:r>
        <w:r>
          <w:rPr>
            <w:noProof/>
            <w:webHidden/>
          </w:rPr>
          <w:t>84</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14" w:history="1">
        <w:r w:rsidR="00BC01B1" w:rsidRPr="00DE18BF">
          <w:rPr>
            <w:rStyle w:val="Hyperlink"/>
            <w:noProof/>
          </w:rPr>
          <w:t>Quadro 37 - Resíduos de Estabelecimentos Comerciais – Regras de coleta e transporte</w:t>
        </w:r>
        <w:r w:rsidR="00BC01B1">
          <w:rPr>
            <w:noProof/>
            <w:webHidden/>
          </w:rPr>
          <w:tab/>
        </w:r>
        <w:r w:rsidR="00BC01B1">
          <w:rPr>
            <w:noProof/>
            <w:webHidden/>
          </w:rPr>
          <w:fldChar w:fldCharType="begin"/>
        </w:r>
        <w:r w:rsidR="00BC01B1">
          <w:rPr>
            <w:noProof/>
            <w:webHidden/>
          </w:rPr>
          <w:instrText xml:space="preserve"> PAGEREF _Toc509935814 \h </w:instrText>
        </w:r>
        <w:r w:rsidR="00BC01B1">
          <w:rPr>
            <w:noProof/>
            <w:webHidden/>
          </w:rPr>
        </w:r>
        <w:r w:rsidR="00BC01B1">
          <w:rPr>
            <w:noProof/>
            <w:webHidden/>
          </w:rPr>
          <w:fldChar w:fldCharType="separate"/>
        </w:r>
        <w:r>
          <w:rPr>
            <w:noProof/>
            <w:webHidden/>
          </w:rPr>
          <w:t>85</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15" w:history="1">
        <w:r w:rsidR="00BC01B1" w:rsidRPr="00DE18BF">
          <w:rPr>
            <w:rStyle w:val="Hyperlink"/>
            <w:noProof/>
          </w:rPr>
          <w:t>Quadro 38 - Resíduos de Estabelecimentos Comerciais – Regras de triagem e transbordo</w:t>
        </w:r>
        <w:r w:rsidR="00BC01B1">
          <w:rPr>
            <w:noProof/>
            <w:webHidden/>
          </w:rPr>
          <w:tab/>
        </w:r>
        <w:r w:rsidR="00BC01B1">
          <w:rPr>
            <w:noProof/>
            <w:webHidden/>
          </w:rPr>
          <w:fldChar w:fldCharType="begin"/>
        </w:r>
        <w:r w:rsidR="00BC01B1">
          <w:rPr>
            <w:noProof/>
            <w:webHidden/>
          </w:rPr>
          <w:instrText xml:space="preserve"> PAGEREF _Toc509935815 \h </w:instrText>
        </w:r>
        <w:r w:rsidR="00BC01B1">
          <w:rPr>
            <w:noProof/>
            <w:webHidden/>
          </w:rPr>
        </w:r>
        <w:r w:rsidR="00BC01B1">
          <w:rPr>
            <w:noProof/>
            <w:webHidden/>
          </w:rPr>
          <w:fldChar w:fldCharType="separate"/>
        </w:r>
        <w:r>
          <w:rPr>
            <w:noProof/>
            <w:webHidden/>
          </w:rPr>
          <w:t>85</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16" w:history="1">
        <w:r w:rsidR="00BC01B1" w:rsidRPr="00DE18BF">
          <w:rPr>
            <w:rStyle w:val="Hyperlink"/>
            <w:noProof/>
          </w:rPr>
          <w:t>Quadro 39 - Resíduos de Estabelecimentos Comerciais – Legislação e normas</w:t>
        </w:r>
        <w:r w:rsidR="00BC01B1">
          <w:rPr>
            <w:noProof/>
            <w:webHidden/>
          </w:rPr>
          <w:tab/>
        </w:r>
        <w:r w:rsidR="00BC01B1">
          <w:rPr>
            <w:noProof/>
            <w:webHidden/>
          </w:rPr>
          <w:fldChar w:fldCharType="begin"/>
        </w:r>
        <w:r w:rsidR="00BC01B1">
          <w:rPr>
            <w:noProof/>
            <w:webHidden/>
          </w:rPr>
          <w:instrText xml:space="preserve"> PAGEREF _Toc509935816 \h </w:instrText>
        </w:r>
        <w:r w:rsidR="00BC01B1">
          <w:rPr>
            <w:noProof/>
            <w:webHidden/>
          </w:rPr>
        </w:r>
        <w:r w:rsidR="00BC01B1">
          <w:rPr>
            <w:noProof/>
            <w:webHidden/>
          </w:rPr>
          <w:fldChar w:fldCharType="separate"/>
        </w:r>
        <w:r>
          <w:rPr>
            <w:noProof/>
            <w:webHidden/>
          </w:rPr>
          <w:t>85</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17" w:history="1">
        <w:r w:rsidR="00BC01B1" w:rsidRPr="00DE18BF">
          <w:rPr>
            <w:rStyle w:val="Hyperlink"/>
            <w:noProof/>
          </w:rPr>
          <w:t>Quadro 40 - Resumo das responsabilidades na gestão dos resíduos sólidos</w:t>
        </w:r>
        <w:r w:rsidR="00BC01B1">
          <w:rPr>
            <w:noProof/>
            <w:webHidden/>
          </w:rPr>
          <w:tab/>
        </w:r>
        <w:r w:rsidR="00BC01B1">
          <w:rPr>
            <w:noProof/>
            <w:webHidden/>
          </w:rPr>
          <w:fldChar w:fldCharType="begin"/>
        </w:r>
        <w:r w:rsidR="00BC01B1">
          <w:rPr>
            <w:noProof/>
            <w:webHidden/>
          </w:rPr>
          <w:instrText xml:space="preserve"> PAGEREF _Toc509935817 \h </w:instrText>
        </w:r>
        <w:r w:rsidR="00BC01B1">
          <w:rPr>
            <w:noProof/>
            <w:webHidden/>
          </w:rPr>
        </w:r>
        <w:r w:rsidR="00BC01B1">
          <w:rPr>
            <w:noProof/>
            <w:webHidden/>
          </w:rPr>
          <w:fldChar w:fldCharType="separate"/>
        </w:r>
        <w:r>
          <w:rPr>
            <w:noProof/>
            <w:webHidden/>
          </w:rPr>
          <w:t>103</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18" w:history="1">
        <w:r w:rsidR="00BC01B1" w:rsidRPr="00DE18BF">
          <w:rPr>
            <w:rStyle w:val="Hyperlink"/>
            <w:noProof/>
          </w:rPr>
          <w:t>Quadro 41 - Resumo geral das etapas da logística reversa e das responsabilidades</w:t>
        </w:r>
        <w:r w:rsidR="00BC01B1">
          <w:rPr>
            <w:noProof/>
            <w:webHidden/>
          </w:rPr>
          <w:tab/>
        </w:r>
        <w:r w:rsidR="00BC01B1">
          <w:rPr>
            <w:noProof/>
            <w:webHidden/>
          </w:rPr>
          <w:fldChar w:fldCharType="begin"/>
        </w:r>
        <w:r w:rsidR="00BC01B1">
          <w:rPr>
            <w:noProof/>
            <w:webHidden/>
          </w:rPr>
          <w:instrText xml:space="preserve"> PAGEREF _Toc509935818 \h </w:instrText>
        </w:r>
        <w:r w:rsidR="00BC01B1">
          <w:rPr>
            <w:noProof/>
            <w:webHidden/>
          </w:rPr>
        </w:r>
        <w:r w:rsidR="00BC01B1">
          <w:rPr>
            <w:noProof/>
            <w:webHidden/>
          </w:rPr>
          <w:fldChar w:fldCharType="separate"/>
        </w:r>
        <w:r>
          <w:rPr>
            <w:noProof/>
            <w:webHidden/>
          </w:rPr>
          <w:t>110</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19" w:history="1">
        <w:r w:rsidR="00BC01B1" w:rsidRPr="00DE18BF">
          <w:rPr>
            <w:rStyle w:val="Hyperlink"/>
            <w:noProof/>
          </w:rPr>
          <w:t>Quadro 42 - Resumo do diagnóstico dos serviços de água na sede</w:t>
        </w:r>
        <w:r w:rsidR="00BC01B1">
          <w:rPr>
            <w:noProof/>
            <w:webHidden/>
          </w:rPr>
          <w:tab/>
        </w:r>
        <w:r w:rsidR="00BC01B1">
          <w:rPr>
            <w:noProof/>
            <w:webHidden/>
          </w:rPr>
          <w:fldChar w:fldCharType="begin"/>
        </w:r>
        <w:r w:rsidR="00BC01B1">
          <w:rPr>
            <w:noProof/>
            <w:webHidden/>
          </w:rPr>
          <w:instrText xml:space="preserve"> PAGEREF _Toc509935819 \h </w:instrText>
        </w:r>
        <w:r w:rsidR="00BC01B1">
          <w:rPr>
            <w:noProof/>
            <w:webHidden/>
          </w:rPr>
        </w:r>
        <w:r w:rsidR="00BC01B1">
          <w:rPr>
            <w:noProof/>
            <w:webHidden/>
          </w:rPr>
          <w:fldChar w:fldCharType="separate"/>
        </w:r>
        <w:r>
          <w:rPr>
            <w:noProof/>
            <w:webHidden/>
          </w:rPr>
          <w:t>111</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20" w:history="1">
        <w:r w:rsidR="00BC01B1" w:rsidRPr="00DE18BF">
          <w:rPr>
            <w:rStyle w:val="Hyperlink"/>
            <w:noProof/>
          </w:rPr>
          <w:t>Quadro 43 - Resumo do diagnóstico dos serviços de esgotamento sanitário em Córrego Novo</w:t>
        </w:r>
        <w:r w:rsidR="00BC01B1">
          <w:rPr>
            <w:noProof/>
            <w:webHidden/>
          </w:rPr>
          <w:tab/>
        </w:r>
        <w:r w:rsidR="00BC01B1">
          <w:rPr>
            <w:noProof/>
            <w:webHidden/>
          </w:rPr>
          <w:fldChar w:fldCharType="begin"/>
        </w:r>
        <w:r w:rsidR="00BC01B1">
          <w:rPr>
            <w:noProof/>
            <w:webHidden/>
          </w:rPr>
          <w:instrText xml:space="preserve"> PAGEREF _Toc509935820 \h </w:instrText>
        </w:r>
        <w:r w:rsidR="00BC01B1">
          <w:rPr>
            <w:noProof/>
            <w:webHidden/>
          </w:rPr>
        </w:r>
        <w:r w:rsidR="00BC01B1">
          <w:rPr>
            <w:noProof/>
            <w:webHidden/>
          </w:rPr>
          <w:fldChar w:fldCharType="separate"/>
        </w:r>
        <w:r>
          <w:rPr>
            <w:noProof/>
            <w:webHidden/>
          </w:rPr>
          <w:t>112</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21" w:history="1">
        <w:r w:rsidR="00BC01B1" w:rsidRPr="00DE18BF">
          <w:rPr>
            <w:rStyle w:val="Hyperlink"/>
            <w:noProof/>
          </w:rPr>
          <w:t>Quadro 44 - Resumo do diagnóstico dos serviços de drenagem do município de Córrego Novo</w:t>
        </w:r>
        <w:r w:rsidR="00BC01B1">
          <w:rPr>
            <w:noProof/>
            <w:webHidden/>
          </w:rPr>
          <w:tab/>
        </w:r>
        <w:r w:rsidR="00BC01B1">
          <w:rPr>
            <w:noProof/>
            <w:webHidden/>
          </w:rPr>
          <w:fldChar w:fldCharType="begin"/>
        </w:r>
        <w:r w:rsidR="00BC01B1">
          <w:rPr>
            <w:noProof/>
            <w:webHidden/>
          </w:rPr>
          <w:instrText xml:space="preserve"> PAGEREF _Toc509935821 \h </w:instrText>
        </w:r>
        <w:r w:rsidR="00BC01B1">
          <w:rPr>
            <w:noProof/>
            <w:webHidden/>
          </w:rPr>
        </w:r>
        <w:r w:rsidR="00BC01B1">
          <w:rPr>
            <w:noProof/>
            <w:webHidden/>
          </w:rPr>
          <w:fldChar w:fldCharType="separate"/>
        </w:r>
        <w:r>
          <w:rPr>
            <w:noProof/>
            <w:webHidden/>
          </w:rPr>
          <w:t>113</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22" w:history="1">
        <w:r w:rsidR="00BC01B1" w:rsidRPr="00DE18BF">
          <w:rPr>
            <w:rStyle w:val="Hyperlink"/>
            <w:noProof/>
          </w:rPr>
          <w:t>Quadro 45 - Resumo do diagnóstico dos serviços de resíduos sólidos na sede</w:t>
        </w:r>
        <w:r w:rsidR="00BC01B1">
          <w:rPr>
            <w:noProof/>
            <w:webHidden/>
          </w:rPr>
          <w:tab/>
        </w:r>
        <w:r w:rsidR="00BC01B1">
          <w:rPr>
            <w:noProof/>
            <w:webHidden/>
          </w:rPr>
          <w:fldChar w:fldCharType="begin"/>
        </w:r>
        <w:r w:rsidR="00BC01B1">
          <w:rPr>
            <w:noProof/>
            <w:webHidden/>
          </w:rPr>
          <w:instrText xml:space="preserve"> PAGEREF _Toc509935822 \h </w:instrText>
        </w:r>
        <w:r w:rsidR="00BC01B1">
          <w:rPr>
            <w:noProof/>
            <w:webHidden/>
          </w:rPr>
        </w:r>
        <w:r w:rsidR="00BC01B1">
          <w:rPr>
            <w:noProof/>
            <w:webHidden/>
          </w:rPr>
          <w:fldChar w:fldCharType="separate"/>
        </w:r>
        <w:r>
          <w:rPr>
            <w:noProof/>
            <w:webHidden/>
          </w:rPr>
          <w:t>115</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23" w:history="1">
        <w:r w:rsidR="00BC01B1" w:rsidRPr="00DE18BF">
          <w:rPr>
            <w:rStyle w:val="Hyperlink"/>
            <w:noProof/>
          </w:rPr>
          <w:t>Quadro 46</w:t>
        </w:r>
        <w:r w:rsidR="00BC01B1" w:rsidRPr="00DE18BF">
          <w:rPr>
            <w:rStyle w:val="Hyperlink"/>
            <w:rFonts w:cs="Arial"/>
            <w:noProof/>
          </w:rPr>
          <w:t xml:space="preserve"> - Matriz SWOT do Sistema de Saneamento Básico Municipal de </w:t>
        </w:r>
        <w:r w:rsidR="00BC01B1" w:rsidRPr="00DE18BF">
          <w:rPr>
            <w:rStyle w:val="Hyperlink"/>
            <w:rFonts w:cs="Arial"/>
            <w:noProof/>
            <w:lang w:eastAsia="pt-BR"/>
          </w:rPr>
          <w:t>Córrego Novo</w:t>
        </w:r>
        <w:r w:rsidR="00BC01B1">
          <w:rPr>
            <w:noProof/>
            <w:webHidden/>
          </w:rPr>
          <w:tab/>
        </w:r>
        <w:r w:rsidR="00BC01B1">
          <w:rPr>
            <w:noProof/>
            <w:webHidden/>
          </w:rPr>
          <w:fldChar w:fldCharType="begin"/>
        </w:r>
        <w:r w:rsidR="00BC01B1">
          <w:rPr>
            <w:noProof/>
            <w:webHidden/>
          </w:rPr>
          <w:instrText xml:space="preserve"> PAGEREF _Toc509935823 \h </w:instrText>
        </w:r>
        <w:r w:rsidR="00BC01B1">
          <w:rPr>
            <w:noProof/>
            <w:webHidden/>
          </w:rPr>
        </w:r>
        <w:r w:rsidR="00BC01B1">
          <w:rPr>
            <w:noProof/>
            <w:webHidden/>
          </w:rPr>
          <w:fldChar w:fldCharType="separate"/>
        </w:r>
        <w:r>
          <w:rPr>
            <w:noProof/>
            <w:webHidden/>
          </w:rPr>
          <w:t>123</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24" w:history="1">
        <w:r w:rsidR="00BC01B1" w:rsidRPr="00DE18BF">
          <w:rPr>
            <w:rStyle w:val="Hyperlink"/>
            <w:noProof/>
          </w:rPr>
          <w:t xml:space="preserve">Quadro 47 - Descrição dos cenários previsível e normativo para o Sistema de Saneamento Básico Municipal de </w:t>
        </w:r>
        <w:r w:rsidR="00BC01B1" w:rsidRPr="00DE18BF">
          <w:rPr>
            <w:rStyle w:val="Hyperlink"/>
            <w:noProof/>
            <w:lang w:eastAsia="pt-BR"/>
          </w:rPr>
          <w:t>Córrego Novo</w:t>
        </w:r>
        <w:r w:rsidR="00BC01B1">
          <w:rPr>
            <w:noProof/>
            <w:webHidden/>
          </w:rPr>
          <w:tab/>
        </w:r>
        <w:r w:rsidR="00BC01B1">
          <w:rPr>
            <w:noProof/>
            <w:webHidden/>
          </w:rPr>
          <w:fldChar w:fldCharType="begin"/>
        </w:r>
        <w:r w:rsidR="00BC01B1">
          <w:rPr>
            <w:noProof/>
            <w:webHidden/>
          </w:rPr>
          <w:instrText xml:space="preserve"> PAGEREF _Toc509935824 \h </w:instrText>
        </w:r>
        <w:r w:rsidR="00BC01B1">
          <w:rPr>
            <w:noProof/>
            <w:webHidden/>
          </w:rPr>
        </w:r>
        <w:r w:rsidR="00BC01B1">
          <w:rPr>
            <w:noProof/>
            <w:webHidden/>
          </w:rPr>
          <w:fldChar w:fldCharType="separate"/>
        </w:r>
        <w:r>
          <w:rPr>
            <w:noProof/>
            <w:webHidden/>
          </w:rPr>
          <w:t>125</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25" w:history="1">
        <w:r w:rsidR="00BC01B1" w:rsidRPr="00DE18BF">
          <w:rPr>
            <w:rStyle w:val="Hyperlink"/>
            <w:noProof/>
          </w:rPr>
          <w:t>Quadro 48 - Programas e ações propostos para o SB Geral - Objetivo 1</w:t>
        </w:r>
        <w:r w:rsidR="00BC01B1">
          <w:rPr>
            <w:noProof/>
            <w:webHidden/>
          </w:rPr>
          <w:tab/>
        </w:r>
        <w:r w:rsidR="00BC01B1">
          <w:rPr>
            <w:noProof/>
            <w:webHidden/>
          </w:rPr>
          <w:fldChar w:fldCharType="begin"/>
        </w:r>
        <w:r w:rsidR="00BC01B1">
          <w:rPr>
            <w:noProof/>
            <w:webHidden/>
          </w:rPr>
          <w:instrText xml:space="preserve"> PAGEREF _Toc509935825 \h </w:instrText>
        </w:r>
        <w:r w:rsidR="00BC01B1">
          <w:rPr>
            <w:noProof/>
            <w:webHidden/>
          </w:rPr>
        </w:r>
        <w:r w:rsidR="00BC01B1">
          <w:rPr>
            <w:noProof/>
            <w:webHidden/>
          </w:rPr>
          <w:fldChar w:fldCharType="separate"/>
        </w:r>
        <w:r>
          <w:rPr>
            <w:noProof/>
            <w:webHidden/>
          </w:rPr>
          <w:t>133</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26" w:history="1">
        <w:r w:rsidR="00BC01B1" w:rsidRPr="00DE18BF">
          <w:rPr>
            <w:rStyle w:val="Hyperlink"/>
            <w:noProof/>
          </w:rPr>
          <w:t>Quadro 49 - Programas e ações propostos para o SB Geral - Objetivo 2</w:t>
        </w:r>
        <w:r w:rsidR="00BC01B1">
          <w:rPr>
            <w:noProof/>
            <w:webHidden/>
          </w:rPr>
          <w:tab/>
        </w:r>
        <w:r w:rsidR="00BC01B1">
          <w:rPr>
            <w:noProof/>
            <w:webHidden/>
          </w:rPr>
          <w:fldChar w:fldCharType="begin"/>
        </w:r>
        <w:r w:rsidR="00BC01B1">
          <w:rPr>
            <w:noProof/>
            <w:webHidden/>
          </w:rPr>
          <w:instrText xml:space="preserve"> PAGEREF _Toc509935826 \h </w:instrText>
        </w:r>
        <w:r w:rsidR="00BC01B1">
          <w:rPr>
            <w:noProof/>
            <w:webHidden/>
          </w:rPr>
        </w:r>
        <w:r w:rsidR="00BC01B1">
          <w:rPr>
            <w:noProof/>
            <w:webHidden/>
          </w:rPr>
          <w:fldChar w:fldCharType="separate"/>
        </w:r>
        <w:r>
          <w:rPr>
            <w:noProof/>
            <w:webHidden/>
          </w:rPr>
          <w:t>135</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27" w:history="1">
        <w:r w:rsidR="00BC01B1" w:rsidRPr="00DE18BF">
          <w:rPr>
            <w:rStyle w:val="Hyperlink"/>
            <w:noProof/>
          </w:rPr>
          <w:t>Quadro 50 - Programas e ações propostos para o SB Geral - Objetivo 3</w:t>
        </w:r>
        <w:r w:rsidR="00BC01B1">
          <w:rPr>
            <w:noProof/>
            <w:webHidden/>
          </w:rPr>
          <w:tab/>
        </w:r>
        <w:r w:rsidR="00BC01B1">
          <w:rPr>
            <w:noProof/>
            <w:webHidden/>
          </w:rPr>
          <w:fldChar w:fldCharType="begin"/>
        </w:r>
        <w:r w:rsidR="00BC01B1">
          <w:rPr>
            <w:noProof/>
            <w:webHidden/>
          </w:rPr>
          <w:instrText xml:space="preserve"> PAGEREF _Toc509935827 \h </w:instrText>
        </w:r>
        <w:r w:rsidR="00BC01B1">
          <w:rPr>
            <w:noProof/>
            <w:webHidden/>
          </w:rPr>
        </w:r>
        <w:r w:rsidR="00BC01B1">
          <w:rPr>
            <w:noProof/>
            <w:webHidden/>
          </w:rPr>
          <w:fldChar w:fldCharType="separate"/>
        </w:r>
        <w:r>
          <w:rPr>
            <w:noProof/>
            <w:webHidden/>
          </w:rPr>
          <w:t>136</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28" w:history="1">
        <w:r w:rsidR="00BC01B1" w:rsidRPr="00DE18BF">
          <w:rPr>
            <w:rStyle w:val="Hyperlink"/>
            <w:noProof/>
          </w:rPr>
          <w:t>Quadro 51 - Programas e ações propostos para o SB Geral - Objetivo 4</w:t>
        </w:r>
        <w:r w:rsidR="00BC01B1">
          <w:rPr>
            <w:noProof/>
            <w:webHidden/>
          </w:rPr>
          <w:tab/>
        </w:r>
        <w:r w:rsidR="00BC01B1">
          <w:rPr>
            <w:noProof/>
            <w:webHidden/>
          </w:rPr>
          <w:fldChar w:fldCharType="begin"/>
        </w:r>
        <w:r w:rsidR="00BC01B1">
          <w:rPr>
            <w:noProof/>
            <w:webHidden/>
          </w:rPr>
          <w:instrText xml:space="preserve"> PAGEREF _Toc509935828 \h </w:instrText>
        </w:r>
        <w:r w:rsidR="00BC01B1">
          <w:rPr>
            <w:noProof/>
            <w:webHidden/>
          </w:rPr>
        </w:r>
        <w:r w:rsidR="00BC01B1">
          <w:rPr>
            <w:noProof/>
            <w:webHidden/>
          </w:rPr>
          <w:fldChar w:fldCharType="separate"/>
        </w:r>
        <w:r>
          <w:rPr>
            <w:noProof/>
            <w:webHidden/>
          </w:rPr>
          <w:t>138</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29" w:history="1">
        <w:r w:rsidR="00BC01B1" w:rsidRPr="00DE18BF">
          <w:rPr>
            <w:rStyle w:val="Hyperlink"/>
            <w:noProof/>
          </w:rPr>
          <w:t>Quadro 52 - Programas e ações propostos para o SB Geral - Objetivo 5</w:t>
        </w:r>
        <w:r w:rsidR="00BC01B1">
          <w:rPr>
            <w:noProof/>
            <w:webHidden/>
          </w:rPr>
          <w:tab/>
        </w:r>
        <w:r w:rsidR="00BC01B1">
          <w:rPr>
            <w:noProof/>
            <w:webHidden/>
          </w:rPr>
          <w:fldChar w:fldCharType="begin"/>
        </w:r>
        <w:r w:rsidR="00BC01B1">
          <w:rPr>
            <w:noProof/>
            <w:webHidden/>
          </w:rPr>
          <w:instrText xml:space="preserve"> PAGEREF _Toc509935829 \h </w:instrText>
        </w:r>
        <w:r w:rsidR="00BC01B1">
          <w:rPr>
            <w:noProof/>
            <w:webHidden/>
          </w:rPr>
        </w:r>
        <w:r w:rsidR="00BC01B1">
          <w:rPr>
            <w:noProof/>
            <w:webHidden/>
          </w:rPr>
          <w:fldChar w:fldCharType="separate"/>
        </w:r>
        <w:r>
          <w:rPr>
            <w:noProof/>
            <w:webHidden/>
          </w:rPr>
          <w:t>140</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30" w:history="1">
        <w:r w:rsidR="00BC01B1" w:rsidRPr="00DE18BF">
          <w:rPr>
            <w:rStyle w:val="Hyperlink"/>
            <w:noProof/>
          </w:rPr>
          <w:t>Quadro 53 - Programas e ações propostos para o SB Geral - Objetivo 6</w:t>
        </w:r>
        <w:r w:rsidR="00BC01B1">
          <w:rPr>
            <w:noProof/>
            <w:webHidden/>
          </w:rPr>
          <w:tab/>
        </w:r>
        <w:r w:rsidR="00BC01B1">
          <w:rPr>
            <w:noProof/>
            <w:webHidden/>
          </w:rPr>
          <w:fldChar w:fldCharType="begin"/>
        </w:r>
        <w:r w:rsidR="00BC01B1">
          <w:rPr>
            <w:noProof/>
            <w:webHidden/>
          </w:rPr>
          <w:instrText xml:space="preserve"> PAGEREF _Toc509935830 \h </w:instrText>
        </w:r>
        <w:r w:rsidR="00BC01B1">
          <w:rPr>
            <w:noProof/>
            <w:webHidden/>
          </w:rPr>
        </w:r>
        <w:r w:rsidR="00BC01B1">
          <w:rPr>
            <w:noProof/>
            <w:webHidden/>
          </w:rPr>
          <w:fldChar w:fldCharType="separate"/>
        </w:r>
        <w:r>
          <w:rPr>
            <w:noProof/>
            <w:webHidden/>
          </w:rPr>
          <w:t>141</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31" w:history="1">
        <w:r w:rsidR="00BC01B1" w:rsidRPr="00DE18BF">
          <w:rPr>
            <w:rStyle w:val="Hyperlink"/>
            <w:noProof/>
          </w:rPr>
          <w:t>Quadro 54 - Programas e ações propostos para o SB Geral - Objetivo 7</w:t>
        </w:r>
        <w:r w:rsidR="00BC01B1">
          <w:rPr>
            <w:noProof/>
            <w:webHidden/>
          </w:rPr>
          <w:tab/>
        </w:r>
        <w:r w:rsidR="00BC01B1">
          <w:rPr>
            <w:noProof/>
            <w:webHidden/>
          </w:rPr>
          <w:fldChar w:fldCharType="begin"/>
        </w:r>
        <w:r w:rsidR="00BC01B1">
          <w:rPr>
            <w:noProof/>
            <w:webHidden/>
          </w:rPr>
          <w:instrText xml:space="preserve"> PAGEREF _Toc509935831 \h </w:instrText>
        </w:r>
        <w:r w:rsidR="00BC01B1">
          <w:rPr>
            <w:noProof/>
            <w:webHidden/>
          </w:rPr>
        </w:r>
        <w:r w:rsidR="00BC01B1">
          <w:rPr>
            <w:noProof/>
            <w:webHidden/>
          </w:rPr>
          <w:fldChar w:fldCharType="separate"/>
        </w:r>
        <w:r>
          <w:rPr>
            <w:noProof/>
            <w:webHidden/>
          </w:rPr>
          <w:t>143</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32" w:history="1">
        <w:r w:rsidR="00BC01B1" w:rsidRPr="00DE18BF">
          <w:rPr>
            <w:rStyle w:val="Hyperlink"/>
            <w:noProof/>
          </w:rPr>
          <w:t>Quadro 55 - Matriz SWOT do Sistema de Abastecimento de Água (SAA)</w:t>
        </w:r>
        <w:r w:rsidR="00BC01B1">
          <w:rPr>
            <w:noProof/>
            <w:webHidden/>
          </w:rPr>
          <w:tab/>
        </w:r>
        <w:r w:rsidR="00BC01B1">
          <w:rPr>
            <w:noProof/>
            <w:webHidden/>
          </w:rPr>
          <w:fldChar w:fldCharType="begin"/>
        </w:r>
        <w:r w:rsidR="00BC01B1">
          <w:rPr>
            <w:noProof/>
            <w:webHidden/>
          </w:rPr>
          <w:instrText xml:space="preserve"> PAGEREF _Toc509935832 \h </w:instrText>
        </w:r>
        <w:r w:rsidR="00BC01B1">
          <w:rPr>
            <w:noProof/>
            <w:webHidden/>
          </w:rPr>
        </w:r>
        <w:r w:rsidR="00BC01B1">
          <w:rPr>
            <w:noProof/>
            <w:webHidden/>
          </w:rPr>
          <w:fldChar w:fldCharType="separate"/>
        </w:r>
        <w:r>
          <w:rPr>
            <w:noProof/>
            <w:webHidden/>
          </w:rPr>
          <w:t>152</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33" w:history="1">
        <w:r w:rsidR="00BC01B1" w:rsidRPr="00DE18BF">
          <w:rPr>
            <w:rStyle w:val="Hyperlink"/>
            <w:noProof/>
          </w:rPr>
          <w:t>Quadro 56 - Descrição dos cenários previsível e normativo para o Sistema de Abastecimento de Água (SAA)</w:t>
        </w:r>
        <w:r w:rsidR="00BC01B1">
          <w:rPr>
            <w:noProof/>
            <w:webHidden/>
          </w:rPr>
          <w:tab/>
        </w:r>
        <w:r w:rsidR="00BC01B1">
          <w:rPr>
            <w:noProof/>
            <w:webHidden/>
          </w:rPr>
          <w:fldChar w:fldCharType="begin"/>
        </w:r>
        <w:r w:rsidR="00BC01B1">
          <w:rPr>
            <w:noProof/>
            <w:webHidden/>
          </w:rPr>
          <w:instrText xml:space="preserve"> PAGEREF _Toc509935833 \h </w:instrText>
        </w:r>
        <w:r w:rsidR="00BC01B1">
          <w:rPr>
            <w:noProof/>
            <w:webHidden/>
          </w:rPr>
        </w:r>
        <w:r w:rsidR="00BC01B1">
          <w:rPr>
            <w:noProof/>
            <w:webHidden/>
          </w:rPr>
          <w:fldChar w:fldCharType="separate"/>
        </w:r>
        <w:r>
          <w:rPr>
            <w:noProof/>
            <w:webHidden/>
          </w:rPr>
          <w:t>154</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34" w:history="1">
        <w:r w:rsidR="00BC01B1" w:rsidRPr="00DE18BF">
          <w:rPr>
            <w:rStyle w:val="Hyperlink"/>
            <w:noProof/>
          </w:rPr>
          <w:t>Quadro 57 - Programas e ações propostos para o setor de abastecimento de água - Objetivo 1</w:t>
        </w:r>
        <w:r w:rsidR="00BC01B1">
          <w:rPr>
            <w:noProof/>
            <w:webHidden/>
          </w:rPr>
          <w:tab/>
        </w:r>
        <w:r w:rsidR="00BC01B1">
          <w:rPr>
            <w:noProof/>
            <w:webHidden/>
          </w:rPr>
          <w:fldChar w:fldCharType="begin"/>
        </w:r>
        <w:r w:rsidR="00BC01B1">
          <w:rPr>
            <w:noProof/>
            <w:webHidden/>
          </w:rPr>
          <w:instrText xml:space="preserve"> PAGEREF _Toc509935834 \h </w:instrText>
        </w:r>
        <w:r w:rsidR="00BC01B1">
          <w:rPr>
            <w:noProof/>
            <w:webHidden/>
          </w:rPr>
        </w:r>
        <w:r w:rsidR="00BC01B1">
          <w:rPr>
            <w:noProof/>
            <w:webHidden/>
          </w:rPr>
          <w:fldChar w:fldCharType="separate"/>
        </w:r>
        <w:r>
          <w:rPr>
            <w:noProof/>
            <w:webHidden/>
          </w:rPr>
          <w:t>159</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35" w:history="1">
        <w:r w:rsidR="00BC01B1" w:rsidRPr="00DE18BF">
          <w:rPr>
            <w:rStyle w:val="Hyperlink"/>
            <w:noProof/>
          </w:rPr>
          <w:t>Quadro 58 - Programas e ações propostos para o setor de abastecimento de água - Objetivo 2</w:t>
        </w:r>
        <w:r w:rsidR="00BC01B1">
          <w:rPr>
            <w:noProof/>
            <w:webHidden/>
          </w:rPr>
          <w:tab/>
        </w:r>
        <w:r w:rsidR="00BC01B1">
          <w:rPr>
            <w:noProof/>
            <w:webHidden/>
          </w:rPr>
          <w:fldChar w:fldCharType="begin"/>
        </w:r>
        <w:r w:rsidR="00BC01B1">
          <w:rPr>
            <w:noProof/>
            <w:webHidden/>
          </w:rPr>
          <w:instrText xml:space="preserve"> PAGEREF _Toc509935835 \h </w:instrText>
        </w:r>
        <w:r w:rsidR="00BC01B1">
          <w:rPr>
            <w:noProof/>
            <w:webHidden/>
          </w:rPr>
        </w:r>
        <w:r w:rsidR="00BC01B1">
          <w:rPr>
            <w:noProof/>
            <w:webHidden/>
          </w:rPr>
          <w:fldChar w:fldCharType="separate"/>
        </w:r>
        <w:r>
          <w:rPr>
            <w:noProof/>
            <w:webHidden/>
          </w:rPr>
          <w:t>162</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36" w:history="1">
        <w:r w:rsidR="00BC01B1" w:rsidRPr="00DE18BF">
          <w:rPr>
            <w:rStyle w:val="Hyperlink"/>
            <w:noProof/>
          </w:rPr>
          <w:t>Quadro 59 - Programas e ações propostos para o setor de abastecimento de água - Objetivo 3</w:t>
        </w:r>
        <w:r w:rsidR="00BC01B1">
          <w:rPr>
            <w:noProof/>
            <w:webHidden/>
          </w:rPr>
          <w:tab/>
        </w:r>
        <w:r w:rsidR="00BC01B1">
          <w:rPr>
            <w:noProof/>
            <w:webHidden/>
          </w:rPr>
          <w:fldChar w:fldCharType="begin"/>
        </w:r>
        <w:r w:rsidR="00BC01B1">
          <w:rPr>
            <w:noProof/>
            <w:webHidden/>
          </w:rPr>
          <w:instrText xml:space="preserve"> PAGEREF _Toc509935836 \h </w:instrText>
        </w:r>
        <w:r w:rsidR="00BC01B1">
          <w:rPr>
            <w:noProof/>
            <w:webHidden/>
          </w:rPr>
        </w:r>
        <w:r w:rsidR="00BC01B1">
          <w:rPr>
            <w:noProof/>
            <w:webHidden/>
          </w:rPr>
          <w:fldChar w:fldCharType="separate"/>
        </w:r>
        <w:r>
          <w:rPr>
            <w:noProof/>
            <w:webHidden/>
          </w:rPr>
          <w:t>164</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37" w:history="1">
        <w:r w:rsidR="00BC01B1" w:rsidRPr="00DE18BF">
          <w:rPr>
            <w:rStyle w:val="Hyperlink"/>
            <w:noProof/>
          </w:rPr>
          <w:t>Quadro 60 - Programas e ações propostos para o setor de abastecimento de água - Objetivo 4</w:t>
        </w:r>
        <w:r w:rsidR="00BC01B1">
          <w:rPr>
            <w:noProof/>
            <w:webHidden/>
          </w:rPr>
          <w:tab/>
        </w:r>
        <w:r w:rsidR="00BC01B1">
          <w:rPr>
            <w:noProof/>
            <w:webHidden/>
          </w:rPr>
          <w:fldChar w:fldCharType="begin"/>
        </w:r>
        <w:r w:rsidR="00BC01B1">
          <w:rPr>
            <w:noProof/>
            <w:webHidden/>
          </w:rPr>
          <w:instrText xml:space="preserve"> PAGEREF _Toc509935837 \h </w:instrText>
        </w:r>
        <w:r w:rsidR="00BC01B1">
          <w:rPr>
            <w:noProof/>
            <w:webHidden/>
          </w:rPr>
        </w:r>
        <w:r w:rsidR="00BC01B1">
          <w:rPr>
            <w:noProof/>
            <w:webHidden/>
          </w:rPr>
          <w:fldChar w:fldCharType="separate"/>
        </w:r>
        <w:r>
          <w:rPr>
            <w:noProof/>
            <w:webHidden/>
          </w:rPr>
          <w:t>167</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38" w:history="1">
        <w:r w:rsidR="00BC01B1" w:rsidRPr="00DE18BF">
          <w:rPr>
            <w:rStyle w:val="Hyperlink"/>
            <w:noProof/>
          </w:rPr>
          <w:t>Quadro 61 - Programas e ações propostos para o setor de abastecimento de água - Objetivo 5</w:t>
        </w:r>
        <w:r w:rsidR="00BC01B1">
          <w:rPr>
            <w:noProof/>
            <w:webHidden/>
          </w:rPr>
          <w:tab/>
        </w:r>
        <w:r w:rsidR="00BC01B1">
          <w:rPr>
            <w:noProof/>
            <w:webHidden/>
          </w:rPr>
          <w:fldChar w:fldCharType="begin"/>
        </w:r>
        <w:r w:rsidR="00BC01B1">
          <w:rPr>
            <w:noProof/>
            <w:webHidden/>
          </w:rPr>
          <w:instrText xml:space="preserve"> PAGEREF _Toc509935838 \h </w:instrText>
        </w:r>
        <w:r w:rsidR="00BC01B1">
          <w:rPr>
            <w:noProof/>
            <w:webHidden/>
          </w:rPr>
        </w:r>
        <w:r w:rsidR="00BC01B1">
          <w:rPr>
            <w:noProof/>
            <w:webHidden/>
          </w:rPr>
          <w:fldChar w:fldCharType="separate"/>
        </w:r>
        <w:r>
          <w:rPr>
            <w:noProof/>
            <w:webHidden/>
          </w:rPr>
          <w:t>169</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39" w:history="1">
        <w:r w:rsidR="00BC01B1" w:rsidRPr="00DE18BF">
          <w:rPr>
            <w:rStyle w:val="Hyperlink"/>
            <w:noProof/>
          </w:rPr>
          <w:t>Quadro 62 - Princípios e conceitos-base do PSA</w:t>
        </w:r>
        <w:r w:rsidR="00BC01B1">
          <w:rPr>
            <w:noProof/>
            <w:webHidden/>
          </w:rPr>
          <w:tab/>
        </w:r>
        <w:r w:rsidR="00BC01B1">
          <w:rPr>
            <w:noProof/>
            <w:webHidden/>
          </w:rPr>
          <w:fldChar w:fldCharType="begin"/>
        </w:r>
        <w:r w:rsidR="00BC01B1">
          <w:rPr>
            <w:noProof/>
            <w:webHidden/>
          </w:rPr>
          <w:instrText xml:space="preserve"> PAGEREF _Toc509935839 \h </w:instrText>
        </w:r>
        <w:r w:rsidR="00BC01B1">
          <w:rPr>
            <w:noProof/>
            <w:webHidden/>
          </w:rPr>
        </w:r>
        <w:r w:rsidR="00BC01B1">
          <w:rPr>
            <w:noProof/>
            <w:webHidden/>
          </w:rPr>
          <w:fldChar w:fldCharType="separate"/>
        </w:r>
        <w:r>
          <w:rPr>
            <w:noProof/>
            <w:webHidden/>
          </w:rPr>
          <w:t>180</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40" w:history="1">
        <w:r w:rsidR="00BC01B1" w:rsidRPr="00DE18BF">
          <w:rPr>
            <w:rStyle w:val="Hyperlink"/>
            <w:noProof/>
          </w:rPr>
          <w:t>Quadro 63 - Matriz SWOT do Sistema de Esgotamento Sanitário (SES)</w:t>
        </w:r>
        <w:r w:rsidR="00BC01B1">
          <w:rPr>
            <w:noProof/>
            <w:webHidden/>
          </w:rPr>
          <w:tab/>
        </w:r>
        <w:r w:rsidR="00BC01B1">
          <w:rPr>
            <w:noProof/>
            <w:webHidden/>
          </w:rPr>
          <w:fldChar w:fldCharType="begin"/>
        </w:r>
        <w:r w:rsidR="00BC01B1">
          <w:rPr>
            <w:noProof/>
            <w:webHidden/>
          </w:rPr>
          <w:instrText xml:space="preserve"> PAGEREF _Toc509935840 \h </w:instrText>
        </w:r>
        <w:r w:rsidR="00BC01B1">
          <w:rPr>
            <w:noProof/>
            <w:webHidden/>
          </w:rPr>
        </w:r>
        <w:r w:rsidR="00BC01B1">
          <w:rPr>
            <w:noProof/>
            <w:webHidden/>
          </w:rPr>
          <w:fldChar w:fldCharType="separate"/>
        </w:r>
        <w:r>
          <w:rPr>
            <w:noProof/>
            <w:webHidden/>
          </w:rPr>
          <w:t>184</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41" w:history="1">
        <w:r w:rsidR="00BC01B1" w:rsidRPr="00DE18BF">
          <w:rPr>
            <w:rStyle w:val="Hyperlink"/>
            <w:noProof/>
          </w:rPr>
          <w:t>Quadro 64 - Descrição dos cenários previsível e normativo para o Sistema de Esgotamento Sanitário (SES)</w:t>
        </w:r>
        <w:r w:rsidR="00BC01B1">
          <w:rPr>
            <w:noProof/>
            <w:webHidden/>
          </w:rPr>
          <w:tab/>
        </w:r>
        <w:r w:rsidR="00BC01B1">
          <w:rPr>
            <w:noProof/>
            <w:webHidden/>
          </w:rPr>
          <w:fldChar w:fldCharType="begin"/>
        </w:r>
        <w:r w:rsidR="00BC01B1">
          <w:rPr>
            <w:noProof/>
            <w:webHidden/>
          </w:rPr>
          <w:instrText xml:space="preserve"> PAGEREF _Toc509935841 \h </w:instrText>
        </w:r>
        <w:r w:rsidR="00BC01B1">
          <w:rPr>
            <w:noProof/>
            <w:webHidden/>
          </w:rPr>
        </w:r>
        <w:r w:rsidR="00BC01B1">
          <w:rPr>
            <w:noProof/>
            <w:webHidden/>
          </w:rPr>
          <w:fldChar w:fldCharType="separate"/>
        </w:r>
        <w:r>
          <w:rPr>
            <w:noProof/>
            <w:webHidden/>
          </w:rPr>
          <w:t>186</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42" w:history="1">
        <w:r w:rsidR="00BC01B1" w:rsidRPr="00DE18BF">
          <w:rPr>
            <w:rStyle w:val="Hyperlink"/>
            <w:noProof/>
          </w:rPr>
          <w:t>Quadro 65 - Programas e ações propostos para o setor de esgotamento sanitário - Objetivo 1</w:t>
        </w:r>
        <w:r w:rsidR="00BC01B1">
          <w:rPr>
            <w:noProof/>
            <w:webHidden/>
          </w:rPr>
          <w:tab/>
        </w:r>
        <w:r w:rsidR="00BC01B1">
          <w:rPr>
            <w:noProof/>
            <w:webHidden/>
          </w:rPr>
          <w:fldChar w:fldCharType="begin"/>
        </w:r>
        <w:r w:rsidR="00BC01B1">
          <w:rPr>
            <w:noProof/>
            <w:webHidden/>
          </w:rPr>
          <w:instrText xml:space="preserve"> PAGEREF _Toc509935842 \h </w:instrText>
        </w:r>
        <w:r w:rsidR="00BC01B1">
          <w:rPr>
            <w:noProof/>
            <w:webHidden/>
          </w:rPr>
        </w:r>
        <w:r w:rsidR="00BC01B1">
          <w:rPr>
            <w:noProof/>
            <w:webHidden/>
          </w:rPr>
          <w:fldChar w:fldCharType="separate"/>
        </w:r>
        <w:r>
          <w:rPr>
            <w:noProof/>
            <w:webHidden/>
          </w:rPr>
          <w:t>190</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43" w:history="1">
        <w:r w:rsidR="00BC01B1" w:rsidRPr="00DE18BF">
          <w:rPr>
            <w:rStyle w:val="Hyperlink"/>
            <w:noProof/>
          </w:rPr>
          <w:t>Quadro 66 - Programas e ações propostos para o setor de esgotamento sanitário - Objetivo 2</w:t>
        </w:r>
        <w:r w:rsidR="00BC01B1">
          <w:rPr>
            <w:noProof/>
            <w:webHidden/>
          </w:rPr>
          <w:tab/>
        </w:r>
        <w:r w:rsidR="00BC01B1">
          <w:rPr>
            <w:noProof/>
            <w:webHidden/>
          </w:rPr>
          <w:fldChar w:fldCharType="begin"/>
        </w:r>
        <w:r w:rsidR="00BC01B1">
          <w:rPr>
            <w:noProof/>
            <w:webHidden/>
          </w:rPr>
          <w:instrText xml:space="preserve"> PAGEREF _Toc509935843 \h </w:instrText>
        </w:r>
        <w:r w:rsidR="00BC01B1">
          <w:rPr>
            <w:noProof/>
            <w:webHidden/>
          </w:rPr>
        </w:r>
        <w:r w:rsidR="00BC01B1">
          <w:rPr>
            <w:noProof/>
            <w:webHidden/>
          </w:rPr>
          <w:fldChar w:fldCharType="separate"/>
        </w:r>
        <w:r>
          <w:rPr>
            <w:noProof/>
            <w:webHidden/>
          </w:rPr>
          <w:t>192</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44" w:history="1">
        <w:r w:rsidR="00BC01B1" w:rsidRPr="00DE18BF">
          <w:rPr>
            <w:rStyle w:val="Hyperlink"/>
            <w:noProof/>
          </w:rPr>
          <w:t>Quadro 67 - Programas e ações propostos para o setor de esgotamento sanitário - Objetivo 3</w:t>
        </w:r>
        <w:r w:rsidR="00BC01B1">
          <w:rPr>
            <w:noProof/>
            <w:webHidden/>
          </w:rPr>
          <w:tab/>
        </w:r>
        <w:r w:rsidR="00BC01B1">
          <w:rPr>
            <w:noProof/>
            <w:webHidden/>
          </w:rPr>
          <w:fldChar w:fldCharType="begin"/>
        </w:r>
        <w:r w:rsidR="00BC01B1">
          <w:rPr>
            <w:noProof/>
            <w:webHidden/>
          </w:rPr>
          <w:instrText xml:space="preserve"> PAGEREF _Toc509935844 \h </w:instrText>
        </w:r>
        <w:r w:rsidR="00BC01B1">
          <w:rPr>
            <w:noProof/>
            <w:webHidden/>
          </w:rPr>
        </w:r>
        <w:r w:rsidR="00BC01B1">
          <w:rPr>
            <w:noProof/>
            <w:webHidden/>
          </w:rPr>
          <w:fldChar w:fldCharType="separate"/>
        </w:r>
        <w:r>
          <w:rPr>
            <w:noProof/>
            <w:webHidden/>
          </w:rPr>
          <w:t>194</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45" w:history="1">
        <w:r w:rsidR="00BC01B1" w:rsidRPr="00DE18BF">
          <w:rPr>
            <w:rStyle w:val="Hyperlink"/>
            <w:noProof/>
          </w:rPr>
          <w:t>Quadro 68 - Programas e ações propostos para o setor de esgotamento sanitário - Objetivo 4</w:t>
        </w:r>
        <w:r w:rsidR="00BC01B1">
          <w:rPr>
            <w:noProof/>
            <w:webHidden/>
          </w:rPr>
          <w:tab/>
        </w:r>
        <w:r w:rsidR="00BC01B1">
          <w:rPr>
            <w:noProof/>
            <w:webHidden/>
          </w:rPr>
          <w:fldChar w:fldCharType="begin"/>
        </w:r>
        <w:r w:rsidR="00BC01B1">
          <w:rPr>
            <w:noProof/>
            <w:webHidden/>
          </w:rPr>
          <w:instrText xml:space="preserve"> PAGEREF _Toc509935845 \h </w:instrText>
        </w:r>
        <w:r w:rsidR="00BC01B1">
          <w:rPr>
            <w:noProof/>
            <w:webHidden/>
          </w:rPr>
        </w:r>
        <w:r w:rsidR="00BC01B1">
          <w:rPr>
            <w:noProof/>
            <w:webHidden/>
          </w:rPr>
          <w:fldChar w:fldCharType="separate"/>
        </w:r>
        <w:r>
          <w:rPr>
            <w:noProof/>
            <w:webHidden/>
          </w:rPr>
          <w:t>197</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46" w:history="1">
        <w:r w:rsidR="00BC01B1" w:rsidRPr="00DE18BF">
          <w:rPr>
            <w:rStyle w:val="Hyperlink"/>
            <w:noProof/>
          </w:rPr>
          <w:t>Quadro 69 - Programas e ações propostos para o setor de esgotamento sanitário - Objetivo 5</w:t>
        </w:r>
        <w:r w:rsidR="00BC01B1">
          <w:rPr>
            <w:noProof/>
            <w:webHidden/>
          </w:rPr>
          <w:tab/>
        </w:r>
        <w:r w:rsidR="00BC01B1">
          <w:rPr>
            <w:noProof/>
            <w:webHidden/>
          </w:rPr>
          <w:fldChar w:fldCharType="begin"/>
        </w:r>
        <w:r w:rsidR="00BC01B1">
          <w:rPr>
            <w:noProof/>
            <w:webHidden/>
          </w:rPr>
          <w:instrText xml:space="preserve"> PAGEREF _Toc509935846 \h </w:instrText>
        </w:r>
        <w:r w:rsidR="00BC01B1">
          <w:rPr>
            <w:noProof/>
            <w:webHidden/>
          </w:rPr>
        </w:r>
        <w:r w:rsidR="00BC01B1">
          <w:rPr>
            <w:noProof/>
            <w:webHidden/>
          </w:rPr>
          <w:fldChar w:fldCharType="separate"/>
        </w:r>
        <w:r>
          <w:rPr>
            <w:noProof/>
            <w:webHidden/>
          </w:rPr>
          <w:t>199</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47" w:history="1">
        <w:r w:rsidR="00BC01B1" w:rsidRPr="00DE18BF">
          <w:rPr>
            <w:rStyle w:val="Hyperlink"/>
            <w:noProof/>
          </w:rPr>
          <w:t>Quadro 70 - Matriz SWOT do Sistema de Drenagem Urbana e Manejo de Águas Pluviais</w:t>
        </w:r>
        <w:r w:rsidR="00BC01B1">
          <w:rPr>
            <w:noProof/>
            <w:webHidden/>
          </w:rPr>
          <w:tab/>
        </w:r>
        <w:r w:rsidR="00BC01B1">
          <w:rPr>
            <w:noProof/>
            <w:webHidden/>
          </w:rPr>
          <w:fldChar w:fldCharType="begin"/>
        </w:r>
        <w:r w:rsidR="00BC01B1">
          <w:rPr>
            <w:noProof/>
            <w:webHidden/>
          </w:rPr>
          <w:instrText xml:space="preserve"> PAGEREF _Toc509935847 \h </w:instrText>
        </w:r>
        <w:r w:rsidR="00BC01B1">
          <w:rPr>
            <w:noProof/>
            <w:webHidden/>
          </w:rPr>
        </w:r>
        <w:r w:rsidR="00BC01B1">
          <w:rPr>
            <w:noProof/>
            <w:webHidden/>
          </w:rPr>
          <w:fldChar w:fldCharType="separate"/>
        </w:r>
        <w:r>
          <w:rPr>
            <w:noProof/>
            <w:webHidden/>
          </w:rPr>
          <w:t>208</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48" w:history="1">
        <w:r w:rsidR="00BC01B1" w:rsidRPr="00DE18BF">
          <w:rPr>
            <w:rStyle w:val="Hyperlink"/>
            <w:noProof/>
          </w:rPr>
          <w:t>Quadro 71 - Descrição dos cenários previsível e normativo para o Sistema de Drenagem Urbana</w:t>
        </w:r>
        <w:r w:rsidR="00BC01B1">
          <w:rPr>
            <w:noProof/>
            <w:webHidden/>
          </w:rPr>
          <w:tab/>
        </w:r>
        <w:r w:rsidR="00BC01B1">
          <w:rPr>
            <w:noProof/>
            <w:webHidden/>
          </w:rPr>
          <w:fldChar w:fldCharType="begin"/>
        </w:r>
        <w:r w:rsidR="00BC01B1">
          <w:rPr>
            <w:noProof/>
            <w:webHidden/>
          </w:rPr>
          <w:instrText xml:space="preserve"> PAGEREF _Toc509935848 \h </w:instrText>
        </w:r>
        <w:r w:rsidR="00BC01B1">
          <w:rPr>
            <w:noProof/>
            <w:webHidden/>
          </w:rPr>
        </w:r>
        <w:r w:rsidR="00BC01B1">
          <w:rPr>
            <w:noProof/>
            <w:webHidden/>
          </w:rPr>
          <w:fldChar w:fldCharType="separate"/>
        </w:r>
        <w:r>
          <w:rPr>
            <w:noProof/>
            <w:webHidden/>
          </w:rPr>
          <w:t>210</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49" w:history="1">
        <w:r w:rsidR="00BC01B1" w:rsidRPr="00DE18BF">
          <w:rPr>
            <w:rStyle w:val="Hyperlink"/>
            <w:noProof/>
          </w:rPr>
          <w:t>Quadro 72 - Programas e ações propostos para o setor de drenagem urbana e manejo de águas pluviais - Objetivo 1</w:t>
        </w:r>
        <w:r w:rsidR="00BC01B1">
          <w:rPr>
            <w:noProof/>
            <w:webHidden/>
          </w:rPr>
          <w:tab/>
        </w:r>
        <w:r w:rsidR="00BC01B1">
          <w:rPr>
            <w:noProof/>
            <w:webHidden/>
          </w:rPr>
          <w:fldChar w:fldCharType="begin"/>
        </w:r>
        <w:r w:rsidR="00BC01B1">
          <w:rPr>
            <w:noProof/>
            <w:webHidden/>
          </w:rPr>
          <w:instrText xml:space="preserve"> PAGEREF _Toc509935849 \h </w:instrText>
        </w:r>
        <w:r w:rsidR="00BC01B1">
          <w:rPr>
            <w:noProof/>
            <w:webHidden/>
          </w:rPr>
        </w:r>
        <w:r w:rsidR="00BC01B1">
          <w:rPr>
            <w:noProof/>
            <w:webHidden/>
          </w:rPr>
          <w:fldChar w:fldCharType="separate"/>
        </w:r>
        <w:r>
          <w:rPr>
            <w:noProof/>
            <w:webHidden/>
          </w:rPr>
          <w:t>215</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50" w:history="1">
        <w:r w:rsidR="00BC01B1" w:rsidRPr="00DE18BF">
          <w:rPr>
            <w:rStyle w:val="Hyperlink"/>
            <w:noProof/>
          </w:rPr>
          <w:t>Quadro 73 - Programas e ações propostos para o setor de drenagem urbana e manejo de águas pluviais - Objetivo 2</w:t>
        </w:r>
        <w:r w:rsidR="00BC01B1">
          <w:rPr>
            <w:noProof/>
            <w:webHidden/>
          </w:rPr>
          <w:tab/>
        </w:r>
        <w:r w:rsidR="00BC01B1">
          <w:rPr>
            <w:noProof/>
            <w:webHidden/>
          </w:rPr>
          <w:fldChar w:fldCharType="begin"/>
        </w:r>
        <w:r w:rsidR="00BC01B1">
          <w:rPr>
            <w:noProof/>
            <w:webHidden/>
          </w:rPr>
          <w:instrText xml:space="preserve"> PAGEREF _Toc509935850 \h </w:instrText>
        </w:r>
        <w:r w:rsidR="00BC01B1">
          <w:rPr>
            <w:noProof/>
            <w:webHidden/>
          </w:rPr>
        </w:r>
        <w:r w:rsidR="00BC01B1">
          <w:rPr>
            <w:noProof/>
            <w:webHidden/>
          </w:rPr>
          <w:fldChar w:fldCharType="separate"/>
        </w:r>
        <w:r>
          <w:rPr>
            <w:noProof/>
            <w:webHidden/>
          </w:rPr>
          <w:t>218</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51" w:history="1">
        <w:r w:rsidR="00BC01B1" w:rsidRPr="00DE18BF">
          <w:rPr>
            <w:rStyle w:val="Hyperlink"/>
            <w:noProof/>
          </w:rPr>
          <w:t>Quadro 74 - Programas e ações propostos para o setor de drenagem urbana e manejo de águas pluviais - Objetivo 3</w:t>
        </w:r>
        <w:r w:rsidR="00BC01B1">
          <w:rPr>
            <w:noProof/>
            <w:webHidden/>
          </w:rPr>
          <w:tab/>
        </w:r>
        <w:r w:rsidR="00BC01B1">
          <w:rPr>
            <w:noProof/>
            <w:webHidden/>
          </w:rPr>
          <w:fldChar w:fldCharType="begin"/>
        </w:r>
        <w:r w:rsidR="00BC01B1">
          <w:rPr>
            <w:noProof/>
            <w:webHidden/>
          </w:rPr>
          <w:instrText xml:space="preserve"> PAGEREF _Toc509935851 \h </w:instrText>
        </w:r>
        <w:r w:rsidR="00BC01B1">
          <w:rPr>
            <w:noProof/>
            <w:webHidden/>
          </w:rPr>
        </w:r>
        <w:r w:rsidR="00BC01B1">
          <w:rPr>
            <w:noProof/>
            <w:webHidden/>
          </w:rPr>
          <w:fldChar w:fldCharType="separate"/>
        </w:r>
        <w:r>
          <w:rPr>
            <w:noProof/>
            <w:webHidden/>
          </w:rPr>
          <w:t>220</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52" w:history="1">
        <w:r w:rsidR="00BC01B1" w:rsidRPr="00DE18BF">
          <w:rPr>
            <w:rStyle w:val="Hyperlink"/>
            <w:noProof/>
          </w:rPr>
          <w:t>Quadro 75 - Programas e ações propostos para o setor de drenagem urbana e manejo de águas pluviais - Objetivo 4</w:t>
        </w:r>
        <w:r w:rsidR="00BC01B1">
          <w:rPr>
            <w:noProof/>
            <w:webHidden/>
          </w:rPr>
          <w:tab/>
        </w:r>
        <w:r w:rsidR="00BC01B1">
          <w:rPr>
            <w:noProof/>
            <w:webHidden/>
          </w:rPr>
          <w:fldChar w:fldCharType="begin"/>
        </w:r>
        <w:r w:rsidR="00BC01B1">
          <w:rPr>
            <w:noProof/>
            <w:webHidden/>
          </w:rPr>
          <w:instrText xml:space="preserve"> PAGEREF _Toc509935852 \h </w:instrText>
        </w:r>
        <w:r w:rsidR="00BC01B1">
          <w:rPr>
            <w:noProof/>
            <w:webHidden/>
          </w:rPr>
        </w:r>
        <w:r w:rsidR="00BC01B1">
          <w:rPr>
            <w:noProof/>
            <w:webHidden/>
          </w:rPr>
          <w:fldChar w:fldCharType="separate"/>
        </w:r>
        <w:r>
          <w:rPr>
            <w:noProof/>
            <w:webHidden/>
          </w:rPr>
          <w:t>222</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53" w:history="1">
        <w:r w:rsidR="00BC01B1" w:rsidRPr="00DE18BF">
          <w:rPr>
            <w:rStyle w:val="Hyperlink"/>
            <w:noProof/>
          </w:rPr>
          <w:t>Quadro 76 - Programas e ações propostos para o setor de drenagem urbana e manejo de águas pluviais - Objetivo 5</w:t>
        </w:r>
        <w:r w:rsidR="00BC01B1">
          <w:rPr>
            <w:noProof/>
            <w:webHidden/>
          </w:rPr>
          <w:tab/>
        </w:r>
        <w:r w:rsidR="00BC01B1">
          <w:rPr>
            <w:noProof/>
            <w:webHidden/>
          </w:rPr>
          <w:fldChar w:fldCharType="begin"/>
        </w:r>
        <w:r w:rsidR="00BC01B1">
          <w:rPr>
            <w:noProof/>
            <w:webHidden/>
          </w:rPr>
          <w:instrText xml:space="preserve"> PAGEREF _Toc509935853 \h </w:instrText>
        </w:r>
        <w:r w:rsidR="00BC01B1">
          <w:rPr>
            <w:noProof/>
            <w:webHidden/>
          </w:rPr>
        </w:r>
        <w:r w:rsidR="00BC01B1">
          <w:rPr>
            <w:noProof/>
            <w:webHidden/>
          </w:rPr>
          <w:fldChar w:fldCharType="separate"/>
        </w:r>
        <w:r>
          <w:rPr>
            <w:noProof/>
            <w:webHidden/>
          </w:rPr>
          <w:t>225</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54" w:history="1">
        <w:r w:rsidR="00BC01B1" w:rsidRPr="00DE18BF">
          <w:rPr>
            <w:rStyle w:val="Hyperlink"/>
            <w:noProof/>
          </w:rPr>
          <w:t>Quadro 77 - Programas e ações propostos para o setor de drenagem urbana e manejo de águas pluviais - Objetivo 6</w:t>
        </w:r>
        <w:r w:rsidR="00BC01B1">
          <w:rPr>
            <w:noProof/>
            <w:webHidden/>
          </w:rPr>
          <w:tab/>
        </w:r>
        <w:r w:rsidR="00BC01B1">
          <w:rPr>
            <w:noProof/>
            <w:webHidden/>
          </w:rPr>
          <w:fldChar w:fldCharType="begin"/>
        </w:r>
        <w:r w:rsidR="00BC01B1">
          <w:rPr>
            <w:noProof/>
            <w:webHidden/>
          </w:rPr>
          <w:instrText xml:space="preserve"> PAGEREF _Toc509935854 \h </w:instrText>
        </w:r>
        <w:r w:rsidR="00BC01B1">
          <w:rPr>
            <w:noProof/>
            <w:webHidden/>
          </w:rPr>
        </w:r>
        <w:r w:rsidR="00BC01B1">
          <w:rPr>
            <w:noProof/>
            <w:webHidden/>
          </w:rPr>
          <w:fldChar w:fldCharType="separate"/>
        </w:r>
        <w:r>
          <w:rPr>
            <w:noProof/>
            <w:webHidden/>
          </w:rPr>
          <w:t>226</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55" w:history="1">
        <w:r w:rsidR="00BC01B1" w:rsidRPr="00DE18BF">
          <w:rPr>
            <w:rStyle w:val="Hyperlink"/>
            <w:noProof/>
          </w:rPr>
          <w:t>Quadro 78 - Procedimentos de inspeção para as estruturas do sistema de drenagem</w:t>
        </w:r>
        <w:r w:rsidR="00BC01B1">
          <w:rPr>
            <w:noProof/>
            <w:webHidden/>
          </w:rPr>
          <w:tab/>
        </w:r>
        <w:r w:rsidR="00BC01B1">
          <w:rPr>
            <w:noProof/>
            <w:webHidden/>
          </w:rPr>
          <w:fldChar w:fldCharType="begin"/>
        </w:r>
        <w:r w:rsidR="00BC01B1">
          <w:rPr>
            <w:noProof/>
            <w:webHidden/>
          </w:rPr>
          <w:instrText xml:space="preserve"> PAGEREF _Toc509935855 \h </w:instrText>
        </w:r>
        <w:r w:rsidR="00BC01B1">
          <w:rPr>
            <w:noProof/>
            <w:webHidden/>
          </w:rPr>
        </w:r>
        <w:r w:rsidR="00BC01B1">
          <w:rPr>
            <w:noProof/>
            <w:webHidden/>
          </w:rPr>
          <w:fldChar w:fldCharType="separate"/>
        </w:r>
        <w:r>
          <w:rPr>
            <w:noProof/>
            <w:webHidden/>
          </w:rPr>
          <w:t>232</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56" w:history="1">
        <w:r w:rsidR="00BC01B1" w:rsidRPr="00DE18BF">
          <w:rPr>
            <w:rStyle w:val="Hyperlink"/>
            <w:noProof/>
          </w:rPr>
          <w:t>Quadro 79 - Procedimentos de limpeza para as estruturas do sistema de drenagem</w:t>
        </w:r>
        <w:r w:rsidR="00BC01B1">
          <w:rPr>
            <w:noProof/>
            <w:webHidden/>
          </w:rPr>
          <w:tab/>
        </w:r>
        <w:r w:rsidR="00BC01B1">
          <w:rPr>
            <w:noProof/>
            <w:webHidden/>
          </w:rPr>
          <w:fldChar w:fldCharType="begin"/>
        </w:r>
        <w:r w:rsidR="00BC01B1">
          <w:rPr>
            <w:noProof/>
            <w:webHidden/>
          </w:rPr>
          <w:instrText xml:space="preserve"> PAGEREF _Toc509935856 \h </w:instrText>
        </w:r>
        <w:r w:rsidR="00BC01B1">
          <w:rPr>
            <w:noProof/>
            <w:webHidden/>
          </w:rPr>
        </w:r>
        <w:r w:rsidR="00BC01B1">
          <w:rPr>
            <w:noProof/>
            <w:webHidden/>
          </w:rPr>
          <w:fldChar w:fldCharType="separate"/>
        </w:r>
        <w:r>
          <w:rPr>
            <w:noProof/>
            <w:webHidden/>
          </w:rPr>
          <w:t>232</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57" w:history="1">
        <w:r w:rsidR="00BC01B1" w:rsidRPr="00DE18BF">
          <w:rPr>
            <w:rStyle w:val="Hyperlink"/>
            <w:noProof/>
          </w:rPr>
          <w:t>Quadro 80 - Procedimentos de manutenção para as estruturas do sistema de drenagem</w:t>
        </w:r>
        <w:r w:rsidR="00BC01B1">
          <w:rPr>
            <w:noProof/>
            <w:webHidden/>
          </w:rPr>
          <w:tab/>
        </w:r>
        <w:r w:rsidR="00BC01B1">
          <w:rPr>
            <w:noProof/>
            <w:webHidden/>
          </w:rPr>
          <w:fldChar w:fldCharType="begin"/>
        </w:r>
        <w:r w:rsidR="00BC01B1">
          <w:rPr>
            <w:noProof/>
            <w:webHidden/>
          </w:rPr>
          <w:instrText xml:space="preserve"> PAGEREF _Toc509935857 \h </w:instrText>
        </w:r>
        <w:r w:rsidR="00BC01B1">
          <w:rPr>
            <w:noProof/>
            <w:webHidden/>
          </w:rPr>
        </w:r>
        <w:r w:rsidR="00BC01B1">
          <w:rPr>
            <w:noProof/>
            <w:webHidden/>
          </w:rPr>
          <w:fldChar w:fldCharType="separate"/>
        </w:r>
        <w:r>
          <w:rPr>
            <w:noProof/>
            <w:webHidden/>
          </w:rPr>
          <w:t>233</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58" w:history="1">
        <w:r w:rsidR="00BC01B1" w:rsidRPr="00DE18BF">
          <w:rPr>
            <w:rStyle w:val="Hyperlink"/>
            <w:noProof/>
          </w:rPr>
          <w:t>Quadro 81</w:t>
        </w:r>
        <w:r w:rsidR="00BC01B1" w:rsidRPr="00DE18BF">
          <w:rPr>
            <w:rStyle w:val="Hyperlink"/>
            <w:rFonts w:cs="Arial"/>
            <w:noProof/>
          </w:rPr>
          <w:t xml:space="preserve"> - Matriz SWOT do Sistema de Limpeza Urbana e Manejo de Resíduos Sólidos</w:t>
        </w:r>
        <w:r w:rsidR="00BC01B1">
          <w:rPr>
            <w:noProof/>
            <w:webHidden/>
          </w:rPr>
          <w:tab/>
        </w:r>
        <w:r w:rsidR="00BC01B1">
          <w:rPr>
            <w:noProof/>
            <w:webHidden/>
          </w:rPr>
          <w:fldChar w:fldCharType="begin"/>
        </w:r>
        <w:r w:rsidR="00BC01B1">
          <w:rPr>
            <w:noProof/>
            <w:webHidden/>
          </w:rPr>
          <w:instrText xml:space="preserve"> PAGEREF _Toc509935858 \h </w:instrText>
        </w:r>
        <w:r w:rsidR="00BC01B1">
          <w:rPr>
            <w:noProof/>
            <w:webHidden/>
          </w:rPr>
        </w:r>
        <w:r w:rsidR="00BC01B1">
          <w:rPr>
            <w:noProof/>
            <w:webHidden/>
          </w:rPr>
          <w:fldChar w:fldCharType="separate"/>
        </w:r>
        <w:r>
          <w:rPr>
            <w:noProof/>
            <w:webHidden/>
          </w:rPr>
          <w:t>239</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59" w:history="1">
        <w:r w:rsidR="00BC01B1" w:rsidRPr="00DE18BF">
          <w:rPr>
            <w:rStyle w:val="Hyperlink"/>
            <w:noProof/>
          </w:rPr>
          <w:t>Quadro 82 - Descrição dos cenários previsível e normativo para o Sistema de Limpeza Urbana e Manejo de Resíduos Sólidos</w:t>
        </w:r>
        <w:r w:rsidR="00BC01B1">
          <w:rPr>
            <w:noProof/>
            <w:webHidden/>
          </w:rPr>
          <w:tab/>
        </w:r>
        <w:r w:rsidR="00BC01B1">
          <w:rPr>
            <w:noProof/>
            <w:webHidden/>
          </w:rPr>
          <w:fldChar w:fldCharType="begin"/>
        </w:r>
        <w:r w:rsidR="00BC01B1">
          <w:rPr>
            <w:noProof/>
            <w:webHidden/>
          </w:rPr>
          <w:instrText xml:space="preserve"> PAGEREF _Toc509935859 \h </w:instrText>
        </w:r>
        <w:r w:rsidR="00BC01B1">
          <w:rPr>
            <w:noProof/>
            <w:webHidden/>
          </w:rPr>
        </w:r>
        <w:r w:rsidR="00BC01B1">
          <w:rPr>
            <w:noProof/>
            <w:webHidden/>
          </w:rPr>
          <w:fldChar w:fldCharType="separate"/>
        </w:r>
        <w:r>
          <w:rPr>
            <w:noProof/>
            <w:webHidden/>
          </w:rPr>
          <w:t>241</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60" w:history="1">
        <w:r w:rsidR="00BC01B1" w:rsidRPr="00DE18BF">
          <w:rPr>
            <w:rStyle w:val="Hyperlink"/>
            <w:noProof/>
          </w:rPr>
          <w:t>Quadro 83 - Programas e ações propostos relacionados ao setor de limpeza urbana e manejo de resíduos sólidos - Objetivo 1</w:t>
        </w:r>
        <w:r w:rsidR="00BC01B1">
          <w:rPr>
            <w:noProof/>
            <w:webHidden/>
          </w:rPr>
          <w:tab/>
        </w:r>
        <w:r w:rsidR="00BC01B1">
          <w:rPr>
            <w:noProof/>
            <w:webHidden/>
          </w:rPr>
          <w:fldChar w:fldCharType="begin"/>
        </w:r>
        <w:r w:rsidR="00BC01B1">
          <w:rPr>
            <w:noProof/>
            <w:webHidden/>
          </w:rPr>
          <w:instrText xml:space="preserve"> PAGEREF _Toc509935860 \h </w:instrText>
        </w:r>
        <w:r w:rsidR="00BC01B1">
          <w:rPr>
            <w:noProof/>
            <w:webHidden/>
          </w:rPr>
        </w:r>
        <w:r w:rsidR="00BC01B1">
          <w:rPr>
            <w:noProof/>
            <w:webHidden/>
          </w:rPr>
          <w:fldChar w:fldCharType="separate"/>
        </w:r>
        <w:r>
          <w:rPr>
            <w:noProof/>
            <w:webHidden/>
          </w:rPr>
          <w:t>247</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61" w:history="1">
        <w:r w:rsidR="00BC01B1" w:rsidRPr="00DE18BF">
          <w:rPr>
            <w:rStyle w:val="Hyperlink"/>
            <w:noProof/>
          </w:rPr>
          <w:t>Quadro 84 - Programas e ações propostos relacionados ao setor de limpeza urbana e manejo de resíduos sólidos - Objetivo 2</w:t>
        </w:r>
        <w:r w:rsidR="00BC01B1">
          <w:rPr>
            <w:noProof/>
            <w:webHidden/>
          </w:rPr>
          <w:tab/>
        </w:r>
        <w:r w:rsidR="00BC01B1">
          <w:rPr>
            <w:noProof/>
            <w:webHidden/>
          </w:rPr>
          <w:fldChar w:fldCharType="begin"/>
        </w:r>
        <w:r w:rsidR="00BC01B1">
          <w:rPr>
            <w:noProof/>
            <w:webHidden/>
          </w:rPr>
          <w:instrText xml:space="preserve"> PAGEREF _Toc509935861 \h </w:instrText>
        </w:r>
        <w:r w:rsidR="00BC01B1">
          <w:rPr>
            <w:noProof/>
            <w:webHidden/>
          </w:rPr>
        </w:r>
        <w:r w:rsidR="00BC01B1">
          <w:rPr>
            <w:noProof/>
            <w:webHidden/>
          </w:rPr>
          <w:fldChar w:fldCharType="separate"/>
        </w:r>
        <w:r>
          <w:rPr>
            <w:noProof/>
            <w:webHidden/>
          </w:rPr>
          <w:t>250</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62" w:history="1">
        <w:r w:rsidR="00BC01B1" w:rsidRPr="00DE18BF">
          <w:rPr>
            <w:rStyle w:val="Hyperlink"/>
            <w:noProof/>
          </w:rPr>
          <w:t>Quadro 85 - Programas e ações propostos relacionados ao setor de limpeza urbana e manejo de resíduos sólidos - Objetivo 3</w:t>
        </w:r>
        <w:r w:rsidR="00BC01B1">
          <w:rPr>
            <w:noProof/>
            <w:webHidden/>
          </w:rPr>
          <w:tab/>
        </w:r>
        <w:r w:rsidR="00BC01B1">
          <w:rPr>
            <w:noProof/>
            <w:webHidden/>
          </w:rPr>
          <w:fldChar w:fldCharType="begin"/>
        </w:r>
        <w:r w:rsidR="00BC01B1">
          <w:rPr>
            <w:noProof/>
            <w:webHidden/>
          </w:rPr>
          <w:instrText xml:space="preserve"> PAGEREF _Toc509935862 \h </w:instrText>
        </w:r>
        <w:r w:rsidR="00BC01B1">
          <w:rPr>
            <w:noProof/>
            <w:webHidden/>
          </w:rPr>
        </w:r>
        <w:r w:rsidR="00BC01B1">
          <w:rPr>
            <w:noProof/>
            <w:webHidden/>
          </w:rPr>
          <w:fldChar w:fldCharType="separate"/>
        </w:r>
        <w:r>
          <w:rPr>
            <w:noProof/>
            <w:webHidden/>
          </w:rPr>
          <w:t>252</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63" w:history="1">
        <w:r w:rsidR="00BC01B1" w:rsidRPr="00DE18BF">
          <w:rPr>
            <w:rStyle w:val="Hyperlink"/>
            <w:noProof/>
          </w:rPr>
          <w:t>Quadro 86 - Programas e ações propostos relacionados ao setor de limpeza urbana e manejo de resíduos sólidos - Objetivo 4</w:t>
        </w:r>
        <w:r w:rsidR="00BC01B1">
          <w:rPr>
            <w:noProof/>
            <w:webHidden/>
          </w:rPr>
          <w:tab/>
        </w:r>
        <w:r w:rsidR="00BC01B1">
          <w:rPr>
            <w:noProof/>
            <w:webHidden/>
          </w:rPr>
          <w:fldChar w:fldCharType="begin"/>
        </w:r>
        <w:r w:rsidR="00BC01B1">
          <w:rPr>
            <w:noProof/>
            <w:webHidden/>
          </w:rPr>
          <w:instrText xml:space="preserve"> PAGEREF _Toc509935863 \h </w:instrText>
        </w:r>
        <w:r w:rsidR="00BC01B1">
          <w:rPr>
            <w:noProof/>
            <w:webHidden/>
          </w:rPr>
        </w:r>
        <w:r w:rsidR="00BC01B1">
          <w:rPr>
            <w:noProof/>
            <w:webHidden/>
          </w:rPr>
          <w:fldChar w:fldCharType="separate"/>
        </w:r>
        <w:r>
          <w:rPr>
            <w:noProof/>
            <w:webHidden/>
          </w:rPr>
          <w:t>253</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64" w:history="1">
        <w:r w:rsidR="00BC01B1" w:rsidRPr="00DE18BF">
          <w:rPr>
            <w:rStyle w:val="Hyperlink"/>
            <w:noProof/>
          </w:rPr>
          <w:t>Quadro 87 - Programas e ações propostos relacionados ao setor de limpeza urbana e manejo de resíduos sólidos - Objetivo 5</w:t>
        </w:r>
        <w:r w:rsidR="00BC01B1">
          <w:rPr>
            <w:noProof/>
            <w:webHidden/>
          </w:rPr>
          <w:tab/>
        </w:r>
        <w:r w:rsidR="00BC01B1">
          <w:rPr>
            <w:noProof/>
            <w:webHidden/>
          </w:rPr>
          <w:fldChar w:fldCharType="begin"/>
        </w:r>
        <w:r w:rsidR="00BC01B1">
          <w:rPr>
            <w:noProof/>
            <w:webHidden/>
          </w:rPr>
          <w:instrText xml:space="preserve"> PAGEREF _Toc509935864 \h </w:instrText>
        </w:r>
        <w:r w:rsidR="00BC01B1">
          <w:rPr>
            <w:noProof/>
            <w:webHidden/>
          </w:rPr>
        </w:r>
        <w:r w:rsidR="00BC01B1">
          <w:rPr>
            <w:noProof/>
            <w:webHidden/>
          </w:rPr>
          <w:fldChar w:fldCharType="separate"/>
        </w:r>
        <w:r>
          <w:rPr>
            <w:noProof/>
            <w:webHidden/>
          </w:rPr>
          <w:t>257</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65" w:history="1">
        <w:r w:rsidR="00BC01B1" w:rsidRPr="00DE18BF">
          <w:rPr>
            <w:rStyle w:val="Hyperlink"/>
            <w:noProof/>
          </w:rPr>
          <w:t>Quadro 88 - Programas e ações propostos relacionados ao setor de limpeza urbana e manejo de resíduos sólidos - Objetivo 6</w:t>
        </w:r>
        <w:r w:rsidR="00BC01B1">
          <w:rPr>
            <w:noProof/>
            <w:webHidden/>
          </w:rPr>
          <w:tab/>
        </w:r>
        <w:r w:rsidR="00BC01B1">
          <w:rPr>
            <w:noProof/>
            <w:webHidden/>
          </w:rPr>
          <w:fldChar w:fldCharType="begin"/>
        </w:r>
        <w:r w:rsidR="00BC01B1">
          <w:rPr>
            <w:noProof/>
            <w:webHidden/>
          </w:rPr>
          <w:instrText xml:space="preserve"> PAGEREF _Toc509935865 \h </w:instrText>
        </w:r>
        <w:r w:rsidR="00BC01B1">
          <w:rPr>
            <w:noProof/>
            <w:webHidden/>
          </w:rPr>
        </w:r>
        <w:r w:rsidR="00BC01B1">
          <w:rPr>
            <w:noProof/>
            <w:webHidden/>
          </w:rPr>
          <w:fldChar w:fldCharType="separate"/>
        </w:r>
        <w:r>
          <w:rPr>
            <w:noProof/>
            <w:webHidden/>
          </w:rPr>
          <w:t>261</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66" w:history="1">
        <w:r w:rsidR="00BC01B1" w:rsidRPr="00DE18BF">
          <w:rPr>
            <w:rStyle w:val="Hyperlink"/>
            <w:noProof/>
          </w:rPr>
          <w:t>Quadro 89 - Programas e ações propostos relacionados ao setor de limpeza urbana e manejo de resíduos sólidos - Objetivo 7</w:t>
        </w:r>
        <w:r w:rsidR="00BC01B1">
          <w:rPr>
            <w:noProof/>
            <w:webHidden/>
          </w:rPr>
          <w:tab/>
        </w:r>
        <w:r w:rsidR="00BC01B1">
          <w:rPr>
            <w:noProof/>
            <w:webHidden/>
          </w:rPr>
          <w:fldChar w:fldCharType="begin"/>
        </w:r>
        <w:r w:rsidR="00BC01B1">
          <w:rPr>
            <w:noProof/>
            <w:webHidden/>
          </w:rPr>
          <w:instrText xml:space="preserve"> PAGEREF _Toc509935866 \h </w:instrText>
        </w:r>
        <w:r w:rsidR="00BC01B1">
          <w:rPr>
            <w:noProof/>
            <w:webHidden/>
          </w:rPr>
        </w:r>
        <w:r w:rsidR="00BC01B1">
          <w:rPr>
            <w:noProof/>
            <w:webHidden/>
          </w:rPr>
          <w:fldChar w:fldCharType="separate"/>
        </w:r>
        <w:r>
          <w:rPr>
            <w:noProof/>
            <w:webHidden/>
          </w:rPr>
          <w:t>262</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67" w:history="1">
        <w:r w:rsidR="00BC01B1" w:rsidRPr="00DE18BF">
          <w:rPr>
            <w:rStyle w:val="Hyperlink"/>
            <w:noProof/>
          </w:rPr>
          <w:t>Quadro 90 - Conceitos das Ações de Proteção e Defesa Civil</w:t>
        </w:r>
        <w:r w:rsidR="00BC01B1">
          <w:rPr>
            <w:noProof/>
            <w:webHidden/>
          </w:rPr>
          <w:tab/>
        </w:r>
        <w:r w:rsidR="00BC01B1">
          <w:rPr>
            <w:noProof/>
            <w:webHidden/>
          </w:rPr>
          <w:fldChar w:fldCharType="begin"/>
        </w:r>
        <w:r w:rsidR="00BC01B1">
          <w:rPr>
            <w:noProof/>
            <w:webHidden/>
          </w:rPr>
          <w:instrText xml:space="preserve"> PAGEREF _Toc509935867 \h </w:instrText>
        </w:r>
        <w:r w:rsidR="00BC01B1">
          <w:rPr>
            <w:noProof/>
            <w:webHidden/>
          </w:rPr>
        </w:r>
        <w:r w:rsidR="00BC01B1">
          <w:rPr>
            <w:noProof/>
            <w:webHidden/>
          </w:rPr>
          <w:fldChar w:fldCharType="separate"/>
        </w:r>
        <w:r>
          <w:rPr>
            <w:noProof/>
            <w:webHidden/>
          </w:rPr>
          <w:t>288</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68" w:history="1">
        <w:r w:rsidR="00BC01B1" w:rsidRPr="00DE18BF">
          <w:rPr>
            <w:rStyle w:val="Hyperlink"/>
            <w:noProof/>
          </w:rPr>
          <w:t>Quadro 91 - Competências dos entes federados nas ações de proteção e defesa civil</w:t>
        </w:r>
        <w:r w:rsidR="00BC01B1">
          <w:rPr>
            <w:noProof/>
            <w:webHidden/>
          </w:rPr>
          <w:tab/>
        </w:r>
        <w:r w:rsidR="00BC01B1">
          <w:rPr>
            <w:noProof/>
            <w:webHidden/>
          </w:rPr>
          <w:fldChar w:fldCharType="begin"/>
        </w:r>
        <w:r w:rsidR="00BC01B1">
          <w:rPr>
            <w:noProof/>
            <w:webHidden/>
          </w:rPr>
          <w:instrText xml:space="preserve"> PAGEREF _Toc509935868 \h </w:instrText>
        </w:r>
        <w:r w:rsidR="00BC01B1">
          <w:rPr>
            <w:noProof/>
            <w:webHidden/>
          </w:rPr>
        </w:r>
        <w:r w:rsidR="00BC01B1">
          <w:rPr>
            <w:noProof/>
            <w:webHidden/>
          </w:rPr>
          <w:fldChar w:fldCharType="separate"/>
        </w:r>
        <w:r>
          <w:rPr>
            <w:noProof/>
            <w:webHidden/>
          </w:rPr>
          <w:t>290</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69" w:history="1">
        <w:r w:rsidR="00BC01B1" w:rsidRPr="00DE18BF">
          <w:rPr>
            <w:rStyle w:val="Hyperlink"/>
            <w:noProof/>
          </w:rPr>
          <w:t>Quadro 92 - Valores dos investimentos por componente</w:t>
        </w:r>
        <w:r w:rsidR="00BC01B1">
          <w:rPr>
            <w:noProof/>
            <w:webHidden/>
          </w:rPr>
          <w:tab/>
        </w:r>
        <w:r w:rsidR="00BC01B1">
          <w:rPr>
            <w:noProof/>
            <w:webHidden/>
          </w:rPr>
          <w:fldChar w:fldCharType="begin"/>
        </w:r>
        <w:r w:rsidR="00BC01B1">
          <w:rPr>
            <w:noProof/>
            <w:webHidden/>
          </w:rPr>
          <w:instrText xml:space="preserve"> PAGEREF _Toc509935869 \h </w:instrText>
        </w:r>
        <w:r w:rsidR="00BC01B1">
          <w:rPr>
            <w:noProof/>
            <w:webHidden/>
          </w:rPr>
        </w:r>
        <w:r w:rsidR="00BC01B1">
          <w:rPr>
            <w:noProof/>
            <w:webHidden/>
          </w:rPr>
          <w:fldChar w:fldCharType="separate"/>
        </w:r>
        <w:r>
          <w:rPr>
            <w:noProof/>
            <w:webHidden/>
          </w:rPr>
          <w:t>303</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70" w:history="1">
        <w:r w:rsidR="00BC01B1" w:rsidRPr="00DE18BF">
          <w:rPr>
            <w:rStyle w:val="Hyperlink"/>
            <w:noProof/>
          </w:rPr>
          <w:t>Quadro 93 - Projetos/documentos a serem encaminhados que compõem a carta-consulta do Programa Avançar Cidades</w:t>
        </w:r>
        <w:r w:rsidR="00BC01B1">
          <w:rPr>
            <w:noProof/>
            <w:webHidden/>
          </w:rPr>
          <w:tab/>
        </w:r>
        <w:r w:rsidR="00BC01B1">
          <w:rPr>
            <w:noProof/>
            <w:webHidden/>
          </w:rPr>
          <w:fldChar w:fldCharType="begin"/>
        </w:r>
        <w:r w:rsidR="00BC01B1">
          <w:rPr>
            <w:noProof/>
            <w:webHidden/>
          </w:rPr>
          <w:instrText xml:space="preserve"> PAGEREF _Toc509935870 \h </w:instrText>
        </w:r>
        <w:r w:rsidR="00BC01B1">
          <w:rPr>
            <w:noProof/>
            <w:webHidden/>
          </w:rPr>
        </w:r>
        <w:r w:rsidR="00BC01B1">
          <w:rPr>
            <w:noProof/>
            <w:webHidden/>
          </w:rPr>
          <w:fldChar w:fldCharType="separate"/>
        </w:r>
        <w:r>
          <w:rPr>
            <w:noProof/>
            <w:webHidden/>
          </w:rPr>
          <w:t>310</w:t>
        </w:r>
        <w:r w:rsidR="00BC01B1">
          <w:rPr>
            <w:noProof/>
            <w:webHidden/>
          </w:rPr>
          <w:fldChar w:fldCharType="end"/>
        </w:r>
      </w:hyperlink>
    </w:p>
    <w:p w:rsidR="003E5877" w:rsidRDefault="003E5877" w:rsidP="003E5877">
      <w:r>
        <w:fldChar w:fldCharType="end"/>
      </w:r>
    </w:p>
    <w:p w:rsidR="003E5877" w:rsidRPr="00172B43" w:rsidRDefault="003E5877" w:rsidP="003E5877">
      <w:pPr>
        <w:pStyle w:val="Ttulo1"/>
      </w:pPr>
      <w:bookmarkStart w:id="3" w:name="_Toc509935451"/>
      <w:r>
        <w:lastRenderedPageBreak/>
        <w:t>Lista de</w:t>
      </w:r>
      <w:r w:rsidRPr="00172B43">
        <w:t xml:space="preserve"> Tabelas</w:t>
      </w:r>
      <w:bookmarkEnd w:id="3"/>
      <w:r w:rsidRPr="00172B43">
        <w:t xml:space="preserve"> </w:t>
      </w:r>
    </w:p>
    <w:p w:rsidR="00BC01B1" w:rsidRDefault="008B54C0">
      <w:pPr>
        <w:pStyle w:val="ndicedeilustraes"/>
        <w:rPr>
          <w:rFonts w:asciiTheme="minorHAnsi" w:eastAsiaTheme="minorEastAsia" w:hAnsiTheme="minorHAnsi" w:cstheme="minorBidi"/>
          <w:noProof/>
          <w:sz w:val="22"/>
          <w:lang w:eastAsia="pt-BR"/>
        </w:rPr>
      </w:pPr>
      <w:r w:rsidRPr="00A94DBB">
        <w:rPr>
          <w:highlight w:val="yellow"/>
        </w:rPr>
        <w:fldChar w:fldCharType="begin"/>
      </w:r>
      <w:r w:rsidRPr="00A94DBB">
        <w:rPr>
          <w:highlight w:val="yellow"/>
        </w:rPr>
        <w:instrText xml:space="preserve"> TOC \h \z \c "Tabela" </w:instrText>
      </w:r>
      <w:r w:rsidRPr="00A94DBB">
        <w:rPr>
          <w:highlight w:val="yellow"/>
        </w:rPr>
        <w:fldChar w:fldCharType="separate"/>
      </w:r>
      <w:hyperlink w:anchor="_Toc509935871" w:history="1">
        <w:r w:rsidR="00BC01B1" w:rsidRPr="003E63A4">
          <w:rPr>
            <w:rStyle w:val="Hyperlink"/>
            <w:noProof/>
          </w:rPr>
          <w:t>Tabela 1</w:t>
        </w:r>
        <w:r w:rsidR="00BC01B1" w:rsidRPr="003E63A4">
          <w:rPr>
            <w:rStyle w:val="Hyperlink"/>
            <w:rFonts w:cs="Arial"/>
            <w:noProof/>
          </w:rPr>
          <w:t xml:space="preserve"> - Objetivos e metas do Sistema de Saneamento Básico Municipal de Córrego Novo</w:t>
        </w:r>
        <w:r w:rsidR="00BC01B1">
          <w:rPr>
            <w:noProof/>
            <w:webHidden/>
          </w:rPr>
          <w:tab/>
        </w:r>
        <w:r w:rsidR="00BC01B1">
          <w:rPr>
            <w:noProof/>
            <w:webHidden/>
          </w:rPr>
          <w:fldChar w:fldCharType="begin"/>
        </w:r>
        <w:r w:rsidR="00BC01B1">
          <w:rPr>
            <w:noProof/>
            <w:webHidden/>
          </w:rPr>
          <w:instrText xml:space="preserve"> PAGEREF _Toc509935871 \h </w:instrText>
        </w:r>
        <w:r w:rsidR="00BC01B1">
          <w:rPr>
            <w:noProof/>
            <w:webHidden/>
          </w:rPr>
        </w:r>
        <w:r w:rsidR="00BC01B1">
          <w:rPr>
            <w:noProof/>
            <w:webHidden/>
          </w:rPr>
          <w:fldChar w:fldCharType="separate"/>
        </w:r>
        <w:r w:rsidR="001B481B">
          <w:rPr>
            <w:noProof/>
            <w:webHidden/>
          </w:rPr>
          <w:t>130</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72" w:history="1">
        <w:r w:rsidR="00BC01B1" w:rsidRPr="003E63A4">
          <w:rPr>
            <w:rStyle w:val="Hyperlink"/>
            <w:noProof/>
          </w:rPr>
          <w:t>Tabela 2</w:t>
        </w:r>
        <w:r w:rsidR="00BC01B1" w:rsidRPr="003E63A4">
          <w:rPr>
            <w:rStyle w:val="Hyperlink"/>
            <w:rFonts w:cs="Arial"/>
            <w:noProof/>
          </w:rPr>
          <w:t xml:space="preserve"> - Objetivos e metas do Sistema de Abastecimento de Água (SAA)</w:t>
        </w:r>
        <w:r w:rsidR="00BC01B1">
          <w:rPr>
            <w:noProof/>
            <w:webHidden/>
          </w:rPr>
          <w:tab/>
        </w:r>
        <w:r w:rsidR="00BC01B1">
          <w:rPr>
            <w:noProof/>
            <w:webHidden/>
          </w:rPr>
          <w:fldChar w:fldCharType="begin"/>
        </w:r>
        <w:r w:rsidR="00BC01B1">
          <w:rPr>
            <w:noProof/>
            <w:webHidden/>
          </w:rPr>
          <w:instrText xml:space="preserve"> PAGEREF _Toc509935872 \h </w:instrText>
        </w:r>
        <w:r w:rsidR="00BC01B1">
          <w:rPr>
            <w:noProof/>
            <w:webHidden/>
          </w:rPr>
        </w:r>
        <w:r w:rsidR="00BC01B1">
          <w:rPr>
            <w:noProof/>
            <w:webHidden/>
          </w:rPr>
          <w:fldChar w:fldCharType="separate"/>
        </w:r>
        <w:r>
          <w:rPr>
            <w:noProof/>
            <w:webHidden/>
          </w:rPr>
          <w:t>156</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73" w:history="1">
        <w:r w:rsidR="00BC01B1" w:rsidRPr="003E63A4">
          <w:rPr>
            <w:rStyle w:val="Hyperlink"/>
            <w:noProof/>
          </w:rPr>
          <w:t>Tabela 3</w:t>
        </w:r>
        <w:r w:rsidR="00BC01B1" w:rsidRPr="003E63A4">
          <w:rPr>
            <w:rStyle w:val="Hyperlink"/>
            <w:rFonts w:cs="Arial"/>
            <w:noProof/>
          </w:rPr>
          <w:t xml:space="preserve"> - Objetivos e metas do Sistema de Esgotamento Sanitário (SES)</w:t>
        </w:r>
        <w:r w:rsidR="00BC01B1">
          <w:rPr>
            <w:noProof/>
            <w:webHidden/>
          </w:rPr>
          <w:tab/>
        </w:r>
        <w:r w:rsidR="00BC01B1">
          <w:rPr>
            <w:noProof/>
            <w:webHidden/>
          </w:rPr>
          <w:fldChar w:fldCharType="begin"/>
        </w:r>
        <w:r w:rsidR="00BC01B1">
          <w:rPr>
            <w:noProof/>
            <w:webHidden/>
          </w:rPr>
          <w:instrText xml:space="preserve"> PAGEREF _Toc509935873 \h </w:instrText>
        </w:r>
        <w:r w:rsidR="00BC01B1">
          <w:rPr>
            <w:noProof/>
            <w:webHidden/>
          </w:rPr>
        </w:r>
        <w:r w:rsidR="00BC01B1">
          <w:rPr>
            <w:noProof/>
            <w:webHidden/>
          </w:rPr>
          <w:fldChar w:fldCharType="separate"/>
        </w:r>
        <w:r>
          <w:rPr>
            <w:noProof/>
            <w:webHidden/>
          </w:rPr>
          <w:t>188</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74" w:history="1">
        <w:r w:rsidR="00BC01B1" w:rsidRPr="003E63A4">
          <w:rPr>
            <w:rStyle w:val="Hyperlink"/>
            <w:noProof/>
          </w:rPr>
          <w:t>Tabela 4</w:t>
        </w:r>
        <w:r w:rsidR="00BC01B1" w:rsidRPr="003E63A4">
          <w:rPr>
            <w:rStyle w:val="Hyperlink"/>
            <w:rFonts w:cs="Arial"/>
            <w:noProof/>
          </w:rPr>
          <w:t xml:space="preserve"> - Objetivos e metas do Sistema de Drenagem Urbana e Manejo de Águas Pluviais</w:t>
        </w:r>
        <w:r w:rsidR="00BC01B1">
          <w:rPr>
            <w:noProof/>
            <w:webHidden/>
          </w:rPr>
          <w:tab/>
        </w:r>
        <w:r w:rsidR="00BC01B1">
          <w:rPr>
            <w:noProof/>
            <w:webHidden/>
          </w:rPr>
          <w:fldChar w:fldCharType="begin"/>
        </w:r>
        <w:r w:rsidR="00BC01B1">
          <w:rPr>
            <w:noProof/>
            <w:webHidden/>
          </w:rPr>
          <w:instrText xml:space="preserve"> PAGEREF _Toc509935874 \h </w:instrText>
        </w:r>
        <w:r w:rsidR="00BC01B1">
          <w:rPr>
            <w:noProof/>
            <w:webHidden/>
          </w:rPr>
        </w:r>
        <w:r w:rsidR="00BC01B1">
          <w:rPr>
            <w:noProof/>
            <w:webHidden/>
          </w:rPr>
          <w:fldChar w:fldCharType="separate"/>
        </w:r>
        <w:r>
          <w:rPr>
            <w:noProof/>
            <w:webHidden/>
          </w:rPr>
          <w:t>212</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75" w:history="1">
        <w:r w:rsidR="00BC01B1" w:rsidRPr="003E63A4">
          <w:rPr>
            <w:rStyle w:val="Hyperlink"/>
            <w:noProof/>
          </w:rPr>
          <w:t>Tabela 5</w:t>
        </w:r>
        <w:r w:rsidR="00BC01B1" w:rsidRPr="003E63A4">
          <w:rPr>
            <w:rStyle w:val="Hyperlink"/>
            <w:rFonts w:cs="Arial"/>
            <w:noProof/>
          </w:rPr>
          <w:t xml:space="preserve"> - Objetivos e metas do Sistema de Limpeza Urbana e Manejo de Resíduos Sólidos</w:t>
        </w:r>
        <w:r w:rsidR="00BC01B1">
          <w:rPr>
            <w:noProof/>
            <w:webHidden/>
          </w:rPr>
          <w:tab/>
        </w:r>
        <w:r w:rsidR="00BC01B1">
          <w:rPr>
            <w:noProof/>
            <w:webHidden/>
          </w:rPr>
          <w:fldChar w:fldCharType="begin"/>
        </w:r>
        <w:r w:rsidR="00BC01B1">
          <w:rPr>
            <w:noProof/>
            <w:webHidden/>
          </w:rPr>
          <w:instrText xml:space="preserve"> PAGEREF _Toc509935875 \h </w:instrText>
        </w:r>
        <w:r w:rsidR="00BC01B1">
          <w:rPr>
            <w:noProof/>
            <w:webHidden/>
          </w:rPr>
        </w:r>
        <w:r w:rsidR="00BC01B1">
          <w:rPr>
            <w:noProof/>
            <w:webHidden/>
          </w:rPr>
          <w:fldChar w:fldCharType="separate"/>
        </w:r>
        <w:r>
          <w:rPr>
            <w:noProof/>
            <w:webHidden/>
          </w:rPr>
          <w:t>243</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76" w:history="1">
        <w:r w:rsidR="00BC01B1" w:rsidRPr="003E63A4">
          <w:rPr>
            <w:rStyle w:val="Hyperlink"/>
            <w:noProof/>
          </w:rPr>
          <w:t>Tabela 6 - Ações de monitoramento</w:t>
        </w:r>
        <w:r w:rsidR="00BC01B1">
          <w:rPr>
            <w:noProof/>
            <w:webHidden/>
          </w:rPr>
          <w:tab/>
        </w:r>
        <w:r w:rsidR="00BC01B1">
          <w:rPr>
            <w:noProof/>
            <w:webHidden/>
          </w:rPr>
          <w:fldChar w:fldCharType="begin"/>
        </w:r>
        <w:r w:rsidR="00BC01B1">
          <w:rPr>
            <w:noProof/>
            <w:webHidden/>
          </w:rPr>
          <w:instrText xml:space="preserve"> PAGEREF _Toc509935876 \h </w:instrText>
        </w:r>
        <w:r w:rsidR="00BC01B1">
          <w:rPr>
            <w:noProof/>
            <w:webHidden/>
          </w:rPr>
        </w:r>
        <w:r w:rsidR="00BC01B1">
          <w:rPr>
            <w:noProof/>
            <w:webHidden/>
          </w:rPr>
          <w:fldChar w:fldCharType="separate"/>
        </w:r>
        <w:r>
          <w:rPr>
            <w:noProof/>
            <w:webHidden/>
          </w:rPr>
          <w:t>284</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77" w:history="1">
        <w:r w:rsidR="00BC01B1" w:rsidRPr="003E63A4">
          <w:rPr>
            <w:rStyle w:val="Hyperlink"/>
            <w:noProof/>
          </w:rPr>
          <w:t>Tabela 7 - Síntese das etapas para elaboração de um Plano de Contingência</w:t>
        </w:r>
        <w:r w:rsidR="00BC01B1">
          <w:rPr>
            <w:noProof/>
            <w:webHidden/>
          </w:rPr>
          <w:tab/>
        </w:r>
        <w:r w:rsidR="00BC01B1">
          <w:rPr>
            <w:noProof/>
            <w:webHidden/>
          </w:rPr>
          <w:fldChar w:fldCharType="begin"/>
        </w:r>
        <w:r w:rsidR="00BC01B1">
          <w:rPr>
            <w:noProof/>
            <w:webHidden/>
          </w:rPr>
          <w:instrText xml:space="preserve"> PAGEREF _Toc509935877 \h </w:instrText>
        </w:r>
        <w:r w:rsidR="00BC01B1">
          <w:rPr>
            <w:noProof/>
            <w:webHidden/>
          </w:rPr>
        </w:r>
        <w:r w:rsidR="00BC01B1">
          <w:rPr>
            <w:noProof/>
            <w:webHidden/>
          </w:rPr>
          <w:fldChar w:fldCharType="separate"/>
        </w:r>
        <w:r>
          <w:rPr>
            <w:noProof/>
            <w:webHidden/>
          </w:rPr>
          <w:t>298</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78" w:history="1">
        <w:r w:rsidR="00BC01B1" w:rsidRPr="003E63A4">
          <w:rPr>
            <w:rStyle w:val="Hyperlink"/>
            <w:noProof/>
          </w:rPr>
          <w:t>Tabela 8 - Tabela do índice de entrega de relatórios por setor do saneamento básico local</w:t>
        </w:r>
        <w:r w:rsidR="00BC01B1">
          <w:rPr>
            <w:noProof/>
            <w:webHidden/>
          </w:rPr>
          <w:tab/>
        </w:r>
        <w:r w:rsidR="00BC01B1">
          <w:rPr>
            <w:noProof/>
            <w:webHidden/>
          </w:rPr>
          <w:fldChar w:fldCharType="begin"/>
        </w:r>
        <w:r w:rsidR="00BC01B1">
          <w:rPr>
            <w:noProof/>
            <w:webHidden/>
          </w:rPr>
          <w:instrText xml:space="preserve"> PAGEREF _Toc509935878 \h </w:instrText>
        </w:r>
        <w:r w:rsidR="00BC01B1">
          <w:rPr>
            <w:noProof/>
            <w:webHidden/>
          </w:rPr>
        </w:r>
        <w:r w:rsidR="00BC01B1">
          <w:rPr>
            <w:noProof/>
            <w:webHidden/>
          </w:rPr>
          <w:fldChar w:fldCharType="separate"/>
        </w:r>
        <w:r>
          <w:rPr>
            <w:noProof/>
            <w:webHidden/>
          </w:rPr>
          <w:t>333</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79" w:history="1">
        <w:r w:rsidR="00BC01B1" w:rsidRPr="003E63A4">
          <w:rPr>
            <w:rStyle w:val="Hyperlink"/>
            <w:noProof/>
          </w:rPr>
          <w:t>Tabela 9 - Tabela de Classificação do ICS (Índice de Controle Social) dado pelo número de reuniões com a população, por ano.</w:t>
        </w:r>
        <w:r w:rsidR="00BC01B1">
          <w:rPr>
            <w:noProof/>
            <w:webHidden/>
          </w:rPr>
          <w:tab/>
        </w:r>
        <w:r w:rsidR="00BC01B1">
          <w:rPr>
            <w:noProof/>
            <w:webHidden/>
          </w:rPr>
          <w:fldChar w:fldCharType="begin"/>
        </w:r>
        <w:r w:rsidR="00BC01B1">
          <w:rPr>
            <w:noProof/>
            <w:webHidden/>
          </w:rPr>
          <w:instrText xml:space="preserve"> PAGEREF _Toc509935879 \h </w:instrText>
        </w:r>
        <w:r w:rsidR="00BC01B1">
          <w:rPr>
            <w:noProof/>
            <w:webHidden/>
          </w:rPr>
        </w:r>
        <w:r w:rsidR="00BC01B1">
          <w:rPr>
            <w:noProof/>
            <w:webHidden/>
          </w:rPr>
          <w:fldChar w:fldCharType="separate"/>
        </w:r>
        <w:r>
          <w:rPr>
            <w:noProof/>
            <w:webHidden/>
          </w:rPr>
          <w:t>340</w:t>
        </w:r>
        <w:r w:rsidR="00BC01B1">
          <w:rPr>
            <w:noProof/>
            <w:webHidden/>
          </w:rPr>
          <w:fldChar w:fldCharType="end"/>
        </w:r>
      </w:hyperlink>
    </w:p>
    <w:p w:rsidR="003E5877" w:rsidRDefault="008B54C0" w:rsidP="003E5877">
      <w:r w:rsidRPr="00A94DBB">
        <w:rPr>
          <w:b/>
          <w:bCs/>
          <w:noProof/>
          <w:highlight w:val="yellow"/>
        </w:rPr>
        <w:fldChar w:fldCharType="end"/>
      </w:r>
    </w:p>
    <w:p w:rsidR="003E5877" w:rsidRPr="00172B43" w:rsidRDefault="00E95583" w:rsidP="003E5877">
      <w:pPr>
        <w:pStyle w:val="Ttulo1"/>
      </w:pPr>
      <w:bookmarkStart w:id="4" w:name="_Toc509935452"/>
      <w:r>
        <w:rPr>
          <w:lang w:val="pt-BR"/>
        </w:rPr>
        <w:t xml:space="preserve">Lista de </w:t>
      </w:r>
      <w:r w:rsidR="003E5877" w:rsidRPr="00172B43">
        <w:t>Anexos</w:t>
      </w:r>
      <w:bookmarkEnd w:id="4"/>
    </w:p>
    <w:p w:rsidR="00BC01B1" w:rsidRDefault="005B57EB">
      <w:pPr>
        <w:pStyle w:val="ndicedeilustraes"/>
        <w:rPr>
          <w:rFonts w:asciiTheme="minorHAnsi" w:eastAsiaTheme="minorEastAsia" w:hAnsiTheme="minorHAnsi" w:cstheme="minorBidi"/>
          <w:noProof/>
          <w:sz w:val="22"/>
          <w:lang w:eastAsia="pt-BR"/>
        </w:rPr>
      </w:pPr>
      <w:r>
        <w:rPr>
          <w:b/>
        </w:rPr>
        <w:fldChar w:fldCharType="begin"/>
      </w:r>
      <w:r>
        <w:rPr>
          <w:b/>
        </w:rPr>
        <w:instrText xml:space="preserve"> TOC \h \z \c "Anexo" </w:instrText>
      </w:r>
      <w:r>
        <w:rPr>
          <w:b/>
        </w:rPr>
        <w:fldChar w:fldCharType="separate"/>
      </w:r>
      <w:hyperlink w:anchor="_Toc509935880" w:history="1">
        <w:r w:rsidR="00BC01B1" w:rsidRPr="0043778C">
          <w:rPr>
            <w:rStyle w:val="Hyperlink"/>
            <w:noProof/>
          </w:rPr>
          <w:t>Anexo 1 - Código Brasileiro de Desastres – COBRADE</w:t>
        </w:r>
        <w:r w:rsidR="00BC01B1">
          <w:rPr>
            <w:noProof/>
            <w:webHidden/>
          </w:rPr>
          <w:tab/>
        </w:r>
        <w:r w:rsidR="00BC01B1">
          <w:rPr>
            <w:noProof/>
            <w:webHidden/>
          </w:rPr>
          <w:fldChar w:fldCharType="begin"/>
        </w:r>
        <w:r w:rsidR="00BC01B1">
          <w:rPr>
            <w:noProof/>
            <w:webHidden/>
          </w:rPr>
          <w:instrText xml:space="preserve"> PAGEREF _Toc509935880 \h </w:instrText>
        </w:r>
        <w:r w:rsidR="00BC01B1">
          <w:rPr>
            <w:noProof/>
            <w:webHidden/>
          </w:rPr>
        </w:r>
        <w:r w:rsidR="00BC01B1">
          <w:rPr>
            <w:noProof/>
            <w:webHidden/>
          </w:rPr>
          <w:fldChar w:fldCharType="separate"/>
        </w:r>
        <w:r w:rsidR="001B481B">
          <w:rPr>
            <w:noProof/>
            <w:webHidden/>
          </w:rPr>
          <w:t>419</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81" w:history="1">
        <w:r w:rsidR="00BC01B1" w:rsidRPr="0043778C">
          <w:rPr>
            <w:rStyle w:val="Hyperlink"/>
            <w:noProof/>
          </w:rPr>
          <w:t>Anexo 2 - Projeção da sustentabilidade econômica dos setores de abastecimento de água e esgotamento sanitário</w:t>
        </w:r>
        <w:r w:rsidR="00BC01B1">
          <w:rPr>
            <w:noProof/>
            <w:webHidden/>
          </w:rPr>
          <w:tab/>
        </w:r>
        <w:r w:rsidR="00BC01B1">
          <w:rPr>
            <w:noProof/>
            <w:webHidden/>
          </w:rPr>
          <w:fldChar w:fldCharType="begin"/>
        </w:r>
        <w:r w:rsidR="00BC01B1">
          <w:rPr>
            <w:noProof/>
            <w:webHidden/>
          </w:rPr>
          <w:instrText xml:space="preserve"> PAGEREF _Toc509935881 \h </w:instrText>
        </w:r>
        <w:r w:rsidR="00BC01B1">
          <w:rPr>
            <w:noProof/>
            <w:webHidden/>
          </w:rPr>
        </w:r>
        <w:r w:rsidR="00BC01B1">
          <w:rPr>
            <w:noProof/>
            <w:webHidden/>
          </w:rPr>
          <w:fldChar w:fldCharType="separate"/>
        </w:r>
        <w:r>
          <w:rPr>
            <w:noProof/>
            <w:webHidden/>
          </w:rPr>
          <w:t>421</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82" w:history="1">
        <w:r w:rsidR="00BC01B1" w:rsidRPr="0043778C">
          <w:rPr>
            <w:rStyle w:val="Hyperlink"/>
            <w:noProof/>
          </w:rPr>
          <w:t>Anexo 3 - Projeção da sustentabilidade econômica do setor de resíduos sólidos</w:t>
        </w:r>
        <w:r w:rsidR="00BC01B1">
          <w:rPr>
            <w:noProof/>
            <w:webHidden/>
          </w:rPr>
          <w:tab/>
        </w:r>
        <w:r w:rsidR="00BC01B1">
          <w:rPr>
            <w:noProof/>
            <w:webHidden/>
          </w:rPr>
          <w:fldChar w:fldCharType="begin"/>
        </w:r>
        <w:r w:rsidR="00BC01B1">
          <w:rPr>
            <w:noProof/>
            <w:webHidden/>
          </w:rPr>
          <w:instrText xml:space="preserve"> PAGEREF _Toc509935882 \h </w:instrText>
        </w:r>
        <w:r w:rsidR="00BC01B1">
          <w:rPr>
            <w:noProof/>
            <w:webHidden/>
          </w:rPr>
        </w:r>
        <w:r w:rsidR="00BC01B1">
          <w:rPr>
            <w:noProof/>
            <w:webHidden/>
          </w:rPr>
          <w:fldChar w:fldCharType="separate"/>
        </w:r>
        <w:r>
          <w:rPr>
            <w:noProof/>
            <w:webHidden/>
          </w:rPr>
          <w:t>422</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83" w:history="1">
        <w:r w:rsidR="00BC01B1" w:rsidRPr="0043778C">
          <w:rPr>
            <w:rStyle w:val="Hyperlink"/>
            <w:noProof/>
          </w:rPr>
          <w:t>Anexo 4 - Formulários para coleta de dados e composição dos indicadores – SAA</w:t>
        </w:r>
        <w:r w:rsidR="00BC01B1">
          <w:rPr>
            <w:noProof/>
            <w:webHidden/>
          </w:rPr>
          <w:tab/>
        </w:r>
        <w:r w:rsidR="00BC01B1">
          <w:rPr>
            <w:noProof/>
            <w:webHidden/>
          </w:rPr>
          <w:fldChar w:fldCharType="begin"/>
        </w:r>
        <w:r w:rsidR="00BC01B1">
          <w:rPr>
            <w:noProof/>
            <w:webHidden/>
          </w:rPr>
          <w:instrText xml:space="preserve"> PAGEREF _Toc509935883 \h </w:instrText>
        </w:r>
        <w:r w:rsidR="00BC01B1">
          <w:rPr>
            <w:noProof/>
            <w:webHidden/>
          </w:rPr>
        </w:r>
        <w:r w:rsidR="00BC01B1">
          <w:rPr>
            <w:noProof/>
            <w:webHidden/>
          </w:rPr>
          <w:fldChar w:fldCharType="separate"/>
        </w:r>
        <w:r>
          <w:rPr>
            <w:noProof/>
            <w:webHidden/>
          </w:rPr>
          <w:t>423</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84" w:history="1">
        <w:r w:rsidR="00BC01B1" w:rsidRPr="0043778C">
          <w:rPr>
            <w:rStyle w:val="Hyperlink"/>
            <w:noProof/>
          </w:rPr>
          <w:t>Anexo 5 - Formulários para coleta de dados e composição dos indicadores – SES</w:t>
        </w:r>
        <w:r w:rsidR="00BC01B1">
          <w:rPr>
            <w:noProof/>
            <w:webHidden/>
          </w:rPr>
          <w:tab/>
        </w:r>
        <w:r w:rsidR="00BC01B1">
          <w:rPr>
            <w:noProof/>
            <w:webHidden/>
          </w:rPr>
          <w:fldChar w:fldCharType="begin"/>
        </w:r>
        <w:r w:rsidR="00BC01B1">
          <w:rPr>
            <w:noProof/>
            <w:webHidden/>
          </w:rPr>
          <w:instrText xml:space="preserve"> PAGEREF _Toc509935884 \h </w:instrText>
        </w:r>
        <w:r w:rsidR="00BC01B1">
          <w:rPr>
            <w:noProof/>
            <w:webHidden/>
          </w:rPr>
        </w:r>
        <w:r w:rsidR="00BC01B1">
          <w:rPr>
            <w:noProof/>
            <w:webHidden/>
          </w:rPr>
          <w:fldChar w:fldCharType="separate"/>
        </w:r>
        <w:r>
          <w:rPr>
            <w:noProof/>
            <w:webHidden/>
          </w:rPr>
          <w:t>424</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85" w:history="1">
        <w:r w:rsidR="00BC01B1" w:rsidRPr="0043778C">
          <w:rPr>
            <w:rStyle w:val="Hyperlink"/>
            <w:noProof/>
          </w:rPr>
          <w:t>Anexo 6 - Formulários para coleta de dados e composição dos indicadores – SDU</w:t>
        </w:r>
        <w:r w:rsidR="00BC01B1">
          <w:rPr>
            <w:noProof/>
            <w:webHidden/>
          </w:rPr>
          <w:tab/>
        </w:r>
        <w:r w:rsidR="00BC01B1">
          <w:rPr>
            <w:noProof/>
            <w:webHidden/>
          </w:rPr>
          <w:fldChar w:fldCharType="begin"/>
        </w:r>
        <w:r w:rsidR="00BC01B1">
          <w:rPr>
            <w:noProof/>
            <w:webHidden/>
          </w:rPr>
          <w:instrText xml:space="preserve"> PAGEREF _Toc509935885 \h </w:instrText>
        </w:r>
        <w:r w:rsidR="00BC01B1">
          <w:rPr>
            <w:noProof/>
            <w:webHidden/>
          </w:rPr>
        </w:r>
        <w:r w:rsidR="00BC01B1">
          <w:rPr>
            <w:noProof/>
            <w:webHidden/>
          </w:rPr>
          <w:fldChar w:fldCharType="separate"/>
        </w:r>
        <w:r>
          <w:rPr>
            <w:noProof/>
            <w:webHidden/>
          </w:rPr>
          <w:t>425</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86" w:history="1">
        <w:r w:rsidR="00BC01B1" w:rsidRPr="0043778C">
          <w:rPr>
            <w:rStyle w:val="Hyperlink"/>
            <w:noProof/>
          </w:rPr>
          <w:t>Anexo 7 - Formulários para coleta de dados e composição dos indicadores – SMR</w:t>
        </w:r>
        <w:r w:rsidR="00BC01B1">
          <w:rPr>
            <w:noProof/>
            <w:webHidden/>
          </w:rPr>
          <w:tab/>
        </w:r>
        <w:r w:rsidR="00BC01B1">
          <w:rPr>
            <w:noProof/>
            <w:webHidden/>
          </w:rPr>
          <w:fldChar w:fldCharType="begin"/>
        </w:r>
        <w:r w:rsidR="00BC01B1">
          <w:rPr>
            <w:noProof/>
            <w:webHidden/>
          </w:rPr>
          <w:instrText xml:space="preserve"> PAGEREF _Toc509935886 \h </w:instrText>
        </w:r>
        <w:r w:rsidR="00BC01B1">
          <w:rPr>
            <w:noProof/>
            <w:webHidden/>
          </w:rPr>
        </w:r>
        <w:r w:rsidR="00BC01B1">
          <w:rPr>
            <w:noProof/>
            <w:webHidden/>
          </w:rPr>
          <w:fldChar w:fldCharType="separate"/>
        </w:r>
        <w:r>
          <w:rPr>
            <w:noProof/>
            <w:webHidden/>
          </w:rPr>
          <w:t>426</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87" w:history="1">
        <w:r w:rsidR="00BC01B1" w:rsidRPr="0043778C">
          <w:rPr>
            <w:rStyle w:val="Hyperlink"/>
            <w:noProof/>
          </w:rPr>
          <w:t>Anexo 8 - Manual de instruções de uso do SMIS</w:t>
        </w:r>
        <w:r w:rsidR="00BC01B1">
          <w:rPr>
            <w:noProof/>
            <w:webHidden/>
          </w:rPr>
          <w:tab/>
        </w:r>
        <w:r w:rsidR="00BC01B1">
          <w:rPr>
            <w:noProof/>
            <w:webHidden/>
          </w:rPr>
          <w:fldChar w:fldCharType="begin"/>
        </w:r>
        <w:r w:rsidR="00BC01B1">
          <w:rPr>
            <w:noProof/>
            <w:webHidden/>
          </w:rPr>
          <w:instrText xml:space="preserve"> PAGEREF _Toc509935887 \h </w:instrText>
        </w:r>
        <w:r w:rsidR="00BC01B1">
          <w:rPr>
            <w:noProof/>
            <w:webHidden/>
          </w:rPr>
        </w:r>
        <w:r w:rsidR="00BC01B1">
          <w:rPr>
            <w:noProof/>
            <w:webHidden/>
          </w:rPr>
          <w:fldChar w:fldCharType="separate"/>
        </w:r>
        <w:r>
          <w:rPr>
            <w:noProof/>
            <w:webHidden/>
          </w:rPr>
          <w:t>427</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88" w:history="1">
        <w:r w:rsidR="00BC01B1" w:rsidRPr="0043778C">
          <w:rPr>
            <w:rStyle w:val="Hyperlink"/>
            <w:noProof/>
          </w:rPr>
          <w:t>Anexo 9 - Mapas da Base Cartográfica</w:t>
        </w:r>
        <w:r w:rsidR="00BC01B1">
          <w:rPr>
            <w:noProof/>
            <w:webHidden/>
          </w:rPr>
          <w:tab/>
        </w:r>
        <w:r w:rsidR="00BC01B1">
          <w:rPr>
            <w:noProof/>
            <w:webHidden/>
          </w:rPr>
          <w:fldChar w:fldCharType="begin"/>
        </w:r>
        <w:r w:rsidR="00BC01B1">
          <w:rPr>
            <w:noProof/>
            <w:webHidden/>
          </w:rPr>
          <w:instrText xml:space="preserve"> PAGEREF _Toc509935888 \h </w:instrText>
        </w:r>
        <w:r w:rsidR="00BC01B1">
          <w:rPr>
            <w:noProof/>
            <w:webHidden/>
          </w:rPr>
        </w:r>
        <w:r w:rsidR="00BC01B1">
          <w:rPr>
            <w:noProof/>
            <w:webHidden/>
          </w:rPr>
          <w:fldChar w:fldCharType="separate"/>
        </w:r>
        <w:r>
          <w:rPr>
            <w:noProof/>
            <w:webHidden/>
          </w:rPr>
          <w:t>428</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89" w:history="1">
        <w:r w:rsidR="00BC01B1" w:rsidRPr="0043778C">
          <w:rPr>
            <w:rStyle w:val="Hyperlink"/>
            <w:noProof/>
          </w:rPr>
          <w:t>Anexo 10 - Dicionário de Dados da Base Cartográfica</w:t>
        </w:r>
        <w:r w:rsidR="00BC01B1">
          <w:rPr>
            <w:noProof/>
            <w:webHidden/>
          </w:rPr>
          <w:tab/>
        </w:r>
        <w:r w:rsidR="00BC01B1">
          <w:rPr>
            <w:noProof/>
            <w:webHidden/>
          </w:rPr>
          <w:fldChar w:fldCharType="begin"/>
        </w:r>
        <w:r w:rsidR="00BC01B1">
          <w:rPr>
            <w:noProof/>
            <w:webHidden/>
          </w:rPr>
          <w:instrText xml:space="preserve"> PAGEREF _Toc509935889 \h </w:instrText>
        </w:r>
        <w:r w:rsidR="00BC01B1">
          <w:rPr>
            <w:noProof/>
            <w:webHidden/>
          </w:rPr>
        </w:r>
        <w:r w:rsidR="00BC01B1">
          <w:rPr>
            <w:noProof/>
            <w:webHidden/>
          </w:rPr>
          <w:fldChar w:fldCharType="separate"/>
        </w:r>
        <w:r>
          <w:rPr>
            <w:noProof/>
            <w:webHidden/>
          </w:rPr>
          <w:t>429</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90" w:history="1">
        <w:r w:rsidR="00BC01B1" w:rsidRPr="0043778C">
          <w:rPr>
            <w:rStyle w:val="Hyperlink"/>
            <w:noProof/>
          </w:rPr>
          <w:t>Anexo 11 - Dicas para a utilização do QGIS</w:t>
        </w:r>
        <w:r w:rsidR="00BC01B1">
          <w:rPr>
            <w:noProof/>
            <w:webHidden/>
          </w:rPr>
          <w:tab/>
        </w:r>
        <w:r w:rsidR="00BC01B1">
          <w:rPr>
            <w:noProof/>
            <w:webHidden/>
          </w:rPr>
          <w:fldChar w:fldCharType="begin"/>
        </w:r>
        <w:r w:rsidR="00BC01B1">
          <w:rPr>
            <w:noProof/>
            <w:webHidden/>
          </w:rPr>
          <w:instrText xml:space="preserve"> PAGEREF _Toc509935890 \h </w:instrText>
        </w:r>
        <w:r w:rsidR="00BC01B1">
          <w:rPr>
            <w:noProof/>
            <w:webHidden/>
          </w:rPr>
        </w:r>
        <w:r w:rsidR="00BC01B1">
          <w:rPr>
            <w:noProof/>
            <w:webHidden/>
          </w:rPr>
          <w:fldChar w:fldCharType="separate"/>
        </w:r>
        <w:r>
          <w:rPr>
            <w:noProof/>
            <w:webHidden/>
          </w:rPr>
          <w:t>430</w:t>
        </w:r>
        <w:r w:rsidR="00BC01B1">
          <w:rPr>
            <w:noProof/>
            <w:webHidden/>
          </w:rPr>
          <w:fldChar w:fldCharType="end"/>
        </w:r>
      </w:hyperlink>
    </w:p>
    <w:p w:rsidR="00BC01B1" w:rsidRDefault="001B481B">
      <w:pPr>
        <w:pStyle w:val="ndicedeilustraes"/>
        <w:rPr>
          <w:rFonts w:asciiTheme="minorHAnsi" w:eastAsiaTheme="minorEastAsia" w:hAnsiTheme="minorHAnsi" w:cstheme="minorBidi"/>
          <w:noProof/>
          <w:sz w:val="22"/>
          <w:lang w:eastAsia="pt-BR"/>
        </w:rPr>
      </w:pPr>
      <w:hyperlink w:anchor="_Toc509935891" w:history="1">
        <w:r w:rsidR="00BC01B1" w:rsidRPr="0043778C">
          <w:rPr>
            <w:rStyle w:val="Hyperlink"/>
            <w:noProof/>
          </w:rPr>
          <w:t>Anexo 12 - Dicas para instalação do programa QGIS</w:t>
        </w:r>
        <w:r w:rsidR="00BC01B1">
          <w:rPr>
            <w:noProof/>
            <w:webHidden/>
          </w:rPr>
          <w:tab/>
        </w:r>
        <w:r w:rsidR="00BC01B1">
          <w:rPr>
            <w:noProof/>
            <w:webHidden/>
          </w:rPr>
          <w:fldChar w:fldCharType="begin"/>
        </w:r>
        <w:r w:rsidR="00BC01B1">
          <w:rPr>
            <w:noProof/>
            <w:webHidden/>
          </w:rPr>
          <w:instrText xml:space="preserve"> PAGEREF _Toc509935891 \h </w:instrText>
        </w:r>
        <w:r w:rsidR="00BC01B1">
          <w:rPr>
            <w:noProof/>
            <w:webHidden/>
          </w:rPr>
        </w:r>
        <w:r w:rsidR="00BC01B1">
          <w:rPr>
            <w:noProof/>
            <w:webHidden/>
          </w:rPr>
          <w:fldChar w:fldCharType="separate"/>
        </w:r>
        <w:r>
          <w:rPr>
            <w:noProof/>
            <w:webHidden/>
          </w:rPr>
          <w:t>431</w:t>
        </w:r>
        <w:r w:rsidR="00BC01B1">
          <w:rPr>
            <w:noProof/>
            <w:webHidden/>
          </w:rPr>
          <w:fldChar w:fldCharType="end"/>
        </w:r>
      </w:hyperlink>
    </w:p>
    <w:p w:rsidR="003E5877" w:rsidRDefault="005B57EB" w:rsidP="003E5877">
      <w:pPr>
        <w:rPr>
          <w:b/>
        </w:rPr>
      </w:pPr>
      <w:r>
        <w:rPr>
          <w:b/>
        </w:rPr>
        <w:fldChar w:fldCharType="end"/>
      </w:r>
    </w:p>
    <w:p w:rsidR="003E5877" w:rsidRPr="00073D72" w:rsidRDefault="003E5877" w:rsidP="003E5877">
      <w:pPr>
        <w:pStyle w:val="Ttulo1"/>
      </w:pPr>
      <w:bookmarkStart w:id="5" w:name="_Toc509935453"/>
      <w:r w:rsidRPr="00300612">
        <w:t>Abreviaturas e Siglas</w:t>
      </w:r>
      <w:bookmarkEnd w:id="5"/>
    </w:p>
    <w:p w:rsidR="0080531A" w:rsidRPr="0080531A" w:rsidRDefault="0080531A" w:rsidP="00810C89">
      <w:pPr>
        <w:spacing w:before="120" w:after="120"/>
        <w:rPr>
          <w:rFonts w:cs="Arial"/>
          <w:szCs w:val="24"/>
        </w:rPr>
      </w:pPr>
      <w:r w:rsidRPr="0080531A">
        <w:rPr>
          <w:rFonts w:cs="Arial"/>
          <w:b/>
          <w:szCs w:val="24"/>
        </w:rPr>
        <w:t xml:space="preserve">ANA </w:t>
      </w:r>
      <w:r w:rsidRPr="0080531A">
        <w:rPr>
          <w:rFonts w:cs="Arial"/>
          <w:szCs w:val="24"/>
        </w:rPr>
        <w:t>- Agência Nacional de Águas.</w:t>
      </w:r>
    </w:p>
    <w:p w:rsidR="0080531A" w:rsidRPr="0080531A" w:rsidRDefault="0080531A" w:rsidP="00810C89">
      <w:pPr>
        <w:spacing w:before="120" w:after="120"/>
        <w:rPr>
          <w:rFonts w:cs="Arial"/>
          <w:b/>
          <w:szCs w:val="24"/>
        </w:rPr>
      </w:pPr>
      <w:r w:rsidRPr="0080531A">
        <w:rPr>
          <w:rFonts w:cs="Arial"/>
          <w:b/>
          <w:szCs w:val="24"/>
        </w:rPr>
        <w:t xml:space="preserve">ANVISA - </w:t>
      </w:r>
      <w:r w:rsidRPr="0080531A">
        <w:rPr>
          <w:rFonts w:cs="Arial"/>
          <w:szCs w:val="24"/>
        </w:rPr>
        <w:t>Agência Nacional de Vigilância Sanitária.</w:t>
      </w:r>
    </w:p>
    <w:p w:rsidR="0080531A" w:rsidRPr="0080531A" w:rsidRDefault="0080531A" w:rsidP="00810C89">
      <w:pPr>
        <w:spacing w:before="120" w:after="120"/>
        <w:jc w:val="both"/>
        <w:rPr>
          <w:rFonts w:cs="Arial"/>
          <w:szCs w:val="24"/>
        </w:rPr>
      </w:pPr>
      <w:r w:rsidRPr="0080531A">
        <w:rPr>
          <w:rFonts w:cs="Arial"/>
          <w:b/>
          <w:szCs w:val="24"/>
        </w:rPr>
        <w:t xml:space="preserve">APA </w:t>
      </w:r>
      <w:r w:rsidRPr="0080531A">
        <w:rPr>
          <w:rFonts w:cs="Arial"/>
          <w:szCs w:val="24"/>
        </w:rPr>
        <w:t>- Área de Proteção Ambiental.</w:t>
      </w:r>
    </w:p>
    <w:p w:rsidR="0080531A" w:rsidRPr="0080531A" w:rsidRDefault="0080531A" w:rsidP="00810C89">
      <w:pPr>
        <w:spacing w:before="120" w:after="120"/>
        <w:jc w:val="both"/>
      </w:pPr>
      <w:r w:rsidRPr="0080531A">
        <w:rPr>
          <w:b/>
        </w:rPr>
        <w:t>APP</w:t>
      </w:r>
      <w:r w:rsidRPr="0080531A">
        <w:t xml:space="preserve"> - Área de Preservação Permanente.</w:t>
      </w:r>
    </w:p>
    <w:p w:rsidR="0080531A" w:rsidRPr="0080531A" w:rsidRDefault="0080531A" w:rsidP="00810C89">
      <w:pPr>
        <w:spacing w:before="120" w:after="120"/>
        <w:jc w:val="both"/>
      </w:pPr>
      <w:r w:rsidRPr="0080531A">
        <w:rPr>
          <w:b/>
        </w:rPr>
        <w:t xml:space="preserve">ARSAE </w:t>
      </w:r>
      <w:r w:rsidRPr="0080531A">
        <w:t>- Agência Reguladora de Serviços de Abastecimento de Água e de Esgotamento Sanitário do Estado de Minas Gerais. </w:t>
      </w:r>
    </w:p>
    <w:p w:rsidR="0080531A" w:rsidRPr="0080531A" w:rsidRDefault="0080531A" w:rsidP="00810C89">
      <w:pPr>
        <w:spacing w:before="120" w:after="120"/>
        <w:jc w:val="both"/>
      </w:pPr>
      <w:r w:rsidRPr="0080531A">
        <w:rPr>
          <w:b/>
        </w:rPr>
        <w:t>CBH</w:t>
      </w:r>
      <w:r w:rsidRPr="0080531A">
        <w:t xml:space="preserve"> - Comitê de Bacia Hidrográfica.</w:t>
      </w:r>
    </w:p>
    <w:p w:rsidR="0080531A" w:rsidRPr="0080531A" w:rsidRDefault="0080531A" w:rsidP="00810C89">
      <w:pPr>
        <w:spacing w:before="120" w:after="120"/>
        <w:jc w:val="both"/>
        <w:rPr>
          <w:rFonts w:cs="Arial"/>
          <w:szCs w:val="24"/>
          <w:lang w:eastAsia="pt-BR"/>
        </w:rPr>
      </w:pPr>
      <w:r w:rsidRPr="0080531A">
        <w:rPr>
          <w:b/>
        </w:rPr>
        <w:t>CNRH</w:t>
      </w:r>
      <w:r w:rsidRPr="0080531A">
        <w:t xml:space="preserve"> - </w:t>
      </w:r>
      <w:r w:rsidRPr="0080531A">
        <w:rPr>
          <w:rFonts w:cs="Arial"/>
          <w:szCs w:val="24"/>
          <w:lang w:eastAsia="pt-BR"/>
        </w:rPr>
        <w:t>Conselho Nacional de Recursos Hídricos.</w:t>
      </w:r>
    </w:p>
    <w:p w:rsidR="0080531A" w:rsidRPr="0080531A" w:rsidRDefault="0080531A" w:rsidP="00810C89">
      <w:pPr>
        <w:spacing w:before="120" w:after="120"/>
        <w:rPr>
          <w:rFonts w:cs="Arial"/>
          <w:szCs w:val="24"/>
        </w:rPr>
      </w:pPr>
      <w:r w:rsidRPr="0080531A">
        <w:rPr>
          <w:rFonts w:cs="Arial"/>
          <w:b/>
          <w:color w:val="000000"/>
        </w:rPr>
        <w:t>CONPDEC</w:t>
      </w:r>
      <w:r w:rsidRPr="0080531A">
        <w:rPr>
          <w:rFonts w:cs="Arial"/>
          <w:color w:val="000000"/>
        </w:rPr>
        <w:t xml:space="preserve"> - Coordenadoria Municipal de Proteção e Defesa Civil.</w:t>
      </w:r>
    </w:p>
    <w:p w:rsidR="0080531A" w:rsidRPr="0080531A" w:rsidRDefault="0080531A" w:rsidP="00810C89">
      <w:pPr>
        <w:spacing w:before="120" w:after="120"/>
        <w:jc w:val="both"/>
      </w:pPr>
      <w:r w:rsidRPr="0080531A">
        <w:rPr>
          <w:b/>
        </w:rPr>
        <w:t>CPRM</w:t>
      </w:r>
      <w:r w:rsidRPr="0080531A">
        <w:t xml:space="preserve"> - Companhia de Pesquisa de Recursos Minerais.</w:t>
      </w:r>
    </w:p>
    <w:p w:rsidR="0080531A" w:rsidRPr="0080531A" w:rsidRDefault="0080531A" w:rsidP="00810C89">
      <w:pPr>
        <w:spacing w:before="120" w:after="120"/>
        <w:jc w:val="both"/>
        <w:rPr>
          <w:rFonts w:cs="Arial"/>
          <w:szCs w:val="24"/>
        </w:rPr>
      </w:pPr>
      <w:r w:rsidRPr="0080531A">
        <w:rPr>
          <w:b/>
        </w:rPr>
        <w:t>CRAS</w:t>
      </w:r>
      <w:r w:rsidRPr="0080531A">
        <w:t xml:space="preserve"> - </w:t>
      </w:r>
      <w:r w:rsidRPr="0080531A">
        <w:rPr>
          <w:rFonts w:cs="Arial"/>
          <w:szCs w:val="24"/>
        </w:rPr>
        <w:t>Centro de Referência de Assistência Social.</w:t>
      </w:r>
    </w:p>
    <w:p w:rsidR="0080531A" w:rsidRPr="0080531A" w:rsidRDefault="0080531A" w:rsidP="00810C89">
      <w:pPr>
        <w:spacing w:before="120" w:after="120"/>
        <w:jc w:val="both"/>
      </w:pPr>
      <w:r w:rsidRPr="0080531A">
        <w:rPr>
          <w:rFonts w:cs="Arial"/>
          <w:b/>
          <w:szCs w:val="24"/>
        </w:rPr>
        <w:t>CTR</w:t>
      </w:r>
      <w:r w:rsidRPr="0080531A">
        <w:rPr>
          <w:rFonts w:cs="Arial"/>
          <w:szCs w:val="24"/>
        </w:rPr>
        <w:t xml:space="preserve"> - Central de Triagem de Resíduos.</w:t>
      </w:r>
    </w:p>
    <w:p w:rsidR="0080531A" w:rsidRPr="0080531A" w:rsidRDefault="0080531A" w:rsidP="00810C89">
      <w:pPr>
        <w:spacing w:before="120" w:after="120"/>
        <w:jc w:val="both"/>
        <w:rPr>
          <w:rFonts w:cs="Arial"/>
          <w:szCs w:val="24"/>
        </w:rPr>
      </w:pPr>
      <w:r w:rsidRPr="0080531A">
        <w:rPr>
          <w:rFonts w:cs="Arial"/>
          <w:b/>
          <w:szCs w:val="24"/>
        </w:rPr>
        <w:t>EEE</w:t>
      </w:r>
      <w:r w:rsidRPr="0080531A">
        <w:rPr>
          <w:rFonts w:cs="Arial"/>
          <w:szCs w:val="24"/>
        </w:rPr>
        <w:t xml:space="preserve"> - Estação Elevatória de Esgotos.</w:t>
      </w:r>
    </w:p>
    <w:p w:rsidR="0080531A" w:rsidRPr="0080531A" w:rsidRDefault="0080531A" w:rsidP="00810C89">
      <w:pPr>
        <w:spacing w:before="120" w:after="120"/>
        <w:jc w:val="both"/>
        <w:rPr>
          <w:rFonts w:cs="Arial"/>
          <w:szCs w:val="24"/>
        </w:rPr>
      </w:pPr>
      <w:r w:rsidRPr="0080531A">
        <w:rPr>
          <w:rFonts w:cs="Arial"/>
          <w:b/>
          <w:szCs w:val="24"/>
        </w:rPr>
        <w:t xml:space="preserve">EPI </w:t>
      </w:r>
      <w:r w:rsidRPr="0080531A">
        <w:rPr>
          <w:rFonts w:cs="Arial"/>
          <w:szCs w:val="24"/>
        </w:rPr>
        <w:t>- Equipamento de Proteção Individual.</w:t>
      </w:r>
    </w:p>
    <w:p w:rsidR="0080531A" w:rsidRPr="0080531A" w:rsidRDefault="0080531A" w:rsidP="00810C89">
      <w:pPr>
        <w:spacing w:before="120" w:after="120"/>
        <w:jc w:val="both"/>
      </w:pPr>
      <w:r w:rsidRPr="0080531A">
        <w:rPr>
          <w:b/>
        </w:rPr>
        <w:t>ETA</w:t>
      </w:r>
      <w:r w:rsidRPr="0080531A">
        <w:t xml:space="preserve"> - Estação de Tratamento de Água.</w:t>
      </w:r>
    </w:p>
    <w:p w:rsidR="0080531A" w:rsidRPr="0080531A" w:rsidRDefault="0080531A" w:rsidP="00810C89">
      <w:pPr>
        <w:spacing w:before="120" w:after="120"/>
        <w:jc w:val="both"/>
      </w:pPr>
      <w:r w:rsidRPr="0080531A">
        <w:rPr>
          <w:b/>
        </w:rPr>
        <w:t>ETE</w:t>
      </w:r>
      <w:r w:rsidRPr="0080531A">
        <w:t xml:space="preserve"> - Estação de Tratamento de Esgotos.</w:t>
      </w:r>
    </w:p>
    <w:p w:rsidR="0080531A" w:rsidRPr="0080531A" w:rsidRDefault="0080531A" w:rsidP="00810C89">
      <w:pPr>
        <w:spacing w:before="120" w:after="120"/>
        <w:jc w:val="both"/>
      </w:pPr>
      <w:r w:rsidRPr="0080531A">
        <w:rPr>
          <w:rFonts w:cs="Arial"/>
          <w:b/>
          <w:szCs w:val="24"/>
        </w:rPr>
        <w:t>FJP</w:t>
      </w:r>
      <w:r w:rsidRPr="0080531A">
        <w:rPr>
          <w:rFonts w:cs="Arial"/>
          <w:szCs w:val="24"/>
        </w:rPr>
        <w:t xml:space="preserve"> - Fundação João Pinheiro. </w:t>
      </w:r>
    </w:p>
    <w:p w:rsidR="0080531A" w:rsidRPr="0080531A" w:rsidRDefault="0080531A" w:rsidP="00810C89">
      <w:pPr>
        <w:spacing w:before="120" w:after="120"/>
        <w:jc w:val="both"/>
      </w:pPr>
      <w:r w:rsidRPr="0080531A">
        <w:rPr>
          <w:b/>
        </w:rPr>
        <w:lastRenderedPageBreak/>
        <w:t>IBGE</w:t>
      </w:r>
      <w:r w:rsidRPr="0080531A">
        <w:t xml:space="preserve"> - </w:t>
      </w:r>
      <w:r w:rsidRPr="0080531A">
        <w:rPr>
          <w:rFonts w:cs="Arial"/>
        </w:rPr>
        <w:t>Instituto Brasileiro de Geografia e Estatística.</w:t>
      </w:r>
    </w:p>
    <w:p w:rsidR="0080531A" w:rsidRPr="0080531A" w:rsidRDefault="0080531A" w:rsidP="00810C89">
      <w:pPr>
        <w:spacing w:before="120" w:after="120"/>
        <w:jc w:val="both"/>
      </w:pPr>
      <w:r w:rsidRPr="0080531A">
        <w:rPr>
          <w:b/>
        </w:rPr>
        <w:t>IBIO AGB Doce</w:t>
      </w:r>
      <w:r w:rsidRPr="0080531A">
        <w:t xml:space="preserve"> – Instituto BioAtlântica - Agência de Água da bacia hidrográfica do rio Doce.</w:t>
      </w:r>
    </w:p>
    <w:p w:rsidR="0080531A" w:rsidRPr="0080531A" w:rsidRDefault="0080531A" w:rsidP="00810C89">
      <w:pPr>
        <w:spacing w:before="120" w:after="120"/>
        <w:jc w:val="both"/>
        <w:rPr>
          <w:rFonts w:cs="Arial"/>
          <w:szCs w:val="24"/>
        </w:rPr>
      </w:pPr>
      <w:r w:rsidRPr="0080531A">
        <w:rPr>
          <w:b/>
        </w:rPr>
        <w:t>IDH</w:t>
      </w:r>
      <w:r w:rsidRPr="0080531A">
        <w:t xml:space="preserve"> - </w:t>
      </w:r>
      <w:r w:rsidRPr="0080531A">
        <w:rPr>
          <w:rFonts w:cs="Arial"/>
          <w:szCs w:val="24"/>
        </w:rPr>
        <w:t>Índice de Desenvolvimento Humano.</w:t>
      </w:r>
    </w:p>
    <w:p w:rsidR="0080531A" w:rsidRPr="0080531A" w:rsidRDefault="0080531A" w:rsidP="00810C89">
      <w:pPr>
        <w:spacing w:before="120" w:after="120"/>
        <w:jc w:val="both"/>
        <w:rPr>
          <w:rFonts w:cs="Arial"/>
          <w:szCs w:val="24"/>
        </w:rPr>
      </w:pPr>
      <w:r w:rsidRPr="0080531A">
        <w:rPr>
          <w:b/>
        </w:rPr>
        <w:t>MDL</w:t>
      </w:r>
      <w:r w:rsidRPr="0080531A">
        <w:t xml:space="preserve"> – Mecanismos de Desenvolvimento Limpo.</w:t>
      </w:r>
    </w:p>
    <w:p w:rsidR="0080531A" w:rsidRPr="0080531A" w:rsidRDefault="0080531A" w:rsidP="00810C89">
      <w:pPr>
        <w:spacing w:before="120" w:after="120"/>
        <w:jc w:val="both"/>
        <w:rPr>
          <w:rFonts w:cs="Arial"/>
          <w:szCs w:val="24"/>
        </w:rPr>
      </w:pPr>
      <w:r w:rsidRPr="0080531A">
        <w:rPr>
          <w:rFonts w:cs="Arial"/>
          <w:b/>
          <w:szCs w:val="24"/>
        </w:rPr>
        <w:t>ONG</w:t>
      </w:r>
      <w:r w:rsidRPr="0080531A">
        <w:rPr>
          <w:rFonts w:cs="Arial"/>
          <w:szCs w:val="24"/>
        </w:rPr>
        <w:t xml:space="preserve"> - Organização Não Governamental.</w:t>
      </w:r>
    </w:p>
    <w:p w:rsidR="0080531A" w:rsidRPr="0066661F" w:rsidRDefault="0080531A" w:rsidP="00810C89">
      <w:pPr>
        <w:spacing w:before="120" w:after="120"/>
        <w:jc w:val="both"/>
        <w:rPr>
          <w:rFonts w:cs="Arial"/>
          <w:szCs w:val="24"/>
          <w:lang w:eastAsia="pt-BR"/>
        </w:rPr>
      </w:pPr>
      <w:r w:rsidRPr="0066661F">
        <w:rPr>
          <w:rFonts w:cs="Arial"/>
          <w:b/>
          <w:szCs w:val="24"/>
          <w:lang w:eastAsia="pt-BR"/>
        </w:rPr>
        <w:t xml:space="preserve">PARH </w:t>
      </w:r>
      <w:r w:rsidR="0066661F" w:rsidRPr="0066661F">
        <w:rPr>
          <w:rFonts w:cs="Arial"/>
          <w:b/>
          <w:szCs w:val="24"/>
          <w:lang w:eastAsia="pt-BR"/>
        </w:rPr>
        <w:t>Piranga</w:t>
      </w:r>
      <w:r w:rsidRPr="0066661F">
        <w:rPr>
          <w:rFonts w:cs="Arial"/>
          <w:szCs w:val="24"/>
          <w:lang w:eastAsia="pt-BR"/>
        </w:rPr>
        <w:t xml:space="preserve"> – Plano de Ação de Recursos Hídricos da Unidade de Planejamento e Gestão dos Recursos Hídricos </w:t>
      </w:r>
      <w:r w:rsidR="0066661F" w:rsidRPr="0066661F">
        <w:rPr>
          <w:rFonts w:cs="Arial"/>
          <w:b/>
          <w:szCs w:val="24"/>
          <w:lang w:eastAsia="pt-BR"/>
        </w:rPr>
        <w:t>Piranga</w:t>
      </w:r>
      <w:r w:rsidRPr="0066661F">
        <w:rPr>
          <w:rFonts w:cs="Arial"/>
          <w:b/>
          <w:szCs w:val="24"/>
          <w:lang w:eastAsia="pt-BR"/>
        </w:rPr>
        <w:t>.</w:t>
      </w:r>
      <w:r w:rsidRPr="0066661F">
        <w:rPr>
          <w:rFonts w:cs="Arial"/>
          <w:szCs w:val="24"/>
          <w:lang w:eastAsia="pt-BR"/>
        </w:rPr>
        <w:t xml:space="preserve"> </w:t>
      </w:r>
    </w:p>
    <w:p w:rsidR="0080531A" w:rsidRPr="0080531A" w:rsidRDefault="0080531A" w:rsidP="00810C89">
      <w:pPr>
        <w:spacing w:before="120" w:after="120"/>
        <w:rPr>
          <w:rFonts w:cs="Arial"/>
          <w:szCs w:val="24"/>
        </w:rPr>
      </w:pPr>
      <w:r w:rsidRPr="0066661F">
        <w:rPr>
          <w:rFonts w:cs="Arial"/>
          <w:b/>
          <w:szCs w:val="24"/>
        </w:rPr>
        <w:t>PERD</w:t>
      </w:r>
      <w:r w:rsidRPr="0066661F">
        <w:rPr>
          <w:rFonts w:cs="Arial"/>
          <w:szCs w:val="24"/>
        </w:rPr>
        <w:t xml:space="preserve"> - Parque Estadual do Rio Doce.</w:t>
      </w:r>
    </w:p>
    <w:p w:rsidR="0080531A" w:rsidRPr="0080531A" w:rsidRDefault="0080531A" w:rsidP="00810C89">
      <w:pPr>
        <w:spacing w:before="120" w:after="120"/>
        <w:rPr>
          <w:rFonts w:cs="Arial"/>
          <w:szCs w:val="24"/>
        </w:rPr>
      </w:pPr>
      <w:r w:rsidRPr="0080531A">
        <w:rPr>
          <w:rFonts w:cs="Arial"/>
          <w:b/>
          <w:szCs w:val="24"/>
        </w:rPr>
        <w:t>PERS-MG</w:t>
      </w:r>
      <w:r w:rsidRPr="0080531A">
        <w:rPr>
          <w:rFonts w:cs="Arial"/>
          <w:szCs w:val="24"/>
        </w:rPr>
        <w:t xml:space="preserve"> - Política Estadual de Resíduos Sólidos de Minas Gerais.</w:t>
      </w:r>
    </w:p>
    <w:p w:rsidR="0080531A" w:rsidRPr="0080531A" w:rsidRDefault="0080531A" w:rsidP="00810C89">
      <w:pPr>
        <w:spacing w:before="120" w:after="120"/>
        <w:jc w:val="both"/>
        <w:rPr>
          <w:rFonts w:cs="Arial"/>
          <w:szCs w:val="24"/>
        </w:rPr>
      </w:pPr>
      <w:r w:rsidRPr="0080531A">
        <w:rPr>
          <w:rFonts w:cs="Arial"/>
          <w:b/>
          <w:szCs w:val="24"/>
        </w:rPr>
        <w:t>PEV</w:t>
      </w:r>
      <w:r w:rsidRPr="0080531A">
        <w:rPr>
          <w:rFonts w:cs="Arial"/>
          <w:szCs w:val="24"/>
        </w:rPr>
        <w:t xml:space="preserve"> - Ponto de Entrega Voluntária.</w:t>
      </w:r>
    </w:p>
    <w:p w:rsidR="0080531A" w:rsidRPr="0080531A" w:rsidRDefault="0080531A" w:rsidP="00810C89">
      <w:pPr>
        <w:spacing w:before="120" w:after="120"/>
        <w:jc w:val="both"/>
        <w:rPr>
          <w:rFonts w:cs="Arial"/>
          <w:szCs w:val="24"/>
        </w:rPr>
      </w:pPr>
      <w:r w:rsidRPr="0080531A">
        <w:rPr>
          <w:rFonts w:cs="Arial"/>
          <w:b/>
          <w:szCs w:val="24"/>
        </w:rPr>
        <w:t>PIRH Doce</w:t>
      </w:r>
      <w:r w:rsidRPr="0080531A">
        <w:rPr>
          <w:rFonts w:cs="Arial"/>
          <w:szCs w:val="24"/>
        </w:rPr>
        <w:t xml:space="preserve"> - Plano Integrado de Recursos Hídricos da bacia hidrográfica do rio Doce.</w:t>
      </w:r>
    </w:p>
    <w:p w:rsidR="0080531A" w:rsidRPr="0066661F" w:rsidRDefault="0080531A" w:rsidP="00810C89">
      <w:pPr>
        <w:spacing w:before="120" w:after="120"/>
        <w:jc w:val="both"/>
        <w:rPr>
          <w:rFonts w:cs="Arial"/>
          <w:b/>
          <w:szCs w:val="24"/>
        </w:rPr>
      </w:pPr>
      <w:r w:rsidRPr="0066661F">
        <w:rPr>
          <w:rFonts w:cs="Arial"/>
          <w:b/>
          <w:szCs w:val="24"/>
        </w:rPr>
        <w:t xml:space="preserve">PITE Piranga - </w:t>
      </w:r>
      <w:r w:rsidRPr="0066661F">
        <w:rPr>
          <w:rFonts w:cs="Arial"/>
          <w:szCs w:val="24"/>
          <w:lang w:eastAsia="pt-BR"/>
        </w:rPr>
        <w:t xml:space="preserve">Plano para Incremento do Percentual de Tratamento de Esgotos Sanitários na bacia hidrográfica do rio </w:t>
      </w:r>
      <w:r w:rsidRPr="0066661F">
        <w:rPr>
          <w:rFonts w:cs="Arial"/>
          <w:b/>
          <w:szCs w:val="24"/>
          <w:lang w:eastAsia="pt-BR"/>
        </w:rPr>
        <w:t>Piranga</w:t>
      </w:r>
      <w:r w:rsidRPr="0066661F">
        <w:rPr>
          <w:rFonts w:cs="Arial"/>
          <w:szCs w:val="24"/>
          <w:lang w:eastAsia="pt-BR"/>
        </w:rPr>
        <w:t>.</w:t>
      </w:r>
    </w:p>
    <w:p w:rsidR="0080531A" w:rsidRPr="0080531A" w:rsidRDefault="0080531A" w:rsidP="00810C89">
      <w:pPr>
        <w:spacing w:before="120" w:after="120"/>
        <w:jc w:val="both"/>
        <w:rPr>
          <w:rFonts w:cs="Arial"/>
          <w:szCs w:val="24"/>
        </w:rPr>
      </w:pPr>
      <w:r w:rsidRPr="0080531A">
        <w:rPr>
          <w:rFonts w:cs="Arial"/>
          <w:b/>
          <w:szCs w:val="24"/>
        </w:rPr>
        <w:t xml:space="preserve">PLANSAB - </w:t>
      </w:r>
      <w:r w:rsidRPr="0080531A">
        <w:rPr>
          <w:rFonts w:cs="Arial"/>
          <w:szCs w:val="24"/>
        </w:rPr>
        <w:t xml:space="preserve">Plano Nacional de Saneamento Básico. </w:t>
      </w:r>
    </w:p>
    <w:p w:rsidR="0080531A" w:rsidRPr="0080531A" w:rsidRDefault="0080531A" w:rsidP="00810C89">
      <w:pPr>
        <w:spacing w:before="120" w:after="120"/>
        <w:jc w:val="both"/>
      </w:pPr>
      <w:r w:rsidRPr="0080531A">
        <w:rPr>
          <w:b/>
        </w:rPr>
        <w:t>PMGIRS</w:t>
      </w:r>
      <w:r w:rsidRPr="0080531A">
        <w:t xml:space="preserve"> - Plano Municipal de Gestão Integrada de Resíduos Sólidos.</w:t>
      </w:r>
    </w:p>
    <w:p w:rsidR="0080531A" w:rsidRPr="0080531A" w:rsidRDefault="0080531A" w:rsidP="00810C89">
      <w:pPr>
        <w:spacing w:before="120" w:after="120"/>
        <w:jc w:val="both"/>
      </w:pPr>
      <w:r w:rsidRPr="0080531A">
        <w:rPr>
          <w:b/>
        </w:rPr>
        <w:t>PMSB</w:t>
      </w:r>
      <w:r w:rsidRPr="0080531A">
        <w:t xml:space="preserve"> - Plano Municipal de Saneamento Básico.</w:t>
      </w:r>
    </w:p>
    <w:p w:rsidR="0080531A" w:rsidRPr="0080531A" w:rsidRDefault="0080531A" w:rsidP="00810C89">
      <w:pPr>
        <w:spacing w:before="120" w:after="120"/>
        <w:rPr>
          <w:rFonts w:cs="Arial"/>
          <w:szCs w:val="24"/>
        </w:rPr>
      </w:pPr>
      <w:r w:rsidRPr="0080531A">
        <w:rPr>
          <w:rFonts w:eastAsia="Times New Roman"/>
          <w:b/>
          <w:szCs w:val="24"/>
          <w:lang w:val="x-none" w:eastAsia="pt-BR"/>
        </w:rPr>
        <w:t>PNPDEC</w:t>
      </w:r>
      <w:r w:rsidRPr="0080531A">
        <w:rPr>
          <w:rFonts w:eastAsia="Times New Roman"/>
          <w:szCs w:val="24"/>
          <w:lang w:eastAsia="pt-BR"/>
        </w:rPr>
        <w:t xml:space="preserve"> - </w:t>
      </w:r>
      <w:r w:rsidRPr="0080531A">
        <w:rPr>
          <w:rFonts w:eastAsia="Times New Roman"/>
          <w:szCs w:val="24"/>
          <w:lang w:val="x-none" w:eastAsia="pt-BR"/>
        </w:rPr>
        <w:t xml:space="preserve"> Política Nacional de Proteção e Defesa Civil</w:t>
      </w:r>
      <w:r w:rsidRPr="0080531A">
        <w:rPr>
          <w:rFonts w:eastAsia="Times New Roman"/>
          <w:szCs w:val="24"/>
          <w:lang w:eastAsia="pt-BR"/>
        </w:rPr>
        <w:t xml:space="preserve">. </w:t>
      </w:r>
    </w:p>
    <w:p w:rsidR="0080531A" w:rsidRPr="0080531A" w:rsidRDefault="0080531A" w:rsidP="00810C89">
      <w:pPr>
        <w:spacing w:before="120" w:after="120"/>
        <w:rPr>
          <w:rFonts w:cs="Arial"/>
          <w:szCs w:val="24"/>
        </w:rPr>
      </w:pPr>
      <w:r w:rsidRPr="0080531A">
        <w:rPr>
          <w:rFonts w:cs="Arial"/>
          <w:b/>
          <w:szCs w:val="24"/>
        </w:rPr>
        <w:t xml:space="preserve">PNRS - </w:t>
      </w:r>
      <w:r w:rsidRPr="0080531A">
        <w:rPr>
          <w:rFonts w:cs="Arial"/>
          <w:szCs w:val="24"/>
        </w:rPr>
        <w:t>Política Nacional de Resíduos Sólidos.</w:t>
      </w:r>
    </w:p>
    <w:p w:rsidR="0080531A" w:rsidRPr="0080531A" w:rsidRDefault="0080531A" w:rsidP="00810C89">
      <w:pPr>
        <w:spacing w:before="120" w:after="120"/>
        <w:jc w:val="both"/>
      </w:pPr>
      <w:r w:rsidRPr="0080531A">
        <w:rPr>
          <w:b/>
        </w:rPr>
        <w:t>PPA</w:t>
      </w:r>
      <w:r w:rsidRPr="0080531A">
        <w:t xml:space="preserve"> - Plano Plurianual.</w:t>
      </w:r>
    </w:p>
    <w:p w:rsidR="0080531A" w:rsidRPr="0080531A" w:rsidRDefault="0080531A" w:rsidP="00810C89">
      <w:pPr>
        <w:spacing w:before="120" w:after="120"/>
        <w:jc w:val="both"/>
        <w:rPr>
          <w:rFonts w:cs="Arial"/>
          <w:szCs w:val="24"/>
        </w:rPr>
      </w:pPr>
      <w:r w:rsidRPr="0080531A">
        <w:rPr>
          <w:rFonts w:cs="Arial"/>
          <w:b/>
          <w:szCs w:val="24"/>
        </w:rPr>
        <w:t xml:space="preserve">PPP </w:t>
      </w:r>
      <w:r w:rsidRPr="0080531A">
        <w:rPr>
          <w:rFonts w:cs="Arial"/>
          <w:szCs w:val="24"/>
        </w:rPr>
        <w:t>- Parceria público-privada.</w:t>
      </w:r>
    </w:p>
    <w:p w:rsidR="0080531A" w:rsidRPr="0080531A" w:rsidRDefault="0080531A" w:rsidP="00810C89">
      <w:pPr>
        <w:spacing w:before="120" w:after="120"/>
        <w:rPr>
          <w:rFonts w:cs="Arial"/>
          <w:szCs w:val="24"/>
        </w:rPr>
      </w:pPr>
      <w:r w:rsidRPr="0066661F">
        <w:rPr>
          <w:rFonts w:cs="Arial"/>
          <w:b/>
          <w:szCs w:val="24"/>
        </w:rPr>
        <w:t xml:space="preserve">RMVA </w:t>
      </w:r>
      <w:r w:rsidRPr="0066661F">
        <w:rPr>
          <w:rFonts w:cs="Arial"/>
          <w:szCs w:val="24"/>
        </w:rPr>
        <w:t>- Região Metropolitana do Vale do Aço.</w:t>
      </w:r>
    </w:p>
    <w:p w:rsidR="0080531A" w:rsidRPr="0080531A" w:rsidRDefault="0080531A" w:rsidP="00810C89">
      <w:pPr>
        <w:spacing w:before="120" w:after="120"/>
        <w:jc w:val="both"/>
      </w:pPr>
      <w:r w:rsidRPr="0080531A">
        <w:rPr>
          <w:b/>
        </w:rPr>
        <w:t>SAA</w:t>
      </w:r>
      <w:r w:rsidRPr="0080531A">
        <w:t xml:space="preserve"> - Sistema de Abastecimento de Água.</w:t>
      </w:r>
    </w:p>
    <w:p w:rsidR="0080531A" w:rsidRPr="0080531A" w:rsidRDefault="0080531A" w:rsidP="00810C89">
      <w:pPr>
        <w:spacing w:before="120" w:after="120"/>
        <w:jc w:val="both"/>
      </w:pPr>
      <w:r w:rsidRPr="0080531A">
        <w:rPr>
          <w:rFonts w:cs="Arial"/>
          <w:b/>
          <w:szCs w:val="24"/>
        </w:rPr>
        <w:t>SAAE</w:t>
      </w:r>
      <w:r w:rsidRPr="0080531A">
        <w:rPr>
          <w:rFonts w:cs="Arial"/>
          <w:szCs w:val="24"/>
        </w:rPr>
        <w:t xml:space="preserve"> - Serviço de Abastecimento de Água e Esgoto.</w:t>
      </w:r>
    </w:p>
    <w:p w:rsidR="0080531A" w:rsidRPr="0080531A" w:rsidRDefault="0080531A" w:rsidP="00810C89">
      <w:pPr>
        <w:spacing w:before="120" w:after="120"/>
        <w:rPr>
          <w:rFonts w:cs="Arial"/>
          <w:szCs w:val="24"/>
        </w:rPr>
      </w:pPr>
      <w:r w:rsidRPr="0080531A">
        <w:rPr>
          <w:rFonts w:cs="Arial"/>
          <w:b/>
          <w:szCs w:val="24"/>
        </w:rPr>
        <w:t xml:space="preserve">SDU </w:t>
      </w:r>
      <w:r w:rsidRPr="0080531A">
        <w:rPr>
          <w:rFonts w:cs="Arial"/>
          <w:szCs w:val="24"/>
        </w:rPr>
        <w:t>- Sistema de Drenagem Urbana.</w:t>
      </w:r>
    </w:p>
    <w:p w:rsidR="0080531A" w:rsidRPr="0080531A" w:rsidRDefault="0080531A" w:rsidP="00810C89">
      <w:pPr>
        <w:spacing w:before="120" w:after="120"/>
        <w:rPr>
          <w:rFonts w:cs="Arial"/>
          <w:b/>
          <w:szCs w:val="24"/>
        </w:rPr>
      </w:pPr>
      <w:r w:rsidRPr="0080531A">
        <w:rPr>
          <w:b/>
          <w:lang w:eastAsia="pt-BR"/>
        </w:rPr>
        <w:lastRenderedPageBreak/>
        <w:t>SEMAD</w:t>
      </w:r>
      <w:r w:rsidRPr="0080531A">
        <w:rPr>
          <w:lang w:eastAsia="pt-BR"/>
        </w:rPr>
        <w:t xml:space="preserve"> - Secretaria de Estado de Meio Ambiente e Desenvolvimento Sustentável. </w:t>
      </w:r>
    </w:p>
    <w:p w:rsidR="0080531A" w:rsidRPr="0080531A" w:rsidRDefault="0080531A" w:rsidP="00810C89">
      <w:pPr>
        <w:spacing w:before="120" w:after="120"/>
        <w:jc w:val="both"/>
      </w:pPr>
      <w:r w:rsidRPr="0080531A">
        <w:rPr>
          <w:b/>
        </w:rPr>
        <w:t>SES</w:t>
      </w:r>
      <w:r w:rsidRPr="0080531A">
        <w:t xml:space="preserve"> - Sistema de Esgotamento Sanitário.</w:t>
      </w:r>
    </w:p>
    <w:p w:rsidR="0080531A" w:rsidRPr="0080531A" w:rsidRDefault="0080531A" w:rsidP="00810C89">
      <w:pPr>
        <w:spacing w:before="120" w:after="120"/>
        <w:jc w:val="both"/>
      </w:pPr>
      <w:r w:rsidRPr="0080531A">
        <w:rPr>
          <w:b/>
        </w:rPr>
        <w:t xml:space="preserve">SINISA </w:t>
      </w:r>
      <w:r w:rsidRPr="0080531A">
        <w:t>- Sistema Nacional de Informações Sobre Saneamento Básico.</w:t>
      </w:r>
    </w:p>
    <w:p w:rsidR="0080531A" w:rsidRPr="0080531A" w:rsidRDefault="0080531A" w:rsidP="00810C89">
      <w:pPr>
        <w:spacing w:before="120" w:after="120"/>
        <w:jc w:val="both"/>
        <w:rPr>
          <w:rFonts w:cs="Arial"/>
          <w:color w:val="000000"/>
        </w:rPr>
      </w:pPr>
      <w:r w:rsidRPr="0080531A">
        <w:rPr>
          <w:rFonts w:eastAsia="Times New Roman"/>
          <w:b/>
          <w:szCs w:val="24"/>
          <w:lang w:val="x-none" w:eastAsia="pt-BR"/>
        </w:rPr>
        <w:t>SINPDEC</w:t>
      </w:r>
      <w:r w:rsidRPr="0080531A">
        <w:rPr>
          <w:rFonts w:eastAsia="Times New Roman"/>
          <w:szCs w:val="24"/>
          <w:lang w:eastAsia="pt-BR"/>
        </w:rPr>
        <w:t xml:space="preserve"> - Sistema Nacional de Proteção e Defesa Civil.</w:t>
      </w:r>
      <w:r w:rsidRPr="0080531A">
        <w:rPr>
          <w:rFonts w:eastAsia="Times New Roman"/>
          <w:szCs w:val="24"/>
          <w:lang w:val="x-none" w:eastAsia="pt-BR"/>
        </w:rPr>
        <w:t xml:space="preserve"> </w:t>
      </w:r>
    </w:p>
    <w:p w:rsidR="0080531A" w:rsidRPr="0080531A" w:rsidRDefault="0080531A" w:rsidP="00810C89">
      <w:pPr>
        <w:spacing w:before="120" w:after="120"/>
        <w:jc w:val="both"/>
      </w:pPr>
      <w:r w:rsidRPr="0080531A">
        <w:rPr>
          <w:b/>
        </w:rPr>
        <w:t>SLU</w:t>
      </w:r>
      <w:r w:rsidRPr="0080531A">
        <w:t xml:space="preserve"> - Sistema de Limpeza Urbana.</w:t>
      </w:r>
    </w:p>
    <w:p w:rsidR="0080531A" w:rsidRPr="0080531A" w:rsidRDefault="0080531A" w:rsidP="00810C89">
      <w:pPr>
        <w:spacing w:before="120" w:after="120"/>
        <w:jc w:val="both"/>
      </w:pPr>
      <w:r w:rsidRPr="0080531A">
        <w:rPr>
          <w:b/>
        </w:rPr>
        <w:t>SMIS</w:t>
      </w:r>
      <w:r w:rsidRPr="0080531A">
        <w:t xml:space="preserve"> - Sistema Municipal de Informações sobre Saneamento.</w:t>
      </w:r>
    </w:p>
    <w:p w:rsidR="0080531A" w:rsidRPr="0080531A" w:rsidRDefault="0080531A" w:rsidP="00810C89">
      <w:pPr>
        <w:spacing w:before="120" w:after="120"/>
        <w:jc w:val="both"/>
      </w:pPr>
      <w:r w:rsidRPr="0080531A">
        <w:rPr>
          <w:b/>
        </w:rPr>
        <w:t>SNIS</w:t>
      </w:r>
      <w:r w:rsidRPr="0080531A">
        <w:t xml:space="preserve"> - Sistema Nacional de Informações sobre Saneamento.</w:t>
      </w:r>
    </w:p>
    <w:p w:rsidR="0080531A" w:rsidRPr="0080531A" w:rsidRDefault="0080531A" w:rsidP="00810C89">
      <w:pPr>
        <w:spacing w:before="120" w:after="120"/>
        <w:jc w:val="both"/>
      </w:pPr>
      <w:r w:rsidRPr="0080531A">
        <w:rPr>
          <w:b/>
        </w:rPr>
        <w:t xml:space="preserve">TI </w:t>
      </w:r>
      <w:r w:rsidRPr="0080531A">
        <w:t>- Tecnologia da Informação.</w:t>
      </w:r>
    </w:p>
    <w:p w:rsidR="0080531A" w:rsidRPr="0080531A" w:rsidRDefault="0080531A" w:rsidP="00810C89">
      <w:pPr>
        <w:spacing w:before="120" w:after="120"/>
        <w:jc w:val="both"/>
      </w:pPr>
      <w:r w:rsidRPr="0080531A">
        <w:rPr>
          <w:b/>
        </w:rPr>
        <w:t>UC</w:t>
      </w:r>
      <w:r w:rsidRPr="0080531A">
        <w:t xml:space="preserve"> - Unidade de Conservação.</w:t>
      </w:r>
    </w:p>
    <w:p w:rsidR="0080531A" w:rsidRPr="0080531A" w:rsidRDefault="0080531A" w:rsidP="00810C89">
      <w:pPr>
        <w:spacing w:before="120" w:after="120"/>
        <w:jc w:val="both"/>
      </w:pPr>
      <w:r w:rsidRPr="0080531A">
        <w:rPr>
          <w:b/>
        </w:rPr>
        <w:t>UGRH</w:t>
      </w:r>
      <w:r w:rsidRPr="0080531A">
        <w:t xml:space="preserve"> - </w:t>
      </w:r>
      <w:r w:rsidRPr="0080531A">
        <w:rPr>
          <w:rFonts w:cs="Arial"/>
          <w:szCs w:val="24"/>
        </w:rPr>
        <w:t>Unidade de Gestão de Recursos Hídricos.</w:t>
      </w:r>
    </w:p>
    <w:p w:rsidR="0080531A" w:rsidRPr="0080531A" w:rsidRDefault="0080531A" w:rsidP="00810C89">
      <w:pPr>
        <w:spacing w:before="120" w:after="120"/>
        <w:rPr>
          <w:rFonts w:asciiTheme="minorHAnsi" w:eastAsiaTheme="minorHAnsi" w:hAnsiTheme="minorHAnsi" w:cstheme="minorBidi"/>
          <w:sz w:val="22"/>
        </w:rPr>
      </w:pPr>
      <w:r w:rsidRPr="0080531A">
        <w:rPr>
          <w:b/>
        </w:rPr>
        <w:t>UPGRH</w:t>
      </w:r>
      <w:r w:rsidRPr="0080531A">
        <w:t xml:space="preserve"> - Unidade de Planejamento e Gestão de Recursos Hídricos.</w:t>
      </w:r>
    </w:p>
    <w:p w:rsidR="00810C89" w:rsidRDefault="00810C89" w:rsidP="00D8615B">
      <w:pPr>
        <w:spacing w:before="50" w:after="50"/>
        <w:rPr>
          <w:rFonts w:asciiTheme="minorHAnsi" w:eastAsiaTheme="minorHAnsi" w:hAnsiTheme="minorHAnsi" w:cstheme="minorBidi"/>
          <w:sz w:val="22"/>
        </w:rPr>
      </w:pPr>
      <w:r>
        <w:rPr>
          <w:rFonts w:asciiTheme="minorHAnsi" w:eastAsiaTheme="minorHAnsi" w:hAnsiTheme="minorHAnsi" w:cstheme="minorBidi"/>
          <w:sz w:val="22"/>
        </w:rPr>
        <w:br w:type="page"/>
      </w:r>
    </w:p>
    <w:p w:rsidR="0073121A" w:rsidRPr="00073D72" w:rsidRDefault="0073121A" w:rsidP="0073121A">
      <w:pPr>
        <w:pStyle w:val="Ttulo1"/>
        <w:spacing w:before="120" w:after="120"/>
      </w:pPr>
      <w:bookmarkStart w:id="6" w:name="_Toc509935454"/>
      <w:r w:rsidRPr="00073D72">
        <w:lastRenderedPageBreak/>
        <w:t>Glossário</w:t>
      </w:r>
      <w:bookmarkEnd w:id="6"/>
    </w:p>
    <w:p w:rsidR="0073121A" w:rsidRPr="00F857CE" w:rsidRDefault="0073121A" w:rsidP="00D8615B">
      <w:pPr>
        <w:spacing w:before="120" w:after="120"/>
        <w:contextualSpacing/>
        <w:jc w:val="both"/>
      </w:pPr>
      <w:r>
        <w:rPr>
          <w:b/>
        </w:rPr>
        <w:t>Área de preservação permanente</w:t>
      </w:r>
      <w:r w:rsidRPr="00F857CE">
        <w:t>: área protegida, coberta ou não por vegetação nativa, com a função ambiental de preservar os recursos hídricos, a paisagem, a estabilidade geológica e a biodiversidade, facilitar o fluxo gênico de fauna e flora, proteger o solo e assegurar o bem-estar das populações humanas.</w:t>
      </w:r>
    </w:p>
    <w:p w:rsidR="0073121A" w:rsidRPr="00F857CE" w:rsidRDefault="0073121A" w:rsidP="00D8615B">
      <w:pPr>
        <w:spacing w:before="120" w:after="120"/>
        <w:contextualSpacing/>
        <w:jc w:val="both"/>
      </w:pPr>
      <w:r w:rsidRPr="00F857CE">
        <w:rPr>
          <w:b/>
        </w:rPr>
        <w:t>Área de risco:</w:t>
      </w:r>
      <w:r w:rsidRPr="00F857CE">
        <w:t xml:space="preserve"> área especial que denota a existência de risco à vida humana e que necessita de sistema de drenagem especial, como encosta sujeita a deslizamentos, área inundável com proliferação de vetores, área sem infraestrutura de saneamento, etc.</w:t>
      </w:r>
    </w:p>
    <w:p w:rsidR="0073121A" w:rsidRPr="00F857CE" w:rsidRDefault="0073121A" w:rsidP="00D8615B">
      <w:pPr>
        <w:spacing w:before="120" w:after="120"/>
        <w:contextualSpacing/>
        <w:jc w:val="both"/>
      </w:pPr>
      <w:r w:rsidRPr="00F857CE">
        <w:rPr>
          <w:b/>
        </w:rPr>
        <w:t>Área periurbana</w:t>
      </w:r>
      <w:r w:rsidRPr="00F857CE">
        <w:t xml:space="preserve">: área que se localiza para além dos subúrbios de uma cidade. </w:t>
      </w:r>
      <w:r>
        <w:t>E</w:t>
      </w:r>
      <w:r w:rsidRPr="00F857CE">
        <w:t>spaço onde as atividades rurais e urbanas se misturam, dificultando a determinação dos limites físicos e sociais do espaço urbano e do rural. Resulta da implantação dispersa do povoamento urbano em meio rural. Aqui o tecido urbano surge de forma descontínua, a atividade agrícola é instável e assiste-se à implantação de indústrias e de alguns serviços. Na generalidade das áreas periurbanas, a densidade de ocupação humana regist</w:t>
      </w:r>
      <w:r>
        <w:t>r</w:t>
      </w:r>
      <w:r w:rsidRPr="00F857CE">
        <w:t>a valores reduzidos.</w:t>
      </w:r>
    </w:p>
    <w:p w:rsidR="0073121A" w:rsidRPr="00F857CE" w:rsidRDefault="0073121A" w:rsidP="00D8615B">
      <w:pPr>
        <w:spacing w:before="120" w:after="120"/>
        <w:contextualSpacing/>
        <w:jc w:val="both"/>
      </w:pPr>
      <w:r w:rsidRPr="00F857CE">
        <w:rPr>
          <w:b/>
        </w:rPr>
        <w:t>Controle de vetores:</w:t>
      </w:r>
      <w:r w:rsidRPr="00F857CE">
        <w:t xml:space="preserve"> é o conjunto de programas cujo objetivo é evitar a proliferação das zoonoses, isto é, das doenças transmitidas ao homem por animais, tais como: raiva, leishmaniose, leptospirose, toxoplasmose, entre outras. São doenças consideradas típicas de áreas rurais, mas que, em função da interferência do homem no meio ambiente, manifestada na forma de desmatamento, acúmulo de lixo, circulação de animais, etc., aumentou a sua frequência de ocorrência em zonas urbanas.</w:t>
      </w:r>
    </w:p>
    <w:p w:rsidR="0073121A" w:rsidRPr="00F857CE" w:rsidRDefault="0073121A" w:rsidP="00D8615B">
      <w:pPr>
        <w:spacing w:before="120" w:after="120"/>
        <w:contextualSpacing/>
        <w:jc w:val="both"/>
        <w:rPr>
          <w:rFonts w:eastAsia="Times New Roman"/>
          <w:lang w:eastAsia="pt-BR"/>
        </w:rPr>
      </w:pPr>
      <w:r w:rsidRPr="00F857CE">
        <w:rPr>
          <w:rFonts w:eastAsia="Times New Roman"/>
          <w:b/>
          <w:lang w:eastAsia="pt-BR"/>
        </w:rPr>
        <w:t>Controle social</w:t>
      </w:r>
      <w:r w:rsidRPr="00F857CE">
        <w:rPr>
          <w:rFonts w:eastAsia="Times New Roman"/>
          <w:lang w:eastAsia="pt-BR"/>
        </w:rPr>
        <w:t>: conjunto de mecanismos e procedimentos que garantem à sociedade informações, representações técnicas e participações nos processos de formulação de políticas, de planejamento e de avaliação relacionados aos serviços públicos de saneamento básico.</w:t>
      </w:r>
    </w:p>
    <w:p w:rsidR="0073121A" w:rsidRPr="00F857CE" w:rsidRDefault="0073121A" w:rsidP="00D8615B">
      <w:pPr>
        <w:spacing w:before="120" w:after="120"/>
        <w:contextualSpacing/>
        <w:jc w:val="both"/>
      </w:pPr>
      <w:r w:rsidRPr="00F857CE">
        <w:rPr>
          <w:b/>
        </w:rPr>
        <w:t>Drenagem e manejo das águas pluviais urbanas:</w:t>
      </w:r>
      <w:r w:rsidRPr="00F857CE">
        <w:t xml:space="preserve"> conjunto de atividades, infraestruturas e instalações operacionais de drenagem urbana de águas pluviais, de transporte, detenção ou retenção para o amortecimento de vazões de cheias, tratamento e disposição final das águas pluviais drenadas nas áreas urbanas.</w:t>
      </w:r>
    </w:p>
    <w:p w:rsidR="0073121A" w:rsidRPr="00F857CE" w:rsidRDefault="0073121A" w:rsidP="00D8615B">
      <w:pPr>
        <w:spacing w:before="120" w:after="120"/>
        <w:contextualSpacing/>
        <w:jc w:val="both"/>
        <w:rPr>
          <w:b/>
        </w:rPr>
      </w:pPr>
      <w:r w:rsidRPr="00F857CE">
        <w:rPr>
          <w:rFonts w:eastAsia="Times New Roman"/>
          <w:b/>
          <w:lang w:eastAsia="pt-BR"/>
        </w:rPr>
        <w:lastRenderedPageBreak/>
        <w:t>Gestão associada</w:t>
      </w:r>
      <w:r w:rsidRPr="00F857CE">
        <w:rPr>
          <w:rFonts w:eastAsia="Times New Roman"/>
          <w:lang w:eastAsia="pt-BR"/>
        </w:rPr>
        <w:t>: associação voluntária de entes federados, por convênio de cooperação ou consórcio público, conforme disposto no art. 241 da Constituição Federal.</w:t>
      </w:r>
    </w:p>
    <w:p w:rsidR="0073121A" w:rsidRPr="00F857CE" w:rsidRDefault="0073121A" w:rsidP="00D8615B">
      <w:pPr>
        <w:spacing w:before="120" w:after="120"/>
        <w:contextualSpacing/>
        <w:jc w:val="both"/>
      </w:pPr>
      <w:r w:rsidRPr="00F857CE">
        <w:rPr>
          <w:b/>
        </w:rPr>
        <w:t>Limpeza urbana e manejo de resíduos sólidos:</w:t>
      </w:r>
      <w:r w:rsidRPr="00F857CE">
        <w:t xml:space="preserve"> conjunto de atividades, infraestruturas e instalações operacionais de coleta, transporte, transbordo, tratamento e destino final do lixo doméstico e do lixo originário da varrição e limpeza de logradouros e vias públicas.</w:t>
      </w:r>
    </w:p>
    <w:p w:rsidR="0073121A" w:rsidRPr="00F857CE" w:rsidRDefault="0073121A" w:rsidP="00D8615B">
      <w:pPr>
        <w:spacing w:before="120" w:after="120"/>
        <w:contextualSpacing/>
        <w:jc w:val="both"/>
      </w:pPr>
      <w:r w:rsidRPr="00F857CE">
        <w:rPr>
          <w:b/>
        </w:rPr>
        <w:t>Macro/mesodrenagem:</w:t>
      </w:r>
      <w:r w:rsidRPr="00F857CE">
        <w:t xml:space="preserve"> sistema de drenagem que compreende basicamente os principais canais de veiculação das vazões, recebendo ao longo de seu percurso as contribuições laterais e a rede primária urbana</w:t>
      </w:r>
      <w:r>
        <w:t>,</w:t>
      </w:r>
      <w:r w:rsidRPr="00F857CE">
        <w:t xml:space="preserve"> provenientes da microdrenagem. Considera-se como macro e mesodrenagem os cursos de água, galerias tubulares com dimensões iguais ou superiores a 1,20 m de diâmetro e galerias celulares cuja área da seção transversal seja igual ou superior a 1m</w:t>
      </w:r>
      <w:r w:rsidRPr="00F857CE">
        <w:rPr>
          <w:vertAlign w:val="superscript"/>
        </w:rPr>
        <w:t>2</w:t>
      </w:r>
      <w:r w:rsidRPr="00F857CE">
        <w:t>.</w:t>
      </w:r>
    </w:p>
    <w:p w:rsidR="0073121A" w:rsidRPr="00F857CE" w:rsidRDefault="0073121A" w:rsidP="00D8615B">
      <w:pPr>
        <w:spacing w:before="120" w:after="120"/>
        <w:contextualSpacing/>
        <w:jc w:val="both"/>
      </w:pPr>
      <w:r w:rsidRPr="00F857CE">
        <w:rPr>
          <w:b/>
        </w:rPr>
        <w:t>Microdrenagem:</w:t>
      </w:r>
      <w:r w:rsidRPr="00F857CE">
        <w:t xml:space="preserve"> sistema de drenagem de condutos pluviais em nível de loteamento ou de rede primária urbana, que constitui o elo entre os dispositivos de drenagem superficial e os dispositivos de macro e mesodrenagem, coletando e conduzindo as contribuições provenientes das bocas de lobo ou caixas coletoras. Consideram-se como microdrenagem as galerias tubulares com dimensões iguais ou superiores a 0,30m e inferiores a 1,20m de diâmetro e galerias celulares cuja área da seção transversal seja inferior a 1m</w:t>
      </w:r>
      <w:r w:rsidRPr="00F857CE">
        <w:rPr>
          <w:vertAlign w:val="superscript"/>
        </w:rPr>
        <w:t>2</w:t>
      </w:r>
      <w:r w:rsidRPr="00F857CE">
        <w:t>.</w:t>
      </w:r>
    </w:p>
    <w:p w:rsidR="0073121A" w:rsidRPr="00F857CE" w:rsidRDefault="0073121A" w:rsidP="00D8615B">
      <w:pPr>
        <w:spacing w:before="120" w:after="120"/>
        <w:contextualSpacing/>
        <w:jc w:val="both"/>
        <w:rPr>
          <w:b/>
        </w:rPr>
      </w:pPr>
      <w:r w:rsidRPr="00F857CE">
        <w:rPr>
          <w:b/>
        </w:rPr>
        <w:t xml:space="preserve">Nascente: </w:t>
      </w:r>
      <w:r w:rsidRPr="00F857CE">
        <w:t>afloramento natural do lençol freático que apresenta perenidade e dá início a um curso d’água.</w:t>
      </w:r>
    </w:p>
    <w:p w:rsidR="0073121A" w:rsidRPr="00F857CE" w:rsidRDefault="0073121A" w:rsidP="00D8615B">
      <w:pPr>
        <w:spacing w:before="120" w:after="120"/>
        <w:contextualSpacing/>
        <w:jc w:val="both"/>
        <w:rPr>
          <w:b/>
        </w:rPr>
      </w:pPr>
      <w:r w:rsidRPr="00C1163A">
        <w:rPr>
          <w:b/>
        </w:rPr>
        <w:t>Plano Plurianual</w:t>
      </w:r>
      <w:r>
        <w:rPr>
          <w:b/>
        </w:rPr>
        <w:t xml:space="preserve">: </w:t>
      </w:r>
      <w:r w:rsidRPr="00C1163A">
        <w:t xml:space="preserve">instrumento de planejamento governamental de médio prazo, previsto no artigo 165 da Constituição Federal, regulamentado pelo Decreto </w:t>
      </w:r>
      <w:r>
        <w:t xml:space="preserve">nº </w:t>
      </w:r>
      <w:r w:rsidRPr="00C1163A">
        <w:t>2.829, de 29 de outubro de 1998 e estabele</w:t>
      </w:r>
      <w:r>
        <w:t>ce</w:t>
      </w:r>
      <w:r w:rsidRPr="00C1163A">
        <w:t xml:space="preserve"> diretrizes, objetivos e metas da Administração Pública para um período de quatro anos, organizando as ações do governo em programas que resultem em bens e serviços para a população. É aprovado por lei quadrienal, tendo vigência do segundo ano de um mandato majoritário até o final do primeiro ano do mandato seguinte. Nele constam, detalhadamente, os atributos das políticas públicas executadas, tais como metas físicas e financeiras, produtos a serem entregues à sociedade, </w:t>
      </w:r>
      <w:r>
        <w:t>entre outros</w:t>
      </w:r>
      <w:r w:rsidRPr="00C1163A">
        <w:t>.</w:t>
      </w:r>
    </w:p>
    <w:p w:rsidR="0073121A" w:rsidRDefault="0073121A" w:rsidP="00D8615B">
      <w:pPr>
        <w:spacing w:before="120" w:after="120"/>
        <w:contextualSpacing/>
        <w:jc w:val="both"/>
      </w:pPr>
      <w:r w:rsidRPr="00F857CE">
        <w:rPr>
          <w:b/>
        </w:rPr>
        <w:lastRenderedPageBreak/>
        <w:t xml:space="preserve">Salubridade ambiental: </w:t>
      </w:r>
      <w:r w:rsidRPr="00F857CE">
        <w:t>qualidade ambiental capaz de prevenir a ocorrência de doenças veiculadas pelo meio ambiente e de promover o aperfeiçoamento das condições mesológicas</w:t>
      </w:r>
      <w:r>
        <w:t>,</w:t>
      </w:r>
      <w:r w:rsidRPr="00F857CE">
        <w:t xml:space="preserve"> favoráveis à saúde da população urbana e rural.</w:t>
      </w:r>
    </w:p>
    <w:p w:rsidR="0073121A" w:rsidRPr="00F857CE" w:rsidRDefault="0073121A" w:rsidP="00D8615B">
      <w:pPr>
        <w:spacing w:before="120" w:after="120"/>
        <w:contextualSpacing/>
        <w:jc w:val="both"/>
      </w:pPr>
      <w:r w:rsidRPr="00F857CE">
        <w:rPr>
          <w:b/>
        </w:rPr>
        <w:t>Saneamento</w:t>
      </w:r>
      <w:r w:rsidRPr="00F857CE">
        <w:t>: é o conjunto de ações, obras e serviços que t</w:t>
      </w:r>
      <w:r>
        <w:t>e</w:t>
      </w:r>
      <w:r w:rsidRPr="00F857CE">
        <w:t>m por objetivo alcançar níveis crescentes e sustentáveis de salubridade ambiental.</w:t>
      </w:r>
    </w:p>
    <w:p w:rsidR="0073121A" w:rsidRPr="00F857CE" w:rsidRDefault="0073121A" w:rsidP="00D8615B">
      <w:pPr>
        <w:spacing w:before="120" w:after="120"/>
        <w:contextualSpacing/>
        <w:jc w:val="both"/>
        <w:rPr>
          <w:shd w:val="clear" w:color="auto" w:fill="FFFFFF"/>
        </w:rPr>
      </w:pPr>
      <w:r w:rsidRPr="00F857CE">
        <w:rPr>
          <w:b/>
          <w:bCs/>
          <w:shd w:val="clear" w:color="auto" w:fill="FFFFFF"/>
        </w:rPr>
        <w:t xml:space="preserve">Saneamento ambiental: </w:t>
      </w:r>
      <w:r w:rsidRPr="00F857CE">
        <w:rPr>
          <w:shd w:val="clear" w:color="auto" w:fill="FFFFFF"/>
        </w:rPr>
        <w:t xml:space="preserve">é o nome que se dá ao conjunto de serviços e práticas que visam promover a qualidade e a melhoria do </w:t>
      </w:r>
      <w:hyperlink r:id="rId20" w:tooltip="Meio ambiente" w:history="1">
        <w:r w:rsidRPr="00F857CE">
          <w:rPr>
            <w:shd w:val="clear" w:color="auto" w:fill="FFFFFF"/>
          </w:rPr>
          <w:t>meio ambiente</w:t>
        </w:r>
      </w:hyperlink>
      <w:r>
        <w:rPr>
          <w:shd w:val="clear" w:color="auto" w:fill="FFFFFF"/>
        </w:rPr>
        <w:t xml:space="preserve"> e</w:t>
      </w:r>
      <w:r w:rsidRPr="00F857CE">
        <w:rPr>
          <w:shd w:val="clear" w:color="auto" w:fill="FFFFFF"/>
        </w:rPr>
        <w:t xml:space="preserve"> contribuir para a </w:t>
      </w:r>
      <w:hyperlink r:id="rId21" w:tooltip="Saúde pública" w:history="1">
        <w:r w:rsidRPr="00F857CE">
          <w:rPr>
            <w:shd w:val="clear" w:color="auto" w:fill="FFFFFF"/>
          </w:rPr>
          <w:t>saúde pública</w:t>
        </w:r>
      </w:hyperlink>
      <w:r w:rsidRPr="00F857CE">
        <w:t xml:space="preserve"> </w:t>
      </w:r>
      <w:r w:rsidRPr="00F857CE">
        <w:rPr>
          <w:shd w:val="clear" w:color="auto" w:fill="FFFFFF"/>
        </w:rPr>
        <w:t xml:space="preserve">e o bem-estar da </w:t>
      </w:r>
      <w:hyperlink r:id="rId22" w:tooltip="População" w:history="1">
        <w:r w:rsidRPr="00F857CE">
          <w:rPr>
            <w:shd w:val="clear" w:color="auto" w:fill="FFFFFF"/>
          </w:rPr>
          <w:t>população</w:t>
        </w:r>
      </w:hyperlink>
      <w:r w:rsidRPr="00F857CE">
        <w:rPr>
          <w:shd w:val="clear" w:color="auto" w:fill="FFFFFF"/>
        </w:rPr>
        <w:t>.</w:t>
      </w:r>
    </w:p>
    <w:p w:rsidR="0073121A" w:rsidRPr="00F857CE" w:rsidRDefault="0073121A" w:rsidP="00D8615B">
      <w:pPr>
        <w:spacing w:before="120" w:after="120"/>
        <w:contextualSpacing/>
        <w:jc w:val="both"/>
      </w:pPr>
      <w:r w:rsidRPr="00F857CE">
        <w:rPr>
          <w:b/>
        </w:rPr>
        <w:t>Saneamento básico:</w:t>
      </w:r>
      <w:r w:rsidRPr="00F857CE">
        <w:t xml:space="preserve"> conjunto de serviços e ações com o objetivo de alcançar níveis crescentes de salubridade ambiental, nas condições que maximizem a promoção e a melhoria das condições de vida nos meios urbanos e rurais, compreendendo o abastecimento de água, o esgotamento sanitário, a limpeza urbana e o manejo de resíduos sólidos, a drenagem e o manejo de águas pluviais urbanas.</w:t>
      </w:r>
    </w:p>
    <w:p w:rsidR="0073121A" w:rsidRPr="00F857CE" w:rsidRDefault="0073121A" w:rsidP="00D8615B">
      <w:pPr>
        <w:spacing w:before="120" w:after="120"/>
        <w:contextualSpacing/>
        <w:jc w:val="both"/>
      </w:pPr>
      <w:r w:rsidRPr="00F857CE">
        <w:rPr>
          <w:b/>
        </w:rPr>
        <w:t xml:space="preserve">Sistema de Abastecimento de Água: </w:t>
      </w:r>
      <w:r w:rsidRPr="00F857CE">
        <w:t>constituído pelas atividades, infraestruturas e instalações necessárias ao abastecimento público de água potável, desde a captação até as ligações prediais e respectivos instrumentos de medição.</w:t>
      </w:r>
    </w:p>
    <w:p w:rsidR="0073121A" w:rsidRPr="00F857CE" w:rsidRDefault="0073121A" w:rsidP="00D8615B">
      <w:pPr>
        <w:spacing w:before="120" w:after="120"/>
        <w:contextualSpacing/>
        <w:jc w:val="both"/>
      </w:pPr>
      <w:r w:rsidRPr="00F857CE">
        <w:rPr>
          <w:b/>
        </w:rPr>
        <w:t xml:space="preserve">Sistema de Esgotamento Sanitário: </w:t>
      </w:r>
      <w:r w:rsidRPr="00F857CE">
        <w:t>constituído pelas atividades, infraestruturas e instalações operacionais de coleta, afastamento, recalque, tratamento e disposição final adequados dos esgotos sanitários, desde as ligações prediais até o seu lançamento final no meio ambiente.</w:t>
      </w:r>
    </w:p>
    <w:p w:rsidR="0073121A" w:rsidRDefault="0073121A" w:rsidP="00D8615B">
      <w:pPr>
        <w:spacing w:before="120" w:after="120"/>
        <w:contextualSpacing/>
        <w:jc w:val="both"/>
      </w:pPr>
      <w:r w:rsidRPr="00F857CE">
        <w:rPr>
          <w:b/>
        </w:rPr>
        <w:t xml:space="preserve">Sistema de Limpeza Urbana: </w:t>
      </w:r>
      <w:r w:rsidRPr="00F857CE">
        <w:t>conjunto de atividades, infraestruturas e instalações operacionais do lixo originário da varrição e limpeza de logradouros e vias públicas.</w:t>
      </w:r>
    </w:p>
    <w:p w:rsidR="0073121A" w:rsidRPr="00EE4187" w:rsidRDefault="0073121A" w:rsidP="00D8615B">
      <w:pPr>
        <w:spacing w:before="120" w:after="120"/>
        <w:contextualSpacing/>
        <w:jc w:val="both"/>
      </w:pPr>
      <w:r w:rsidRPr="00EE4187">
        <w:rPr>
          <w:b/>
        </w:rPr>
        <w:t xml:space="preserve">Sustentabilidade: </w:t>
      </w:r>
      <w:r w:rsidRPr="00EE4187">
        <w:t xml:space="preserve">termo usado para definir ações e atividades humanas que visam suprir as necessidades atuais dos seres humanos, sem comprometer o futuro das próximas gerações. Ou seja, a sustentabilidade está diretamente relacionada ao desenvolvimento econômico e material sem agredir o meio ambiente, usando os recursos naturais de forma inteligente para que eles se mantenham no futuro. </w:t>
      </w:r>
    </w:p>
    <w:p w:rsidR="0073121A" w:rsidRDefault="0073121A" w:rsidP="00D8615B">
      <w:pPr>
        <w:spacing w:before="120" w:after="120"/>
        <w:contextualSpacing/>
        <w:jc w:val="both"/>
        <w:rPr>
          <w:b/>
        </w:rPr>
      </w:pPr>
      <w:r w:rsidRPr="00F857CE">
        <w:rPr>
          <w:rFonts w:eastAsia="Times New Roman"/>
          <w:b/>
          <w:lang w:eastAsia="pt-BR"/>
        </w:rPr>
        <w:t>Universalização</w:t>
      </w:r>
      <w:r w:rsidRPr="00F857CE">
        <w:rPr>
          <w:rFonts w:eastAsia="Times New Roman"/>
          <w:lang w:eastAsia="pt-BR"/>
        </w:rPr>
        <w:t>: ampliação progressiva do acesso de todos os domicílios ocupados ao saneamento básico.</w:t>
      </w:r>
    </w:p>
    <w:p w:rsidR="003E5877" w:rsidRPr="00172B43" w:rsidRDefault="003E5877" w:rsidP="003E5877">
      <w:pPr>
        <w:jc w:val="both"/>
      </w:pPr>
      <w:r>
        <w:br w:type="page"/>
      </w:r>
    </w:p>
    <w:p w:rsidR="003E5877" w:rsidRDefault="003E5877" w:rsidP="003E5877">
      <w:pPr>
        <w:pStyle w:val="Ttulo1"/>
        <w:rPr>
          <w:lang w:val="pt-BR"/>
        </w:rPr>
      </w:pPr>
      <w:bookmarkStart w:id="7" w:name="_Toc509935455"/>
      <w:r w:rsidRPr="00172B43">
        <w:lastRenderedPageBreak/>
        <w:t>Apresentação</w:t>
      </w:r>
      <w:bookmarkEnd w:id="7"/>
    </w:p>
    <w:p w:rsidR="00250F9A" w:rsidRPr="00250F9A" w:rsidRDefault="00250F9A" w:rsidP="00250F9A">
      <w:pPr>
        <w:tabs>
          <w:tab w:val="left" w:pos="4395"/>
        </w:tabs>
        <w:autoSpaceDE w:val="0"/>
        <w:autoSpaceDN w:val="0"/>
        <w:adjustRightInd w:val="0"/>
        <w:ind w:firstLine="709"/>
        <w:jc w:val="both"/>
        <w:rPr>
          <w:rFonts w:cs="Arial"/>
          <w:szCs w:val="24"/>
          <w:lang w:eastAsia="pt-BR"/>
        </w:rPr>
      </w:pPr>
      <w:r>
        <w:rPr>
          <w:rFonts w:cs="Arial"/>
          <w:szCs w:val="24"/>
          <w:lang w:eastAsia="pt-BR"/>
        </w:rPr>
        <w:t xml:space="preserve">Conforme citado no Volume 1, o </w:t>
      </w:r>
      <w:r w:rsidRPr="00354861">
        <w:rPr>
          <w:rFonts w:cs="Arial"/>
          <w:szCs w:val="24"/>
          <w:lang w:eastAsia="pt-BR"/>
        </w:rPr>
        <w:t xml:space="preserve">PMSB de </w:t>
      </w:r>
      <w:r w:rsidR="00077E69" w:rsidRPr="00077E69">
        <w:rPr>
          <w:rFonts w:cs="Arial"/>
          <w:szCs w:val="24"/>
          <w:lang w:eastAsia="pt-BR"/>
        </w:rPr>
        <w:t>Córrego Novo</w:t>
      </w:r>
      <w:r w:rsidRPr="00354861">
        <w:rPr>
          <w:rFonts w:cs="Arial"/>
          <w:szCs w:val="24"/>
          <w:lang w:eastAsia="pt-BR"/>
        </w:rPr>
        <w:t xml:space="preserve">  está apresentado </w:t>
      </w:r>
      <w:r w:rsidRPr="00250F9A">
        <w:rPr>
          <w:rFonts w:cs="Arial"/>
          <w:szCs w:val="24"/>
          <w:lang w:eastAsia="pt-BR"/>
        </w:rPr>
        <w:t>em dois volumes, conforme especificado a seguir:</w:t>
      </w:r>
    </w:p>
    <w:p w:rsidR="00250F9A" w:rsidRPr="00250F9A" w:rsidRDefault="00250F9A" w:rsidP="0066661F">
      <w:pPr>
        <w:numPr>
          <w:ilvl w:val="0"/>
          <w:numId w:val="26"/>
        </w:numPr>
        <w:tabs>
          <w:tab w:val="left" w:pos="4395"/>
        </w:tabs>
        <w:autoSpaceDE w:val="0"/>
        <w:autoSpaceDN w:val="0"/>
        <w:adjustRightInd w:val="0"/>
        <w:spacing w:after="200" w:line="276" w:lineRule="auto"/>
        <w:jc w:val="both"/>
        <w:rPr>
          <w:rFonts w:eastAsia="Times New Roman" w:cs="Arial"/>
          <w:szCs w:val="20"/>
          <w:lang w:eastAsia="pt-BR"/>
        </w:rPr>
      </w:pPr>
      <w:r w:rsidRPr="00250F9A">
        <w:rPr>
          <w:rFonts w:eastAsia="Times New Roman" w:cs="Arial"/>
          <w:szCs w:val="20"/>
          <w:lang w:eastAsia="pt-BR"/>
        </w:rPr>
        <w:t>Volume 1 - Caracterização Geral do Município e do Saneamento Básico Municipal.</w:t>
      </w:r>
    </w:p>
    <w:p w:rsidR="00250F9A" w:rsidRPr="00250F9A" w:rsidRDefault="00250F9A" w:rsidP="0066661F">
      <w:pPr>
        <w:numPr>
          <w:ilvl w:val="0"/>
          <w:numId w:val="26"/>
        </w:numPr>
        <w:tabs>
          <w:tab w:val="left" w:pos="4395"/>
        </w:tabs>
        <w:autoSpaceDE w:val="0"/>
        <w:autoSpaceDN w:val="0"/>
        <w:adjustRightInd w:val="0"/>
        <w:spacing w:after="200" w:line="276" w:lineRule="auto"/>
        <w:jc w:val="both"/>
        <w:rPr>
          <w:rFonts w:eastAsia="Times New Roman" w:cs="Arial"/>
          <w:b/>
          <w:szCs w:val="20"/>
          <w:lang w:eastAsia="pt-BR"/>
        </w:rPr>
      </w:pPr>
      <w:r w:rsidRPr="00250F9A">
        <w:rPr>
          <w:rFonts w:eastAsia="Times New Roman" w:cs="Arial"/>
          <w:b/>
          <w:szCs w:val="20"/>
          <w:lang w:eastAsia="pt-BR"/>
        </w:rPr>
        <w:t>Volume 2 – Gestão Integrada do Saneamento Básico Municipal.</w:t>
      </w:r>
    </w:p>
    <w:p w:rsidR="00250F9A" w:rsidRDefault="00250F9A" w:rsidP="00250F9A">
      <w:pPr>
        <w:tabs>
          <w:tab w:val="left" w:pos="4395"/>
        </w:tabs>
        <w:autoSpaceDE w:val="0"/>
        <w:autoSpaceDN w:val="0"/>
        <w:adjustRightInd w:val="0"/>
        <w:ind w:firstLine="709"/>
        <w:jc w:val="both"/>
        <w:rPr>
          <w:rFonts w:cs="Arial"/>
          <w:szCs w:val="24"/>
          <w:lang w:eastAsia="pt-BR"/>
        </w:rPr>
      </w:pPr>
      <w:r w:rsidRPr="00300612">
        <w:rPr>
          <w:rFonts w:cs="Arial"/>
          <w:szCs w:val="24"/>
          <w:lang w:eastAsia="pt-BR"/>
        </w:rPr>
        <w:t xml:space="preserve">O presente relatório corresponde ao Volume 2, que apresenta a </w:t>
      </w:r>
      <w:r w:rsidR="002579AF" w:rsidRPr="00300612">
        <w:rPr>
          <w:rFonts w:cs="Arial"/>
          <w:szCs w:val="24"/>
          <w:lang w:eastAsia="pt-BR"/>
        </w:rPr>
        <w:t xml:space="preserve">legislação aplicável ao saneamento, os modelos de gestão dos serviços, o planejamento estratégico dos setores, </w:t>
      </w:r>
      <w:r w:rsidR="00300612" w:rsidRPr="00300612">
        <w:rPr>
          <w:rFonts w:cs="Arial"/>
          <w:szCs w:val="24"/>
          <w:lang w:eastAsia="pt-BR"/>
        </w:rPr>
        <w:t xml:space="preserve">a </w:t>
      </w:r>
      <w:r w:rsidRPr="00300612">
        <w:rPr>
          <w:rFonts w:cs="Arial"/>
          <w:szCs w:val="24"/>
          <w:lang w:eastAsia="pt-BR"/>
        </w:rPr>
        <w:t>previsão de programas, projetos e ações necessários para a adequação dos sistemas - incluindo preços estimados e ações a serem tomadas em alguns casos de emergência e contingência que podem ocorrer nos quatro setores.</w:t>
      </w:r>
    </w:p>
    <w:p w:rsidR="00407BB1" w:rsidRDefault="00407BB1" w:rsidP="00250F9A">
      <w:pPr>
        <w:tabs>
          <w:tab w:val="left" w:pos="4395"/>
        </w:tabs>
        <w:autoSpaceDE w:val="0"/>
        <w:autoSpaceDN w:val="0"/>
        <w:adjustRightInd w:val="0"/>
        <w:ind w:firstLine="709"/>
        <w:jc w:val="both"/>
        <w:rPr>
          <w:rFonts w:cs="Arial"/>
          <w:szCs w:val="24"/>
          <w:lang w:eastAsia="pt-BR"/>
        </w:rPr>
        <w:sectPr w:rsidR="00407BB1" w:rsidSect="00407BB1">
          <w:headerReference w:type="first" r:id="rId23"/>
          <w:footerReference w:type="first" r:id="rId24"/>
          <w:pgSz w:w="11906" w:h="16838"/>
          <w:pgMar w:top="1134" w:right="1134" w:bottom="1134" w:left="1418" w:header="708" w:footer="708" w:gutter="0"/>
          <w:pgNumType w:fmt="lowerRoman"/>
          <w:cols w:space="708"/>
          <w:titlePg/>
          <w:docGrid w:linePitch="360"/>
        </w:sectPr>
      </w:pPr>
    </w:p>
    <w:p w:rsidR="00407BB1" w:rsidRDefault="00407BB1" w:rsidP="00250F9A">
      <w:pPr>
        <w:tabs>
          <w:tab w:val="left" w:pos="4395"/>
        </w:tabs>
        <w:autoSpaceDE w:val="0"/>
        <w:autoSpaceDN w:val="0"/>
        <w:adjustRightInd w:val="0"/>
        <w:ind w:firstLine="709"/>
        <w:jc w:val="both"/>
        <w:rPr>
          <w:rFonts w:cs="Arial"/>
          <w:szCs w:val="24"/>
          <w:lang w:eastAsia="pt-BR"/>
        </w:rPr>
      </w:pPr>
    </w:p>
    <w:p w:rsidR="00407BB1" w:rsidRDefault="00407BB1" w:rsidP="00250F9A">
      <w:pPr>
        <w:tabs>
          <w:tab w:val="left" w:pos="4395"/>
        </w:tabs>
        <w:autoSpaceDE w:val="0"/>
        <w:autoSpaceDN w:val="0"/>
        <w:adjustRightInd w:val="0"/>
        <w:ind w:firstLine="709"/>
        <w:jc w:val="both"/>
        <w:rPr>
          <w:rFonts w:cs="Arial"/>
          <w:szCs w:val="24"/>
          <w:lang w:eastAsia="pt-BR"/>
        </w:rPr>
      </w:pPr>
      <w:r>
        <w:rPr>
          <w:rFonts w:cs="Arial"/>
          <w:szCs w:val="24"/>
          <w:lang w:eastAsia="pt-BR"/>
        </w:rPr>
        <w:br w:type="page"/>
      </w:r>
    </w:p>
    <w:p w:rsidR="006C49D4" w:rsidRPr="00810C89" w:rsidRDefault="00300612" w:rsidP="00BC01B1">
      <w:pPr>
        <w:pStyle w:val="SHS-Ttulo01"/>
      </w:pPr>
      <w:bookmarkStart w:id="8" w:name="_Ref481740620"/>
      <w:bookmarkStart w:id="9" w:name="_Toc490572461"/>
      <w:bookmarkStart w:id="10" w:name="_Toc504404372"/>
      <w:bookmarkStart w:id="11" w:name="_Toc509935456"/>
      <w:r w:rsidRPr="00810C89">
        <w:lastRenderedPageBreak/>
        <w:t>Princípios norteadores para a gestão do</w:t>
      </w:r>
      <w:r w:rsidR="006C49D4" w:rsidRPr="00810C89">
        <w:t xml:space="preserve"> saneamento básico</w:t>
      </w:r>
      <w:bookmarkEnd w:id="8"/>
      <w:bookmarkEnd w:id="9"/>
      <w:bookmarkEnd w:id="10"/>
      <w:bookmarkEnd w:id="11"/>
      <w:r w:rsidR="006C49D4" w:rsidRPr="00810C89">
        <w:t xml:space="preserve"> </w:t>
      </w:r>
    </w:p>
    <w:p w:rsidR="006C49D4" w:rsidRPr="00F87238" w:rsidRDefault="006C49D4" w:rsidP="00F87238">
      <w:pPr>
        <w:tabs>
          <w:tab w:val="left" w:pos="4395"/>
        </w:tabs>
        <w:autoSpaceDE w:val="0"/>
        <w:autoSpaceDN w:val="0"/>
        <w:adjustRightInd w:val="0"/>
        <w:ind w:firstLine="709"/>
        <w:jc w:val="both"/>
        <w:rPr>
          <w:rFonts w:cs="Arial"/>
          <w:szCs w:val="24"/>
          <w:lang w:eastAsia="pt-BR"/>
        </w:rPr>
      </w:pPr>
      <w:r w:rsidRPr="00F87238">
        <w:rPr>
          <w:rFonts w:cs="Arial"/>
          <w:szCs w:val="24"/>
          <w:lang w:eastAsia="pt-BR"/>
        </w:rPr>
        <w:t>A Política Municipal de Saneamento Básico a ser instituída no município a partir da aprovação legal do PMSB, deve procurar atender aos seguintes princípios fundamentais:</w:t>
      </w:r>
    </w:p>
    <w:p w:rsidR="006C49D4" w:rsidRPr="006C49D4" w:rsidRDefault="006C49D4" w:rsidP="0066661F">
      <w:pPr>
        <w:numPr>
          <w:ilvl w:val="0"/>
          <w:numId w:val="56"/>
        </w:numPr>
        <w:tabs>
          <w:tab w:val="left" w:pos="1134"/>
        </w:tabs>
        <w:spacing w:before="120" w:after="120"/>
        <w:ind w:left="1134" w:hanging="357"/>
        <w:contextualSpacing/>
        <w:jc w:val="both"/>
        <w:rPr>
          <w:rFonts w:eastAsia="Times New Roman" w:cs="Arial"/>
          <w:szCs w:val="24"/>
          <w:lang w:eastAsia="pt-BR"/>
        </w:rPr>
      </w:pPr>
      <w:r w:rsidRPr="006C49D4">
        <w:rPr>
          <w:rFonts w:eastAsia="Times New Roman" w:cs="Arial"/>
          <w:szCs w:val="24"/>
          <w:lang w:eastAsia="pt-BR"/>
        </w:rPr>
        <w:t>Precaução: sempre que existam riscos de efeitos adversos graves ou irreversíveis para o ambiente, em geral, e para os recursos hídricos, em particular, não deverá ser utilizado o argumento de existência de lacunas científicas ou de conhecimentos para justificar o adiamento das medidas eficazes para evitar as degradações ambientais.</w:t>
      </w:r>
    </w:p>
    <w:p w:rsidR="006C49D4" w:rsidRPr="006C49D4" w:rsidRDefault="006C49D4" w:rsidP="0066661F">
      <w:pPr>
        <w:numPr>
          <w:ilvl w:val="0"/>
          <w:numId w:val="56"/>
        </w:numPr>
        <w:tabs>
          <w:tab w:val="left" w:pos="1134"/>
        </w:tabs>
        <w:spacing w:before="120" w:after="120"/>
        <w:ind w:left="1134" w:hanging="357"/>
        <w:contextualSpacing/>
        <w:jc w:val="both"/>
        <w:rPr>
          <w:rFonts w:eastAsia="Times New Roman" w:cs="Arial"/>
          <w:szCs w:val="24"/>
          <w:lang w:eastAsia="pt-BR"/>
        </w:rPr>
      </w:pPr>
      <w:r w:rsidRPr="006C49D4">
        <w:rPr>
          <w:rFonts w:eastAsia="Times New Roman" w:cs="Arial"/>
          <w:szCs w:val="24"/>
          <w:lang w:eastAsia="pt-BR"/>
        </w:rPr>
        <w:t>Prevenção: será sempre preferível adotar medidas preventivas, que impeçam a ocorrência de efeitos ambientais adversos ou irreversíveis, do que recorrer, mais tarde, a medidas corretivas desses mesmos efeitos.</w:t>
      </w:r>
    </w:p>
    <w:p w:rsidR="006C49D4" w:rsidRPr="006C49D4" w:rsidRDefault="006C49D4" w:rsidP="0066661F">
      <w:pPr>
        <w:numPr>
          <w:ilvl w:val="0"/>
          <w:numId w:val="56"/>
        </w:numPr>
        <w:tabs>
          <w:tab w:val="left" w:pos="1134"/>
        </w:tabs>
        <w:spacing w:before="120" w:after="120"/>
        <w:ind w:left="1134" w:hanging="357"/>
        <w:contextualSpacing/>
        <w:jc w:val="both"/>
        <w:rPr>
          <w:rFonts w:eastAsia="Times New Roman" w:cs="Arial"/>
          <w:szCs w:val="24"/>
          <w:lang w:eastAsia="pt-BR"/>
        </w:rPr>
      </w:pPr>
      <w:r w:rsidRPr="006C49D4">
        <w:rPr>
          <w:rFonts w:eastAsia="Times New Roman" w:cs="Arial"/>
          <w:szCs w:val="24"/>
          <w:lang w:eastAsia="pt-BR"/>
        </w:rPr>
        <w:t>Uso das melhores tecnologias disponíveis: na resolução dos problemas ambientais, em geral, e dos recursos hídricos, em particular, no que diz respeito ao tratamento das águas residuais, deverão ser adotadas as melhores tecnologias disponíveis.</w:t>
      </w:r>
    </w:p>
    <w:p w:rsidR="006C49D4" w:rsidRPr="006C49D4" w:rsidRDefault="006C49D4" w:rsidP="0066661F">
      <w:pPr>
        <w:numPr>
          <w:ilvl w:val="0"/>
          <w:numId w:val="56"/>
        </w:numPr>
        <w:tabs>
          <w:tab w:val="left" w:pos="1134"/>
        </w:tabs>
        <w:spacing w:before="120" w:after="120"/>
        <w:ind w:left="1134" w:hanging="357"/>
        <w:contextualSpacing/>
        <w:jc w:val="both"/>
        <w:rPr>
          <w:rFonts w:eastAsia="Times New Roman" w:cs="Arial"/>
          <w:szCs w:val="24"/>
          <w:lang w:eastAsia="pt-BR"/>
        </w:rPr>
      </w:pPr>
      <w:r w:rsidRPr="006C49D4">
        <w:rPr>
          <w:rFonts w:eastAsia="Times New Roman" w:cs="Arial"/>
          <w:szCs w:val="24"/>
          <w:lang w:eastAsia="pt-BR"/>
        </w:rPr>
        <w:t>Usuário-pagador: este princípio engloba o do poluidor-pagador. Trata-se de uma norma do direito ambiental que consiste em obrigar o poluidor a arcar com os custos da reparação do dano por ele causado ao meio ambiente.</w:t>
      </w:r>
    </w:p>
    <w:p w:rsidR="006C49D4" w:rsidRPr="006C49D4" w:rsidRDefault="006C49D4" w:rsidP="0066661F">
      <w:pPr>
        <w:numPr>
          <w:ilvl w:val="0"/>
          <w:numId w:val="56"/>
        </w:numPr>
        <w:tabs>
          <w:tab w:val="left" w:pos="1134"/>
        </w:tabs>
        <w:spacing w:before="120" w:after="120"/>
        <w:ind w:left="1134" w:hanging="357"/>
        <w:contextualSpacing/>
        <w:jc w:val="both"/>
        <w:rPr>
          <w:rFonts w:eastAsia="Times New Roman" w:cs="Arial"/>
          <w:szCs w:val="24"/>
          <w:lang w:eastAsia="pt-BR"/>
        </w:rPr>
      </w:pPr>
      <w:r w:rsidRPr="006C49D4">
        <w:rPr>
          <w:rFonts w:eastAsia="Times New Roman" w:cs="Arial"/>
          <w:szCs w:val="24"/>
          <w:lang w:eastAsia="pt-BR"/>
        </w:rPr>
        <w:t>Competência decisória: as decisões deverão ser tomadas pelos órgãos da administração municipal que estão em melhores condições para fazê-las, em função da natureza dos problemas e das consequências das decisões.</w:t>
      </w:r>
    </w:p>
    <w:p w:rsidR="006C49D4" w:rsidRPr="006C49D4" w:rsidRDefault="006C49D4" w:rsidP="0066661F">
      <w:pPr>
        <w:numPr>
          <w:ilvl w:val="0"/>
          <w:numId w:val="56"/>
        </w:numPr>
        <w:tabs>
          <w:tab w:val="left" w:pos="1134"/>
        </w:tabs>
        <w:spacing w:before="120" w:after="120"/>
        <w:ind w:left="1134" w:hanging="357"/>
        <w:contextualSpacing/>
        <w:jc w:val="both"/>
        <w:rPr>
          <w:rFonts w:eastAsia="Times New Roman" w:cs="Arial"/>
          <w:szCs w:val="24"/>
          <w:lang w:eastAsia="pt-BR"/>
        </w:rPr>
      </w:pPr>
      <w:r w:rsidRPr="006C49D4">
        <w:rPr>
          <w:rFonts w:eastAsia="Times New Roman" w:cs="Arial"/>
          <w:szCs w:val="24"/>
          <w:lang w:eastAsia="pt-BR"/>
        </w:rPr>
        <w:t>Solidariedade e coesão municipal: na gestão do sistema de saneamento deverão ser respeitados os princípios da solidariedade e da coesão, não devendo a gestão integrada do sistema de saneamento contribuir para criar ou agravar assimetrias (desigualdades) sociais ou administrativas.</w:t>
      </w:r>
    </w:p>
    <w:p w:rsidR="006C49D4" w:rsidRPr="006C49D4" w:rsidRDefault="006C49D4" w:rsidP="0066661F">
      <w:pPr>
        <w:numPr>
          <w:ilvl w:val="0"/>
          <w:numId w:val="56"/>
        </w:numPr>
        <w:tabs>
          <w:tab w:val="left" w:pos="1134"/>
        </w:tabs>
        <w:spacing w:before="120" w:after="120"/>
        <w:ind w:left="1134" w:hanging="357"/>
        <w:contextualSpacing/>
        <w:jc w:val="both"/>
        <w:rPr>
          <w:rFonts w:eastAsia="Times New Roman" w:cs="Arial"/>
          <w:szCs w:val="24"/>
          <w:lang w:eastAsia="pt-BR"/>
        </w:rPr>
      </w:pPr>
      <w:r w:rsidRPr="006C49D4">
        <w:rPr>
          <w:rFonts w:eastAsia="Times New Roman" w:cs="Arial"/>
          <w:szCs w:val="24"/>
          <w:lang w:eastAsia="pt-BR"/>
        </w:rPr>
        <w:t xml:space="preserve">Transparência e participação: na elaboração do PMSB, deverão ser criadas as condições para que os diferentes grupos e setores de usuários (grupos de defesa do ambiente, comunidade científica e o público em geral), por meio das respectivas organizações representativas, possam formular e </w:t>
      </w:r>
      <w:r w:rsidRPr="006C49D4">
        <w:rPr>
          <w:rFonts w:eastAsia="Times New Roman" w:cs="Arial"/>
          <w:szCs w:val="24"/>
          <w:lang w:eastAsia="pt-BR"/>
        </w:rPr>
        <w:lastRenderedPageBreak/>
        <w:t>exprimir as suas opiniões, que deverão ser devidamente consideradas nas decisões a tomar.</w:t>
      </w:r>
    </w:p>
    <w:p w:rsidR="006C49D4" w:rsidRPr="00F87238" w:rsidRDefault="006C49D4" w:rsidP="00F87238">
      <w:pPr>
        <w:tabs>
          <w:tab w:val="left" w:pos="4395"/>
        </w:tabs>
        <w:autoSpaceDE w:val="0"/>
        <w:autoSpaceDN w:val="0"/>
        <w:adjustRightInd w:val="0"/>
        <w:ind w:firstLine="709"/>
        <w:jc w:val="both"/>
        <w:rPr>
          <w:rFonts w:cs="Arial"/>
          <w:szCs w:val="24"/>
          <w:lang w:eastAsia="pt-BR"/>
        </w:rPr>
      </w:pPr>
      <w:r w:rsidRPr="00F87238">
        <w:rPr>
          <w:rFonts w:cs="Arial"/>
          <w:szCs w:val="24"/>
          <w:lang w:eastAsia="pt-BR"/>
        </w:rPr>
        <w:t>A Política local de saneamento básico deve também reger-se por alguns objetivos gerais, tais como:</w:t>
      </w:r>
    </w:p>
    <w:p w:rsidR="006C49D4" w:rsidRPr="006C49D4" w:rsidRDefault="006C49D4" w:rsidP="0066661F">
      <w:pPr>
        <w:numPr>
          <w:ilvl w:val="0"/>
          <w:numId w:val="56"/>
        </w:numPr>
        <w:tabs>
          <w:tab w:val="left" w:pos="1134"/>
        </w:tabs>
        <w:spacing w:before="120" w:after="120"/>
        <w:ind w:left="1134" w:hanging="357"/>
        <w:contextualSpacing/>
        <w:jc w:val="both"/>
        <w:rPr>
          <w:rFonts w:eastAsia="Times New Roman" w:cs="Arial"/>
          <w:szCs w:val="24"/>
          <w:lang w:eastAsia="pt-BR"/>
        </w:rPr>
      </w:pPr>
      <w:r w:rsidRPr="006C49D4">
        <w:rPr>
          <w:rFonts w:eastAsia="Times New Roman" w:cs="Arial"/>
          <w:szCs w:val="24"/>
          <w:lang w:eastAsia="pt-BR"/>
        </w:rPr>
        <w:t>Buscar a melhoria significativa dos níveis quantitativos e qualitativos do atendimento em matéria de abastecimento de água, esgotamento sanitário, limpeza pública e manejo de resíduos sólidos, drenagem e manejo das águas pluviais.</w:t>
      </w:r>
    </w:p>
    <w:p w:rsidR="006C49D4" w:rsidRPr="006C49D4" w:rsidRDefault="006C49D4" w:rsidP="0066661F">
      <w:pPr>
        <w:numPr>
          <w:ilvl w:val="0"/>
          <w:numId w:val="56"/>
        </w:numPr>
        <w:tabs>
          <w:tab w:val="left" w:pos="1134"/>
        </w:tabs>
        <w:spacing w:before="120" w:after="120"/>
        <w:ind w:left="1134" w:hanging="357"/>
        <w:contextualSpacing/>
        <w:jc w:val="both"/>
        <w:rPr>
          <w:rFonts w:eastAsia="Times New Roman" w:cs="Arial"/>
          <w:szCs w:val="24"/>
          <w:lang w:eastAsia="pt-BR"/>
        </w:rPr>
      </w:pPr>
      <w:r w:rsidRPr="006C49D4">
        <w:rPr>
          <w:rFonts w:eastAsia="Times New Roman" w:cs="Arial"/>
          <w:szCs w:val="24"/>
          <w:lang w:eastAsia="pt-BR"/>
        </w:rPr>
        <w:t>Estabelecer procedimentos regulares de articulação entre os diversos setores de saneamento para a gestão dos recursos naturais no âmbito do município.</w:t>
      </w:r>
    </w:p>
    <w:p w:rsidR="006C49D4" w:rsidRPr="006C49D4" w:rsidRDefault="006C49D4" w:rsidP="0066661F">
      <w:pPr>
        <w:numPr>
          <w:ilvl w:val="0"/>
          <w:numId w:val="56"/>
        </w:numPr>
        <w:tabs>
          <w:tab w:val="left" w:pos="1134"/>
        </w:tabs>
        <w:spacing w:before="120" w:after="120"/>
        <w:ind w:left="1134" w:hanging="357"/>
        <w:contextualSpacing/>
        <w:jc w:val="both"/>
        <w:rPr>
          <w:rFonts w:eastAsia="Times New Roman" w:cs="Arial"/>
          <w:szCs w:val="24"/>
          <w:lang w:eastAsia="pt-BR"/>
        </w:rPr>
      </w:pPr>
      <w:r w:rsidRPr="006C49D4">
        <w:rPr>
          <w:rFonts w:eastAsia="Times New Roman" w:cs="Arial"/>
          <w:szCs w:val="24"/>
          <w:lang w:eastAsia="pt-BR"/>
        </w:rPr>
        <w:t>Buscar a resolução imediata de disfunções ambientais graves ou que envolvam riscos potenciais para a saúde pública.</w:t>
      </w:r>
    </w:p>
    <w:p w:rsidR="006C49D4" w:rsidRPr="006C49D4" w:rsidRDefault="006C49D4" w:rsidP="0066661F">
      <w:pPr>
        <w:numPr>
          <w:ilvl w:val="0"/>
          <w:numId w:val="56"/>
        </w:numPr>
        <w:tabs>
          <w:tab w:val="left" w:pos="1134"/>
        </w:tabs>
        <w:spacing w:before="120" w:after="120"/>
        <w:ind w:left="1134" w:hanging="357"/>
        <w:contextualSpacing/>
        <w:jc w:val="both"/>
        <w:rPr>
          <w:rFonts w:eastAsia="Times New Roman" w:cs="Arial"/>
          <w:szCs w:val="24"/>
          <w:lang w:eastAsia="pt-BR"/>
        </w:rPr>
      </w:pPr>
      <w:r w:rsidRPr="006C49D4">
        <w:rPr>
          <w:rFonts w:eastAsia="Times New Roman" w:cs="Arial"/>
          <w:szCs w:val="24"/>
          <w:lang w:eastAsia="pt-BR"/>
        </w:rPr>
        <w:t>Reconhecer a valorização ambiental dos sistemas hídricos.</w:t>
      </w:r>
    </w:p>
    <w:p w:rsidR="006C49D4" w:rsidRPr="006C49D4" w:rsidRDefault="006C49D4" w:rsidP="0066661F">
      <w:pPr>
        <w:numPr>
          <w:ilvl w:val="0"/>
          <w:numId w:val="56"/>
        </w:numPr>
        <w:tabs>
          <w:tab w:val="left" w:pos="1134"/>
        </w:tabs>
        <w:spacing w:before="120" w:after="120"/>
        <w:ind w:left="1134" w:hanging="357"/>
        <w:contextualSpacing/>
        <w:jc w:val="both"/>
        <w:rPr>
          <w:rFonts w:eastAsia="Times New Roman" w:cs="Arial"/>
          <w:szCs w:val="24"/>
          <w:lang w:eastAsia="pt-BR"/>
        </w:rPr>
      </w:pPr>
      <w:r w:rsidRPr="006C49D4">
        <w:rPr>
          <w:rFonts w:eastAsia="Times New Roman" w:cs="Arial"/>
          <w:szCs w:val="24"/>
          <w:lang w:eastAsia="pt-BR"/>
        </w:rPr>
        <w:t>Proteger e valorizar os recursos hídricos subterrâneos.</w:t>
      </w:r>
    </w:p>
    <w:p w:rsidR="006C49D4" w:rsidRPr="006C49D4" w:rsidRDefault="006C49D4" w:rsidP="0066661F">
      <w:pPr>
        <w:numPr>
          <w:ilvl w:val="0"/>
          <w:numId w:val="56"/>
        </w:numPr>
        <w:tabs>
          <w:tab w:val="left" w:pos="1134"/>
        </w:tabs>
        <w:spacing w:before="120" w:after="120"/>
        <w:ind w:left="1134" w:hanging="357"/>
        <w:contextualSpacing/>
        <w:jc w:val="both"/>
        <w:rPr>
          <w:rFonts w:eastAsia="Times New Roman" w:cs="Arial"/>
          <w:szCs w:val="24"/>
          <w:lang w:eastAsia="pt-BR"/>
        </w:rPr>
      </w:pPr>
      <w:r w:rsidRPr="006C49D4">
        <w:rPr>
          <w:rFonts w:eastAsia="Times New Roman" w:cs="Arial"/>
          <w:szCs w:val="24"/>
          <w:lang w:eastAsia="pt-BR"/>
        </w:rPr>
        <w:t>Aperfeiçoar os sistemas de informação e de capacidade de avaliação e monitoramento dos setores ou eixos do saneamento básico.</w:t>
      </w:r>
    </w:p>
    <w:p w:rsidR="006C49D4" w:rsidRPr="003B12B2" w:rsidRDefault="006C49D4" w:rsidP="00D8615B">
      <w:pPr>
        <w:tabs>
          <w:tab w:val="left" w:pos="4395"/>
        </w:tabs>
        <w:autoSpaceDE w:val="0"/>
        <w:autoSpaceDN w:val="0"/>
        <w:adjustRightInd w:val="0"/>
        <w:spacing w:before="120" w:after="120"/>
        <w:ind w:firstLine="709"/>
        <w:contextualSpacing/>
        <w:jc w:val="both"/>
        <w:rPr>
          <w:rFonts w:cs="Arial"/>
          <w:szCs w:val="24"/>
          <w:lang w:eastAsia="pt-BR"/>
        </w:rPr>
      </w:pPr>
      <w:r w:rsidRPr="00300612">
        <w:rPr>
          <w:rFonts w:cs="Arial"/>
          <w:szCs w:val="24"/>
          <w:lang w:eastAsia="pt-BR"/>
        </w:rPr>
        <w:t>Considerando a importância da compatibilização do PMSB com as diretrizes legais e com as políticas afins com o saneam</w:t>
      </w:r>
      <w:r w:rsidR="007C1FC7">
        <w:rPr>
          <w:rFonts w:cs="Arial"/>
          <w:szCs w:val="24"/>
          <w:lang w:eastAsia="pt-BR"/>
        </w:rPr>
        <w:t xml:space="preserve">ento básico, foi apresentado nos Autos do processo de </w:t>
      </w:r>
      <w:r w:rsidRPr="00300612">
        <w:rPr>
          <w:rFonts w:cs="Arial"/>
          <w:szCs w:val="24"/>
          <w:lang w:eastAsia="pt-BR"/>
        </w:rPr>
        <w:t xml:space="preserve">elaboração deste Plano, um levantamento das leis federais, estaduais e municipais que norteiam o Saneamento Básico, de modo geral, bem como </w:t>
      </w:r>
      <w:r w:rsidR="00295F26">
        <w:rPr>
          <w:rFonts w:cs="Arial"/>
          <w:szCs w:val="24"/>
          <w:lang w:eastAsia="pt-BR"/>
        </w:rPr>
        <w:t xml:space="preserve">leis que dispõem sobre </w:t>
      </w:r>
      <w:r w:rsidRPr="00300612">
        <w:rPr>
          <w:rFonts w:cs="Arial"/>
          <w:szCs w:val="24"/>
          <w:lang w:eastAsia="pt-BR"/>
        </w:rPr>
        <w:t xml:space="preserve">outros setores que interagem com </w:t>
      </w:r>
      <w:r w:rsidR="00295F26">
        <w:rPr>
          <w:rFonts w:cs="Arial"/>
          <w:szCs w:val="24"/>
          <w:lang w:eastAsia="pt-BR"/>
        </w:rPr>
        <w:t xml:space="preserve">o </w:t>
      </w:r>
      <w:r w:rsidR="003B12B2">
        <w:rPr>
          <w:rFonts w:cs="Arial"/>
          <w:szCs w:val="24"/>
          <w:lang w:eastAsia="pt-BR"/>
        </w:rPr>
        <w:t>saneamento</w:t>
      </w:r>
      <w:r w:rsidRPr="00300612">
        <w:rPr>
          <w:rFonts w:cs="Arial"/>
          <w:szCs w:val="24"/>
          <w:lang w:eastAsia="pt-BR"/>
        </w:rPr>
        <w:t xml:space="preserve"> (recursos hídricos, ocupação do solo, </w:t>
      </w:r>
      <w:r w:rsidRPr="003B12B2">
        <w:rPr>
          <w:rFonts w:cs="Arial"/>
          <w:szCs w:val="24"/>
          <w:lang w:eastAsia="pt-BR"/>
        </w:rPr>
        <w:t>etc.).</w:t>
      </w:r>
    </w:p>
    <w:p w:rsidR="006C49D4" w:rsidRPr="00300612" w:rsidRDefault="006C49D4" w:rsidP="00D8615B">
      <w:pPr>
        <w:tabs>
          <w:tab w:val="left" w:pos="4395"/>
        </w:tabs>
        <w:autoSpaceDE w:val="0"/>
        <w:autoSpaceDN w:val="0"/>
        <w:adjustRightInd w:val="0"/>
        <w:spacing w:before="120" w:after="120"/>
        <w:ind w:firstLine="709"/>
        <w:contextualSpacing/>
        <w:jc w:val="both"/>
        <w:rPr>
          <w:rFonts w:cs="Arial"/>
          <w:szCs w:val="24"/>
          <w:lang w:eastAsia="pt-BR"/>
        </w:rPr>
      </w:pPr>
      <w:r w:rsidRPr="00300612">
        <w:rPr>
          <w:rFonts w:cs="Arial"/>
          <w:szCs w:val="24"/>
          <w:lang w:eastAsia="pt-BR"/>
        </w:rPr>
        <w:t>Esse arcabouço legal foi muito importante para a fase de diagnóstico do PMSB, uma vez que serviu de base para avaliar o quanto o município está atendendo ou deixando de atender às orientações legais pertinentes. Além disso, é um conjunto de instrumentos essenciais para definir os direitos e as obrigações do setor público e privado e da sociedade civil sobre os serviços do Saneamento Básico.</w:t>
      </w:r>
    </w:p>
    <w:p w:rsidR="006C49D4" w:rsidRPr="00F87238" w:rsidRDefault="006C49D4" w:rsidP="00D8615B">
      <w:pPr>
        <w:tabs>
          <w:tab w:val="left" w:pos="4395"/>
        </w:tabs>
        <w:autoSpaceDE w:val="0"/>
        <w:autoSpaceDN w:val="0"/>
        <w:adjustRightInd w:val="0"/>
        <w:spacing w:before="120" w:after="120"/>
        <w:ind w:firstLine="709"/>
        <w:contextualSpacing/>
        <w:jc w:val="both"/>
        <w:rPr>
          <w:rFonts w:cs="Arial"/>
          <w:szCs w:val="24"/>
          <w:lang w:eastAsia="pt-BR"/>
        </w:rPr>
      </w:pPr>
      <w:r w:rsidRPr="00300612">
        <w:rPr>
          <w:rFonts w:cs="Arial"/>
          <w:szCs w:val="24"/>
          <w:lang w:eastAsia="pt-BR"/>
        </w:rPr>
        <w:t xml:space="preserve">Obviamente, o que foi apresentado no referido documento não esgota o arcabouço legal existente sobre o assunto. É importante </w:t>
      </w:r>
      <w:r w:rsidR="00300612" w:rsidRPr="00300612">
        <w:rPr>
          <w:rFonts w:cs="Arial"/>
          <w:szCs w:val="24"/>
          <w:lang w:eastAsia="pt-BR"/>
        </w:rPr>
        <w:t>a</w:t>
      </w:r>
      <w:r w:rsidRPr="00300612">
        <w:rPr>
          <w:rFonts w:cs="Arial"/>
          <w:szCs w:val="24"/>
          <w:lang w:eastAsia="pt-BR"/>
        </w:rPr>
        <w:t xml:space="preserve"> constante </w:t>
      </w:r>
      <w:r w:rsidR="00300612" w:rsidRPr="00300612">
        <w:rPr>
          <w:rFonts w:cs="Arial"/>
          <w:szCs w:val="24"/>
          <w:lang w:eastAsia="pt-BR"/>
        </w:rPr>
        <w:t>consulta</w:t>
      </w:r>
      <w:r w:rsidRPr="00300612">
        <w:rPr>
          <w:rFonts w:cs="Arial"/>
          <w:szCs w:val="24"/>
          <w:lang w:eastAsia="pt-BR"/>
        </w:rPr>
        <w:t xml:space="preserve"> às leis, </w:t>
      </w:r>
      <w:r w:rsidRPr="00300612">
        <w:rPr>
          <w:rFonts w:cs="Arial"/>
          <w:szCs w:val="24"/>
          <w:lang w:eastAsia="pt-BR"/>
        </w:rPr>
        <w:lastRenderedPageBreak/>
        <w:t>para que gestores e população possam construir uma cidade com mais qualidade de vida e acesso ao saneamento básico.</w:t>
      </w:r>
      <w:r w:rsidRPr="00F87238">
        <w:rPr>
          <w:rFonts w:cs="Arial"/>
          <w:szCs w:val="24"/>
          <w:lang w:eastAsia="pt-BR"/>
        </w:rPr>
        <w:t xml:space="preserve"> </w:t>
      </w:r>
    </w:p>
    <w:p w:rsidR="00BB71D8" w:rsidRPr="007D26EA" w:rsidRDefault="00BB71D8" w:rsidP="00BC01B1">
      <w:pPr>
        <w:pStyle w:val="SHS-Ttulo01"/>
      </w:pPr>
      <w:bookmarkStart w:id="12" w:name="_Toc498594093"/>
      <w:bookmarkStart w:id="13" w:name="_Toc504404373"/>
      <w:bookmarkStart w:id="14" w:name="_Toc509935457"/>
      <w:r w:rsidRPr="007D26EA">
        <w:t>Obrigações do poder público municipal</w:t>
      </w:r>
      <w:bookmarkEnd w:id="12"/>
      <w:bookmarkEnd w:id="13"/>
      <w:bookmarkEnd w:id="14"/>
      <w:r w:rsidRPr="007D26EA">
        <w:t xml:space="preserve"> </w:t>
      </w:r>
    </w:p>
    <w:p w:rsidR="00BB71D8" w:rsidRPr="00D5039A" w:rsidRDefault="00BB71D8" w:rsidP="00D5039A">
      <w:pPr>
        <w:tabs>
          <w:tab w:val="left" w:pos="4395"/>
        </w:tabs>
        <w:autoSpaceDE w:val="0"/>
        <w:autoSpaceDN w:val="0"/>
        <w:adjustRightInd w:val="0"/>
        <w:ind w:firstLine="709"/>
        <w:jc w:val="both"/>
        <w:rPr>
          <w:rFonts w:cs="Arial"/>
          <w:szCs w:val="24"/>
          <w:lang w:eastAsia="pt-BR"/>
        </w:rPr>
      </w:pPr>
      <w:r w:rsidRPr="00D5039A">
        <w:rPr>
          <w:rFonts w:cs="Arial"/>
          <w:szCs w:val="24"/>
          <w:lang w:eastAsia="pt-BR"/>
        </w:rPr>
        <w:t>O ponto de partida para a compreensão da necessidade de uma política local de saneamento básico é a dualidade direito/dever vinculada à salubridade do meio ambiente. A Constituição Federal de 1988 garante alguns dos direitos sociais relacionados à manutenção da salubridade ambiental, tais como o direito à saúde e a um ambiente ecologicamente equilibrado. Essa mesma Constituição, no inciso V do art. 30, estabelece que “uma vez que os serviços de saneamento são de interesse local e o poder público local tem a competência para organizá-los e prestá-los, o Município é o Titular do serviço”. Fica aí configurada uma das obrigações mais importantes da administração pública municipal: garantir a prestação de serviços relacionados ao saneamento básico.</w:t>
      </w:r>
    </w:p>
    <w:p w:rsidR="00BB71D8" w:rsidRPr="00D5039A" w:rsidRDefault="00BB71D8" w:rsidP="00D5039A">
      <w:pPr>
        <w:tabs>
          <w:tab w:val="left" w:pos="4395"/>
        </w:tabs>
        <w:autoSpaceDE w:val="0"/>
        <w:autoSpaceDN w:val="0"/>
        <w:adjustRightInd w:val="0"/>
        <w:ind w:firstLine="709"/>
        <w:jc w:val="both"/>
        <w:rPr>
          <w:rFonts w:cs="Arial"/>
          <w:szCs w:val="24"/>
          <w:lang w:eastAsia="pt-BR"/>
        </w:rPr>
      </w:pPr>
      <w:r w:rsidRPr="00D5039A">
        <w:rPr>
          <w:rFonts w:cs="Arial"/>
          <w:szCs w:val="24"/>
          <w:lang w:eastAsia="pt-BR"/>
        </w:rPr>
        <w:t>Para nortear as ações dos municípios no sentido da promoção da gestão do saneamento básico, a Lei do Saneamento define quatro funções básicas para a gestão, quais sejam:</w:t>
      </w:r>
    </w:p>
    <w:p w:rsidR="00BB71D8" w:rsidRPr="00E16546" w:rsidRDefault="00BB71D8" w:rsidP="0066661F">
      <w:pPr>
        <w:pStyle w:val="fmn-autor"/>
        <w:numPr>
          <w:ilvl w:val="0"/>
          <w:numId w:val="56"/>
        </w:numPr>
        <w:tabs>
          <w:tab w:val="left" w:pos="964"/>
        </w:tabs>
        <w:spacing w:before="120" w:after="120" w:line="360" w:lineRule="auto"/>
        <w:ind w:left="1423" w:hanging="357"/>
        <w:contextualSpacing/>
        <w:jc w:val="both"/>
        <w:rPr>
          <w:rFonts w:ascii="Arial" w:hAnsi="Arial"/>
          <w:sz w:val="24"/>
          <w:szCs w:val="24"/>
        </w:rPr>
      </w:pPr>
      <w:r w:rsidRPr="00E16546">
        <w:rPr>
          <w:rFonts w:ascii="Arial" w:hAnsi="Arial"/>
          <w:sz w:val="24"/>
          <w:szCs w:val="24"/>
        </w:rPr>
        <w:t xml:space="preserve">Planejamento: atividades atinentes à identificação, qualificação, quantificação, organização e orientação de todas as ações, públicas e privadas, por meio das quais o serviço público deve ser prestado ou colocado à disposição de forma adequada. </w:t>
      </w:r>
    </w:p>
    <w:p w:rsidR="00BB71D8" w:rsidRPr="00E16546" w:rsidRDefault="00BB71D8" w:rsidP="0066661F">
      <w:pPr>
        <w:pStyle w:val="fmn-autor"/>
        <w:numPr>
          <w:ilvl w:val="0"/>
          <w:numId w:val="56"/>
        </w:numPr>
        <w:tabs>
          <w:tab w:val="left" w:pos="964"/>
        </w:tabs>
        <w:spacing w:before="120" w:after="120" w:line="360" w:lineRule="auto"/>
        <w:ind w:left="1423" w:hanging="357"/>
        <w:contextualSpacing/>
        <w:jc w:val="both"/>
        <w:rPr>
          <w:rFonts w:ascii="Arial" w:hAnsi="Arial"/>
          <w:sz w:val="24"/>
          <w:szCs w:val="24"/>
        </w:rPr>
      </w:pPr>
      <w:r w:rsidRPr="00E16546">
        <w:rPr>
          <w:rFonts w:ascii="Arial" w:hAnsi="Arial"/>
          <w:sz w:val="24"/>
          <w:szCs w:val="24"/>
        </w:rPr>
        <w:t xml:space="preserve">Prestação de serviços: atividades, acompanhadas ou não de execução de obra, com objetivo de permitir aos usuários o acesso ao serviço público de saneamento básico com características e padrões de qualidade determinados pela legislação, pelo planejamento e pela regulação. </w:t>
      </w:r>
    </w:p>
    <w:p w:rsidR="00BB71D8" w:rsidRPr="00E16546" w:rsidRDefault="00BB71D8" w:rsidP="0066661F">
      <w:pPr>
        <w:pStyle w:val="fmn-autor"/>
        <w:numPr>
          <w:ilvl w:val="0"/>
          <w:numId w:val="56"/>
        </w:numPr>
        <w:tabs>
          <w:tab w:val="left" w:pos="964"/>
        </w:tabs>
        <w:spacing w:before="120" w:after="120" w:line="360" w:lineRule="auto"/>
        <w:ind w:left="1423" w:hanging="357"/>
        <w:contextualSpacing/>
        <w:jc w:val="both"/>
        <w:rPr>
          <w:rFonts w:ascii="Arial" w:hAnsi="Arial"/>
          <w:sz w:val="24"/>
          <w:szCs w:val="24"/>
        </w:rPr>
      </w:pPr>
      <w:r w:rsidRPr="00E16546">
        <w:rPr>
          <w:rFonts w:ascii="Arial" w:hAnsi="Arial"/>
          <w:sz w:val="24"/>
          <w:szCs w:val="24"/>
        </w:rPr>
        <w:t xml:space="preserve">Regulação: todo e qualquer ato que discipline ou organize determinado serviço público, incluindo suas características, padrões de qualidade, impactos socioambientais, direitos e obrigações dos usuários e dos responsáveis por sua oferta ou prestação, além da fixação e revisão do valor de tarifas e outros preços públicos. </w:t>
      </w:r>
    </w:p>
    <w:p w:rsidR="00BB71D8" w:rsidRPr="00E16546" w:rsidRDefault="00BB71D8" w:rsidP="0066661F">
      <w:pPr>
        <w:pStyle w:val="fmn-autor"/>
        <w:numPr>
          <w:ilvl w:val="0"/>
          <w:numId w:val="56"/>
        </w:numPr>
        <w:tabs>
          <w:tab w:val="left" w:pos="964"/>
        </w:tabs>
        <w:spacing w:before="120" w:after="120" w:line="360" w:lineRule="auto"/>
        <w:ind w:left="1423" w:hanging="357"/>
        <w:contextualSpacing/>
        <w:jc w:val="both"/>
        <w:rPr>
          <w:rFonts w:ascii="Arial" w:hAnsi="Arial"/>
          <w:sz w:val="24"/>
          <w:szCs w:val="24"/>
        </w:rPr>
      </w:pPr>
      <w:r w:rsidRPr="00E16546">
        <w:rPr>
          <w:rFonts w:ascii="Arial" w:hAnsi="Arial"/>
          <w:sz w:val="24"/>
          <w:szCs w:val="24"/>
        </w:rPr>
        <w:lastRenderedPageBreak/>
        <w:t>Fiscalização: atividades de acompanhamento, monitoramento, controle ou avaliação, no sentido de garantir o cumprimento de normas e regulamentos editados pelo poder público e a utilização, efetiva ou potencial, do serviço público.</w:t>
      </w:r>
    </w:p>
    <w:p w:rsidR="00BB71D8" w:rsidRPr="00D5039A" w:rsidRDefault="00BB71D8" w:rsidP="00D5039A">
      <w:pPr>
        <w:tabs>
          <w:tab w:val="left" w:pos="4395"/>
        </w:tabs>
        <w:autoSpaceDE w:val="0"/>
        <w:autoSpaceDN w:val="0"/>
        <w:adjustRightInd w:val="0"/>
        <w:ind w:firstLine="709"/>
        <w:jc w:val="both"/>
        <w:rPr>
          <w:rFonts w:cs="Arial"/>
          <w:szCs w:val="24"/>
          <w:lang w:eastAsia="pt-BR"/>
        </w:rPr>
      </w:pPr>
      <w:r w:rsidRPr="00D5039A">
        <w:rPr>
          <w:rFonts w:cs="Arial"/>
          <w:szCs w:val="24"/>
          <w:lang w:eastAsia="pt-BR"/>
        </w:rPr>
        <w:t xml:space="preserve">Essa mesma lei prevê, ainda, que todas essas funções atendam ao princípio fundamental do controle social, garantindo à sociedade informações e participações nos processos de planejamento e de avaliação, relacionados aos serviços públicos de saneamento básico. </w:t>
      </w:r>
    </w:p>
    <w:p w:rsidR="00BB71D8" w:rsidRPr="00D5039A" w:rsidRDefault="00BB71D8" w:rsidP="00D5039A">
      <w:pPr>
        <w:tabs>
          <w:tab w:val="left" w:pos="4395"/>
        </w:tabs>
        <w:autoSpaceDE w:val="0"/>
        <w:autoSpaceDN w:val="0"/>
        <w:adjustRightInd w:val="0"/>
        <w:ind w:firstLine="709"/>
        <w:jc w:val="both"/>
        <w:rPr>
          <w:rFonts w:cs="Arial"/>
          <w:szCs w:val="24"/>
          <w:lang w:eastAsia="pt-BR"/>
        </w:rPr>
      </w:pPr>
      <w:r w:rsidRPr="00D5039A">
        <w:rPr>
          <w:rFonts w:cs="Arial"/>
          <w:szCs w:val="24"/>
          <w:lang w:eastAsia="pt-BR"/>
        </w:rPr>
        <w:t>Embora todas essas etapas da gestão sejam de responsabilidade da administração municipal, titular do serviço de saneamento, somente a função de planejamento é indelegável. Isso significa dizer que tanto a prestação dos serviços, quanto a regulação e a fiscalização, podem ser repassadas a outros agentes. Mas, seja de modo direto, seja sob regime de concessão ou permissão, ou ainda, via acordo de cooperação e contrato de programa, nunca é demais reafirmar a responsabilidade do município frente à organização dos serviços públicos de interesse local, incluindo nessa categoria, o setor do saneamento básico.</w:t>
      </w:r>
    </w:p>
    <w:p w:rsidR="00BB71D8" w:rsidRPr="00D5039A" w:rsidRDefault="00BB71D8" w:rsidP="00D5039A">
      <w:pPr>
        <w:tabs>
          <w:tab w:val="left" w:pos="4395"/>
        </w:tabs>
        <w:autoSpaceDE w:val="0"/>
        <w:autoSpaceDN w:val="0"/>
        <w:adjustRightInd w:val="0"/>
        <w:ind w:firstLine="709"/>
        <w:jc w:val="both"/>
        <w:rPr>
          <w:rFonts w:cs="Arial"/>
          <w:szCs w:val="24"/>
          <w:lang w:eastAsia="pt-BR"/>
        </w:rPr>
      </w:pPr>
      <w:r w:rsidRPr="00D5039A">
        <w:rPr>
          <w:rFonts w:cs="Arial"/>
          <w:szCs w:val="24"/>
          <w:lang w:eastAsia="pt-BR"/>
        </w:rPr>
        <w:t xml:space="preserve">Assim, uma política de saneamento deve partir do pressuposto de que o município está dotado de autonomia e competência constitucional sobre a gestão dos serviços de saneamento, no âmbito de seu território, respeitando as condições gerais estabelecidas na legislação nacional sobre o assunto. </w:t>
      </w:r>
    </w:p>
    <w:p w:rsidR="00BB71D8" w:rsidRPr="00D5039A" w:rsidRDefault="00BB71D8" w:rsidP="00D5039A">
      <w:pPr>
        <w:tabs>
          <w:tab w:val="left" w:pos="4395"/>
        </w:tabs>
        <w:autoSpaceDE w:val="0"/>
        <w:autoSpaceDN w:val="0"/>
        <w:adjustRightInd w:val="0"/>
        <w:ind w:firstLine="709"/>
        <w:jc w:val="both"/>
        <w:rPr>
          <w:rFonts w:cs="Arial"/>
          <w:szCs w:val="24"/>
          <w:lang w:eastAsia="pt-BR"/>
        </w:rPr>
      </w:pPr>
      <w:r w:rsidRPr="00D5039A">
        <w:rPr>
          <w:rFonts w:cs="Arial"/>
          <w:szCs w:val="24"/>
          <w:lang w:eastAsia="pt-BR"/>
        </w:rPr>
        <w:t xml:space="preserve">No que diz respeito ao planejamento, à participação social, à sustentabilidade econômico-financeira do setor e ao monitoramento de seus processos internos, as principais obrigações do município, indicadas pela Lei de Saneamento são, respectivamente: elaborar o Plano Municipal de Saneamento Básico; criar um Conselho Municipal de Saneamento Básico; um Fundo Municipal de Saneamento Básico; e um Sistema Municipal de Informações em Saneamento. Para tanto, o município deverá: </w:t>
      </w:r>
    </w:p>
    <w:p w:rsidR="00BB71D8" w:rsidRPr="00C52955" w:rsidRDefault="00BB71D8" w:rsidP="0066661F">
      <w:pPr>
        <w:numPr>
          <w:ilvl w:val="0"/>
          <w:numId w:val="55"/>
        </w:numPr>
        <w:spacing w:before="120" w:after="120"/>
        <w:ind w:left="1134" w:hanging="283"/>
        <w:contextualSpacing/>
        <w:jc w:val="both"/>
      </w:pPr>
      <w:r>
        <w:t>Depois de e</w:t>
      </w:r>
      <w:r w:rsidRPr="00C52955">
        <w:t>laborar o Plano Municipal de Saneamento Básico</w:t>
      </w:r>
      <w:r>
        <w:t xml:space="preserve">, </w:t>
      </w:r>
      <w:r w:rsidRPr="00C52955">
        <w:t>encaminhá-lo, em sua íntegra, ao Poder Legislativo solicitando a san</w:t>
      </w:r>
      <w:r>
        <w:t>ç</w:t>
      </w:r>
      <w:r w:rsidRPr="00C52955">
        <w:t xml:space="preserve">ão do mesmo enquanto instrumento da política local de saneamento. </w:t>
      </w:r>
    </w:p>
    <w:p w:rsidR="00BB71D8" w:rsidRPr="00C52955" w:rsidRDefault="00BB71D8" w:rsidP="0066661F">
      <w:pPr>
        <w:numPr>
          <w:ilvl w:val="0"/>
          <w:numId w:val="55"/>
        </w:numPr>
        <w:spacing w:before="120" w:after="120"/>
        <w:ind w:left="1134" w:hanging="283"/>
        <w:contextualSpacing/>
        <w:jc w:val="both"/>
      </w:pPr>
      <w:r w:rsidRPr="00C52955">
        <w:lastRenderedPageBreak/>
        <w:t xml:space="preserve">Estabelecer mecanismos de controle social </w:t>
      </w:r>
      <w:r>
        <w:t xml:space="preserve">(realizar reuniões públicas, fazer pesquisas de opinião e de satisfação, criar canais de comunicação entre poder público e usuários, etc.) </w:t>
      </w:r>
      <w:r w:rsidRPr="00C52955">
        <w:t>para todas as etapas da gestão do saneamento.</w:t>
      </w:r>
    </w:p>
    <w:p w:rsidR="00BB71D8" w:rsidRPr="00C52955" w:rsidRDefault="00BB71D8" w:rsidP="0066661F">
      <w:pPr>
        <w:numPr>
          <w:ilvl w:val="0"/>
          <w:numId w:val="55"/>
        </w:numPr>
        <w:spacing w:before="120" w:after="120"/>
        <w:ind w:left="1134" w:hanging="283"/>
        <w:contextualSpacing/>
        <w:jc w:val="both"/>
      </w:pPr>
      <w:r>
        <w:t>Garantir que o</w:t>
      </w:r>
      <w:r w:rsidRPr="00C52955">
        <w:t xml:space="preserve"> Conselho Municipal de Saneamento Básico </w:t>
      </w:r>
      <w:r>
        <w:t>seja</w:t>
      </w:r>
      <w:r w:rsidRPr="00C52955">
        <w:t xml:space="preserve"> um órgão colegiado de caráter consultivo e deliberativo (</w:t>
      </w:r>
      <w:r>
        <w:t xml:space="preserve">as </w:t>
      </w:r>
      <w:r w:rsidRPr="00C52955">
        <w:t xml:space="preserve">funções e competências </w:t>
      </w:r>
      <w:r>
        <w:t xml:space="preserve">desse Conselho </w:t>
      </w:r>
      <w:r w:rsidRPr="00C52955">
        <w:t xml:space="preserve">poderão ser exercidas por </w:t>
      </w:r>
      <w:r>
        <w:t>uma entidade</w:t>
      </w:r>
      <w:r w:rsidRPr="00C52955">
        <w:t xml:space="preserve"> já existente, </w:t>
      </w:r>
      <w:r>
        <w:t>desde que devidamente regulamentadas através de regimento interno e estatuto</w:t>
      </w:r>
      <w:r w:rsidRPr="00C52955">
        <w:t>), assegurada a representação:</w:t>
      </w:r>
    </w:p>
    <w:p w:rsidR="00BB71D8" w:rsidRPr="00C52955" w:rsidRDefault="00BB71D8" w:rsidP="0066661F">
      <w:pPr>
        <w:pStyle w:val="PargrafodaLista"/>
        <w:numPr>
          <w:ilvl w:val="0"/>
          <w:numId w:val="58"/>
        </w:numPr>
        <w:spacing w:before="120" w:after="120"/>
      </w:pPr>
      <w:r w:rsidRPr="00C52955">
        <w:t>dos prestadores dos serviços;</w:t>
      </w:r>
    </w:p>
    <w:p w:rsidR="00BB71D8" w:rsidRPr="00C52955" w:rsidRDefault="00BB71D8" w:rsidP="0066661F">
      <w:pPr>
        <w:pStyle w:val="PargrafodaLista"/>
        <w:numPr>
          <w:ilvl w:val="0"/>
          <w:numId w:val="58"/>
        </w:numPr>
        <w:spacing w:before="120" w:after="120"/>
      </w:pPr>
      <w:r w:rsidRPr="00C52955">
        <w:t>de órgãos governamentais relacionados ao setor de saneamento básico;</w:t>
      </w:r>
    </w:p>
    <w:p w:rsidR="00BB71D8" w:rsidRPr="00C52955" w:rsidRDefault="00BB71D8" w:rsidP="0066661F">
      <w:pPr>
        <w:pStyle w:val="PargrafodaLista"/>
        <w:numPr>
          <w:ilvl w:val="0"/>
          <w:numId w:val="58"/>
        </w:numPr>
        <w:spacing w:before="120" w:after="120"/>
      </w:pPr>
      <w:r w:rsidRPr="00C52955">
        <w:t xml:space="preserve">dos gestores públicos de funções que se relacionem direta ou indiretamente com os setores do saneamento básico; </w:t>
      </w:r>
    </w:p>
    <w:p w:rsidR="00BB71D8" w:rsidRPr="001A3AD1" w:rsidRDefault="00BB71D8" w:rsidP="0066661F">
      <w:pPr>
        <w:pStyle w:val="PargrafodaLista"/>
        <w:numPr>
          <w:ilvl w:val="0"/>
          <w:numId w:val="58"/>
        </w:numPr>
        <w:spacing w:before="120" w:after="120"/>
      </w:pPr>
      <w:r w:rsidRPr="00C52955">
        <w:t xml:space="preserve">dos usuários de </w:t>
      </w:r>
      <w:r w:rsidRPr="001A3AD1">
        <w:t>serviços de saneamento básico;</w:t>
      </w:r>
    </w:p>
    <w:p w:rsidR="00BB71D8" w:rsidRPr="00452CFB" w:rsidRDefault="00BB71D8" w:rsidP="0066661F">
      <w:pPr>
        <w:pStyle w:val="PargrafodaLista"/>
        <w:numPr>
          <w:ilvl w:val="0"/>
          <w:numId w:val="58"/>
        </w:numPr>
        <w:spacing w:before="120" w:after="120"/>
      </w:pPr>
      <w:r w:rsidRPr="00452CFB">
        <w:t xml:space="preserve">de entidades técnicas, organizações da sociedade civil e de defesa do consumidor relacionadas ao setor de saneamento básico. </w:t>
      </w:r>
    </w:p>
    <w:p w:rsidR="00BB71D8" w:rsidRPr="00D53425" w:rsidRDefault="00BB71D8" w:rsidP="00BB71D8">
      <w:pPr>
        <w:spacing w:before="120" w:after="120"/>
        <w:ind w:left="1134"/>
        <w:contextualSpacing/>
        <w:jc w:val="both"/>
      </w:pPr>
      <w:r w:rsidRPr="00D5039A">
        <w:rPr>
          <w:rFonts w:cs="Arial"/>
          <w:szCs w:val="24"/>
          <w:lang w:eastAsia="pt-BR"/>
        </w:rPr>
        <w:t>Esse Conselho também pode ser configurado a partir dos Comitês de Coordenação e Executivo</w:t>
      </w:r>
      <w:r w:rsidRPr="00D53425">
        <w:t>, criados na etapa de elaboração do Plano, uma vez que os mesmos foram formados por membros de diversos setores da sociedade garantindo</w:t>
      </w:r>
      <w:r>
        <w:t>,</w:t>
      </w:r>
      <w:r w:rsidRPr="00D53425">
        <w:t xml:space="preserve"> assim, sua representatividade (gestores públicos, representantes de bairros e comunidades, prestadores de serviços, representantes de associações e cooperativas, vereadores, etc.).</w:t>
      </w:r>
    </w:p>
    <w:p w:rsidR="00BB71D8" w:rsidRPr="00925B9E" w:rsidRDefault="00BB71D8" w:rsidP="0066661F">
      <w:pPr>
        <w:numPr>
          <w:ilvl w:val="0"/>
          <w:numId w:val="55"/>
        </w:numPr>
        <w:spacing w:before="120" w:after="120"/>
        <w:ind w:left="1134" w:hanging="283"/>
        <w:contextualSpacing/>
        <w:jc w:val="both"/>
      </w:pPr>
      <w:r>
        <w:t xml:space="preserve">Garantir que o </w:t>
      </w:r>
      <w:r w:rsidRPr="001A3AD1">
        <w:t xml:space="preserve">Fundo Municipal de Saneamento Básico </w:t>
      </w:r>
      <w:r>
        <w:t>seja</w:t>
      </w:r>
      <w:r w:rsidRPr="001A3AD1">
        <w:t xml:space="preserve"> controlado pelo Conselho Municipal de Saneamento Básico. Esse fundo </w:t>
      </w:r>
      <w:r>
        <w:t xml:space="preserve">também </w:t>
      </w:r>
      <w:r w:rsidRPr="001A3AD1">
        <w:t xml:space="preserve">pode ser criado pelo município </w:t>
      </w:r>
      <w:r w:rsidRPr="00925B9E">
        <w:t xml:space="preserve">isoladamente ou por meio de vários municípios reunidos em consórcio público. A esse fundo poderão ser destinadas parcelas das receitas pelos serviços prestados e recursos recolhidos através de multas aplicadas àqueles que não observarem procedimentos regulamentados por lei. Esses recursos terão a finalidade de custear ações </w:t>
      </w:r>
      <w:r w:rsidRPr="00925B9E">
        <w:lastRenderedPageBreak/>
        <w:t>visando à universalização dos serviços públicos de saneamento básico. Ainda, os recursos desse fundo poderão ser utilizados como fontes ou garantias em operações de crédito para financiamento dos investimentos no setor.</w:t>
      </w:r>
    </w:p>
    <w:p w:rsidR="00BB71D8" w:rsidRPr="004E0C66" w:rsidRDefault="004E0C66" w:rsidP="0066661F">
      <w:pPr>
        <w:numPr>
          <w:ilvl w:val="0"/>
          <w:numId w:val="55"/>
        </w:numPr>
        <w:spacing w:before="120" w:after="120"/>
        <w:ind w:left="1134" w:hanging="283"/>
        <w:contextualSpacing/>
        <w:jc w:val="both"/>
      </w:pPr>
      <w:r>
        <w:t>Operar o S</w:t>
      </w:r>
      <w:r w:rsidR="00BB71D8" w:rsidRPr="004E0C66">
        <w:t xml:space="preserve">istema </w:t>
      </w:r>
      <w:r>
        <w:t xml:space="preserve">Municipal de Informações </w:t>
      </w:r>
      <w:r w:rsidR="005545CE">
        <w:t>sobre</w:t>
      </w:r>
      <w:r>
        <w:t xml:space="preserve"> Saneamento (SMIS)</w:t>
      </w:r>
      <w:r w:rsidR="00BB71D8" w:rsidRPr="004E0C66">
        <w:t xml:space="preserve">, </w:t>
      </w:r>
      <w:r>
        <w:t xml:space="preserve">articuladamente </w:t>
      </w:r>
      <w:r w:rsidR="00BB71D8" w:rsidRPr="004E0C66">
        <w:t xml:space="preserve"> com o Sistema Nacional de Informações </w:t>
      </w:r>
      <w:r w:rsidR="005545CE">
        <w:t>sobre</w:t>
      </w:r>
      <w:r w:rsidR="00BB71D8" w:rsidRPr="004E0C66">
        <w:t xml:space="preserve"> Saneamento (SNIS). </w:t>
      </w:r>
    </w:p>
    <w:p w:rsidR="00BB71D8" w:rsidRPr="00D5039A" w:rsidRDefault="00BB71D8" w:rsidP="00D5039A">
      <w:pPr>
        <w:tabs>
          <w:tab w:val="left" w:pos="4395"/>
        </w:tabs>
        <w:autoSpaceDE w:val="0"/>
        <w:autoSpaceDN w:val="0"/>
        <w:adjustRightInd w:val="0"/>
        <w:ind w:firstLine="709"/>
        <w:jc w:val="both"/>
        <w:rPr>
          <w:rFonts w:cs="Arial"/>
          <w:szCs w:val="24"/>
          <w:lang w:eastAsia="pt-BR"/>
        </w:rPr>
      </w:pPr>
      <w:r w:rsidRPr="00D5039A">
        <w:rPr>
          <w:rFonts w:cs="Arial"/>
          <w:szCs w:val="24"/>
          <w:lang w:eastAsia="pt-BR"/>
        </w:rPr>
        <w:t>Cabe ainda ao município:</w:t>
      </w:r>
    </w:p>
    <w:p w:rsidR="00BB71D8" w:rsidRPr="001A3AD1" w:rsidRDefault="00BB71D8" w:rsidP="0066661F">
      <w:pPr>
        <w:numPr>
          <w:ilvl w:val="0"/>
          <w:numId w:val="55"/>
        </w:numPr>
        <w:spacing w:before="120" w:after="120"/>
        <w:ind w:left="1134" w:hanging="283"/>
        <w:contextualSpacing/>
        <w:jc w:val="both"/>
      </w:pPr>
      <w:r w:rsidRPr="001A3AD1">
        <w:t>Organizar e prestar, diretamente ou sob regime de concessão ou permissão, os serviços públicos de saneamento.</w:t>
      </w:r>
    </w:p>
    <w:p w:rsidR="00BB71D8" w:rsidRPr="001A3AD1" w:rsidRDefault="00BB71D8" w:rsidP="0066661F">
      <w:pPr>
        <w:numPr>
          <w:ilvl w:val="0"/>
          <w:numId w:val="55"/>
        </w:numPr>
        <w:spacing w:before="120" w:after="120"/>
        <w:ind w:left="1134" w:hanging="283"/>
        <w:contextualSpacing/>
        <w:jc w:val="both"/>
      </w:pPr>
      <w:r w:rsidRPr="001A3AD1">
        <w:t xml:space="preserve">Intervir e retomar a operação dos serviços delegados, por indicação da entidade reguladora, nos casos e condições previstos em lei e nos documentos contratuais. </w:t>
      </w:r>
    </w:p>
    <w:p w:rsidR="00BB71D8" w:rsidRPr="001A3AD1" w:rsidRDefault="00BB71D8" w:rsidP="0066661F">
      <w:pPr>
        <w:numPr>
          <w:ilvl w:val="0"/>
          <w:numId w:val="55"/>
        </w:numPr>
        <w:spacing w:before="120" w:after="120"/>
        <w:ind w:left="1134" w:hanging="283"/>
        <w:contextualSpacing/>
        <w:jc w:val="both"/>
      </w:pPr>
      <w:r w:rsidRPr="001A3AD1">
        <w:t xml:space="preserve">Definir o ente responsável pela regulação e fiscalização da prestação de serviços, bem como os procedimentos de sua atuação. </w:t>
      </w:r>
    </w:p>
    <w:p w:rsidR="00BB71D8" w:rsidRPr="001A3AD1" w:rsidRDefault="00BB71D8" w:rsidP="0066661F">
      <w:pPr>
        <w:numPr>
          <w:ilvl w:val="0"/>
          <w:numId w:val="55"/>
        </w:numPr>
        <w:spacing w:before="120" w:after="120"/>
        <w:ind w:left="1134" w:hanging="283"/>
        <w:contextualSpacing/>
        <w:jc w:val="both"/>
      </w:pPr>
      <w:r w:rsidRPr="001A3AD1">
        <w:t>Fixar os direitos e os deveres dos usuários dos serviços de saneamento, inclusive legislando sobre assuntos considerados de interesse local (</w:t>
      </w:r>
      <w:r w:rsidRPr="00925B9E">
        <w:t xml:space="preserve">sob o amparo da Constituição Federal), </w:t>
      </w:r>
      <w:r w:rsidRPr="001A3AD1">
        <w:t xml:space="preserve">visando à universalização do atendimento e à preservação ambiental da bacia hidrográfica na qual está inserido. </w:t>
      </w:r>
    </w:p>
    <w:p w:rsidR="00BB71D8" w:rsidRPr="00D5039A" w:rsidRDefault="00BB71D8" w:rsidP="00D5039A">
      <w:pPr>
        <w:tabs>
          <w:tab w:val="left" w:pos="4395"/>
        </w:tabs>
        <w:autoSpaceDE w:val="0"/>
        <w:autoSpaceDN w:val="0"/>
        <w:adjustRightInd w:val="0"/>
        <w:ind w:firstLine="709"/>
        <w:jc w:val="both"/>
        <w:rPr>
          <w:rFonts w:cs="Arial"/>
          <w:szCs w:val="24"/>
          <w:lang w:eastAsia="pt-BR"/>
        </w:rPr>
      </w:pPr>
      <w:r w:rsidRPr="00D5039A">
        <w:rPr>
          <w:rFonts w:cs="Arial"/>
          <w:szCs w:val="24"/>
          <w:lang w:eastAsia="pt-BR"/>
        </w:rPr>
        <w:t>No que diz respeito à prestação dos serviços específicos do saneamento básico, cabe ao poder público local:</w:t>
      </w:r>
    </w:p>
    <w:p w:rsidR="00BB71D8" w:rsidRPr="00424BC8" w:rsidRDefault="00BB71D8" w:rsidP="0066661F">
      <w:pPr>
        <w:pStyle w:val="fmn-autor"/>
        <w:numPr>
          <w:ilvl w:val="0"/>
          <w:numId w:val="56"/>
        </w:numPr>
        <w:tabs>
          <w:tab w:val="left" w:pos="964"/>
        </w:tabs>
        <w:spacing w:before="120" w:after="120" w:line="360" w:lineRule="auto"/>
        <w:ind w:left="1423" w:hanging="357"/>
        <w:contextualSpacing/>
        <w:jc w:val="both"/>
        <w:rPr>
          <w:rFonts w:ascii="Arial" w:hAnsi="Arial"/>
          <w:sz w:val="24"/>
          <w:szCs w:val="24"/>
        </w:rPr>
      </w:pPr>
      <w:r w:rsidRPr="00424BC8">
        <w:rPr>
          <w:rFonts w:ascii="Arial" w:hAnsi="Arial"/>
          <w:sz w:val="24"/>
          <w:szCs w:val="24"/>
        </w:rPr>
        <w:t>Quanto ao abastecimento de água: fornecer água potável por rede de distribuição ou por poço, nascente ou cisterna, com canalização interna, em qualquer caso, sem intermitências (paralisações ou interrupções) e garantir a promoção de ações estruturais e estruturantes visando à redução de perdas e ao uso racional da água.</w:t>
      </w:r>
    </w:p>
    <w:p w:rsidR="00BB71D8" w:rsidRPr="00424BC8" w:rsidRDefault="00BB71D8" w:rsidP="0066661F">
      <w:pPr>
        <w:pStyle w:val="fmn-autor"/>
        <w:numPr>
          <w:ilvl w:val="0"/>
          <w:numId w:val="56"/>
        </w:numPr>
        <w:tabs>
          <w:tab w:val="left" w:pos="964"/>
        </w:tabs>
        <w:spacing w:before="120" w:after="120" w:line="360" w:lineRule="auto"/>
        <w:ind w:left="1423" w:hanging="357"/>
        <w:contextualSpacing/>
        <w:jc w:val="both"/>
        <w:rPr>
          <w:rFonts w:ascii="Arial" w:hAnsi="Arial"/>
          <w:sz w:val="24"/>
          <w:szCs w:val="24"/>
        </w:rPr>
      </w:pPr>
      <w:r>
        <w:rPr>
          <w:rFonts w:ascii="Arial" w:hAnsi="Arial"/>
          <w:sz w:val="24"/>
          <w:szCs w:val="24"/>
        </w:rPr>
        <w:t>Quanto ao e</w:t>
      </w:r>
      <w:r w:rsidRPr="00424BC8">
        <w:rPr>
          <w:rFonts w:ascii="Arial" w:hAnsi="Arial"/>
          <w:sz w:val="24"/>
          <w:szCs w:val="24"/>
        </w:rPr>
        <w:t xml:space="preserve">sgotamento sanitário: promover a coleta e o afastamento dos esgotos e o tratamento que viabilize o lançamento de esgotos nos solos (através de fossas sépticas) ou nos cursos d’água, sempre em conformidade com a legislação vigente aplicável. </w:t>
      </w:r>
    </w:p>
    <w:p w:rsidR="00BB71D8" w:rsidRPr="00424BC8" w:rsidRDefault="00BB71D8" w:rsidP="0066661F">
      <w:pPr>
        <w:pStyle w:val="fmn-autor"/>
        <w:numPr>
          <w:ilvl w:val="0"/>
          <w:numId w:val="56"/>
        </w:numPr>
        <w:tabs>
          <w:tab w:val="left" w:pos="964"/>
        </w:tabs>
        <w:spacing w:before="120" w:after="120" w:line="360" w:lineRule="auto"/>
        <w:ind w:left="1423" w:hanging="357"/>
        <w:contextualSpacing/>
        <w:jc w:val="both"/>
        <w:rPr>
          <w:rFonts w:ascii="Arial" w:hAnsi="Arial"/>
          <w:sz w:val="24"/>
          <w:szCs w:val="24"/>
        </w:rPr>
      </w:pPr>
      <w:r>
        <w:rPr>
          <w:rFonts w:ascii="Arial" w:hAnsi="Arial"/>
          <w:sz w:val="24"/>
          <w:szCs w:val="24"/>
        </w:rPr>
        <w:lastRenderedPageBreak/>
        <w:t>Quanto ao m</w:t>
      </w:r>
      <w:r w:rsidRPr="00424BC8">
        <w:rPr>
          <w:rFonts w:ascii="Arial" w:hAnsi="Arial"/>
          <w:sz w:val="24"/>
          <w:szCs w:val="24"/>
        </w:rPr>
        <w:t xml:space="preserve">anejo de resíduos sólidos: promover a coleta de resíduos na área urbana com frequência diária ou em dias alternados; o reaproveitamento de resíduos que tenham valor agregado; e a disposição final ambientalmente adequada dos rejeitos. Promover também a coleta direta ou indireta de resíduos na área rural com uma periodicidade não inferior a uma vez por semana, a recuperação dos recicláveis e a disposição ambientalmente adequada dos rejeitos. </w:t>
      </w:r>
    </w:p>
    <w:p w:rsidR="00BB71D8" w:rsidRPr="00424BC8" w:rsidRDefault="00BB71D8" w:rsidP="0066661F">
      <w:pPr>
        <w:pStyle w:val="fmn-autor"/>
        <w:numPr>
          <w:ilvl w:val="0"/>
          <w:numId w:val="56"/>
        </w:numPr>
        <w:tabs>
          <w:tab w:val="left" w:pos="964"/>
        </w:tabs>
        <w:spacing w:before="120" w:after="120" w:line="360" w:lineRule="auto"/>
        <w:ind w:left="1423" w:hanging="357"/>
        <w:contextualSpacing/>
        <w:jc w:val="both"/>
        <w:rPr>
          <w:rFonts w:ascii="Arial" w:hAnsi="Arial"/>
          <w:sz w:val="24"/>
          <w:szCs w:val="24"/>
        </w:rPr>
      </w:pPr>
      <w:r>
        <w:rPr>
          <w:rFonts w:ascii="Arial" w:hAnsi="Arial"/>
          <w:sz w:val="24"/>
          <w:szCs w:val="24"/>
        </w:rPr>
        <w:t>Quanto à d</w:t>
      </w:r>
      <w:r w:rsidRPr="00424BC8">
        <w:rPr>
          <w:rFonts w:ascii="Arial" w:hAnsi="Arial"/>
          <w:sz w:val="24"/>
          <w:szCs w:val="24"/>
        </w:rPr>
        <w:t xml:space="preserve">renagem urbana e manejo de águas pluviais: providenciar o estabelecimento de medidas estruturais (obras) e estruturantes (procedimentos) visando à condução de águas de chuva e ao controle de cheias, de forma a prevenir danos ao patrimônio natural ou construído do município. </w:t>
      </w:r>
    </w:p>
    <w:p w:rsidR="00BB71D8" w:rsidRPr="00D5039A" w:rsidRDefault="00BB71D8" w:rsidP="00D5039A">
      <w:pPr>
        <w:tabs>
          <w:tab w:val="left" w:pos="4395"/>
        </w:tabs>
        <w:autoSpaceDE w:val="0"/>
        <w:autoSpaceDN w:val="0"/>
        <w:adjustRightInd w:val="0"/>
        <w:ind w:firstLine="709"/>
        <w:jc w:val="both"/>
        <w:rPr>
          <w:rFonts w:cs="Arial"/>
          <w:szCs w:val="24"/>
          <w:lang w:eastAsia="pt-BR"/>
        </w:rPr>
      </w:pPr>
      <w:r w:rsidRPr="00D5039A">
        <w:rPr>
          <w:rFonts w:cs="Arial"/>
          <w:szCs w:val="24"/>
          <w:lang w:eastAsia="pt-BR"/>
        </w:rPr>
        <w:t>Assim, o Poder Público Municipal, através de suas diversas Secretarias, Departamentos e Divisões, deve garantir o bom desempenho da atuação de cada eixo do setor de saneamento, cumprindo obrigações rotineiras tais como:</w:t>
      </w:r>
    </w:p>
    <w:p w:rsidR="00BB71D8" w:rsidRPr="00CF797A" w:rsidRDefault="00BB71D8" w:rsidP="0066661F">
      <w:pPr>
        <w:numPr>
          <w:ilvl w:val="0"/>
          <w:numId w:val="55"/>
        </w:numPr>
        <w:spacing w:before="120" w:after="120"/>
        <w:ind w:left="1134" w:hanging="283"/>
        <w:contextualSpacing/>
        <w:jc w:val="both"/>
      </w:pPr>
      <w:r w:rsidRPr="00CF797A">
        <w:t>Acompanhar, fiscalizar e intervir proativamente durante a implementação das ações do Plano Municipal de Saneamento Básico.</w:t>
      </w:r>
    </w:p>
    <w:p w:rsidR="00BB71D8" w:rsidRPr="00CF797A" w:rsidRDefault="00BB71D8" w:rsidP="0066661F">
      <w:pPr>
        <w:numPr>
          <w:ilvl w:val="0"/>
          <w:numId w:val="55"/>
        </w:numPr>
        <w:spacing w:before="120" w:after="120"/>
        <w:ind w:left="1134" w:hanging="283"/>
        <w:contextualSpacing/>
        <w:jc w:val="both"/>
      </w:pPr>
      <w:r w:rsidRPr="00CF797A">
        <w:t>Garantir o controle social no âmbito do saneamento básico, por meio de ações como:</w:t>
      </w:r>
    </w:p>
    <w:p w:rsidR="00BB71D8" w:rsidRPr="00CF797A" w:rsidRDefault="00BB71D8" w:rsidP="0066661F">
      <w:pPr>
        <w:pStyle w:val="fmn-autor"/>
        <w:numPr>
          <w:ilvl w:val="0"/>
          <w:numId w:val="56"/>
        </w:numPr>
        <w:tabs>
          <w:tab w:val="left" w:pos="964"/>
        </w:tabs>
        <w:spacing w:before="120" w:after="120" w:line="360" w:lineRule="auto"/>
        <w:ind w:left="1423" w:hanging="357"/>
        <w:contextualSpacing/>
        <w:jc w:val="both"/>
        <w:rPr>
          <w:rFonts w:ascii="Arial" w:hAnsi="Arial"/>
          <w:sz w:val="24"/>
          <w:szCs w:val="24"/>
        </w:rPr>
      </w:pPr>
      <w:r w:rsidRPr="00CF797A">
        <w:rPr>
          <w:rFonts w:ascii="Arial" w:hAnsi="Arial"/>
          <w:sz w:val="24"/>
          <w:szCs w:val="24"/>
        </w:rPr>
        <w:t>Promover consultas públicas sobre os níveis de satisfação / insatisfação dos usuários quanto aos serviços de saneamento básicos oferecidos no município.</w:t>
      </w:r>
    </w:p>
    <w:p w:rsidR="00BB71D8" w:rsidRPr="00CF797A" w:rsidRDefault="00BB71D8" w:rsidP="0066661F">
      <w:pPr>
        <w:pStyle w:val="fmn-autor"/>
        <w:numPr>
          <w:ilvl w:val="0"/>
          <w:numId w:val="56"/>
        </w:numPr>
        <w:tabs>
          <w:tab w:val="left" w:pos="964"/>
        </w:tabs>
        <w:spacing w:before="120" w:after="120" w:line="360" w:lineRule="auto"/>
        <w:ind w:left="1423" w:hanging="357"/>
        <w:contextualSpacing/>
        <w:jc w:val="both"/>
        <w:rPr>
          <w:rFonts w:ascii="Arial" w:hAnsi="Arial"/>
          <w:sz w:val="24"/>
          <w:szCs w:val="24"/>
        </w:rPr>
      </w:pPr>
      <w:r w:rsidRPr="00CF797A">
        <w:rPr>
          <w:rFonts w:ascii="Arial" w:hAnsi="Arial"/>
          <w:sz w:val="24"/>
          <w:szCs w:val="24"/>
        </w:rPr>
        <w:t>Realizar pelo menos uma Conferência Municipal de Saneamento Básico por ano, visando promover a discussão das propostas e instrumentos da Política de Saneamento Básico, incluindo a aprovação de uma agenda de eventos anuais a ser praticada no município. Além disso, a conferência pode servir como forma de participação da sociedade nas questões gerenciadas pelo Conselho Municipal de Saneamento Básico e pelo Fundo Municipal de Saneamento Básico.</w:t>
      </w:r>
    </w:p>
    <w:p w:rsidR="00BB71D8" w:rsidRPr="002B3842" w:rsidRDefault="00BB71D8" w:rsidP="0066661F">
      <w:pPr>
        <w:numPr>
          <w:ilvl w:val="0"/>
          <w:numId w:val="55"/>
        </w:numPr>
        <w:spacing w:before="120" w:after="120"/>
        <w:ind w:left="1134" w:hanging="283"/>
        <w:contextualSpacing/>
        <w:jc w:val="both"/>
      </w:pPr>
      <w:r w:rsidRPr="00CF797A">
        <w:t>Adotar parâmetros para a garantia do atendimento essencial à saúde pública</w:t>
      </w:r>
      <w:r w:rsidRPr="002B3842">
        <w:t xml:space="preserve">, inclusive quanto </w:t>
      </w:r>
      <w:r>
        <w:t xml:space="preserve">à garantia do </w:t>
      </w:r>
      <w:r w:rsidRPr="002B3842">
        <w:t xml:space="preserve">volume mínimo </w:t>
      </w:r>
      <w:r w:rsidRPr="00CF797A">
        <w:rPr>
          <w:i/>
        </w:rPr>
        <w:t>per capita</w:t>
      </w:r>
      <w:r w:rsidRPr="002B3842">
        <w:t xml:space="preserve"> de água </w:t>
      </w:r>
      <w:r w:rsidRPr="002B3842">
        <w:lastRenderedPageBreak/>
        <w:t xml:space="preserve">para abastecimento público, observadas as normas nacionais relativas à potabilidade da água. </w:t>
      </w:r>
      <w:r w:rsidRPr="00452CFB">
        <w:t>Outro parâmetro emblemático para o saneamento, que deve ser adotado pelo município, é o índice de permeabilidade dos terrenos e lotes localizados na área urbana, cujas implicações recaem sobre o controle de enchentes e inundações no território municipal.</w:t>
      </w:r>
    </w:p>
    <w:p w:rsidR="00BB71D8" w:rsidRDefault="00BB71D8" w:rsidP="0066661F">
      <w:pPr>
        <w:numPr>
          <w:ilvl w:val="0"/>
          <w:numId w:val="55"/>
        </w:numPr>
        <w:spacing w:before="120" w:after="120"/>
        <w:ind w:left="1134" w:hanging="283"/>
        <w:contextualSpacing/>
        <w:jc w:val="both"/>
      </w:pPr>
      <w:r w:rsidRPr="00CF797A">
        <w:t xml:space="preserve">Planejar e promover a revisão do PMSB, no máximo a cada quatro anos, compatibilizando essas revisões com a promulgação do PPA. </w:t>
      </w:r>
      <w:r w:rsidRPr="002B3842">
        <w:t xml:space="preserve">O processo de revisão do PMSB deverá prever a disponibilização à população do conteúdo integral a ser revisado, consultas e audiências públicas que possibilitem o recebimento de sugestões e críticas por parte dos usuários dos serviços, análises e avaliações de órgãos colegiados como Conselho de Saneamento Básico e outros conselhos setoriais existentes no município, entre outras entidades interessadas em participar do processo de revisão do PMSB. </w:t>
      </w:r>
    </w:p>
    <w:p w:rsidR="00BB71D8" w:rsidRPr="002B3842" w:rsidRDefault="00BB71D8" w:rsidP="0066661F">
      <w:pPr>
        <w:numPr>
          <w:ilvl w:val="0"/>
          <w:numId w:val="55"/>
        </w:numPr>
        <w:spacing w:before="120" w:after="120"/>
        <w:ind w:left="1134" w:hanging="283"/>
        <w:contextualSpacing/>
        <w:jc w:val="both"/>
      </w:pPr>
      <w:r w:rsidRPr="00CF797A">
        <w:t xml:space="preserve">Nas ações relacionadas ao saneamento básico, garantir a priorização de áreas de risco, caso existam no município. </w:t>
      </w:r>
      <w:r w:rsidRPr="002B3842">
        <w:t>Sempre que houver necessidade de se hierarquizar intervenções, deve</w:t>
      </w:r>
      <w:r>
        <w:t xml:space="preserve">m ser </w:t>
      </w:r>
      <w:r w:rsidRPr="002B3842">
        <w:t>prioriza</w:t>
      </w:r>
      <w:r>
        <w:t>das</w:t>
      </w:r>
      <w:r w:rsidRPr="002B3842">
        <w:t xml:space="preserve"> as áreas de risco existentes no município, seja risco de deslizamento de terras, de enchentes e/ou inundações, risco </w:t>
      </w:r>
      <w:r>
        <w:t>de incidência ou reincidência, junto à população, de doenças causadas por falta de saneamento básico</w:t>
      </w:r>
      <w:r w:rsidRPr="002B3842">
        <w:t>, entre outros.</w:t>
      </w:r>
    </w:p>
    <w:p w:rsidR="00BB71D8" w:rsidRPr="002B3842" w:rsidRDefault="00BB71D8" w:rsidP="0066661F">
      <w:pPr>
        <w:numPr>
          <w:ilvl w:val="0"/>
          <w:numId w:val="55"/>
        </w:numPr>
        <w:spacing w:before="120" w:after="120"/>
        <w:ind w:left="1134" w:hanging="283"/>
        <w:contextualSpacing/>
        <w:jc w:val="both"/>
      </w:pPr>
      <w:r w:rsidRPr="00CF797A">
        <w:t xml:space="preserve">Garantir a compatibilidade entre as diversas Políticas Setoriais configuradas no Município. </w:t>
      </w:r>
      <w:r w:rsidRPr="002B3842">
        <w:t xml:space="preserve">Os objetivos e metas do PMSB devem ser compatíveis com os de outros planos setoriais, tais como o Plano Diretor, Plano de Saúde, Plano de Educação, Plano de Habitação, Plano de Turismo, </w:t>
      </w:r>
      <w:r>
        <w:t xml:space="preserve">Plano de Emergências e Contingências, </w:t>
      </w:r>
      <w:r w:rsidRPr="002B3842">
        <w:t>entre outros.</w:t>
      </w:r>
    </w:p>
    <w:p w:rsidR="00BB71D8" w:rsidRPr="00CF797A" w:rsidRDefault="00BB71D8" w:rsidP="0066661F">
      <w:pPr>
        <w:numPr>
          <w:ilvl w:val="0"/>
          <w:numId w:val="55"/>
        </w:numPr>
        <w:spacing w:before="120" w:after="120"/>
        <w:ind w:left="1134" w:hanging="283"/>
        <w:contextualSpacing/>
        <w:jc w:val="both"/>
      </w:pPr>
      <w:r w:rsidRPr="00CF797A">
        <w:t xml:space="preserve">Assumir uma postura de incentivo à participação do Município em consórcios. </w:t>
      </w:r>
      <w:r w:rsidRPr="002B3842">
        <w:t>Cabe ao Município avaliar</w:t>
      </w:r>
      <w:r>
        <w:t>,</w:t>
      </w:r>
      <w:r w:rsidRPr="002B3842">
        <w:t xml:space="preserve"> junto aos seus vizinhos</w:t>
      </w:r>
      <w:r>
        <w:t>,</w:t>
      </w:r>
      <w:r w:rsidRPr="002B3842">
        <w:t xml:space="preserve"> as vantagens de trabalhar com soluções intermunicipais por meio de consórcios. Os consórcios podem </w:t>
      </w:r>
      <w:r>
        <w:t>representar</w:t>
      </w:r>
      <w:r w:rsidRPr="002B3842">
        <w:t xml:space="preserve"> boas alternativas para a redução dos custos operacionais e gerenciais. No setor de manejo de resíduos, entre os processos passíveis de adotarem soluções consorciadas estão: a disposição final de rejeitos, </w:t>
      </w:r>
      <w:r>
        <w:t xml:space="preserve">a constituição de </w:t>
      </w:r>
      <w:r w:rsidRPr="002B3842">
        <w:t xml:space="preserve">sistemas de logística </w:t>
      </w:r>
      <w:r w:rsidRPr="002B3842">
        <w:lastRenderedPageBreak/>
        <w:t>reversa</w:t>
      </w:r>
      <w:r>
        <w:t>, a</w:t>
      </w:r>
      <w:r w:rsidRPr="002B3842">
        <w:t xml:space="preserve"> criação e desenvolvimento de cooperativas ou associações de catadores de materiais recicláveis, entre outros.</w:t>
      </w:r>
    </w:p>
    <w:p w:rsidR="00BB71D8" w:rsidRPr="002B3842" w:rsidRDefault="00BB71D8" w:rsidP="0066661F">
      <w:pPr>
        <w:numPr>
          <w:ilvl w:val="0"/>
          <w:numId w:val="55"/>
        </w:numPr>
        <w:spacing w:before="120" w:after="120"/>
        <w:ind w:left="1134" w:hanging="283"/>
        <w:contextualSpacing/>
        <w:jc w:val="both"/>
      </w:pPr>
      <w:r w:rsidRPr="00CF797A">
        <w:t xml:space="preserve">Buscar a revisão e a atualização da legislação municipal, compatibilizando-a às Leis Federais nº 11.445/07 e nº 12.305/10 e a seus decretos regulamentadores. </w:t>
      </w:r>
      <w:r w:rsidRPr="002B3842">
        <w:t>A eficiência, eficácia e efetividade das ações do PMSB dependem fortemente do suporte dado pela legislação municipal vigente, razão pela qual esse arcabouço legal</w:t>
      </w:r>
      <w:r>
        <w:t xml:space="preserve"> deve ser revisado e atualizado, </w:t>
      </w:r>
      <w:r w:rsidRPr="00452CFB">
        <w:t>e compatibilizado com as políticas nos âmbitos estadual e federal.</w:t>
      </w:r>
    </w:p>
    <w:p w:rsidR="00BB71D8" w:rsidRPr="00CF797A" w:rsidRDefault="00BB71D8" w:rsidP="0066661F">
      <w:pPr>
        <w:numPr>
          <w:ilvl w:val="0"/>
          <w:numId w:val="55"/>
        </w:numPr>
        <w:spacing w:before="120" w:after="120"/>
        <w:ind w:left="1134" w:hanging="283"/>
        <w:contextualSpacing/>
        <w:jc w:val="both"/>
      </w:pPr>
      <w:r w:rsidRPr="00CF797A">
        <w:t>Garantir o monitoramento dos serviços e da evolução do PMSB e usar seus resultados nos processos de tomada de decisão.</w:t>
      </w:r>
      <w:r w:rsidRPr="002B3842">
        <w:t xml:space="preserve"> O Município deverá monitorar os processos dos quais se vale para a prestação dos serviços dos quatro setores do saneamento, tomando por base os mesmos indicadores estabelecidos pelo Estado (em Planos Setoriais Estaduais) e pela União (PLANSAB, SINISA, SNIS, entre outros) para que cada ente da federação contribua com a sua parcela à universalização dos serviços de saneamento no país. O </w:t>
      </w:r>
      <w:r>
        <w:t>M</w:t>
      </w:r>
      <w:r w:rsidRPr="002B3842">
        <w:t xml:space="preserve">unicípio também poderá </w:t>
      </w:r>
      <w:r>
        <w:t>utilizar-se de</w:t>
      </w:r>
      <w:r w:rsidRPr="002B3842">
        <w:t xml:space="preserve"> indicadores regionais, estabelecidos por consórcios, por exemplo, e indicadores locais para processos específicos. O controle da evolução </w:t>
      </w:r>
      <w:r>
        <w:t xml:space="preserve">dos </w:t>
      </w:r>
      <w:r w:rsidRPr="002B3842">
        <w:t xml:space="preserve">indicadores, ou o monitoramento de processos, é particularmente importante uma vez que permite, não só avaliar a situação atual, mas também prever tendências futuras, </w:t>
      </w:r>
      <w:r>
        <w:t xml:space="preserve">possibilitando </w:t>
      </w:r>
      <w:r w:rsidRPr="002B3842">
        <w:t>uma melhor compreensão da realidade l</w:t>
      </w:r>
      <w:r>
        <w:t xml:space="preserve">ocal/regional/global e </w:t>
      </w:r>
      <w:r w:rsidRPr="002B3842">
        <w:t>facilitando as to</w:t>
      </w:r>
      <w:r w:rsidRPr="000806B6">
        <w:t>madas de decisão a serem empreendidas pelos gestores públicos.</w:t>
      </w:r>
    </w:p>
    <w:p w:rsidR="00BB71D8" w:rsidRDefault="00BB71D8" w:rsidP="00D5039A">
      <w:pPr>
        <w:tabs>
          <w:tab w:val="left" w:pos="4395"/>
        </w:tabs>
        <w:autoSpaceDE w:val="0"/>
        <w:autoSpaceDN w:val="0"/>
        <w:adjustRightInd w:val="0"/>
        <w:ind w:firstLine="709"/>
        <w:jc w:val="both"/>
        <w:rPr>
          <w:rFonts w:cs="Arial"/>
          <w:szCs w:val="24"/>
          <w:lang w:eastAsia="pt-BR"/>
        </w:rPr>
      </w:pPr>
      <w:r w:rsidRPr="00D5039A">
        <w:rPr>
          <w:rFonts w:cs="Arial"/>
          <w:szCs w:val="24"/>
          <w:lang w:eastAsia="pt-BR"/>
        </w:rPr>
        <w:t xml:space="preserve">Para o êxito dessas tarefas, sugere-se envolver os mesmos gestores públicos que participaram ativamente no processo de elaboração do PMSB, particularmente aqueles que integraram os Comitês Executivo e de Coordenação, uma vez que esses adquiriram certa familiaridade com as especificidades do PMSB, podendo ser nomeados para integrar o novo Departamento ou Divisão de Saneamento Básico, conforme previsto no Plano. </w:t>
      </w:r>
    </w:p>
    <w:p w:rsidR="00D8615B" w:rsidRDefault="00D8615B" w:rsidP="00D5039A">
      <w:pPr>
        <w:tabs>
          <w:tab w:val="left" w:pos="4395"/>
        </w:tabs>
        <w:autoSpaceDE w:val="0"/>
        <w:autoSpaceDN w:val="0"/>
        <w:adjustRightInd w:val="0"/>
        <w:ind w:firstLine="709"/>
        <w:jc w:val="both"/>
        <w:rPr>
          <w:rFonts w:cs="Arial"/>
          <w:szCs w:val="24"/>
          <w:lang w:eastAsia="pt-BR"/>
        </w:rPr>
      </w:pPr>
    </w:p>
    <w:p w:rsidR="00D8615B" w:rsidRPr="00D5039A" w:rsidRDefault="00D8615B" w:rsidP="00D5039A">
      <w:pPr>
        <w:tabs>
          <w:tab w:val="left" w:pos="4395"/>
        </w:tabs>
        <w:autoSpaceDE w:val="0"/>
        <w:autoSpaceDN w:val="0"/>
        <w:adjustRightInd w:val="0"/>
        <w:ind w:firstLine="709"/>
        <w:jc w:val="both"/>
        <w:rPr>
          <w:rFonts w:cs="Arial"/>
          <w:color w:val="FF0000"/>
          <w:szCs w:val="24"/>
          <w:lang w:eastAsia="pt-BR"/>
        </w:rPr>
      </w:pPr>
    </w:p>
    <w:p w:rsidR="00671620" w:rsidRDefault="00671620" w:rsidP="00BC01B1">
      <w:pPr>
        <w:pStyle w:val="SHS-Ttulo01"/>
      </w:pPr>
      <w:bookmarkStart w:id="15" w:name="_Toc488825303"/>
      <w:bookmarkStart w:id="16" w:name="_Toc493151469"/>
      <w:bookmarkStart w:id="17" w:name="_Toc498593447"/>
      <w:bookmarkStart w:id="18" w:name="_Toc504404419"/>
      <w:bookmarkStart w:id="19" w:name="_Toc509935458"/>
      <w:r>
        <w:lastRenderedPageBreak/>
        <w:t>Prestação</w:t>
      </w:r>
      <w:r w:rsidRPr="00DF4A2F">
        <w:t>, fiscalização e regulação dos serviços públicos de saneamento b</w:t>
      </w:r>
      <w:r>
        <w:t>á</w:t>
      </w:r>
      <w:r w:rsidRPr="00DF4A2F">
        <w:t>sico</w:t>
      </w:r>
      <w:bookmarkEnd w:id="15"/>
      <w:bookmarkEnd w:id="16"/>
      <w:bookmarkEnd w:id="17"/>
      <w:bookmarkEnd w:id="18"/>
      <w:bookmarkEnd w:id="19"/>
      <w:r>
        <w:t xml:space="preserve"> </w:t>
      </w:r>
    </w:p>
    <w:p w:rsidR="00671620" w:rsidRPr="00DF4A2F" w:rsidRDefault="00671620" w:rsidP="00671620">
      <w:pPr>
        <w:pStyle w:val="Default"/>
        <w:spacing w:line="360" w:lineRule="auto"/>
        <w:ind w:firstLine="709"/>
        <w:jc w:val="both"/>
        <w:rPr>
          <w:color w:val="auto"/>
        </w:rPr>
      </w:pPr>
      <w:r w:rsidRPr="00DF4A2F">
        <w:rPr>
          <w:color w:val="auto"/>
        </w:rPr>
        <w:t>Segundo a Lei nº 11.445/07 e seu decreto regulamentador, são objetivos da Política Federal de Saneamento Básico promover alternativas de gestão que viabilizem a auto</w:t>
      </w:r>
      <w:r>
        <w:rPr>
          <w:color w:val="auto"/>
        </w:rPr>
        <w:t>s</w:t>
      </w:r>
      <w:r w:rsidRPr="00DF4A2F">
        <w:rPr>
          <w:color w:val="auto"/>
        </w:rPr>
        <w:t>sustentação econômica e financeira dos serviços, com ênfase na cooperação federativa</w:t>
      </w:r>
      <w:r>
        <w:rPr>
          <w:color w:val="auto"/>
        </w:rPr>
        <w:t xml:space="preserve">, </w:t>
      </w:r>
      <w:r w:rsidRPr="00DF4A2F">
        <w:rPr>
          <w:color w:val="auto"/>
        </w:rPr>
        <w:t xml:space="preserve">e promover </w:t>
      </w:r>
      <w:r>
        <w:rPr>
          <w:color w:val="auto"/>
        </w:rPr>
        <w:t xml:space="preserve">também </w:t>
      </w:r>
      <w:r w:rsidRPr="00DF4A2F">
        <w:rPr>
          <w:color w:val="auto"/>
        </w:rPr>
        <w:t>o desenvolvimento institucional do saneamento básico, estabelecendo meios para a unidade e articulação das ações dos diferentes agentes, bem como do desenvolvimento de sua organização, capacidade técnica, gerencial, financeira e de recursos humanos, contempladas as especificidades locais.</w:t>
      </w:r>
    </w:p>
    <w:p w:rsidR="00671620" w:rsidRDefault="00671620" w:rsidP="00671620">
      <w:pPr>
        <w:pStyle w:val="Default"/>
        <w:spacing w:line="360" w:lineRule="auto"/>
        <w:ind w:firstLine="709"/>
        <w:jc w:val="both"/>
        <w:rPr>
          <w:color w:val="auto"/>
        </w:rPr>
      </w:pPr>
      <w:r w:rsidRPr="009E39AC">
        <w:rPr>
          <w:color w:val="auto"/>
        </w:rPr>
        <w:t>Conforme a Política Nacional de Saneamento Básico, as funções de gestão são: o planejamento, a prestação dos serviços, a regulação e a fiscalização, todas pautadas por mecanismos de controle social.</w:t>
      </w:r>
    </w:p>
    <w:p w:rsidR="00671620" w:rsidRPr="00810C89" w:rsidRDefault="00671620" w:rsidP="00BC01B1">
      <w:pPr>
        <w:pStyle w:val="SHS-Ttulo02"/>
      </w:pPr>
      <w:bookmarkStart w:id="20" w:name="_Toc488825304"/>
      <w:bookmarkStart w:id="21" w:name="_Toc493151470"/>
      <w:bookmarkStart w:id="22" w:name="_Toc498593448"/>
      <w:bookmarkStart w:id="23" w:name="_Toc504404420"/>
      <w:bookmarkStart w:id="24" w:name="_Toc509935459"/>
      <w:r w:rsidRPr="00810C89">
        <w:t>Modelos de prestação de serviços</w:t>
      </w:r>
      <w:bookmarkEnd w:id="20"/>
      <w:bookmarkEnd w:id="21"/>
      <w:bookmarkEnd w:id="22"/>
      <w:bookmarkEnd w:id="23"/>
      <w:bookmarkEnd w:id="24"/>
      <w:r w:rsidRPr="00810C89">
        <w:t xml:space="preserve"> </w:t>
      </w:r>
    </w:p>
    <w:p w:rsidR="00671620" w:rsidRPr="00F13800" w:rsidRDefault="00671620" w:rsidP="00671620">
      <w:pPr>
        <w:pStyle w:val="Default"/>
        <w:spacing w:line="360" w:lineRule="auto"/>
        <w:ind w:firstLine="709"/>
        <w:jc w:val="both"/>
        <w:rPr>
          <w:color w:val="auto"/>
        </w:rPr>
      </w:pPr>
      <w:r w:rsidRPr="00F13800">
        <w:rPr>
          <w:color w:val="auto"/>
        </w:rPr>
        <w:t>A prestação dos serviços de saneamento básico é competência do Município e envolve a execução de toda e qualquer atividade ou obra com o objetivo de permitir o acesso a esses serviços, em estrita conformidade com o estabelecido no planejamento e na regulação (Lei nº 11.107/2005).</w:t>
      </w:r>
    </w:p>
    <w:p w:rsidR="00671620" w:rsidRPr="00F13800" w:rsidRDefault="00671620" w:rsidP="00671620">
      <w:pPr>
        <w:pStyle w:val="Default"/>
        <w:spacing w:line="360" w:lineRule="auto"/>
        <w:ind w:firstLine="709"/>
        <w:jc w:val="both"/>
        <w:rPr>
          <w:color w:val="auto"/>
        </w:rPr>
      </w:pPr>
      <w:r w:rsidRPr="00F13800">
        <w:rPr>
          <w:color w:val="auto"/>
        </w:rPr>
        <w:t>O Município pode exercer essa função diretamente ou delegá-la a outro ente. Cabe também ao titular definir o ente responsável pela regulação e fiscalização dos serviços, inclusive os procedimentos de sua atuação, além dos mecanismos de controle social.</w:t>
      </w:r>
    </w:p>
    <w:p w:rsidR="00671620" w:rsidRPr="00F13800" w:rsidRDefault="00671620" w:rsidP="00671620">
      <w:pPr>
        <w:pStyle w:val="Default"/>
        <w:spacing w:line="360" w:lineRule="auto"/>
        <w:ind w:firstLine="709"/>
        <w:jc w:val="both"/>
        <w:rPr>
          <w:color w:val="auto"/>
        </w:rPr>
      </w:pPr>
      <w:r w:rsidRPr="00F13800">
        <w:rPr>
          <w:color w:val="auto"/>
        </w:rPr>
        <w:t xml:space="preserve">Existem três formas de prestação dos serviços de saneamento básico: a </w:t>
      </w:r>
      <w:r w:rsidRPr="0084247C">
        <w:rPr>
          <w:color w:val="auto"/>
        </w:rPr>
        <w:t>prestaç</w:t>
      </w:r>
      <w:r w:rsidR="0084247C" w:rsidRPr="0084247C">
        <w:rPr>
          <w:color w:val="auto"/>
        </w:rPr>
        <w:t>ão direta, a prestação indireta</w:t>
      </w:r>
      <w:r w:rsidRPr="0084247C">
        <w:rPr>
          <w:color w:val="auto"/>
        </w:rPr>
        <w:t xml:space="preserve"> e a gestão associada, conforme</w:t>
      </w:r>
      <w:r w:rsidRPr="00F13800">
        <w:rPr>
          <w:color w:val="auto"/>
        </w:rPr>
        <w:t xml:space="preserve"> mostra o </w:t>
      </w:r>
      <w:r w:rsidRPr="00F13800">
        <w:rPr>
          <w:color w:val="auto"/>
        </w:rPr>
        <w:fldChar w:fldCharType="begin"/>
      </w:r>
      <w:r w:rsidRPr="00F13800">
        <w:rPr>
          <w:color w:val="auto"/>
        </w:rPr>
        <w:instrText xml:space="preserve"> REF _Ref484510221 \h  \* MERGEFORMAT </w:instrText>
      </w:r>
      <w:r w:rsidRPr="00F13800">
        <w:rPr>
          <w:color w:val="auto"/>
        </w:rPr>
      </w:r>
      <w:r w:rsidRPr="00F13800">
        <w:rPr>
          <w:color w:val="auto"/>
        </w:rPr>
        <w:fldChar w:fldCharType="separate"/>
      </w:r>
      <w:r w:rsidR="001B481B" w:rsidRPr="001B481B">
        <w:rPr>
          <w:color w:val="auto"/>
        </w:rPr>
        <w:t>Quadro 1</w:t>
      </w:r>
      <w:r w:rsidRPr="00F13800">
        <w:rPr>
          <w:color w:val="auto"/>
        </w:rPr>
        <w:fldChar w:fldCharType="end"/>
      </w:r>
      <w:r w:rsidRPr="00F13800">
        <w:rPr>
          <w:color w:val="auto"/>
        </w:rPr>
        <w:t>.</w:t>
      </w:r>
    </w:p>
    <w:p w:rsidR="00671620" w:rsidRPr="00917BC7" w:rsidRDefault="00671620" w:rsidP="00E95583">
      <w:pPr>
        <w:pStyle w:val="Legenda"/>
      </w:pPr>
      <w:bookmarkStart w:id="25" w:name="_Ref484510221"/>
      <w:bookmarkStart w:id="26" w:name="_Toc488825045"/>
      <w:bookmarkStart w:id="27" w:name="_Toc493151581"/>
      <w:bookmarkStart w:id="28" w:name="_Toc498593638"/>
      <w:bookmarkStart w:id="29" w:name="_Toc503949429"/>
      <w:bookmarkStart w:id="30" w:name="_Toc509935778"/>
      <w:r w:rsidRPr="00DF4A2F">
        <w:lastRenderedPageBreak/>
        <w:t xml:space="preserve">Quadro </w:t>
      </w:r>
      <w:r w:rsidR="000A1C78">
        <w:fldChar w:fldCharType="begin"/>
      </w:r>
      <w:r w:rsidR="000A1C78">
        <w:instrText xml:space="preserve"> SEQ Quadro \* ARABIC </w:instrText>
      </w:r>
      <w:r w:rsidR="000A1C78">
        <w:fldChar w:fldCharType="separate"/>
      </w:r>
      <w:r w:rsidR="001B481B">
        <w:rPr>
          <w:noProof/>
        </w:rPr>
        <w:t>1</w:t>
      </w:r>
      <w:r w:rsidR="000A1C78">
        <w:rPr>
          <w:noProof/>
        </w:rPr>
        <w:fldChar w:fldCharType="end"/>
      </w:r>
      <w:bookmarkEnd w:id="25"/>
      <w:r w:rsidRPr="00DF4A2F">
        <w:t xml:space="preserve"> - </w:t>
      </w:r>
      <w:r>
        <w:t>Formas</w:t>
      </w:r>
      <w:r w:rsidRPr="00DF4A2F">
        <w:t xml:space="preserve"> de </w:t>
      </w:r>
      <w:r>
        <w:t xml:space="preserve">prestação de </w:t>
      </w:r>
      <w:r w:rsidRPr="00DF4A2F">
        <w:t xml:space="preserve">serviços </w:t>
      </w:r>
      <w:r>
        <w:t>públicos admitidas pela Constituição Federal</w:t>
      </w:r>
      <w:bookmarkEnd w:id="26"/>
      <w:bookmarkEnd w:id="27"/>
      <w:bookmarkEnd w:id="28"/>
      <w:bookmarkEnd w:id="29"/>
      <w:bookmarkEnd w:id="30"/>
    </w:p>
    <w:p w:rsidR="00671620" w:rsidRDefault="00671620" w:rsidP="00671620">
      <w:pPr>
        <w:pStyle w:val="figura"/>
      </w:pPr>
      <w:r>
        <w:rPr>
          <w:noProof/>
        </w:rPr>
        <w:drawing>
          <wp:inline distT="0" distB="0" distL="0" distR="0" wp14:anchorId="4742516A" wp14:editId="563A2D18">
            <wp:extent cx="5760000" cy="329672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b="2997"/>
                    <a:stretch/>
                  </pic:blipFill>
                  <pic:spPr bwMode="auto">
                    <a:xfrm>
                      <a:off x="0" y="0"/>
                      <a:ext cx="5760000" cy="3296720"/>
                    </a:xfrm>
                    <a:prstGeom prst="rect">
                      <a:avLst/>
                    </a:prstGeom>
                    <a:ln>
                      <a:noFill/>
                    </a:ln>
                    <a:extLst>
                      <a:ext uri="{53640926-AAD7-44D8-BBD7-CCE9431645EC}">
                        <a14:shadowObscured xmlns:a14="http://schemas.microsoft.com/office/drawing/2010/main"/>
                      </a:ext>
                    </a:extLst>
                  </pic:spPr>
                </pic:pic>
              </a:graphicData>
            </a:graphic>
          </wp:inline>
        </w:drawing>
      </w:r>
    </w:p>
    <w:p w:rsidR="00671620" w:rsidRDefault="00671620" w:rsidP="00AC47A2">
      <w:pPr>
        <w:pStyle w:val="Fonte"/>
      </w:pPr>
      <w:r>
        <w:t xml:space="preserve">Fonte: ReCESA, 2013; </w:t>
      </w:r>
      <w:r w:rsidRPr="003B12B2">
        <w:t>adaptado de Ribeiro, 20</w:t>
      </w:r>
      <w:r w:rsidR="003B12B2" w:rsidRPr="003B12B2">
        <w:t>0</w:t>
      </w:r>
      <w:r w:rsidRPr="003B12B2">
        <w:t>7.</w:t>
      </w:r>
    </w:p>
    <w:p w:rsidR="00671620" w:rsidRPr="00810C89" w:rsidRDefault="00671620" w:rsidP="00BC01B1">
      <w:pPr>
        <w:pStyle w:val="Ttulo3"/>
      </w:pPr>
      <w:bookmarkStart w:id="31" w:name="_Toc488825305"/>
      <w:bookmarkStart w:id="32" w:name="_Toc493151471"/>
      <w:bookmarkStart w:id="33" w:name="_Toc498593449"/>
      <w:bookmarkStart w:id="34" w:name="_Toc504404421"/>
      <w:bookmarkStart w:id="35" w:name="_Toc509935460"/>
      <w:r w:rsidRPr="00810C89">
        <w:t>Prestação direta</w:t>
      </w:r>
      <w:bookmarkEnd w:id="31"/>
      <w:bookmarkEnd w:id="32"/>
      <w:bookmarkEnd w:id="33"/>
      <w:bookmarkEnd w:id="34"/>
      <w:bookmarkEnd w:id="35"/>
    </w:p>
    <w:p w:rsidR="00671620" w:rsidRPr="00DF4A2F" w:rsidRDefault="00671620" w:rsidP="00671620">
      <w:pPr>
        <w:pStyle w:val="Default"/>
        <w:spacing w:line="360" w:lineRule="auto"/>
        <w:ind w:firstLine="709"/>
        <w:jc w:val="both"/>
        <w:rPr>
          <w:color w:val="auto"/>
        </w:rPr>
      </w:pPr>
      <w:r w:rsidRPr="0040239C">
        <w:rPr>
          <w:color w:val="auto"/>
        </w:rPr>
        <w:t xml:space="preserve">Conforme mostra o quadro, o Município pode prestar diretamente os serviços de saneamento básico, via administração central, </w:t>
      </w:r>
      <w:r w:rsidRPr="00DF4A2F">
        <w:rPr>
          <w:color w:val="auto"/>
        </w:rPr>
        <w:t>distribui</w:t>
      </w:r>
      <w:r>
        <w:rPr>
          <w:color w:val="auto"/>
        </w:rPr>
        <w:t>ndo</w:t>
      </w:r>
      <w:r w:rsidRPr="00DF4A2F">
        <w:rPr>
          <w:color w:val="auto"/>
        </w:rPr>
        <w:t xml:space="preserve"> as atribuições pela prestação dos serviços entre </w:t>
      </w:r>
      <w:r>
        <w:rPr>
          <w:color w:val="auto"/>
        </w:rPr>
        <w:t xml:space="preserve">as várias </w:t>
      </w:r>
      <w:r w:rsidRPr="00DF4A2F">
        <w:rPr>
          <w:color w:val="auto"/>
        </w:rPr>
        <w:t xml:space="preserve">secretarias ou </w:t>
      </w:r>
      <w:r w:rsidRPr="003B12B2">
        <w:rPr>
          <w:color w:val="auto"/>
        </w:rPr>
        <w:t>departamentos (PEREIRA, 1998).</w:t>
      </w:r>
    </w:p>
    <w:p w:rsidR="00671620" w:rsidRPr="0040239C" w:rsidRDefault="00671620" w:rsidP="00671620">
      <w:pPr>
        <w:pStyle w:val="Default"/>
        <w:spacing w:line="360" w:lineRule="auto"/>
        <w:ind w:firstLine="709"/>
        <w:jc w:val="both"/>
        <w:rPr>
          <w:color w:val="auto"/>
        </w:rPr>
      </w:pPr>
      <w:r w:rsidRPr="0040239C">
        <w:rPr>
          <w:color w:val="auto"/>
        </w:rPr>
        <w:t xml:space="preserve">A prestação direta também pode se dar de forma descentralizada, sendo feita por meio de autarquia, sociedade de economia (fundação) ou empresa pública. </w:t>
      </w:r>
    </w:p>
    <w:p w:rsidR="00671620" w:rsidRPr="00DF4A2F" w:rsidRDefault="00671620" w:rsidP="00671620">
      <w:pPr>
        <w:pStyle w:val="Default"/>
        <w:spacing w:line="360" w:lineRule="auto"/>
        <w:ind w:firstLine="709"/>
        <w:jc w:val="both"/>
        <w:rPr>
          <w:color w:val="auto"/>
        </w:rPr>
      </w:pPr>
      <w:r w:rsidRPr="00DF4A2F">
        <w:rPr>
          <w:color w:val="auto"/>
        </w:rPr>
        <w:t xml:space="preserve">O termo autarquia significa “comando próprio”, “direção própria”, “autogoverno”, sendo formado por dois elementos derivados do </w:t>
      </w:r>
      <w:r>
        <w:rPr>
          <w:color w:val="auto"/>
        </w:rPr>
        <w:t>g</w:t>
      </w:r>
      <w:r w:rsidRPr="00DF4A2F">
        <w:rPr>
          <w:color w:val="auto"/>
        </w:rPr>
        <w:t xml:space="preserve">rego: autós (próprio) e arquia (comando, </w:t>
      </w:r>
      <w:r w:rsidRPr="003B12B2">
        <w:rPr>
          <w:color w:val="auto"/>
        </w:rPr>
        <w:t>governo) (CRETELLA JÚNIOR, 1980).</w:t>
      </w:r>
    </w:p>
    <w:p w:rsidR="00671620" w:rsidRPr="00AB1115" w:rsidRDefault="00671620" w:rsidP="00671620">
      <w:pPr>
        <w:pStyle w:val="Default"/>
        <w:spacing w:line="360" w:lineRule="auto"/>
        <w:ind w:firstLine="709"/>
        <w:jc w:val="both"/>
        <w:rPr>
          <w:color w:val="auto"/>
        </w:rPr>
      </w:pPr>
      <w:r w:rsidRPr="00DF4A2F">
        <w:rPr>
          <w:color w:val="auto"/>
        </w:rPr>
        <w:t xml:space="preserve">As autarquias são entes administrativos autônomos, com personalidade jurídica de direito público, que desempenham funções eminentemente públicas, sob o controle estadual ou municipal. Atuam em nome próprio, sendo criadas por lei específica (CF, art. 37, XIX), de </w:t>
      </w:r>
      <w:r w:rsidRPr="00AB1115">
        <w:rPr>
          <w:color w:val="auto"/>
        </w:rPr>
        <w:t xml:space="preserve">iniciativa do chefe do Poder Executivo (CF, art. 61, § 1º), e sua organização é imposta por decreto, regulamento ou </w:t>
      </w:r>
      <w:r w:rsidRPr="003B12B2">
        <w:rPr>
          <w:color w:val="auto"/>
        </w:rPr>
        <w:t>estatuto (ROSA, 2007).</w:t>
      </w:r>
      <w:r w:rsidRPr="00AB1115">
        <w:rPr>
          <w:color w:val="auto"/>
        </w:rPr>
        <w:t xml:space="preserve"> </w:t>
      </w:r>
    </w:p>
    <w:p w:rsidR="00671620" w:rsidRPr="00DF4A2F" w:rsidRDefault="0084247C" w:rsidP="00671620">
      <w:pPr>
        <w:pStyle w:val="Default"/>
        <w:spacing w:line="360" w:lineRule="auto"/>
        <w:ind w:firstLine="709"/>
        <w:jc w:val="both"/>
        <w:rPr>
          <w:color w:val="auto"/>
        </w:rPr>
      </w:pPr>
      <w:r>
        <w:rPr>
          <w:color w:val="auto"/>
        </w:rPr>
        <w:t>Essa modalidade</w:t>
      </w:r>
      <w:r w:rsidR="00671620" w:rsidRPr="00AB1115">
        <w:rPr>
          <w:color w:val="auto"/>
        </w:rPr>
        <w:t xml:space="preserve"> tem como competência exercer as atividades relacionadas à administração, operação, manutenção e expansão dos serviços de saneamento, assim como a prestação direta centralizada</w:t>
      </w:r>
      <w:r w:rsidR="00671620">
        <w:rPr>
          <w:color w:val="auto"/>
        </w:rPr>
        <w:t>.</w:t>
      </w:r>
    </w:p>
    <w:p w:rsidR="00671620" w:rsidRPr="00DF4A2F" w:rsidRDefault="00671620" w:rsidP="00671620">
      <w:pPr>
        <w:pStyle w:val="Default"/>
        <w:spacing w:line="360" w:lineRule="auto"/>
        <w:ind w:firstLine="709"/>
        <w:jc w:val="both"/>
        <w:rPr>
          <w:color w:val="auto"/>
        </w:rPr>
      </w:pPr>
      <w:r w:rsidRPr="00DF4A2F">
        <w:rPr>
          <w:color w:val="auto"/>
        </w:rPr>
        <w:lastRenderedPageBreak/>
        <w:t xml:space="preserve">Em estudo sobre os diferentes modelos de prestação dos serviços de saneamento básico utilizando </w:t>
      </w:r>
      <w:r w:rsidRPr="003B12B2">
        <w:rPr>
          <w:color w:val="auto"/>
        </w:rPr>
        <w:t>indicadores, Heller, Coutinho e Mingoti (2006) destacam</w:t>
      </w:r>
      <w:r w:rsidRPr="00DF4A2F">
        <w:rPr>
          <w:color w:val="auto"/>
        </w:rPr>
        <w:t xml:space="preserve"> o bom desempenho das autarquias, citando 20 experiências municipais de êxito, divulgada</w:t>
      </w:r>
      <w:r>
        <w:rPr>
          <w:color w:val="auto"/>
        </w:rPr>
        <w:t>s</w:t>
      </w:r>
      <w:r w:rsidRPr="00DF4A2F">
        <w:rPr>
          <w:color w:val="auto"/>
        </w:rPr>
        <w:t xml:space="preserve"> pela Associação Nacional dos Serviços Municipais de Saneamento </w:t>
      </w:r>
      <w:r w:rsidRPr="003F3340">
        <w:rPr>
          <w:color w:val="auto"/>
        </w:rPr>
        <w:t>(ASSEMAE).</w:t>
      </w:r>
    </w:p>
    <w:p w:rsidR="00671620" w:rsidRPr="00DF4A2F" w:rsidRDefault="00671620" w:rsidP="00671620">
      <w:pPr>
        <w:pStyle w:val="Default"/>
        <w:spacing w:line="360" w:lineRule="auto"/>
        <w:ind w:firstLine="709"/>
        <w:jc w:val="both"/>
        <w:rPr>
          <w:color w:val="auto"/>
        </w:rPr>
      </w:pPr>
      <w:r w:rsidRPr="00DF4A2F">
        <w:rPr>
          <w:color w:val="auto"/>
        </w:rPr>
        <w:t>A ASSEMAE, que surgiu da resistência à política autoritária de não reconhecimento do poder local, ao publicar essas experiências traz uma reflexão da capacidade de os municípios se organizarem e traçarem suas diretrizes para o saneamento básico de forma integrada com as políticas públicas locais.</w:t>
      </w:r>
    </w:p>
    <w:p w:rsidR="00671620" w:rsidRPr="00A8563C" w:rsidRDefault="00671620" w:rsidP="00671620">
      <w:pPr>
        <w:pStyle w:val="Default"/>
        <w:spacing w:line="360" w:lineRule="auto"/>
        <w:ind w:firstLine="709"/>
        <w:jc w:val="both"/>
        <w:rPr>
          <w:color w:val="auto"/>
        </w:rPr>
      </w:pPr>
      <w:r w:rsidRPr="00DF4A2F">
        <w:rPr>
          <w:color w:val="auto"/>
        </w:rPr>
        <w:t>As experiências bem-sucedidas de autarquias municipais de saneamento básico são demonstrações de fortalecimento do poder local e de possibilidade de rompimento com a concepção centralizadora e distante da população local que foi adotada na década de 70. A resistência de muitos municípios a não aderir à política implantada nessa época é um dos fatores que contribuíram para a existência das autarquias municipais na prestação dos serviços públicos de saneamento básico. Normalmente</w:t>
      </w:r>
      <w:r>
        <w:rPr>
          <w:color w:val="auto"/>
        </w:rPr>
        <w:t>,</w:t>
      </w:r>
      <w:r w:rsidRPr="00DF4A2F">
        <w:rPr>
          <w:color w:val="auto"/>
        </w:rPr>
        <w:t xml:space="preserve"> as autarquias municipais recebem a denominação de Serviço Autônomo de Água e Esgoto — SAAE, Superintendência de Água e Esgoto — SAE ou Departamento Municipal de Água e Esgoto — DMAE. Muitas autarquias foram administradas pela antiga Fundação de Serviços de </w:t>
      </w:r>
      <w:r w:rsidRPr="00A8563C">
        <w:rPr>
          <w:color w:val="auto"/>
        </w:rPr>
        <w:t>Saúde Pública (FSESP), atual Fundação Nacional de Saúde (FUNASA).</w:t>
      </w:r>
    </w:p>
    <w:p w:rsidR="00671620" w:rsidRPr="00A8563C" w:rsidRDefault="00671620" w:rsidP="00BC01B1">
      <w:pPr>
        <w:pStyle w:val="Ttulo3"/>
      </w:pPr>
      <w:bookmarkStart w:id="36" w:name="_Toc488825306"/>
      <w:bookmarkStart w:id="37" w:name="_Toc493151472"/>
      <w:bookmarkStart w:id="38" w:name="_Toc498593450"/>
      <w:bookmarkStart w:id="39" w:name="_Toc504404422"/>
      <w:bookmarkStart w:id="40" w:name="_Toc509935461"/>
      <w:r w:rsidRPr="00A8563C">
        <w:t>Prestação indireta</w:t>
      </w:r>
      <w:bookmarkEnd w:id="36"/>
      <w:bookmarkEnd w:id="37"/>
      <w:bookmarkEnd w:id="38"/>
      <w:bookmarkEnd w:id="39"/>
      <w:bookmarkEnd w:id="40"/>
    </w:p>
    <w:p w:rsidR="00671620" w:rsidRPr="00810C89" w:rsidRDefault="00671620" w:rsidP="00BC01B1">
      <w:pPr>
        <w:pStyle w:val="Ttulo4"/>
      </w:pPr>
      <w:bookmarkStart w:id="41" w:name="_Toc488825307"/>
      <w:bookmarkStart w:id="42" w:name="_Toc493151473"/>
      <w:bookmarkStart w:id="43" w:name="_Toc498593451"/>
      <w:bookmarkStart w:id="44" w:name="_Toc504404423"/>
      <w:bookmarkStart w:id="45" w:name="_Toc509935462"/>
      <w:r w:rsidRPr="00810C89">
        <w:t>Prestação por concessão</w:t>
      </w:r>
      <w:bookmarkEnd w:id="41"/>
      <w:bookmarkEnd w:id="42"/>
      <w:bookmarkEnd w:id="43"/>
      <w:bookmarkEnd w:id="44"/>
      <w:bookmarkEnd w:id="45"/>
    </w:p>
    <w:p w:rsidR="00671620" w:rsidRDefault="00671620" w:rsidP="00671620">
      <w:pPr>
        <w:pStyle w:val="Default"/>
        <w:spacing w:line="360" w:lineRule="auto"/>
        <w:ind w:firstLine="709"/>
        <w:jc w:val="both"/>
        <w:rPr>
          <w:color w:val="auto"/>
        </w:rPr>
      </w:pPr>
      <w:r w:rsidRPr="006D16CC">
        <w:rPr>
          <w:color w:val="auto"/>
        </w:rPr>
        <w:t>O município pode ainda delegar a prestação a terceiros por meio de licitação pública e contrato de concessão (com empresa estatal ou privada), o que caracteriza a prestação indireta. Os contratos de concessão com empresa estatal ou privada devem atender, além da legislação e regulação do titular, às normas gerais da Lei Federal nº 8.987/1995, que dispõe sobre o regime de concessão e permissão da prestação de serviços públicos, sempre precedida de licitação pública, que se processa conforme a Lei Federal nº 8.666/1993.</w:t>
      </w:r>
    </w:p>
    <w:p w:rsidR="00D8615B" w:rsidRDefault="00D8615B" w:rsidP="00671620">
      <w:pPr>
        <w:pStyle w:val="Default"/>
        <w:spacing w:line="360" w:lineRule="auto"/>
        <w:ind w:firstLine="709"/>
        <w:jc w:val="both"/>
        <w:rPr>
          <w:color w:val="auto"/>
        </w:rPr>
      </w:pPr>
    </w:p>
    <w:p w:rsidR="00D8615B" w:rsidRPr="006D16CC" w:rsidRDefault="00D8615B" w:rsidP="00671620">
      <w:pPr>
        <w:pStyle w:val="Default"/>
        <w:spacing w:line="360" w:lineRule="auto"/>
        <w:ind w:firstLine="709"/>
        <w:jc w:val="both"/>
        <w:rPr>
          <w:color w:val="auto"/>
        </w:rPr>
      </w:pPr>
    </w:p>
    <w:p w:rsidR="00671620" w:rsidRPr="003F3340" w:rsidRDefault="00671620" w:rsidP="00BC01B1">
      <w:pPr>
        <w:pStyle w:val="Ttulo4"/>
      </w:pPr>
      <w:bookmarkStart w:id="46" w:name="_Toc488825308"/>
      <w:bookmarkStart w:id="47" w:name="_Toc493151474"/>
      <w:bookmarkStart w:id="48" w:name="_Toc498593452"/>
      <w:bookmarkStart w:id="49" w:name="_Toc504404424"/>
      <w:bookmarkStart w:id="50" w:name="_Toc509935463"/>
      <w:r w:rsidRPr="003F3340">
        <w:lastRenderedPageBreak/>
        <w:t>Prestação público-privada</w:t>
      </w:r>
      <w:bookmarkEnd w:id="46"/>
      <w:bookmarkEnd w:id="47"/>
      <w:bookmarkEnd w:id="48"/>
      <w:bookmarkEnd w:id="49"/>
      <w:bookmarkEnd w:id="50"/>
    </w:p>
    <w:p w:rsidR="00671620" w:rsidRPr="00A3769E" w:rsidRDefault="00671620" w:rsidP="00671620">
      <w:pPr>
        <w:pStyle w:val="Default"/>
        <w:spacing w:line="360" w:lineRule="auto"/>
        <w:ind w:firstLine="709"/>
        <w:jc w:val="both"/>
        <w:rPr>
          <w:color w:val="auto"/>
        </w:rPr>
      </w:pPr>
      <w:r w:rsidRPr="00A3769E">
        <w:rPr>
          <w:color w:val="auto"/>
        </w:rPr>
        <w:t xml:space="preserve">Esse modelo de </w:t>
      </w:r>
      <w:r>
        <w:rPr>
          <w:color w:val="auto"/>
        </w:rPr>
        <w:t>prestação</w:t>
      </w:r>
      <w:r w:rsidRPr="00A3769E">
        <w:rPr>
          <w:color w:val="auto"/>
        </w:rPr>
        <w:t xml:space="preserve"> é caracterizado por concessões de serviços públicos, regidas pela Lei nº 11.079/04, que envolvam contraprestação pecuniária pública. Nas parcerias público-privadas (PPP), o Estado participa, integral ou parcialmente, da remuneração do concessionário, enquanto na concessão comum, o concessionário é remunerado básica e especialmente através das tarifas cobradas diretamente pelos usuários.</w:t>
      </w:r>
      <w:r>
        <w:rPr>
          <w:color w:val="auto"/>
        </w:rPr>
        <w:t xml:space="preserve"> </w:t>
      </w:r>
      <w:r w:rsidRPr="00A3769E">
        <w:rPr>
          <w:color w:val="auto"/>
        </w:rPr>
        <w:t>Existe uma subdivisão das parcerias público-privadas: concessões administrativas e concessões patrocinadas.</w:t>
      </w:r>
    </w:p>
    <w:p w:rsidR="00671620" w:rsidRPr="00A3769E" w:rsidRDefault="00671620" w:rsidP="00671620">
      <w:pPr>
        <w:pStyle w:val="Default"/>
        <w:rPr>
          <w:b/>
          <w:bCs/>
          <w:color w:val="auto"/>
          <w:sz w:val="23"/>
          <w:szCs w:val="23"/>
        </w:rPr>
      </w:pPr>
    </w:p>
    <w:p w:rsidR="00671620" w:rsidRPr="00A3769E" w:rsidRDefault="00671620" w:rsidP="0066661F">
      <w:pPr>
        <w:pStyle w:val="Default"/>
        <w:numPr>
          <w:ilvl w:val="0"/>
          <w:numId w:val="67"/>
        </w:numPr>
        <w:spacing w:line="360" w:lineRule="auto"/>
        <w:jc w:val="both"/>
        <w:rPr>
          <w:color w:val="auto"/>
        </w:rPr>
      </w:pPr>
      <w:r w:rsidRPr="00A3769E">
        <w:rPr>
          <w:b/>
          <w:bCs/>
          <w:color w:val="auto"/>
        </w:rPr>
        <w:t xml:space="preserve">Concessões administrativas: </w:t>
      </w:r>
      <w:r w:rsidRPr="00A3769E">
        <w:rPr>
          <w:bCs/>
          <w:color w:val="auto"/>
        </w:rPr>
        <w:t>nesse modelo,</w:t>
      </w:r>
      <w:r w:rsidRPr="00A3769E">
        <w:rPr>
          <w:b/>
          <w:bCs/>
          <w:color w:val="auto"/>
        </w:rPr>
        <w:t xml:space="preserve"> </w:t>
      </w:r>
      <w:r w:rsidRPr="00A3769E">
        <w:rPr>
          <w:color w:val="auto"/>
        </w:rPr>
        <w:t>a Administração concede a prestação do serviço ao parceiro privado e o remunera na exata proporção dos serviços prestados, na função de usuário ou beneficiário direto da atividade. É tido como modelo ideal para as atividades que não comportam cobrança direta de tarifas dos usuários, seja pela impossibilidade de se identificar uma relação contratual entre o tomador e o prestador do serviço, ou pelos interesses sociais envolvidos na questão.</w:t>
      </w:r>
    </w:p>
    <w:p w:rsidR="00671620" w:rsidRPr="00A3769E" w:rsidRDefault="00671620" w:rsidP="0066661F">
      <w:pPr>
        <w:pStyle w:val="Default"/>
        <w:numPr>
          <w:ilvl w:val="0"/>
          <w:numId w:val="67"/>
        </w:numPr>
        <w:spacing w:line="360" w:lineRule="auto"/>
        <w:jc w:val="both"/>
        <w:rPr>
          <w:color w:val="auto"/>
        </w:rPr>
      </w:pPr>
      <w:r w:rsidRPr="00A3769E">
        <w:rPr>
          <w:b/>
          <w:bCs/>
          <w:color w:val="auto"/>
        </w:rPr>
        <w:t xml:space="preserve">Concessões patrocinadas: </w:t>
      </w:r>
      <w:r w:rsidRPr="00A3769E">
        <w:rPr>
          <w:bCs/>
          <w:color w:val="auto"/>
        </w:rPr>
        <w:t>nesse modelo,</w:t>
      </w:r>
      <w:r w:rsidRPr="00A3769E">
        <w:rPr>
          <w:b/>
          <w:bCs/>
          <w:color w:val="auto"/>
        </w:rPr>
        <w:t xml:space="preserve"> </w:t>
      </w:r>
      <w:r w:rsidRPr="00A3769E">
        <w:rPr>
          <w:color w:val="auto"/>
        </w:rPr>
        <w:t>a Administração complementa a remuneração do concessionário, pagando uma contraprestação pecuniária ao lado das tarifas cobradas dos usuários do serviço público. Ao mesmo tempo em que viabiliza investimentos particulares e aproveita o ganho de eficiência da atividade empresarial privada nos serviços de saneamento básico, auxilia as atividades do setor que normalmente operam em condições financeiras não sustentáveis. Existe neste modelo o risco plausível d</w:t>
      </w:r>
      <w:r>
        <w:rPr>
          <w:color w:val="auto"/>
        </w:rPr>
        <w:t xml:space="preserve">e </w:t>
      </w:r>
      <w:r w:rsidRPr="00A3769E">
        <w:rPr>
          <w:color w:val="auto"/>
        </w:rPr>
        <w:t>o concessionário assumir uma atividade deficitária, no entanto, sua capacidade de recuperação do capital investido é, via de regra, considerada boa.</w:t>
      </w:r>
    </w:p>
    <w:p w:rsidR="00671620" w:rsidRPr="003F3340" w:rsidRDefault="00671620" w:rsidP="00BC01B1">
      <w:pPr>
        <w:pStyle w:val="Ttulo4"/>
      </w:pPr>
      <w:bookmarkStart w:id="51" w:name="_Toc488825309"/>
      <w:bookmarkStart w:id="52" w:name="_Toc493151475"/>
      <w:bookmarkStart w:id="53" w:name="_Toc498593453"/>
      <w:bookmarkStart w:id="54" w:name="_Toc504404425"/>
      <w:bookmarkStart w:id="55" w:name="_Toc509935464"/>
      <w:r w:rsidRPr="003F3340">
        <w:t>Prestação privada</w:t>
      </w:r>
      <w:bookmarkEnd w:id="51"/>
      <w:bookmarkEnd w:id="52"/>
      <w:bookmarkEnd w:id="53"/>
      <w:bookmarkEnd w:id="54"/>
      <w:bookmarkEnd w:id="55"/>
      <w:r w:rsidRPr="003F3340">
        <w:t xml:space="preserve"> </w:t>
      </w:r>
    </w:p>
    <w:p w:rsidR="00671620" w:rsidRPr="00A3769E" w:rsidRDefault="00671620" w:rsidP="00671620">
      <w:pPr>
        <w:pStyle w:val="Default"/>
        <w:spacing w:line="360" w:lineRule="auto"/>
        <w:ind w:firstLine="709"/>
        <w:jc w:val="both"/>
        <w:rPr>
          <w:color w:val="auto"/>
        </w:rPr>
      </w:pPr>
      <w:r w:rsidRPr="00A3769E">
        <w:rPr>
          <w:color w:val="auto"/>
        </w:rPr>
        <w:t>Existem diversos casos em que é inviável a criação de autarquias e empresas estatais para a expansão da estrutura administrativa e sua posterior manutenção, o que desestimula os gestores a assumir a prestação direta ou indireta da atividade. Sendo assim, é possível delegar a prestação de serviço a uma empresa privada</w:t>
      </w:r>
      <w:r w:rsidR="0084247C">
        <w:rPr>
          <w:color w:val="auto"/>
        </w:rPr>
        <w:t xml:space="preserve"> </w:t>
      </w:r>
      <w:r w:rsidRPr="00130C7D">
        <w:rPr>
          <w:color w:val="auto"/>
        </w:rPr>
        <w:t>que arque</w:t>
      </w:r>
      <w:r w:rsidRPr="00A3769E">
        <w:rPr>
          <w:color w:val="auto"/>
        </w:rPr>
        <w:t xml:space="preserve"> </w:t>
      </w:r>
      <w:r w:rsidRPr="00A3769E">
        <w:rPr>
          <w:color w:val="auto"/>
        </w:rPr>
        <w:lastRenderedPageBreak/>
        <w:t>com os investimentos necessários para a expansão, manutenção e operação dos sistemas, através de recursos próprios.</w:t>
      </w:r>
    </w:p>
    <w:p w:rsidR="00671620" w:rsidRPr="00A3769E" w:rsidRDefault="00671620" w:rsidP="00671620">
      <w:pPr>
        <w:pStyle w:val="Default"/>
        <w:spacing w:line="360" w:lineRule="auto"/>
        <w:ind w:firstLine="709"/>
        <w:jc w:val="both"/>
        <w:rPr>
          <w:color w:val="auto"/>
        </w:rPr>
      </w:pPr>
      <w:r w:rsidRPr="00A3769E">
        <w:rPr>
          <w:color w:val="auto"/>
        </w:rPr>
        <w:t>Conforme o Sistema Nacional de Informações sobre Saneamento Básico (SNIS)</w:t>
      </w:r>
      <w:r>
        <w:rPr>
          <w:color w:val="auto"/>
        </w:rPr>
        <w:t xml:space="preserve">, </w:t>
      </w:r>
      <w:r w:rsidRPr="00A3769E">
        <w:rPr>
          <w:color w:val="auto"/>
        </w:rPr>
        <w:t xml:space="preserve">são privadas as “empresas com capital predominantemente ou integralmente privado, administradas exclusivamente por particulares”. </w:t>
      </w:r>
    </w:p>
    <w:p w:rsidR="00671620" w:rsidRPr="00A3769E" w:rsidRDefault="00671620" w:rsidP="00671620">
      <w:pPr>
        <w:pStyle w:val="Default"/>
        <w:spacing w:line="360" w:lineRule="auto"/>
        <w:ind w:firstLine="709"/>
        <w:jc w:val="both"/>
        <w:rPr>
          <w:color w:val="auto"/>
        </w:rPr>
      </w:pPr>
      <w:r w:rsidRPr="00A3769E">
        <w:rPr>
          <w:color w:val="auto"/>
        </w:rPr>
        <w:t>Atualmente, a concessão privada da prestação dos serviços dá-se por licitação, segundo a Lei nº 8.666/1993, que institui normas para licitações e contratos da Administração Pública</w:t>
      </w:r>
      <w:r>
        <w:rPr>
          <w:color w:val="auto"/>
        </w:rPr>
        <w:t>,</w:t>
      </w:r>
      <w:r w:rsidRPr="00A3769E">
        <w:rPr>
          <w:color w:val="auto"/>
        </w:rPr>
        <w:t xml:space="preserve"> e as Leis nº 8.987/1995 e nº 9.074/95, que estabelecem normas para a concessão de serviços públicos ao setor privado, pela União, Estados, Distrito Federal e Municípios que, ainda assim, retêm para si a titularidade dos serviços.</w:t>
      </w:r>
    </w:p>
    <w:p w:rsidR="00671620" w:rsidRPr="00A3769E" w:rsidRDefault="00671620" w:rsidP="00671620">
      <w:pPr>
        <w:pStyle w:val="Default"/>
        <w:spacing w:line="360" w:lineRule="auto"/>
        <w:ind w:firstLine="709"/>
        <w:jc w:val="both"/>
        <w:rPr>
          <w:color w:val="auto"/>
        </w:rPr>
      </w:pPr>
      <w:r w:rsidRPr="00A3769E">
        <w:rPr>
          <w:color w:val="auto"/>
        </w:rPr>
        <w:t xml:space="preserve">Há a possibilidade de inserir metas e padrões de desempenho no contrato, a fim de que o concessionário seja juridicamente obrigado a manter adequado o serviço público contratado. </w:t>
      </w:r>
      <w:r w:rsidRPr="00702A2B">
        <w:rPr>
          <w:color w:val="auto"/>
        </w:rPr>
        <w:t>Nesse sentido, cabe ao Município através da gestão do contrato e à entidade regulatória (ou reguladora) garantir o cumprimento das condições e metas estabelecidas, definir as tarifas, prevenir e reprimir o abuso do poder econômico, editar normas, entre outras prerrogativas.</w:t>
      </w:r>
    </w:p>
    <w:p w:rsidR="00671620" w:rsidRDefault="00671620" w:rsidP="00671620">
      <w:pPr>
        <w:pStyle w:val="Default"/>
        <w:spacing w:line="360" w:lineRule="auto"/>
        <w:ind w:firstLine="709"/>
        <w:jc w:val="both"/>
        <w:rPr>
          <w:color w:val="auto"/>
        </w:rPr>
      </w:pPr>
      <w:r w:rsidRPr="00A3769E">
        <w:rPr>
          <w:color w:val="auto"/>
        </w:rPr>
        <w:t xml:space="preserve">Salienta-se, entretanto, </w:t>
      </w:r>
      <w:r>
        <w:rPr>
          <w:color w:val="auto"/>
        </w:rPr>
        <w:t>que existem riscos advindos dess</w:t>
      </w:r>
      <w:r w:rsidRPr="00A3769E">
        <w:rPr>
          <w:color w:val="auto"/>
        </w:rPr>
        <w:t xml:space="preserve">e tipo de </w:t>
      </w:r>
      <w:r w:rsidRPr="00702A2B">
        <w:rPr>
          <w:color w:val="auto"/>
        </w:rPr>
        <w:t>gestão,</w:t>
      </w:r>
      <w:r w:rsidRPr="00A3769E">
        <w:rPr>
          <w:color w:val="auto"/>
        </w:rPr>
        <w:t xml:space="preserve"> principalmente no que tange à excessiva exploração dos recursos naturais e às tarifas mais caras para os consumidores.</w:t>
      </w:r>
    </w:p>
    <w:p w:rsidR="00671620" w:rsidRPr="00165472" w:rsidRDefault="00671620" w:rsidP="00BC01B1">
      <w:pPr>
        <w:pStyle w:val="Ttulo3"/>
      </w:pPr>
      <w:bookmarkStart w:id="56" w:name="_Toc488825310"/>
      <w:bookmarkStart w:id="57" w:name="_Toc493151476"/>
      <w:bookmarkStart w:id="58" w:name="_Toc498593454"/>
      <w:bookmarkStart w:id="59" w:name="_Toc504404426"/>
      <w:bookmarkStart w:id="60" w:name="_Toc509935465"/>
      <w:r>
        <w:t>Gestão</w:t>
      </w:r>
      <w:r w:rsidRPr="00165472">
        <w:t xml:space="preserve"> associada</w:t>
      </w:r>
      <w:bookmarkEnd w:id="56"/>
      <w:bookmarkEnd w:id="57"/>
      <w:bookmarkEnd w:id="58"/>
      <w:bookmarkEnd w:id="59"/>
      <w:bookmarkEnd w:id="60"/>
    </w:p>
    <w:p w:rsidR="00671620" w:rsidRPr="0040239C" w:rsidRDefault="00671620" w:rsidP="00671620">
      <w:pPr>
        <w:pStyle w:val="Default"/>
        <w:spacing w:line="360" w:lineRule="auto"/>
        <w:ind w:firstLine="709"/>
        <w:jc w:val="both"/>
        <w:rPr>
          <w:color w:val="auto"/>
        </w:rPr>
      </w:pPr>
      <w:r w:rsidRPr="0040239C">
        <w:rPr>
          <w:color w:val="auto"/>
        </w:rPr>
        <w:t xml:space="preserve">Outra opção é realizar a prestação dos serviços associada com outros municípios – com ou sem participação do governo estadual – via convênio de cooperação ou consórcio público, conforme a Lei Federal nº 11.107/05 e o Decreto Federal nº 6.017/2007, que a regulamenta. Esse tipo de configuração representa uma associação voluntária de entes da federação. </w:t>
      </w:r>
    </w:p>
    <w:p w:rsidR="00671620" w:rsidRPr="0040239C" w:rsidRDefault="00671620" w:rsidP="00671620">
      <w:pPr>
        <w:pStyle w:val="Default"/>
        <w:spacing w:line="360" w:lineRule="auto"/>
        <w:ind w:firstLine="709"/>
        <w:jc w:val="both"/>
        <w:rPr>
          <w:color w:val="auto"/>
        </w:rPr>
      </w:pPr>
      <w:r w:rsidRPr="0040239C">
        <w:rPr>
          <w:color w:val="auto"/>
        </w:rPr>
        <w:t>O convênio de cooperação entre entes federados consiste no pacto firmado exclusivamente por esses entes, com o objetivo de autorizar a gestão associada de serviços públicos, desde que ratificado ou previamente disciplinado por lei editada por cada um dos entes da Federação que fazem parte do convênio.</w:t>
      </w:r>
    </w:p>
    <w:p w:rsidR="00671620" w:rsidRPr="0040239C" w:rsidRDefault="00671620" w:rsidP="00671620">
      <w:pPr>
        <w:pStyle w:val="Default"/>
        <w:spacing w:line="360" w:lineRule="auto"/>
        <w:ind w:firstLine="709"/>
        <w:jc w:val="both"/>
        <w:rPr>
          <w:color w:val="auto"/>
        </w:rPr>
      </w:pPr>
      <w:r w:rsidRPr="0040239C">
        <w:rPr>
          <w:color w:val="auto"/>
        </w:rPr>
        <w:lastRenderedPageBreak/>
        <w:t>Já o consórcio público consiste numa pessoa jurídica formada exclusivamente por entes da Federação, para estabelecer relações de cooperação federativa, inclusive a realização de objetivos de interesse comum, constituída como:</w:t>
      </w:r>
    </w:p>
    <w:p w:rsidR="00671620" w:rsidRPr="0040239C" w:rsidRDefault="00671620" w:rsidP="0066661F">
      <w:pPr>
        <w:pStyle w:val="Default"/>
        <w:numPr>
          <w:ilvl w:val="0"/>
          <w:numId w:val="67"/>
        </w:numPr>
        <w:spacing w:line="360" w:lineRule="auto"/>
        <w:jc w:val="both"/>
        <w:rPr>
          <w:bCs/>
          <w:color w:val="auto"/>
        </w:rPr>
      </w:pPr>
      <w:r w:rsidRPr="0040239C">
        <w:rPr>
          <w:bCs/>
          <w:color w:val="auto"/>
        </w:rPr>
        <w:t>associação pública, com personalidade jurídica de direito público, sendo considerada integrante da administração indireta de cada um dos entes consorciados, estando sujeita a direitos e obrigações; ou</w:t>
      </w:r>
    </w:p>
    <w:p w:rsidR="00671620" w:rsidRPr="0040239C" w:rsidRDefault="00671620" w:rsidP="0066661F">
      <w:pPr>
        <w:pStyle w:val="Default"/>
        <w:numPr>
          <w:ilvl w:val="0"/>
          <w:numId w:val="67"/>
        </w:numPr>
        <w:spacing w:line="360" w:lineRule="auto"/>
        <w:jc w:val="both"/>
        <w:rPr>
          <w:bCs/>
          <w:color w:val="auto"/>
        </w:rPr>
      </w:pPr>
      <w:r w:rsidRPr="0040239C">
        <w:rPr>
          <w:bCs/>
          <w:color w:val="auto"/>
        </w:rPr>
        <w:t>órgão revestido de personalidade jurídica de direito privado, quando deverá observar as normas de direito público no que concerne à realização de licitação, celebração de contratos de concessão, prestação de contas e admissão de pessoal.</w:t>
      </w:r>
    </w:p>
    <w:p w:rsidR="00671620" w:rsidRPr="00CE105A" w:rsidRDefault="00671620" w:rsidP="00671620">
      <w:pPr>
        <w:pStyle w:val="Default"/>
        <w:spacing w:line="360" w:lineRule="auto"/>
        <w:ind w:firstLine="709"/>
        <w:jc w:val="both"/>
        <w:rPr>
          <w:color w:val="auto"/>
        </w:rPr>
      </w:pPr>
      <w:r w:rsidRPr="00CE105A">
        <w:rPr>
          <w:color w:val="auto"/>
        </w:rPr>
        <w:t>Uma vez que a gestão associada é realizada entre entes da federação, a delegação da prestação dos serviços pode ser feita com dispensa de licitação. Essa prerrogativa é assegurada no inciso XXVI do art. 24 da Lei de Licitação (Lei Federal nº 8.666/93) e amparada no art. 241 da Constituição Federal, nos termos da Emenda Constitucional nº 19/98, que trata dessa matéria. Tal delegação é formalizada por meio de um contrato de programa, após a constituição do consórcio público ou convênio de cooperação.</w:t>
      </w:r>
    </w:p>
    <w:p w:rsidR="00671620" w:rsidRPr="00CE105A" w:rsidRDefault="00671620" w:rsidP="00671620">
      <w:pPr>
        <w:pStyle w:val="Default"/>
        <w:spacing w:line="360" w:lineRule="auto"/>
        <w:ind w:firstLine="709"/>
        <w:jc w:val="both"/>
        <w:rPr>
          <w:color w:val="auto"/>
        </w:rPr>
      </w:pPr>
      <w:r w:rsidRPr="00CE105A">
        <w:rPr>
          <w:color w:val="auto"/>
        </w:rPr>
        <w:t xml:space="preserve">O consórcio público, para ser instituído, necessita da edição de grande número de documentos, entre eles as leis de criação dos entes a se consorciarem e os contratos de rateio, que disciplinarão os repasses financeiros para a entidade consorciada. Esse consórcio deverá ser constituído por contrato cuja celebração dependerá de prévia subscrição de protocolo de intenções. </w:t>
      </w:r>
    </w:p>
    <w:p w:rsidR="00671620" w:rsidRPr="00CE105A" w:rsidRDefault="00671620" w:rsidP="00671620">
      <w:pPr>
        <w:pStyle w:val="Default"/>
        <w:spacing w:line="360" w:lineRule="auto"/>
        <w:ind w:firstLine="709"/>
        <w:jc w:val="both"/>
        <w:rPr>
          <w:color w:val="auto"/>
        </w:rPr>
      </w:pPr>
      <w:r w:rsidRPr="00CE105A">
        <w:rPr>
          <w:color w:val="auto"/>
        </w:rPr>
        <w:t>No campo dos serviços públicos de abastecimento de água, esgotamento sanitário e manejo de resíduos sólidos, a formação de consórcios pode ser uma alternativa para a prestação dos serviços, para o compartilhamento de equipamentos e para a racionalização da execução de tarefas, com ganhos de escala e economia de recursos para a regulação e, ainda, para o planejamento integrado.</w:t>
      </w:r>
    </w:p>
    <w:p w:rsidR="00671620" w:rsidRPr="00CE105A" w:rsidRDefault="00671620" w:rsidP="00671620">
      <w:pPr>
        <w:pStyle w:val="Default"/>
        <w:spacing w:line="360" w:lineRule="auto"/>
        <w:ind w:firstLine="709"/>
        <w:jc w:val="both"/>
        <w:rPr>
          <w:color w:val="auto"/>
        </w:rPr>
      </w:pPr>
      <w:r w:rsidRPr="00CE105A">
        <w:rPr>
          <w:color w:val="auto"/>
        </w:rPr>
        <w:t xml:space="preserve">Os consórcios públicos recebem, no âmbito da Política Nacional de Resíduos Sólidos (PNRS) – Lei nº 12.305/10, prioridade no acesso aos recursos da União ou a recursos por ela controlados. Essa prioridade também é concedida aos estados que instituírem microrregiões para a gestão, e ao Distrito Federal e municípios que optarem por soluções consorciadas intermunicipais para gestão associada. A formação de </w:t>
      </w:r>
      <w:r w:rsidRPr="00CE105A">
        <w:rPr>
          <w:color w:val="auto"/>
        </w:rPr>
        <w:lastRenderedPageBreak/>
        <w:t>consórcios públicos vem sendo estimulada pelo Governo Federal e por muitos dos Estados, para que aconteça o necessário salto de qualidade na gestão dos serviços públicos.</w:t>
      </w:r>
    </w:p>
    <w:p w:rsidR="00671620" w:rsidRPr="00DF4A2F" w:rsidRDefault="00671620" w:rsidP="00671620">
      <w:pPr>
        <w:pStyle w:val="Default"/>
        <w:spacing w:line="360" w:lineRule="auto"/>
        <w:ind w:firstLine="709"/>
        <w:jc w:val="both"/>
        <w:rPr>
          <w:color w:val="auto"/>
        </w:rPr>
      </w:pPr>
      <w:r w:rsidRPr="00DF4A2F">
        <w:rPr>
          <w:color w:val="auto"/>
        </w:rPr>
        <w:t xml:space="preserve">Como esses serviços são ligados diretamente à Prefeitura Municipal, os orçamentos públicos não vinculam as receitas tarifárias exclusivamente aos serviços. Além disso, geralmente não existe controle financeiro, não havendo meios adequados para saber se o serviço é autossustentável, ou quanto da receita do serviço vai para o custeio geral da </w:t>
      </w:r>
      <w:r w:rsidRPr="003B12B2">
        <w:rPr>
          <w:color w:val="auto"/>
        </w:rPr>
        <w:t>administração (HELLER, 2007; PEIXOTO, 1994). Uma observação</w:t>
      </w:r>
      <w:r w:rsidRPr="00DF4A2F">
        <w:rPr>
          <w:color w:val="auto"/>
        </w:rPr>
        <w:t xml:space="preserve"> feita por Heller (2007, p.12) é que são comuns casos em que os serviços sequer são cobrados, fato este que incentiva o desperdício de água, podendo acarretar um alto consumo </w:t>
      </w:r>
      <w:r w:rsidRPr="00DF4A2F">
        <w:rPr>
          <w:i/>
          <w:color w:val="auto"/>
        </w:rPr>
        <w:t>per capita</w:t>
      </w:r>
      <w:r w:rsidRPr="00DF4A2F">
        <w:rPr>
          <w:color w:val="auto"/>
        </w:rPr>
        <w:t>.</w:t>
      </w:r>
    </w:p>
    <w:p w:rsidR="00671620" w:rsidRDefault="00671620" w:rsidP="00671620">
      <w:pPr>
        <w:pStyle w:val="Default"/>
        <w:spacing w:line="360" w:lineRule="auto"/>
        <w:ind w:firstLine="709"/>
        <w:jc w:val="both"/>
        <w:rPr>
          <w:color w:val="auto"/>
        </w:rPr>
      </w:pPr>
      <w:r w:rsidRPr="00DF4A2F">
        <w:rPr>
          <w:color w:val="auto"/>
        </w:rPr>
        <w:t>Essas questões ligadas à falta de autonomia financeira constituem um entrave para esse tipo de prestação, que fica dependente da organização administrativa central que, por sua vez, depende do projeto político de cada governo. Apesar disso, essa forma de prestação de serviços é bastante adotada por municípios pequenos que, segundo o IBGE, são os de populações menores que 20 mil habitantes (IBGE, 2006).</w:t>
      </w:r>
    </w:p>
    <w:p w:rsidR="00671620" w:rsidRDefault="00671620" w:rsidP="00BC01B1">
      <w:pPr>
        <w:pStyle w:val="SHS-Ttulo02"/>
      </w:pPr>
      <w:bookmarkStart w:id="61" w:name="_Toc488825311"/>
      <w:bookmarkStart w:id="62" w:name="_Toc493151477"/>
      <w:bookmarkStart w:id="63" w:name="_Toc498593455"/>
      <w:bookmarkStart w:id="64" w:name="_Toc504404427"/>
      <w:bookmarkStart w:id="65" w:name="_Toc509935466"/>
      <w:r>
        <w:t>Avaliação dos modelos de prestação de serviços</w:t>
      </w:r>
      <w:bookmarkEnd w:id="61"/>
      <w:bookmarkEnd w:id="62"/>
      <w:bookmarkEnd w:id="63"/>
      <w:bookmarkEnd w:id="64"/>
      <w:bookmarkEnd w:id="65"/>
    </w:p>
    <w:p w:rsidR="00671620" w:rsidRDefault="00671620" w:rsidP="00BC01B1">
      <w:pPr>
        <w:pStyle w:val="Ttulo3"/>
      </w:pPr>
      <w:bookmarkStart w:id="66" w:name="_Toc488825312"/>
      <w:bookmarkStart w:id="67" w:name="_Toc493151478"/>
      <w:bookmarkStart w:id="68" w:name="_Toc498593456"/>
      <w:bookmarkStart w:id="69" w:name="_Toc504404428"/>
      <w:bookmarkStart w:id="70" w:name="_Toc509935467"/>
      <w:r>
        <w:t>Administração direta centralizada e descentralizada</w:t>
      </w:r>
      <w:bookmarkEnd w:id="66"/>
      <w:bookmarkEnd w:id="67"/>
      <w:bookmarkEnd w:id="68"/>
      <w:bookmarkEnd w:id="69"/>
      <w:bookmarkEnd w:id="70"/>
    </w:p>
    <w:p w:rsidR="00671620" w:rsidRPr="00DF4A2F" w:rsidRDefault="00671620" w:rsidP="00671620">
      <w:pPr>
        <w:pStyle w:val="Default"/>
        <w:spacing w:line="360" w:lineRule="auto"/>
        <w:ind w:firstLine="709"/>
        <w:jc w:val="both"/>
        <w:rPr>
          <w:color w:val="auto"/>
        </w:rPr>
      </w:pPr>
      <w:r w:rsidRPr="00DF4A2F">
        <w:rPr>
          <w:color w:val="auto"/>
        </w:rPr>
        <w:t xml:space="preserve">Alguns aspectos diferenciam a administração direta </w:t>
      </w:r>
      <w:r>
        <w:rPr>
          <w:color w:val="auto"/>
        </w:rPr>
        <w:t>centralizada e descentralizada</w:t>
      </w:r>
      <w:r w:rsidRPr="00DF4A2F">
        <w:rPr>
          <w:color w:val="auto"/>
        </w:rPr>
        <w:t xml:space="preserve">, entre eles estão a autonomia financeira e administrativa, o ordenador das despesas e o regime jurídico de pessoal. O </w:t>
      </w:r>
      <w:r w:rsidRPr="00DF4A2F">
        <w:rPr>
          <w:color w:val="auto"/>
        </w:rPr>
        <w:fldChar w:fldCharType="begin"/>
      </w:r>
      <w:r w:rsidRPr="00DF4A2F">
        <w:rPr>
          <w:color w:val="auto"/>
        </w:rPr>
        <w:instrText xml:space="preserve"> REF _Ref483496500 \h  \* MERGEFORMAT </w:instrText>
      </w:r>
      <w:r w:rsidRPr="00DF4A2F">
        <w:rPr>
          <w:color w:val="auto"/>
        </w:rPr>
      </w:r>
      <w:r w:rsidRPr="00DF4A2F">
        <w:rPr>
          <w:color w:val="auto"/>
        </w:rPr>
        <w:fldChar w:fldCharType="separate"/>
      </w:r>
      <w:r w:rsidR="001B481B" w:rsidRPr="001B481B">
        <w:rPr>
          <w:color w:val="auto"/>
        </w:rPr>
        <w:t xml:space="preserve">Quadro </w:t>
      </w:r>
      <w:r w:rsidR="001B481B" w:rsidRPr="001B481B">
        <w:rPr>
          <w:noProof/>
          <w:color w:val="auto"/>
        </w:rPr>
        <w:t>2</w:t>
      </w:r>
      <w:r w:rsidRPr="00DF4A2F">
        <w:rPr>
          <w:color w:val="auto"/>
        </w:rPr>
        <w:fldChar w:fldCharType="end"/>
      </w:r>
      <w:r w:rsidRPr="00DF4A2F">
        <w:rPr>
          <w:color w:val="auto"/>
        </w:rPr>
        <w:t xml:space="preserve"> mostra as diferenças e semelhanças entre </w:t>
      </w:r>
      <w:r>
        <w:rPr>
          <w:color w:val="auto"/>
        </w:rPr>
        <w:t>Administração Direta centralizada (Departamento) e descentralizada (Autarquia)</w:t>
      </w:r>
      <w:r w:rsidRPr="00DF4A2F">
        <w:rPr>
          <w:color w:val="auto"/>
        </w:rPr>
        <w:t>.</w:t>
      </w:r>
    </w:p>
    <w:p w:rsidR="00671620" w:rsidRPr="00EF408C" w:rsidRDefault="00671620" w:rsidP="00E95583">
      <w:pPr>
        <w:pStyle w:val="Legenda"/>
      </w:pPr>
      <w:bookmarkStart w:id="71" w:name="_Ref483496500"/>
      <w:bookmarkStart w:id="72" w:name="_Toc488825046"/>
      <w:bookmarkStart w:id="73" w:name="_Toc493151582"/>
      <w:bookmarkStart w:id="74" w:name="_Toc498593639"/>
      <w:bookmarkStart w:id="75" w:name="_Toc503949430"/>
      <w:bookmarkStart w:id="76" w:name="_Toc509935779"/>
      <w:r w:rsidRPr="00EF408C">
        <w:lastRenderedPageBreak/>
        <w:t xml:space="preserve">Quadro </w:t>
      </w:r>
      <w:r w:rsidR="000A1C78">
        <w:fldChar w:fldCharType="begin"/>
      </w:r>
      <w:r w:rsidR="000A1C78">
        <w:instrText xml:space="preserve"> SEQ Quadro \* ARABIC </w:instrText>
      </w:r>
      <w:r w:rsidR="000A1C78">
        <w:fldChar w:fldCharType="separate"/>
      </w:r>
      <w:r w:rsidR="001B481B">
        <w:rPr>
          <w:noProof/>
        </w:rPr>
        <w:t>2</w:t>
      </w:r>
      <w:r w:rsidR="000A1C78">
        <w:rPr>
          <w:noProof/>
        </w:rPr>
        <w:fldChar w:fldCharType="end"/>
      </w:r>
      <w:bookmarkEnd w:id="71"/>
      <w:r w:rsidRPr="00EF408C">
        <w:t xml:space="preserve"> - Comparativo entre Departamento e Autarquia</w:t>
      </w:r>
      <w:bookmarkEnd w:id="72"/>
      <w:bookmarkEnd w:id="73"/>
      <w:bookmarkEnd w:id="74"/>
      <w:bookmarkEnd w:id="75"/>
      <w:bookmarkEnd w:id="76"/>
    </w:p>
    <w:p w:rsidR="00671620" w:rsidRPr="00DF4A2F" w:rsidRDefault="00671620" w:rsidP="00671620">
      <w:pPr>
        <w:pStyle w:val="figura"/>
      </w:pPr>
      <w:r w:rsidRPr="00DF4A2F">
        <w:rPr>
          <w:noProof/>
        </w:rPr>
        <w:drawing>
          <wp:inline distT="0" distB="0" distL="0" distR="0" wp14:anchorId="3BE40A2A" wp14:editId="3666CC0B">
            <wp:extent cx="5945784" cy="2893325"/>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2" b="-2912"/>
                    <a:stretch/>
                  </pic:blipFill>
                  <pic:spPr bwMode="auto">
                    <a:xfrm>
                      <a:off x="0" y="0"/>
                      <a:ext cx="5939790" cy="2890408"/>
                    </a:xfrm>
                    <a:prstGeom prst="rect">
                      <a:avLst/>
                    </a:prstGeom>
                    <a:ln>
                      <a:noFill/>
                    </a:ln>
                    <a:extLst>
                      <a:ext uri="{53640926-AAD7-44D8-BBD7-CCE9431645EC}">
                        <a14:shadowObscured xmlns:a14="http://schemas.microsoft.com/office/drawing/2010/main"/>
                      </a:ext>
                    </a:extLst>
                  </pic:spPr>
                </pic:pic>
              </a:graphicData>
            </a:graphic>
          </wp:inline>
        </w:drawing>
      </w:r>
    </w:p>
    <w:p w:rsidR="00671620" w:rsidRPr="003A4443" w:rsidRDefault="00671620" w:rsidP="00671620">
      <w:pPr>
        <w:pStyle w:val="Default"/>
        <w:spacing w:line="360" w:lineRule="auto"/>
        <w:ind w:firstLine="709"/>
        <w:jc w:val="both"/>
        <w:rPr>
          <w:color w:val="auto"/>
          <w:sz w:val="10"/>
          <w:szCs w:val="10"/>
        </w:rPr>
      </w:pPr>
    </w:p>
    <w:p w:rsidR="00671620" w:rsidRPr="00DF4A2F" w:rsidRDefault="00671620" w:rsidP="00671620">
      <w:pPr>
        <w:pStyle w:val="Default"/>
        <w:spacing w:line="360" w:lineRule="auto"/>
        <w:ind w:firstLine="709"/>
        <w:jc w:val="both"/>
        <w:rPr>
          <w:color w:val="auto"/>
        </w:rPr>
      </w:pPr>
      <w:r w:rsidRPr="00DF4A2F">
        <w:rPr>
          <w:color w:val="auto"/>
        </w:rPr>
        <w:t>A autarquia é, portanto, um desmembramento da Administração Municipal, regida por estatutos que lhes dão algumas peculiaridades</w:t>
      </w:r>
      <w:r>
        <w:rPr>
          <w:color w:val="auto"/>
        </w:rPr>
        <w:t>,</w:t>
      </w:r>
      <w:r w:rsidRPr="00DF4A2F">
        <w:rPr>
          <w:color w:val="auto"/>
        </w:rPr>
        <w:t xml:space="preserve"> tais como:</w:t>
      </w:r>
    </w:p>
    <w:p w:rsidR="00671620" w:rsidRPr="00DF4A2F" w:rsidRDefault="00671620" w:rsidP="0066661F">
      <w:pPr>
        <w:pStyle w:val="Default"/>
        <w:numPr>
          <w:ilvl w:val="0"/>
          <w:numId w:val="66"/>
        </w:numPr>
        <w:spacing w:line="360" w:lineRule="auto"/>
        <w:jc w:val="both"/>
        <w:rPr>
          <w:color w:val="auto"/>
        </w:rPr>
      </w:pPr>
      <w:r w:rsidRPr="00DF4A2F">
        <w:rPr>
          <w:color w:val="auto"/>
        </w:rPr>
        <w:t>Possuir autonomia jurídica, administrativa e financeira, competindo-lhes exercer todas as atividades relacionadas à administração, à operação, à manutenção e à expansão dos serviços de saneamento.</w:t>
      </w:r>
    </w:p>
    <w:p w:rsidR="00671620" w:rsidRPr="00DF4A2F" w:rsidRDefault="00671620" w:rsidP="0066661F">
      <w:pPr>
        <w:pStyle w:val="Default"/>
        <w:numPr>
          <w:ilvl w:val="0"/>
          <w:numId w:val="66"/>
        </w:numPr>
        <w:spacing w:line="360" w:lineRule="auto"/>
        <w:jc w:val="both"/>
        <w:rPr>
          <w:color w:val="auto"/>
        </w:rPr>
      </w:pPr>
      <w:r w:rsidRPr="00DF4A2F">
        <w:rPr>
          <w:color w:val="auto"/>
        </w:rPr>
        <w:t>Imunidade de tributos e encargos.</w:t>
      </w:r>
    </w:p>
    <w:p w:rsidR="00671620" w:rsidRPr="00DF4A2F" w:rsidRDefault="00671620" w:rsidP="0066661F">
      <w:pPr>
        <w:pStyle w:val="Default"/>
        <w:numPr>
          <w:ilvl w:val="0"/>
          <w:numId w:val="66"/>
        </w:numPr>
        <w:spacing w:line="360" w:lineRule="auto"/>
        <w:jc w:val="both"/>
        <w:rPr>
          <w:color w:val="auto"/>
        </w:rPr>
      </w:pPr>
      <w:r w:rsidRPr="00DF4A2F">
        <w:rPr>
          <w:color w:val="auto"/>
        </w:rPr>
        <w:t>Prescrição de dívidas passivas em cinco anos.</w:t>
      </w:r>
    </w:p>
    <w:p w:rsidR="00671620" w:rsidRPr="00DF4A2F" w:rsidRDefault="00671620" w:rsidP="0066661F">
      <w:pPr>
        <w:pStyle w:val="Default"/>
        <w:numPr>
          <w:ilvl w:val="0"/>
          <w:numId w:val="66"/>
        </w:numPr>
        <w:spacing w:line="360" w:lineRule="auto"/>
        <w:jc w:val="both"/>
        <w:rPr>
          <w:color w:val="auto"/>
        </w:rPr>
      </w:pPr>
      <w:r w:rsidRPr="00DF4A2F">
        <w:rPr>
          <w:color w:val="auto"/>
        </w:rPr>
        <w:t>Impenhorabilidade de bens e rendas.</w:t>
      </w:r>
    </w:p>
    <w:p w:rsidR="00671620" w:rsidRPr="00DF4A2F" w:rsidRDefault="00671620" w:rsidP="0066661F">
      <w:pPr>
        <w:pStyle w:val="Default"/>
        <w:numPr>
          <w:ilvl w:val="0"/>
          <w:numId w:val="66"/>
        </w:numPr>
        <w:spacing w:line="360" w:lineRule="auto"/>
        <w:jc w:val="both"/>
        <w:rPr>
          <w:color w:val="auto"/>
        </w:rPr>
      </w:pPr>
      <w:r w:rsidRPr="00DF4A2F">
        <w:rPr>
          <w:color w:val="auto"/>
        </w:rPr>
        <w:t>Impossibilidade de usucapião de seus bens.</w:t>
      </w:r>
    </w:p>
    <w:p w:rsidR="00671620" w:rsidRPr="00DF4A2F" w:rsidRDefault="00671620" w:rsidP="0066661F">
      <w:pPr>
        <w:pStyle w:val="Default"/>
        <w:numPr>
          <w:ilvl w:val="0"/>
          <w:numId w:val="66"/>
        </w:numPr>
        <w:spacing w:line="360" w:lineRule="auto"/>
        <w:jc w:val="both"/>
        <w:rPr>
          <w:color w:val="auto"/>
        </w:rPr>
      </w:pPr>
      <w:r w:rsidRPr="00DF4A2F">
        <w:rPr>
          <w:color w:val="auto"/>
        </w:rPr>
        <w:t>Condições especiais de prazos e pagamentos nos processos jurídicos.</w:t>
      </w:r>
    </w:p>
    <w:p w:rsidR="00671620" w:rsidRPr="00DF4A2F" w:rsidRDefault="00671620" w:rsidP="00671620">
      <w:pPr>
        <w:pStyle w:val="Default"/>
        <w:spacing w:line="360" w:lineRule="auto"/>
        <w:ind w:firstLine="709"/>
        <w:jc w:val="both"/>
        <w:rPr>
          <w:color w:val="auto"/>
        </w:rPr>
      </w:pPr>
      <w:r w:rsidRPr="00DF4A2F">
        <w:rPr>
          <w:color w:val="auto"/>
        </w:rPr>
        <w:t>O principal objetivo de se criar autarquias é a integração das atividades necessárias à prestação do serviço sobre um pilar, buscando tornar o processo de gestão mais eficiente. Esse modelo é utilizado por cerca de 20% dos municípios do país.</w:t>
      </w:r>
    </w:p>
    <w:p w:rsidR="00671620" w:rsidRPr="004500A9" w:rsidRDefault="00671620" w:rsidP="00671620">
      <w:pPr>
        <w:pStyle w:val="Default"/>
        <w:spacing w:line="360" w:lineRule="auto"/>
        <w:ind w:firstLine="709"/>
        <w:jc w:val="both"/>
        <w:rPr>
          <w:color w:val="auto"/>
        </w:rPr>
      </w:pPr>
      <w:r w:rsidRPr="004500A9">
        <w:rPr>
          <w:color w:val="auto"/>
        </w:rPr>
        <w:t xml:space="preserve">As empresas públicas possuem personalidade jurídica de direito privado, com patrimônio próprio e capital exclusivo do </w:t>
      </w:r>
      <w:r>
        <w:rPr>
          <w:color w:val="auto"/>
        </w:rPr>
        <w:t>Poder P</w:t>
      </w:r>
      <w:r w:rsidRPr="004500A9">
        <w:rPr>
          <w:color w:val="auto"/>
        </w:rPr>
        <w:t xml:space="preserve">úblico e são criadas por lei para exploração de </w:t>
      </w:r>
      <w:r w:rsidRPr="003B12B2">
        <w:rPr>
          <w:color w:val="auto"/>
        </w:rPr>
        <w:t>atividades econômicas (ROSA, 2007).</w:t>
      </w:r>
    </w:p>
    <w:p w:rsidR="00671620" w:rsidRPr="00A74A23" w:rsidRDefault="00671620" w:rsidP="00671620">
      <w:pPr>
        <w:pStyle w:val="Default"/>
        <w:spacing w:line="360" w:lineRule="auto"/>
        <w:ind w:firstLine="709"/>
        <w:jc w:val="both"/>
        <w:rPr>
          <w:color w:val="auto"/>
        </w:rPr>
      </w:pPr>
      <w:r w:rsidRPr="00095800">
        <w:rPr>
          <w:color w:val="auto"/>
        </w:rPr>
        <w:t>A prestação dos serviços</w:t>
      </w:r>
      <w:r w:rsidRPr="004500A9">
        <w:rPr>
          <w:color w:val="auto"/>
        </w:rPr>
        <w:t xml:space="preserve"> dá</w:t>
      </w:r>
      <w:r>
        <w:rPr>
          <w:color w:val="auto"/>
        </w:rPr>
        <w:t>-se</w:t>
      </w:r>
      <w:r w:rsidRPr="004500A9">
        <w:rPr>
          <w:color w:val="auto"/>
        </w:rPr>
        <w:t xml:space="preserve"> com prazos estabelecidos para </w:t>
      </w:r>
      <w:r>
        <w:rPr>
          <w:color w:val="auto"/>
        </w:rPr>
        <w:t>seu fim</w:t>
      </w:r>
      <w:r w:rsidRPr="004500A9">
        <w:rPr>
          <w:color w:val="auto"/>
        </w:rPr>
        <w:t xml:space="preserve">. Trata-se de um modelo empresarial no qual é necessária a realização de concurso público para </w:t>
      </w:r>
      <w:r w:rsidRPr="004500A9">
        <w:rPr>
          <w:color w:val="auto"/>
        </w:rPr>
        <w:lastRenderedPageBreak/>
        <w:t>contratação, exceto para cargo de confiança, sendo que o regime pessoal é sujeito à CLT.</w:t>
      </w:r>
    </w:p>
    <w:p w:rsidR="00671620" w:rsidRPr="00354861" w:rsidRDefault="00671620" w:rsidP="00671620">
      <w:pPr>
        <w:pStyle w:val="Default"/>
        <w:spacing w:line="360" w:lineRule="auto"/>
        <w:ind w:firstLine="709"/>
        <w:jc w:val="both"/>
        <w:rPr>
          <w:color w:val="auto"/>
        </w:rPr>
      </w:pPr>
      <w:r w:rsidRPr="00A74A23">
        <w:rPr>
          <w:color w:val="auto"/>
        </w:rPr>
        <w:t xml:space="preserve">A empresa pública difere-se da sociedade de economia mista por apresentar apenas capital estatal e ter a possibilidade de qualquer tipo de vigência quanto à modalidade de sociedade </w:t>
      </w:r>
      <w:r w:rsidRPr="00354861">
        <w:rPr>
          <w:color w:val="auto"/>
        </w:rPr>
        <w:t>comercial.</w:t>
      </w:r>
    </w:p>
    <w:p w:rsidR="00755EF2" w:rsidRPr="00755EF2" w:rsidRDefault="00755EF2" w:rsidP="00755EF2">
      <w:pPr>
        <w:spacing w:before="120" w:after="120"/>
        <w:ind w:firstLine="851"/>
        <w:contextualSpacing/>
        <w:jc w:val="both"/>
      </w:pPr>
      <w:r w:rsidRPr="00755EF2">
        <w:t>Com exceção do sistema de abastecimento de água da sede municipal, os demais sistemas existentes em Córrego Novo são de responsabilidade da Prefeitura Municipal. Não há um arranjo institucional formalizado para gerir esses sistemas. A Prefeitura Municipal mantém um funcionário para acompanhar e coordenar ações necessárias para atender às comunidades rurais do município. Quando necessário, a Prefeitura mobiliza equipes maiores para ações de reparos ou de manutenção de captações (subterrâneas e superficiais), canalizações, reservatórios e sistemas de bombeamento.</w:t>
      </w:r>
      <w:r>
        <w:t xml:space="preserve"> </w:t>
      </w:r>
    </w:p>
    <w:p w:rsidR="00671620" w:rsidRDefault="00671620" w:rsidP="00BC01B1">
      <w:pPr>
        <w:pStyle w:val="Ttulo3"/>
      </w:pPr>
      <w:bookmarkStart w:id="77" w:name="_Toc488825313"/>
      <w:bookmarkStart w:id="78" w:name="_Toc493151479"/>
      <w:bookmarkStart w:id="79" w:name="_Toc498593457"/>
      <w:bookmarkStart w:id="80" w:name="_Toc504404429"/>
      <w:bookmarkStart w:id="81" w:name="_Toc509935468"/>
      <w:r>
        <w:t>Administração indireta</w:t>
      </w:r>
      <w:bookmarkEnd w:id="77"/>
      <w:bookmarkEnd w:id="78"/>
      <w:bookmarkEnd w:id="79"/>
      <w:bookmarkEnd w:id="80"/>
      <w:bookmarkEnd w:id="81"/>
    </w:p>
    <w:p w:rsidR="00671620" w:rsidRPr="00DF4A2F" w:rsidRDefault="00671620" w:rsidP="00671620">
      <w:pPr>
        <w:pStyle w:val="Default"/>
        <w:spacing w:line="360" w:lineRule="auto"/>
        <w:ind w:firstLine="709"/>
        <w:jc w:val="both"/>
        <w:rPr>
          <w:color w:val="auto"/>
        </w:rPr>
      </w:pPr>
      <w:r w:rsidRPr="00095800">
        <w:rPr>
          <w:color w:val="auto"/>
        </w:rPr>
        <w:t xml:space="preserve">A sociedade de economia mista é caracterizada como sociedade anônima de direito privado, com participação do </w:t>
      </w:r>
      <w:r w:rsidRPr="00841358">
        <w:rPr>
          <w:color w:val="auto"/>
        </w:rPr>
        <w:t>Poder Público, e particulares de forma minoritária,</w:t>
      </w:r>
      <w:r w:rsidRPr="00095800">
        <w:rPr>
          <w:color w:val="auto"/>
        </w:rPr>
        <w:t xml:space="preserve"> que realiza atividades econômicas ou serviços de interesse coletivo, delegados ou outorgados pelo Poder Público. É criada por lei pelo Poder Público, que detém a maioria das ações com direito a voto de forma a ter o controle da sociedade (ROSA, 2007). A empresa de economia mista pode também ser criada pelo Município.</w:t>
      </w:r>
    </w:p>
    <w:p w:rsidR="00671620" w:rsidRPr="00DF4A2F" w:rsidRDefault="00671620" w:rsidP="00671620">
      <w:pPr>
        <w:pStyle w:val="Default"/>
        <w:spacing w:line="360" w:lineRule="auto"/>
        <w:ind w:firstLine="709"/>
        <w:jc w:val="both"/>
        <w:rPr>
          <w:color w:val="auto"/>
        </w:rPr>
      </w:pPr>
      <w:r w:rsidRPr="00DF4A2F">
        <w:rPr>
          <w:color w:val="auto"/>
        </w:rPr>
        <w:t>As Companhias Estaduais de Água e Esgoto (</w:t>
      </w:r>
      <w:r w:rsidRPr="003F3340">
        <w:rPr>
          <w:color w:val="auto"/>
        </w:rPr>
        <w:t>CEAE)</w:t>
      </w:r>
      <w:r w:rsidRPr="00DF4A2F">
        <w:rPr>
          <w:color w:val="auto"/>
        </w:rPr>
        <w:t xml:space="preserve"> são empresas de economia mista. Essas empresas, por meio de concessão municipal, prestam os serviços de saneamento, que abrangem a operação, a manutenção e a construção dos sistemas de água e de esgoto.</w:t>
      </w:r>
    </w:p>
    <w:p w:rsidR="00671620" w:rsidRPr="00DF4A2F" w:rsidRDefault="00671620" w:rsidP="00671620">
      <w:pPr>
        <w:pStyle w:val="Default"/>
        <w:spacing w:line="360" w:lineRule="auto"/>
        <w:ind w:firstLine="709"/>
        <w:jc w:val="both"/>
        <w:rPr>
          <w:color w:val="auto"/>
        </w:rPr>
      </w:pPr>
      <w:r w:rsidRPr="00DF4A2F">
        <w:rPr>
          <w:color w:val="auto"/>
        </w:rPr>
        <w:t>No Brasil, a prestação dos serviços de abastecimento de água e de esgotamento sanitário pelas Companhias Estaduais de Água e Esgoto (CEAE</w:t>
      </w:r>
      <w:r>
        <w:rPr>
          <w:color w:val="auto"/>
        </w:rPr>
        <w:t>s</w:t>
      </w:r>
      <w:r w:rsidRPr="00DF4A2F">
        <w:rPr>
          <w:color w:val="auto"/>
        </w:rPr>
        <w:t xml:space="preserve">) teve início na década de 60. No final da década de 60 e início de 70, o então Banco Nacional </w:t>
      </w:r>
      <w:r w:rsidRPr="003F3340">
        <w:rPr>
          <w:color w:val="auto"/>
        </w:rPr>
        <w:t>de Habitação (BNH)</w:t>
      </w:r>
      <w:r w:rsidRPr="00DF4A2F">
        <w:rPr>
          <w:color w:val="auto"/>
        </w:rPr>
        <w:t xml:space="preserve"> passou a condicionar seus empréstimos à transferência da concessão dos serviços de água e esgoto dos municípios para as empresas estaduais de economia mista. Em face dessa imposição dos agentes financiadores, os municípios passaram a transferir os seus serviços para as companhias estaduais de </w:t>
      </w:r>
      <w:r w:rsidRPr="00DF4A2F">
        <w:rPr>
          <w:color w:val="auto"/>
        </w:rPr>
        <w:lastRenderedPageBreak/>
        <w:t>água e esgoto, transferência esta</w:t>
      </w:r>
      <w:r>
        <w:rPr>
          <w:color w:val="auto"/>
        </w:rPr>
        <w:t>,</w:t>
      </w:r>
      <w:r w:rsidRPr="00DF4A2F">
        <w:rPr>
          <w:color w:val="auto"/>
        </w:rPr>
        <w:t xml:space="preserve"> facilitada pelo </w:t>
      </w:r>
      <w:r w:rsidRPr="002D57EE">
        <w:rPr>
          <w:color w:val="auto"/>
        </w:rPr>
        <w:t>regime militar (REZENDE, 2007).</w:t>
      </w:r>
      <w:r w:rsidRPr="00DF4A2F">
        <w:rPr>
          <w:color w:val="auto"/>
        </w:rPr>
        <w:t xml:space="preserve"> Assim, nos últimos 30 anos o modelo de prestação dos serviços públicos de água e esgoto adotado e incentivado no país foi o das companhias estaduais, </w:t>
      </w:r>
      <w:r>
        <w:rPr>
          <w:color w:val="auto"/>
        </w:rPr>
        <w:t xml:space="preserve">havendo, para esse modelo, </w:t>
      </w:r>
      <w:r w:rsidRPr="002D57EE">
        <w:rPr>
          <w:color w:val="auto"/>
        </w:rPr>
        <w:t>privilégio de acesso ao financiamento público (HELLER; COUTINHO; MINGOTI, 2006).</w:t>
      </w:r>
    </w:p>
    <w:p w:rsidR="00671620" w:rsidRPr="002D57EE" w:rsidRDefault="00671620" w:rsidP="00671620">
      <w:pPr>
        <w:pStyle w:val="Default"/>
        <w:spacing w:line="360" w:lineRule="auto"/>
        <w:ind w:firstLine="709"/>
        <w:jc w:val="both"/>
        <w:rPr>
          <w:color w:val="auto"/>
        </w:rPr>
      </w:pPr>
      <w:r w:rsidRPr="00DF4A2F">
        <w:rPr>
          <w:color w:val="auto"/>
        </w:rPr>
        <w:t xml:space="preserve">Na década de 80 surge o debate sobre a reestruturação das condições de oferta dos serviços públicos de saneamento básico e a </w:t>
      </w:r>
      <w:r w:rsidRPr="00AB1115">
        <w:rPr>
          <w:color w:val="auto"/>
        </w:rPr>
        <w:t xml:space="preserve">necessidade de construir diretrizes para a área. Assim, algumas mudanças foram identificadas, entre elas, </w:t>
      </w:r>
      <w:r>
        <w:rPr>
          <w:color w:val="auto"/>
        </w:rPr>
        <w:t>n</w:t>
      </w:r>
      <w:r w:rsidRPr="00AB1115">
        <w:rPr>
          <w:color w:val="auto"/>
        </w:rPr>
        <w:t xml:space="preserve">as condições institucionais das </w:t>
      </w:r>
      <w:r w:rsidRPr="002D57EE">
        <w:rPr>
          <w:color w:val="auto"/>
        </w:rPr>
        <w:t>companhias estaduais.</w:t>
      </w:r>
    </w:p>
    <w:p w:rsidR="00671620" w:rsidRPr="00DF4A2F" w:rsidRDefault="00671620" w:rsidP="00671620">
      <w:pPr>
        <w:pStyle w:val="Default"/>
        <w:spacing w:line="360" w:lineRule="auto"/>
        <w:ind w:firstLine="709"/>
        <w:jc w:val="both"/>
        <w:rPr>
          <w:color w:val="auto"/>
        </w:rPr>
      </w:pPr>
      <w:r w:rsidRPr="002D57EE">
        <w:rPr>
          <w:color w:val="auto"/>
        </w:rPr>
        <w:t>Arretche (1999) estudou as mudanças nas condições institucionais de operação das companhias estaduais de</w:t>
      </w:r>
      <w:r>
        <w:rPr>
          <w:color w:val="auto"/>
        </w:rPr>
        <w:t xml:space="preserve"> </w:t>
      </w:r>
      <w:r w:rsidRPr="00DF4A2F">
        <w:rPr>
          <w:color w:val="auto"/>
        </w:rPr>
        <w:t>água e esgoto e identificou</w:t>
      </w:r>
      <w:r>
        <w:rPr>
          <w:color w:val="auto"/>
        </w:rPr>
        <w:t>,</w:t>
      </w:r>
      <w:r w:rsidRPr="00DF4A2F">
        <w:rPr>
          <w:color w:val="auto"/>
        </w:rPr>
        <w:t xml:space="preserve"> basicamente</w:t>
      </w:r>
      <w:r>
        <w:rPr>
          <w:color w:val="auto"/>
        </w:rPr>
        <w:t>,</w:t>
      </w:r>
      <w:r w:rsidRPr="00DF4A2F">
        <w:rPr>
          <w:color w:val="auto"/>
        </w:rPr>
        <w:t xml:space="preserve"> duas grandes estratégias estaduais de mudanças: a de fortalecimento da companhia estadual e a de desestatização</w:t>
      </w:r>
      <w:r>
        <w:rPr>
          <w:color w:val="auto"/>
        </w:rPr>
        <w:t xml:space="preserve"> da empresa, sob duas vertentes,</w:t>
      </w:r>
      <w:r w:rsidRPr="00DF4A2F">
        <w:rPr>
          <w:color w:val="auto"/>
        </w:rPr>
        <w:t xml:space="preserve"> a privatização e a municipalização. A estratégia de fortalecimento das companhias estaduais de água e esgoto consiste em manter a operação dos sistemas, tomando-se medidas para preservar e ampliar as concessões municipais, bem como viabilizar a capacidade de investimento da empresa. Isso foi adotado pela Companhia de Saneamento de Minas Gerais (</w:t>
      </w:r>
      <w:r w:rsidRPr="003F3340">
        <w:rPr>
          <w:color w:val="auto"/>
        </w:rPr>
        <w:t>COPASA), pela Companhia de Saneamento Básico do Estado de São Paulo (SABESP), pela Companhia de Saneamento do Paraná (SANEPAR) e pela Companhia de Água e Esgoto do Ceará (CAGECE) (ARRETCHE, 1999).</w:t>
      </w:r>
    </w:p>
    <w:p w:rsidR="00671620" w:rsidRPr="00DF4A2F" w:rsidRDefault="00671620" w:rsidP="00671620">
      <w:pPr>
        <w:pStyle w:val="Default"/>
        <w:spacing w:line="360" w:lineRule="auto"/>
        <w:ind w:firstLine="709"/>
        <w:jc w:val="both"/>
        <w:rPr>
          <w:color w:val="auto"/>
        </w:rPr>
      </w:pPr>
      <w:r w:rsidRPr="00DF4A2F">
        <w:rPr>
          <w:color w:val="auto"/>
        </w:rPr>
        <w:t>Nos casos de alguns municípios de estados brasileiros, como o Rio de Janeiro e Tocantins, esse processo foi inverso, ocorreu a transferência de</w:t>
      </w:r>
      <w:r>
        <w:rPr>
          <w:color w:val="auto"/>
        </w:rPr>
        <w:t xml:space="preserve"> funções da companhia estadual a</w:t>
      </w:r>
      <w:r w:rsidRPr="00DF4A2F">
        <w:rPr>
          <w:color w:val="auto"/>
        </w:rPr>
        <w:t xml:space="preserve"> prestadores privados. </w:t>
      </w:r>
    </w:p>
    <w:p w:rsidR="00671620" w:rsidRDefault="00671620" w:rsidP="00671620">
      <w:pPr>
        <w:pStyle w:val="Default"/>
        <w:spacing w:line="360" w:lineRule="auto"/>
        <w:ind w:firstLine="709"/>
        <w:jc w:val="both"/>
        <w:rPr>
          <w:color w:val="auto"/>
        </w:rPr>
      </w:pPr>
      <w:r w:rsidRPr="00DF4A2F">
        <w:rPr>
          <w:color w:val="auto"/>
        </w:rPr>
        <w:t>Mesmo com as intensas transformações na história do saneamento básico no Brasil e com o estabelecimento de diferentes modelos de prestação desses serviços, os modelos das companhias estaduais ainda prevalecem. Isso pode decorrer de fatores como a persistência da política pública adotada ainda no período que não se reconhecia a autonomia municipal, a fragilidade e carência dos municípios para prestar esses serviços e, consequentemente, a debilidade dos outros modelos de prestação.</w:t>
      </w:r>
    </w:p>
    <w:p w:rsidR="00755EF2" w:rsidRDefault="00755EF2" w:rsidP="00671620">
      <w:pPr>
        <w:pStyle w:val="Default"/>
        <w:spacing w:line="360" w:lineRule="auto"/>
        <w:ind w:firstLine="709"/>
        <w:jc w:val="both"/>
        <w:rPr>
          <w:color w:val="auto"/>
        </w:rPr>
      </w:pPr>
    </w:p>
    <w:p w:rsidR="00755EF2" w:rsidRDefault="00755EF2" w:rsidP="00671620">
      <w:pPr>
        <w:pStyle w:val="Default"/>
        <w:spacing w:line="360" w:lineRule="auto"/>
        <w:ind w:firstLine="709"/>
        <w:jc w:val="both"/>
        <w:rPr>
          <w:color w:val="auto"/>
        </w:rPr>
      </w:pPr>
    </w:p>
    <w:p w:rsidR="00671620" w:rsidRPr="00DF4A2F" w:rsidRDefault="00671620" w:rsidP="00BC01B1">
      <w:pPr>
        <w:pStyle w:val="Ttulo3"/>
      </w:pPr>
      <w:bookmarkStart w:id="82" w:name="_Toc488825314"/>
      <w:bookmarkStart w:id="83" w:name="_Toc493151480"/>
      <w:bookmarkStart w:id="84" w:name="_Toc498593458"/>
      <w:bookmarkStart w:id="85" w:name="_Toc504404430"/>
      <w:bookmarkStart w:id="86" w:name="_Toc509935469"/>
      <w:r w:rsidRPr="00DF4A2F">
        <w:lastRenderedPageBreak/>
        <w:t>Gestão associada</w:t>
      </w:r>
      <w:bookmarkEnd w:id="82"/>
      <w:bookmarkEnd w:id="83"/>
      <w:bookmarkEnd w:id="84"/>
      <w:bookmarkEnd w:id="85"/>
      <w:bookmarkEnd w:id="86"/>
    </w:p>
    <w:p w:rsidR="00671620" w:rsidRPr="00DF4A2F" w:rsidRDefault="00671620" w:rsidP="00671620">
      <w:pPr>
        <w:pStyle w:val="Default"/>
        <w:spacing w:line="360" w:lineRule="auto"/>
        <w:ind w:firstLine="709"/>
        <w:jc w:val="both"/>
        <w:rPr>
          <w:color w:val="auto"/>
        </w:rPr>
      </w:pPr>
      <w:r w:rsidRPr="00DF4A2F">
        <w:rPr>
          <w:color w:val="auto"/>
        </w:rPr>
        <w:t xml:space="preserve">A Lei nº. 11.107/2007 </w:t>
      </w:r>
      <w:r>
        <w:rPr>
          <w:color w:val="auto"/>
        </w:rPr>
        <w:t xml:space="preserve">que </w:t>
      </w:r>
      <w:r w:rsidRPr="00DF4A2F">
        <w:rPr>
          <w:color w:val="auto"/>
        </w:rPr>
        <w:t>dispõe sobre normas gerais de contratação de consórcios públicos</w:t>
      </w:r>
      <w:r>
        <w:rPr>
          <w:color w:val="auto"/>
        </w:rPr>
        <w:t xml:space="preserve">, juntamente com seu </w:t>
      </w:r>
      <w:r w:rsidRPr="00DF4A2F">
        <w:rPr>
          <w:color w:val="auto"/>
        </w:rPr>
        <w:t>Decreto regulamentador nº 6.017/2007,</w:t>
      </w:r>
      <w:r>
        <w:rPr>
          <w:color w:val="auto"/>
        </w:rPr>
        <w:t xml:space="preserve"> </w:t>
      </w:r>
      <w:r w:rsidRPr="00DF4A2F">
        <w:rPr>
          <w:color w:val="auto"/>
        </w:rPr>
        <w:t>destaca</w:t>
      </w:r>
      <w:r>
        <w:rPr>
          <w:color w:val="auto"/>
        </w:rPr>
        <w:t>-se</w:t>
      </w:r>
      <w:r w:rsidRPr="00DF4A2F">
        <w:rPr>
          <w:color w:val="auto"/>
        </w:rPr>
        <w:t xml:space="preserve"> por trazer aos consórcios:</w:t>
      </w:r>
    </w:p>
    <w:p w:rsidR="00671620" w:rsidRPr="00DF4A2F" w:rsidRDefault="00671620" w:rsidP="0066661F">
      <w:pPr>
        <w:pStyle w:val="Default"/>
        <w:numPr>
          <w:ilvl w:val="0"/>
          <w:numId w:val="68"/>
        </w:numPr>
        <w:spacing w:line="360" w:lineRule="auto"/>
        <w:jc w:val="both"/>
        <w:rPr>
          <w:color w:val="auto"/>
        </w:rPr>
      </w:pPr>
      <w:r w:rsidRPr="00DF4A2F">
        <w:rPr>
          <w:color w:val="auto"/>
        </w:rPr>
        <w:t>A existência de um protocolo de intenções bastante detalhado e complexo.</w:t>
      </w:r>
    </w:p>
    <w:p w:rsidR="00671620" w:rsidRPr="00DF4A2F" w:rsidRDefault="00671620" w:rsidP="0066661F">
      <w:pPr>
        <w:pStyle w:val="Default"/>
        <w:numPr>
          <w:ilvl w:val="0"/>
          <w:numId w:val="68"/>
        </w:numPr>
        <w:spacing w:line="360" w:lineRule="auto"/>
        <w:jc w:val="both"/>
        <w:rPr>
          <w:color w:val="auto"/>
        </w:rPr>
      </w:pPr>
      <w:r w:rsidRPr="00DF4A2F">
        <w:rPr>
          <w:color w:val="auto"/>
        </w:rPr>
        <w:t>A obrigatoriedade de constituição de uma pessoa jurídica própria para representar o consórcio.</w:t>
      </w:r>
    </w:p>
    <w:p w:rsidR="00671620" w:rsidRPr="00DF4A2F" w:rsidRDefault="00671620" w:rsidP="0066661F">
      <w:pPr>
        <w:pStyle w:val="Default"/>
        <w:numPr>
          <w:ilvl w:val="0"/>
          <w:numId w:val="68"/>
        </w:numPr>
        <w:spacing w:line="360" w:lineRule="auto"/>
        <w:jc w:val="both"/>
        <w:rPr>
          <w:color w:val="auto"/>
        </w:rPr>
      </w:pPr>
      <w:r w:rsidRPr="00DF4A2F">
        <w:rPr>
          <w:color w:val="auto"/>
        </w:rPr>
        <w:t>A celebração de contrato de consórcio público, vinculando as entidades consorciadas com força obrigacional.</w:t>
      </w:r>
    </w:p>
    <w:p w:rsidR="00671620" w:rsidRPr="00DF4A2F" w:rsidRDefault="00671620" w:rsidP="0066661F">
      <w:pPr>
        <w:pStyle w:val="Default"/>
        <w:numPr>
          <w:ilvl w:val="0"/>
          <w:numId w:val="68"/>
        </w:numPr>
        <w:spacing w:line="360" w:lineRule="auto"/>
        <w:jc w:val="both"/>
        <w:rPr>
          <w:color w:val="auto"/>
        </w:rPr>
      </w:pPr>
      <w:r w:rsidRPr="00DF4A2F">
        <w:rPr>
          <w:color w:val="auto"/>
        </w:rPr>
        <w:t>A celebração de contrato de programa, quando há obrigações destituídas de ônus financeiro direto, a serem assumidas pelos entes federativos. Essas obrigações podem ser relacionadas, por exemplo, à transferência de bens ou cessão de pessoal para o consórcio.</w:t>
      </w:r>
    </w:p>
    <w:p w:rsidR="00671620" w:rsidRPr="00DF4A2F" w:rsidRDefault="00671620" w:rsidP="0066661F">
      <w:pPr>
        <w:pStyle w:val="Default"/>
        <w:numPr>
          <w:ilvl w:val="0"/>
          <w:numId w:val="68"/>
        </w:numPr>
        <w:spacing w:line="360" w:lineRule="auto"/>
        <w:jc w:val="both"/>
        <w:rPr>
          <w:color w:val="auto"/>
        </w:rPr>
      </w:pPr>
      <w:r w:rsidRPr="00DF4A2F">
        <w:rPr>
          <w:color w:val="auto"/>
        </w:rPr>
        <w:t>A celebração de contrato de rateio entre as entidades consorciadas, a ser formalizado para cada exercício financeiro, com a finalidade de estabelecer o compromisso de cada um na aplicação de recursos em prol do consórcio.</w:t>
      </w:r>
    </w:p>
    <w:p w:rsidR="00671620" w:rsidRPr="00DF4A2F" w:rsidRDefault="00671620" w:rsidP="00671620">
      <w:pPr>
        <w:pStyle w:val="Default"/>
        <w:spacing w:line="360" w:lineRule="auto"/>
        <w:ind w:firstLine="709"/>
        <w:jc w:val="both"/>
        <w:rPr>
          <w:color w:val="auto"/>
        </w:rPr>
      </w:pPr>
      <w:r w:rsidRPr="00DF4A2F">
        <w:rPr>
          <w:color w:val="auto"/>
        </w:rPr>
        <w:t xml:space="preserve">As principais vantagens do consórcio são: </w:t>
      </w:r>
    </w:p>
    <w:p w:rsidR="00671620" w:rsidRPr="00DF4A2F" w:rsidRDefault="00671620" w:rsidP="0066661F">
      <w:pPr>
        <w:pStyle w:val="Default"/>
        <w:numPr>
          <w:ilvl w:val="0"/>
          <w:numId w:val="68"/>
        </w:numPr>
        <w:spacing w:line="360" w:lineRule="auto"/>
        <w:jc w:val="both"/>
        <w:rPr>
          <w:color w:val="auto"/>
        </w:rPr>
      </w:pPr>
      <w:r w:rsidRPr="00DF4A2F">
        <w:rPr>
          <w:color w:val="auto"/>
        </w:rPr>
        <w:t>Viabiliza a gestão pública em regiões metropolitanas.</w:t>
      </w:r>
    </w:p>
    <w:p w:rsidR="00671620" w:rsidRPr="00DF4A2F" w:rsidRDefault="00671620" w:rsidP="0066661F">
      <w:pPr>
        <w:pStyle w:val="Default"/>
        <w:numPr>
          <w:ilvl w:val="0"/>
          <w:numId w:val="68"/>
        </w:numPr>
        <w:spacing w:line="360" w:lineRule="auto"/>
        <w:jc w:val="both"/>
        <w:rPr>
          <w:color w:val="auto"/>
        </w:rPr>
      </w:pPr>
      <w:r w:rsidRPr="00DF4A2F">
        <w:rPr>
          <w:color w:val="auto"/>
        </w:rPr>
        <w:t>Melhora a capacidade técnica, gerencial e financeira de pequenos municípios.</w:t>
      </w:r>
    </w:p>
    <w:p w:rsidR="00671620" w:rsidRPr="00DF4A2F" w:rsidRDefault="00671620" w:rsidP="0066661F">
      <w:pPr>
        <w:pStyle w:val="Default"/>
        <w:numPr>
          <w:ilvl w:val="0"/>
          <w:numId w:val="68"/>
        </w:numPr>
        <w:spacing w:line="360" w:lineRule="auto"/>
        <w:jc w:val="both"/>
        <w:rPr>
          <w:color w:val="auto"/>
        </w:rPr>
      </w:pPr>
      <w:r w:rsidRPr="00DF4A2F">
        <w:rPr>
          <w:color w:val="auto"/>
        </w:rPr>
        <w:t>Viabiliza uma solução única e centralizada para diversos municípios.</w:t>
      </w:r>
    </w:p>
    <w:p w:rsidR="00671620" w:rsidRPr="00DF4A2F" w:rsidRDefault="00671620" w:rsidP="00671620">
      <w:pPr>
        <w:pStyle w:val="Default"/>
        <w:spacing w:line="360" w:lineRule="auto"/>
        <w:ind w:firstLine="709"/>
        <w:jc w:val="both"/>
        <w:rPr>
          <w:color w:val="auto"/>
        </w:rPr>
      </w:pPr>
      <w:r w:rsidRPr="00DF4A2F">
        <w:rPr>
          <w:color w:val="auto"/>
        </w:rPr>
        <w:t>A Lei nº 11.445/07, que dá diretrizes nacionais para o saneamento básico, incentiva a constituição de consórcios, inclusive para a função de ente regulador dos serviços.</w:t>
      </w:r>
    </w:p>
    <w:p w:rsidR="00671620" w:rsidRDefault="00671620" w:rsidP="00BC01B1">
      <w:pPr>
        <w:pStyle w:val="SHS-Ttulo02"/>
      </w:pPr>
      <w:bookmarkStart w:id="87" w:name="_Toc488825315"/>
      <w:bookmarkStart w:id="88" w:name="_Toc493151481"/>
      <w:bookmarkStart w:id="89" w:name="_Toc498593459"/>
      <w:bookmarkStart w:id="90" w:name="_Toc504404431"/>
      <w:bookmarkStart w:id="91" w:name="_Toc509935470"/>
      <w:r w:rsidRPr="00DF4A2F">
        <w:t>Alternativas de regulação</w:t>
      </w:r>
      <w:r>
        <w:t xml:space="preserve"> e</w:t>
      </w:r>
      <w:r w:rsidRPr="00DF4A2F">
        <w:t xml:space="preserve"> fiscalização</w:t>
      </w:r>
      <w:bookmarkEnd w:id="87"/>
      <w:bookmarkEnd w:id="88"/>
      <w:bookmarkEnd w:id="89"/>
      <w:bookmarkEnd w:id="90"/>
      <w:bookmarkEnd w:id="91"/>
      <w:r w:rsidRPr="00DF4A2F">
        <w:t xml:space="preserve"> </w:t>
      </w:r>
    </w:p>
    <w:p w:rsidR="00671620" w:rsidRPr="00FC2484" w:rsidRDefault="00671620" w:rsidP="00BC01B1">
      <w:pPr>
        <w:pStyle w:val="Ttulo3"/>
      </w:pPr>
      <w:bookmarkStart w:id="92" w:name="_Toc488825316"/>
      <w:bookmarkStart w:id="93" w:name="_Toc493151482"/>
      <w:bookmarkStart w:id="94" w:name="_Toc498593460"/>
      <w:bookmarkStart w:id="95" w:name="_Toc504404432"/>
      <w:bookmarkStart w:id="96" w:name="_Toc509935471"/>
      <w:r>
        <w:t>Regulação</w:t>
      </w:r>
      <w:bookmarkEnd w:id="92"/>
      <w:bookmarkEnd w:id="93"/>
      <w:bookmarkEnd w:id="94"/>
      <w:bookmarkEnd w:id="95"/>
      <w:bookmarkEnd w:id="96"/>
    </w:p>
    <w:p w:rsidR="00671620" w:rsidRDefault="00671620" w:rsidP="00671620">
      <w:pPr>
        <w:pStyle w:val="Default"/>
        <w:spacing w:line="360" w:lineRule="auto"/>
        <w:ind w:firstLine="709"/>
        <w:jc w:val="both"/>
      </w:pPr>
      <w:r>
        <w:t xml:space="preserve">Conforme estabelecido no Decreto nº 6.017/2007, a regulação envolve todo e qualquer ato, normativo ou não, que discipline ou organize determinado serviço público, incluindo suas características, padrões de qualidade, impactos socioambientais, </w:t>
      </w:r>
      <w:r>
        <w:lastRenderedPageBreak/>
        <w:t xml:space="preserve">direitos e obrigações dos usuários e dos responsáveis por sua oferta ou prestação e fixação, além da revisão do valor de tarifas e outros preços públicos. </w:t>
      </w:r>
    </w:p>
    <w:p w:rsidR="00671620" w:rsidRDefault="00671620" w:rsidP="00671620">
      <w:pPr>
        <w:pStyle w:val="Default"/>
        <w:spacing w:line="360" w:lineRule="auto"/>
        <w:ind w:firstLine="709"/>
        <w:jc w:val="both"/>
      </w:pPr>
      <w:r>
        <w:t xml:space="preserve">A regulação cabe ao titular dos serviços, </w:t>
      </w:r>
      <w:r w:rsidRPr="00841358">
        <w:t>ou seja, ao Município,</w:t>
      </w:r>
      <w:r>
        <w:t xml:space="preserve"> que pode realizá-la diretamente ou delegá-la à entidade de outro </w:t>
      </w:r>
      <w:r w:rsidRPr="003F3340">
        <w:t>ente federado.</w:t>
      </w:r>
      <w:r>
        <w:t xml:space="preserve"> Nesse caso, a delegação só pode ser feita a uma entidade reguladora constituída especificamente para esse fim, dentro dos limites do </w:t>
      </w:r>
      <w:r w:rsidRPr="00841358">
        <w:t>respectivo Estado, devendo</w:t>
      </w:r>
      <w:r>
        <w:t xml:space="preserve"> ser explicitada a forma de atuação e a abrangência das atividades a serem desempenhadas pelas partes envolvidas (art. 8º e art. 23, § 1º, da Lei nº 11.445/07). A entidade reguladora e fiscalizadora dos serviços é a responsável pela verificação do cumprimento dos planos de saneamento por parte dos prestadores de serviços, na forma das disposições legais, regulamentares e contratuais (art. 20). Nas atividades de regulação dos serviços de saneamento básico, estão incluídas a interpretação e a fixação de critérios para a fiel execução dos contratos, dos serviços e para a correta administração de subsídios (art. 25, § 2º).</w:t>
      </w:r>
    </w:p>
    <w:p w:rsidR="00671620" w:rsidRDefault="00671620" w:rsidP="00671620">
      <w:pPr>
        <w:pStyle w:val="Default"/>
        <w:spacing w:line="360" w:lineRule="auto"/>
        <w:ind w:firstLine="709"/>
        <w:jc w:val="both"/>
      </w:pPr>
      <w:r>
        <w:t xml:space="preserve">O desenho regulatório é considerado o instrumento basilar para garantir eficiência e eficácia à atividade reguladora e serve como modelo para análise do atendimento das entidades reguladoras aos princípios da regulação. Destacam-se a independência da entidade reguladora, a garantia dos mandatos de seus dirigentes, a capacidade técnica, as decisões tomadas por órgãos colegiados e a participação social. São instrumentos do exercício da participação social na regulação a realização de audiências e consultas públicas, a constituição de ouvidorias e o funcionamento efetivo dos conselhos. A regulação da prestação de serviços públicos deve atender principalmente aos seguintes objetivos, apresentados na </w:t>
      </w:r>
      <w:r>
        <w:fldChar w:fldCharType="begin"/>
      </w:r>
      <w:r>
        <w:instrText xml:space="preserve"> REF _Ref488649215 \h </w:instrText>
      </w:r>
      <w:r>
        <w:fldChar w:fldCharType="separate"/>
      </w:r>
      <w:r w:rsidR="001B481B" w:rsidRPr="00E95583">
        <w:t xml:space="preserve">Figura </w:t>
      </w:r>
      <w:r w:rsidR="001B481B">
        <w:rPr>
          <w:noProof/>
        </w:rPr>
        <w:t>1</w:t>
      </w:r>
      <w:r>
        <w:fldChar w:fldCharType="end"/>
      </w:r>
      <w:r>
        <w:t xml:space="preserve">. </w:t>
      </w:r>
    </w:p>
    <w:p w:rsidR="00671620" w:rsidRPr="00E95583" w:rsidRDefault="00671620" w:rsidP="00E95583">
      <w:pPr>
        <w:pStyle w:val="Legenda"/>
      </w:pPr>
      <w:bookmarkStart w:id="97" w:name="_Ref488649215"/>
      <w:bookmarkStart w:id="98" w:name="_Toc488824956"/>
      <w:bookmarkStart w:id="99" w:name="_Toc493151544"/>
      <w:bookmarkStart w:id="100" w:name="_Toc498593532"/>
      <w:bookmarkStart w:id="101" w:name="_Toc503949398"/>
      <w:bookmarkStart w:id="102" w:name="_Toc509935766"/>
      <w:r w:rsidRPr="00E95583">
        <w:lastRenderedPageBreak/>
        <w:t xml:space="preserve">Figura </w:t>
      </w:r>
      <w:r w:rsidR="000A1C78">
        <w:fldChar w:fldCharType="begin"/>
      </w:r>
      <w:r w:rsidR="000A1C78">
        <w:instrText xml:space="preserve"> SEQ Figura \* ARABIC </w:instrText>
      </w:r>
      <w:r w:rsidR="000A1C78">
        <w:fldChar w:fldCharType="separate"/>
      </w:r>
      <w:r w:rsidR="001B481B">
        <w:rPr>
          <w:noProof/>
        </w:rPr>
        <w:t>1</w:t>
      </w:r>
      <w:r w:rsidR="000A1C78">
        <w:rPr>
          <w:noProof/>
        </w:rPr>
        <w:fldChar w:fldCharType="end"/>
      </w:r>
      <w:bookmarkEnd w:id="97"/>
      <w:r w:rsidRPr="00E95583">
        <w:t xml:space="preserve"> - Objetivos da regulação dos serviços de saneamento básico</w:t>
      </w:r>
      <w:bookmarkEnd w:id="98"/>
      <w:bookmarkEnd w:id="99"/>
      <w:bookmarkEnd w:id="100"/>
      <w:bookmarkEnd w:id="101"/>
      <w:bookmarkEnd w:id="102"/>
    </w:p>
    <w:p w:rsidR="00671620" w:rsidRDefault="00671620" w:rsidP="00E95583">
      <w:pPr>
        <w:pStyle w:val="figura"/>
      </w:pPr>
      <w:r w:rsidRPr="001F29C3">
        <w:rPr>
          <w:noProof/>
          <w:bdr w:val="single" w:sz="4" w:space="0" w:color="auto"/>
        </w:rPr>
        <w:drawing>
          <wp:inline distT="0" distB="0" distL="0" distR="0" wp14:anchorId="74864715" wp14:editId="5E61E4D7">
            <wp:extent cx="4133850" cy="2485655"/>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142502" cy="2490858"/>
                    </a:xfrm>
                    <a:prstGeom prst="rect">
                      <a:avLst/>
                    </a:prstGeom>
                    <a:effectLst>
                      <a:softEdge rad="12700"/>
                    </a:effectLst>
                  </pic:spPr>
                </pic:pic>
              </a:graphicData>
            </a:graphic>
          </wp:inline>
        </w:drawing>
      </w:r>
    </w:p>
    <w:p w:rsidR="00671620" w:rsidRPr="00E95583" w:rsidRDefault="00671620" w:rsidP="00AC47A2">
      <w:pPr>
        <w:pStyle w:val="Fonte"/>
      </w:pPr>
      <w:r w:rsidRPr="00E95583">
        <w:t>Fonte: ReCESA, 2013; adaptado da Lei Federal nº 11.445/07.</w:t>
      </w:r>
    </w:p>
    <w:p w:rsidR="00671620" w:rsidRDefault="00671620" w:rsidP="00671620">
      <w:pPr>
        <w:pStyle w:val="Default"/>
        <w:spacing w:line="360" w:lineRule="auto"/>
        <w:ind w:firstLine="709"/>
        <w:jc w:val="both"/>
      </w:pPr>
      <w:r>
        <w:t xml:space="preserve">Os modelos de regulação que podem ser utilizados são: a regulação por entes estaduais, por entes municipais e por consórcios de regulação. No </w:t>
      </w:r>
      <w:r>
        <w:fldChar w:fldCharType="begin"/>
      </w:r>
      <w:r>
        <w:instrText xml:space="preserve"> REF _Ref488649606 \h </w:instrText>
      </w:r>
      <w:r>
        <w:fldChar w:fldCharType="separate"/>
      </w:r>
      <w:r w:rsidR="001B481B">
        <w:t xml:space="preserve">Quadro </w:t>
      </w:r>
      <w:r w:rsidR="001B481B">
        <w:rPr>
          <w:noProof/>
        </w:rPr>
        <w:t>3</w:t>
      </w:r>
      <w:r>
        <w:fldChar w:fldCharType="end"/>
      </w:r>
      <w:r>
        <w:t xml:space="preserve"> são apresentadas as vantagens e desvantagens de cada modelo.</w:t>
      </w:r>
    </w:p>
    <w:p w:rsidR="00671620" w:rsidRDefault="00671620" w:rsidP="00E95583">
      <w:pPr>
        <w:pStyle w:val="Legenda"/>
      </w:pPr>
      <w:bookmarkStart w:id="103" w:name="_Ref488649606"/>
      <w:bookmarkStart w:id="104" w:name="_Toc488825047"/>
      <w:bookmarkStart w:id="105" w:name="_Toc493151583"/>
      <w:bookmarkStart w:id="106" w:name="_Toc498593640"/>
      <w:bookmarkStart w:id="107" w:name="_Toc503949431"/>
      <w:bookmarkStart w:id="108" w:name="_Toc509935780"/>
      <w:r>
        <w:t xml:space="preserve">Quadro </w:t>
      </w:r>
      <w:r w:rsidR="000A1C78">
        <w:fldChar w:fldCharType="begin"/>
      </w:r>
      <w:r w:rsidR="000A1C78">
        <w:instrText xml:space="preserve"> SEQ Quadro \* ARABIC </w:instrText>
      </w:r>
      <w:r w:rsidR="000A1C78">
        <w:fldChar w:fldCharType="separate"/>
      </w:r>
      <w:r w:rsidR="001B481B">
        <w:rPr>
          <w:noProof/>
        </w:rPr>
        <w:t>3</w:t>
      </w:r>
      <w:r w:rsidR="000A1C78">
        <w:rPr>
          <w:noProof/>
        </w:rPr>
        <w:fldChar w:fldCharType="end"/>
      </w:r>
      <w:bookmarkEnd w:id="103"/>
      <w:r>
        <w:rPr>
          <w:lang w:val="pt-BR"/>
        </w:rPr>
        <w:t xml:space="preserve"> - </w:t>
      </w:r>
      <w:r>
        <w:t>Vantagens e desvantagens dos modelos de regulação</w:t>
      </w:r>
      <w:bookmarkEnd w:id="104"/>
      <w:bookmarkEnd w:id="105"/>
      <w:bookmarkEnd w:id="106"/>
      <w:bookmarkEnd w:id="107"/>
      <w:bookmarkEnd w:id="108"/>
    </w:p>
    <w:p w:rsidR="00671620" w:rsidRDefault="00671620" w:rsidP="00671620">
      <w:pPr>
        <w:pStyle w:val="figura"/>
      </w:pPr>
      <w:r>
        <w:rPr>
          <w:noProof/>
        </w:rPr>
        <w:drawing>
          <wp:inline distT="0" distB="0" distL="0" distR="0" wp14:anchorId="6C9501D1" wp14:editId="2B73967A">
            <wp:extent cx="5939790" cy="2514600"/>
            <wp:effectExtent l="19050" t="19050" r="22860" b="1905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368" b="2022"/>
                    <a:stretch/>
                  </pic:blipFill>
                  <pic:spPr bwMode="auto">
                    <a:xfrm>
                      <a:off x="0" y="0"/>
                      <a:ext cx="5939790" cy="2514600"/>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rsidR="00671620" w:rsidRDefault="00671620" w:rsidP="00AC47A2">
      <w:pPr>
        <w:pStyle w:val="Fonte"/>
      </w:pPr>
      <w:r w:rsidRPr="001F29C3">
        <w:t>Fonte: Re</w:t>
      </w:r>
      <w:r>
        <w:t>CESA, 2013.</w:t>
      </w:r>
    </w:p>
    <w:p w:rsidR="0079180E" w:rsidRPr="002A6452" w:rsidRDefault="0079180E" w:rsidP="0079180E">
      <w:pPr>
        <w:ind w:firstLine="709"/>
        <w:jc w:val="both"/>
        <w:rPr>
          <w:rFonts w:cs="Arial"/>
        </w:rPr>
      </w:pPr>
      <w:r w:rsidRPr="0079180E">
        <w:rPr>
          <w:rFonts w:cs="Arial"/>
        </w:rPr>
        <w:t xml:space="preserve">Agências independentes, sob a forma de autarquias especiais com autonomia administrativa, orçamentária e decisória, podem atuar como reguladoras dos serviços de saneamento básico. A grande maioria dessas agências, no Brasil, é formada por entidades estaduais, a exemplo da Agência Reguladora de Serviços de Abastecimento de Água e de Esgotamento Sanitário do Estado de Minas Gerais (ARSAE-MG), da Agência Reguladora de Saneamento e Energia do Estado de São Paulo (ARSESP) e </w:t>
      </w:r>
      <w:r w:rsidRPr="0079180E">
        <w:rPr>
          <w:rFonts w:cs="Arial"/>
        </w:rPr>
        <w:lastRenderedPageBreak/>
        <w:t>da Agência Reguladora de Energia e Saneamento Básico do Estado do Rio de Janeiro (AGENERSA). Também existem entidades de âmbito municipal, tais como a Agência Reguladora dos Serviços de Água e Esgoto do Município de Mauá/SP (ARSAE) e intermunicipal, como a Agência Reguladora dos Serviços de Saneamento das Bacias dos Rios Piracicaba, Capivari e Jundiaí (ARES-PCJ).</w:t>
      </w:r>
    </w:p>
    <w:p w:rsidR="00671620" w:rsidRPr="00841358" w:rsidRDefault="00671620" w:rsidP="00671620">
      <w:pPr>
        <w:pStyle w:val="Default"/>
        <w:spacing w:line="360" w:lineRule="auto"/>
        <w:ind w:firstLine="709"/>
        <w:jc w:val="both"/>
        <w:rPr>
          <w:color w:val="auto"/>
        </w:rPr>
      </w:pPr>
      <w:r w:rsidRPr="00DA47A4">
        <w:rPr>
          <w:color w:val="auto"/>
        </w:rPr>
        <w:t xml:space="preserve">Em Minas Gerais, a ARSAE-MG é a primeira agência reguladora a integrar a estrutura institucional do Estado. Sua criação atendeu a disposições da </w:t>
      </w:r>
      <w:hyperlink r:id="rId29" w:tgtFrame="_blank" w:history="1">
        <w:r w:rsidRPr="00DA47A4">
          <w:rPr>
            <w:color w:val="auto"/>
          </w:rPr>
          <w:t>Lei Federal nº 11.445/07</w:t>
        </w:r>
      </w:hyperlink>
      <w:r w:rsidRPr="00DA47A4">
        <w:rPr>
          <w:color w:val="auto"/>
        </w:rPr>
        <w:t xml:space="preserve">, </w:t>
      </w:r>
      <w:r w:rsidRPr="00841358">
        <w:rPr>
          <w:color w:val="auto"/>
        </w:rPr>
        <w:t>especialmente ao art. 23, § 1º.</w:t>
      </w:r>
    </w:p>
    <w:p w:rsidR="00671620" w:rsidRPr="00DA47A4" w:rsidRDefault="00671620" w:rsidP="00671620">
      <w:pPr>
        <w:pStyle w:val="Default"/>
        <w:spacing w:line="360" w:lineRule="auto"/>
        <w:ind w:firstLine="709"/>
        <w:jc w:val="both"/>
        <w:rPr>
          <w:color w:val="auto"/>
        </w:rPr>
      </w:pPr>
      <w:r w:rsidRPr="00841358">
        <w:rPr>
          <w:color w:val="auto"/>
        </w:rPr>
        <w:t>Essa</w:t>
      </w:r>
      <w:r>
        <w:rPr>
          <w:color w:val="auto"/>
        </w:rPr>
        <w:t xml:space="preserve"> </w:t>
      </w:r>
      <w:r w:rsidRPr="00DA47A4">
        <w:rPr>
          <w:color w:val="auto"/>
        </w:rPr>
        <w:t xml:space="preserve">reguladora está organizada sob a forma de autarquia especial, regime que confere à entidade autonomia de decisão e de gestão administrativa, financeira, técnica e </w:t>
      </w:r>
      <w:r w:rsidRPr="00841358">
        <w:rPr>
          <w:color w:val="auto"/>
        </w:rPr>
        <w:t>patrimonial. Está vinculada ao sistema da Secretaria de Estado de Desenvolvimento Regional e Política Urbana (SEDRU) e segue o modelo e os parâmetros das agências reguladoras de nível federal, entre os quais o “regime jurídico de autarquia especial”, um importante instrumento do Estado regulador.</w:t>
      </w:r>
    </w:p>
    <w:p w:rsidR="00671620" w:rsidRPr="00DA47A4" w:rsidRDefault="00671620" w:rsidP="00671620">
      <w:pPr>
        <w:pStyle w:val="Default"/>
        <w:spacing w:line="360" w:lineRule="auto"/>
        <w:ind w:firstLine="709"/>
        <w:jc w:val="both"/>
        <w:rPr>
          <w:color w:val="auto"/>
        </w:rPr>
      </w:pPr>
      <w:r w:rsidRPr="00DA47A4">
        <w:rPr>
          <w:color w:val="auto"/>
        </w:rPr>
        <w:t>Cabe à ARSAE a fiscalização e a execução do contrato, além da aplicação das sanções estipuladas pelo contrato e previstas na lei, em razão da sua inexecução parcial ou total.</w:t>
      </w:r>
    </w:p>
    <w:p w:rsidR="00671620" w:rsidRPr="00DA47A4" w:rsidRDefault="00671620" w:rsidP="00671620">
      <w:pPr>
        <w:pStyle w:val="Default"/>
        <w:spacing w:line="360" w:lineRule="auto"/>
        <w:ind w:firstLine="709"/>
        <w:jc w:val="both"/>
        <w:rPr>
          <w:color w:val="auto"/>
        </w:rPr>
      </w:pPr>
      <w:r w:rsidRPr="00DA47A4">
        <w:rPr>
          <w:color w:val="auto"/>
        </w:rPr>
        <w:t xml:space="preserve">A ARSAE poderá, sem prejuízo da aplicação das penalidades cabíveis e das responsabilidades incidentes, intervir na prestação dos serviços, a qualquer tempo, </w:t>
      </w:r>
      <w:r w:rsidRPr="00841358">
        <w:rPr>
          <w:color w:val="auto"/>
        </w:rPr>
        <w:t>com o objetivo de assegurar a regularidade e adequação dos serviços, bem como o fiel cumprimento das normas contratuais, regulamentares e legais pertinentes. Essa intervenção só poderá ser executada após a devida autorização do município e deverá ser declarada pela ARSAE por ato próprio, por meio do qual será designado o</w:t>
      </w:r>
      <w:r w:rsidRPr="00DA47A4">
        <w:rPr>
          <w:color w:val="auto"/>
        </w:rPr>
        <w:t xml:space="preserve"> interventor, o prazo de duração, os objetivos e os limites da medida. </w:t>
      </w:r>
    </w:p>
    <w:p w:rsidR="00671620" w:rsidRPr="00DF4A2F" w:rsidRDefault="00671620" w:rsidP="00671620">
      <w:pPr>
        <w:pStyle w:val="Default"/>
        <w:spacing w:line="360" w:lineRule="auto"/>
        <w:ind w:firstLine="709"/>
        <w:jc w:val="both"/>
        <w:rPr>
          <w:color w:val="auto"/>
        </w:rPr>
      </w:pPr>
      <w:r w:rsidRPr="00DA47A4">
        <w:rPr>
          <w:color w:val="auto"/>
        </w:rPr>
        <w:t xml:space="preserve">Com relação à receita tarifária, está a cargo da ARSAE autorizar as tarifas e homologar a tabela de preços para prestação dos serviços. A agência também deverá definir a estrutura tarifária, observando as diretrizes da Lei nº </w:t>
      </w:r>
      <w:r w:rsidR="003F3340">
        <w:rPr>
          <w:color w:val="auto"/>
        </w:rPr>
        <w:t xml:space="preserve">11.445/07, de seu regulamento </w:t>
      </w:r>
      <w:r w:rsidRPr="00DA47A4">
        <w:rPr>
          <w:color w:val="auto"/>
        </w:rPr>
        <w:t>e da legislação correlata.</w:t>
      </w:r>
    </w:p>
    <w:p w:rsidR="00671620" w:rsidRPr="00675E1D" w:rsidRDefault="00671620" w:rsidP="00671620">
      <w:pPr>
        <w:pStyle w:val="Default"/>
        <w:spacing w:line="360" w:lineRule="auto"/>
        <w:ind w:firstLine="709"/>
        <w:jc w:val="both"/>
        <w:rPr>
          <w:color w:val="auto"/>
          <w:highlight w:val="cyan"/>
        </w:rPr>
      </w:pPr>
      <w:r>
        <w:t xml:space="preserve">A publicidade dos relatórios, estudos, decisões e instrumentos equivalentes que se refiram à regulação ou à fiscalização dos serviços, bem como aos direitos e deveres dos usuários e prestadores, </w:t>
      </w:r>
      <w:r w:rsidRPr="00675E1D">
        <w:rPr>
          <w:color w:val="auto"/>
        </w:rPr>
        <w:t>está assegurada no art. 26 da referida lei. Segundo esse dispositivo, qualquer pessoa pode requerer tais informações.</w:t>
      </w:r>
      <w:r w:rsidRPr="00675E1D">
        <w:rPr>
          <w:color w:val="auto"/>
          <w:highlight w:val="cyan"/>
        </w:rPr>
        <w:t xml:space="preserve"> </w:t>
      </w:r>
    </w:p>
    <w:p w:rsidR="00671620" w:rsidRDefault="00671620" w:rsidP="00671620">
      <w:pPr>
        <w:pStyle w:val="Default"/>
        <w:spacing w:line="360" w:lineRule="auto"/>
        <w:ind w:firstLine="709"/>
        <w:jc w:val="both"/>
        <w:rPr>
          <w:color w:val="auto"/>
        </w:rPr>
      </w:pPr>
      <w:r w:rsidRPr="00675E1D">
        <w:rPr>
          <w:color w:val="auto"/>
        </w:rPr>
        <w:lastRenderedPageBreak/>
        <w:t xml:space="preserve">As atribuições da Agência Reguladora ARSAE - MG restringem-se aos serviços prestados pela COPASA, não abrangendo a totalidade de responsabilidades indicadas na Lei nº 11.445/07, nem tampouco a parcela do território municipal onde a concessionária não atua. Os demais serviços do saneamento também não compõem o escopo de regulação da ARSAE - MG, de modo que se faz necessário que o município se adeque, escolhendo os modelos de regulação e fiscalização que mais lhe convêm, para bem empreender a gestão dos quatro eixos do saneamento básico municipal. </w:t>
      </w:r>
    </w:p>
    <w:p w:rsidR="00671620" w:rsidRDefault="00671620" w:rsidP="00BC01B1">
      <w:pPr>
        <w:pStyle w:val="Ttulo3"/>
      </w:pPr>
      <w:bookmarkStart w:id="109" w:name="_Toc488825317"/>
      <w:bookmarkStart w:id="110" w:name="_Toc493151483"/>
      <w:bookmarkStart w:id="111" w:name="_Toc498593461"/>
      <w:bookmarkStart w:id="112" w:name="_Toc504404433"/>
      <w:bookmarkStart w:id="113" w:name="_Toc509935472"/>
      <w:r>
        <w:t>Fiscalização</w:t>
      </w:r>
      <w:bookmarkEnd w:id="109"/>
      <w:bookmarkEnd w:id="110"/>
      <w:bookmarkEnd w:id="111"/>
      <w:bookmarkEnd w:id="112"/>
      <w:bookmarkEnd w:id="113"/>
    </w:p>
    <w:p w:rsidR="00671620" w:rsidRDefault="00671620" w:rsidP="00671620">
      <w:pPr>
        <w:pStyle w:val="Default"/>
        <w:spacing w:line="360" w:lineRule="auto"/>
        <w:ind w:firstLine="709"/>
        <w:jc w:val="both"/>
      </w:pPr>
      <w:r>
        <w:t xml:space="preserve">Estabelecidas as possibilidades de formas de prestação do serviço, bem como as formas e objetivos quanto à sua regulação, deve-se pensar em formas de fiscalização dos serviços. É importante que fique claro que em qualquer processo de </w:t>
      </w:r>
      <w:r w:rsidRPr="00F05DB8">
        <w:t>gestão,</w:t>
      </w:r>
      <w:r>
        <w:t xml:space="preserve"> o ato de fiscalizar está vinculado ao controle do processo, permitindo que, ao longo da operação do sistema, seja possível ajustar eventuais falhas e corrigir rumos tanto da prestação, quanto da regulação </w:t>
      </w:r>
      <w:r w:rsidRPr="00F05DB8">
        <w:t>dos serviços.</w:t>
      </w:r>
      <w:r>
        <w:t xml:space="preserve"> A fiscalização, segundo o Decreto nº 6.017/07, refere-se às atividades de acompanhamento, monitoramento, controle e avaliação, no sentido de garantir a utilização, efetiva ou potencial, do serviço público. </w:t>
      </w:r>
    </w:p>
    <w:p w:rsidR="00671620" w:rsidRDefault="00671620" w:rsidP="00671620">
      <w:pPr>
        <w:pStyle w:val="Default"/>
        <w:spacing w:line="360" w:lineRule="auto"/>
        <w:ind w:firstLine="709"/>
        <w:jc w:val="both"/>
      </w:pPr>
      <w:r>
        <w:t>A fiscalização cabe ao titular dos serviços</w:t>
      </w:r>
      <w:r w:rsidR="00A055D1">
        <w:t>,</w:t>
      </w:r>
      <w:r>
        <w:t xml:space="preserve"> que pode realizá-la diretamente ou delegá-la à entidade de outro ente </w:t>
      </w:r>
      <w:r w:rsidRPr="00841358">
        <w:t>federado (art. 8º da Lei</w:t>
      </w:r>
      <w:r>
        <w:t xml:space="preserve"> nº 11.445/07). A mesma lei ainda define que </w:t>
      </w:r>
      <w:r w:rsidRPr="00A055D1">
        <w:t>serviço adequado é o que satisfaz as condições de regularidade, continuidade, eficiência, segurança, atualidade, generalidade, cortesia na sua pre</w:t>
      </w:r>
      <w:r w:rsidR="00161C8D">
        <w:t xml:space="preserve">stação e modicidade das tarifas e que </w:t>
      </w:r>
      <w:r w:rsidRPr="00A055D1">
        <w:t>a atualidade compreende a modernidade das técnicas, do equipamento e das instalações e a sua conservação, bem como a</w:t>
      </w:r>
      <w:r w:rsidR="00A055D1" w:rsidRPr="00A055D1">
        <w:t xml:space="preserve"> melhoria e expansão do serviço</w:t>
      </w:r>
      <w:r w:rsidRPr="00A055D1">
        <w:t>.</w:t>
      </w:r>
      <w:r>
        <w:t xml:space="preserve"> </w:t>
      </w:r>
    </w:p>
    <w:p w:rsidR="00671620" w:rsidRDefault="00671620" w:rsidP="00671620">
      <w:pPr>
        <w:pStyle w:val="Default"/>
        <w:spacing w:line="360" w:lineRule="auto"/>
        <w:ind w:firstLine="709"/>
        <w:jc w:val="both"/>
      </w:pPr>
      <w:r>
        <w:t xml:space="preserve">O </w:t>
      </w:r>
      <w:r>
        <w:fldChar w:fldCharType="begin"/>
      </w:r>
      <w:r>
        <w:instrText xml:space="preserve"> REF _Ref489534849 \h </w:instrText>
      </w:r>
      <w:r>
        <w:fldChar w:fldCharType="separate"/>
      </w:r>
      <w:r w:rsidR="001B481B">
        <w:t xml:space="preserve">Quadro </w:t>
      </w:r>
      <w:r w:rsidR="001B481B">
        <w:rPr>
          <w:noProof/>
        </w:rPr>
        <w:t>4</w:t>
      </w:r>
      <w:r>
        <w:fldChar w:fldCharType="end"/>
      </w:r>
      <w:r>
        <w:t xml:space="preserve"> apresenta as entidades que podem assumir a responsabilidade de desempenhar cada uma das funções da </w:t>
      </w:r>
      <w:r w:rsidRPr="00F05DB8">
        <w:t>gestão d</w:t>
      </w:r>
      <w:r>
        <w:t xml:space="preserve">o saneamento básico, quais sejam: planejamento, prestação de serviços, regulação e fiscalização. </w:t>
      </w:r>
    </w:p>
    <w:p w:rsidR="00671620" w:rsidRDefault="00671620" w:rsidP="00E95583">
      <w:pPr>
        <w:pStyle w:val="Legenda"/>
      </w:pPr>
      <w:bookmarkStart w:id="114" w:name="_Ref489534849"/>
      <w:bookmarkStart w:id="115" w:name="_Toc489536317"/>
      <w:bookmarkStart w:id="116" w:name="_Toc489535661"/>
      <w:bookmarkStart w:id="117" w:name="_Toc493151584"/>
      <w:bookmarkStart w:id="118" w:name="_Toc498593641"/>
      <w:bookmarkStart w:id="119" w:name="_Toc503949432"/>
      <w:bookmarkStart w:id="120" w:name="_Toc509935781"/>
      <w:r>
        <w:lastRenderedPageBreak/>
        <w:t xml:space="preserve">Quadro </w:t>
      </w:r>
      <w:r w:rsidR="000A1C78">
        <w:fldChar w:fldCharType="begin"/>
      </w:r>
      <w:r w:rsidR="000A1C78">
        <w:instrText xml:space="preserve"> SEQ Quadro \* ARABIC </w:instrText>
      </w:r>
      <w:r w:rsidR="000A1C78">
        <w:fldChar w:fldCharType="separate"/>
      </w:r>
      <w:r w:rsidR="001B481B">
        <w:rPr>
          <w:noProof/>
        </w:rPr>
        <w:t>4</w:t>
      </w:r>
      <w:r w:rsidR="000A1C78">
        <w:rPr>
          <w:noProof/>
        </w:rPr>
        <w:fldChar w:fldCharType="end"/>
      </w:r>
      <w:bookmarkEnd w:id="114"/>
      <w:r>
        <w:t xml:space="preserve"> - Funções da gestão e entidades passíveis de atuar como responsáveis</w:t>
      </w:r>
      <w:bookmarkEnd w:id="115"/>
      <w:bookmarkEnd w:id="116"/>
      <w:bookmarkEnd w:id="117"/>
      <w:bookmarkEnd w:id="118"/>
      <w:bookmarkEnd w:id="119"/>
      <w:bookmarkEnd w:id="120"/>
    </w:p>
    <w:p w:rsidR="00671620" w:rsidRDefault="00671620" w:rsidP="00671620">
      <w:pPr>
        <w:pStyle w:val="figura"/>
      </w:pPr>
      <w:r>
        <w:rPr>
          <w:noProof/>
        </w:rPr>
        <w:drawing>
          <wp:inline distT="0" distB="0" distL="0" distR="0" wp14:anchorId="0C687DC9" wp14:editId="1FAE36DA">
            <wp:extent cx="5943600" cy="2355215"/>
            <wp:effectExtent l="0" t="0" r="0" b="698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30">
                      <a:extLst>
                        <a:ext uri="{28A0092B-C50C-407E-A947-70E740481C1C}">
                          <a14:useLocalDpi xmlns:a14="http://schemas.microsoft.com/office/drawing/2010/main" val="0"/>
                        </a:ext>
                      </a:extLst>
                    </a:blip>
                    <a:srcRect t="8047" b="10580"/>
                    <a:stretch>
                      <a:fillRect/>
                    </a:stretch>
                  </pic:blipFill>
                  <pic:spPr bwMode="auto">
                    <a:xfrm>
                      <a:off x="0" y="0"/>
                      <a:ext cx="5943600" cy="2355215"/>
                    </a:xfrm>
                    <a:prstGeom prst="rect">
                      <a:avLst/>
                    </a:prstGeom>
                    <a:noFill/>
                    <a:ln>
                      <a:noFill/>
                    </a:ln>
                  </pic:spPr>
                </pic:pic>
              </a:graphicData>
            </a:graphic>
          </wp:inline>
        </w:drawing>
      </w:r>
    </w:p>
    <w:p w:rsidR="00671620" w:rsidRDefault="00671620" w:rsidP="00AC47A2">
      <w:pPr>
        <w:pStyle w:val="Fonte"/>
      </w:pPr>
      <w:r>
        <w:t>Fonte: ReCESA, 2013, adaptado da Lei nº 11445/07.</w:t>
      </w:r>
    </w:p>
    <w:p w:rsidR="00671620" w:rsidRDefault="00671620" w:rsidP="00BC01B1">
      <w:pPr>
        <w:pStyle w:val="SHS-Ttulo02"/>
      </w:pPr>
      <w:bookmarkStart w:id="121" w:name="_Toc488825318"/>
      <w:bookmarkStart w:id="122" w:name="_Toc493151484"/>
      <w:bookmarkStart w:id="123" w:name="_Toc498593462"/>
      <w:bookmarkStart w:id="124" w:name="_Toc504404434"/>
      <w:bookmarkStart w:id="125" w:name="_Toc509935473"/>
      <w:r>
        <w:t>Regulamentação</w:t>
      </w:r>
      <w:r w:rsidRPr="00DF4A2F">
        <w:t xml:space="preserve"> do setor de limpeza urbana e manejo de resíduos sólidos considerando o PMGIRS</w:t>
      </w:r>
      <w:bookmarkEnd w:id="121"/>
      <w:bookmarkEnd w:id="122"/>
      <w:bookmarkEnd w:id="123"/>
      <w:bookmarkEnd w:id="124"/>
      <w:bookmarkEnd w:id="125"/>
    </w:p>
    <w:p w:rsidR="00671620" w:rsidRDefault="00671620" w:rsidP="00671620">
      <w:pPr>
        <w:pStyle w:val="Default"/>
        <w:spacing w:line="360" w:lineRule="auto"/>
        <w:ind w:firstLine="709"/>
        <w:jc w:val="both"/>
        <w:rPr>
          <w:color w:val="auto"/>
        </w:rPr>
      </w:pPr>
      <w:r>
        <w:rPr>
          <w:color w:val="auto"/>
        </w:rPr>
        <w:t xml:space="preserve">Considerando a diversidade de resíduos e a necessidade de garantias de salubridade em todas as etapas da gestão, ou seja, acondicionamento, armazenagem, transporte, destinação, tratamento e disposição final, o arcabouço de normas regulamentadoras é extenso. Daí a necessidade de haver um maior detalhamento da descrição desse setor no PMSB.  </w:t>
      </w:r>
    </w:p>
    <w:p w:rsidR="00671620" w:rsidRDefault="00671620" w:rsidP="00671620">
      <w:pPr>
        <w:pStyle w:val="Default"/>
        <w:spacing w:line="360" w:lineRule="auto"/>
        <w:ind w:firstLine="709"/>
        <w:jc w:val="both"/>
        <w:rPr>
          <w:color w:val="auto"/>
        </w:rPr>
      </w:pPr>
      <w:r w:rsidRPr="00DF4A2F">
        <w:rPr>
          <w:color w:val="auto"/>
        </w:rPr>
        <w:t xml:space="preserve">A seguir serão </w:t>
      </w:r>
      <w:r>
        <w:rPr>
          <w:color w:val="auto"/>
        </w:rPr>
        <w:t>apresentados</w:t>
      </w:r>
      <w:r w:rsidRPr="00DF4A2F">
        <w:rPr>
          <w:color w:val="auto"/>
        </w:rPr>
        <w:t xml:space="preserve"> os procedimentos corretos a serem implementados pelos geradores dos diversos tipos de resíduos produzidos no município, visando sua destinação correta no que concerne a questões operacionais, ambientais e de segurança.</w:t>
      </w:r>
    </w:p>
    <w:p w:rsidR="00671620" w:rsidRPr="00FC2A41" w:rsidRDefault="00671620" w:rsidP="00BC01B1">
      <w:pPr>
        <w:pStyle w:val="Ttulo3"/>
      </w:pPr>
      <w:bookmarkStart w:id="126" w:name="_Toc488825319"/>
      <w:bookmarkStart w:id="127" w:name="_Toc493151485"/>
      <w:bookmarkStart w:id="128" w:name="_Toc498593463"/>
      <w:bookmarkStart w:id="129" w:name="_Toc504404435"/>
      <w:bookmarkStart w:id="130" w:name="_Toc509935474"/>
      <w:r w:rsidRPr="00DF4A2F">
        <w:t xml:space="preserve">Regras para o transporte e outras etapas do gerenciamento de resíduos </w:t>
      </w:r>
      <w:r w:rsidRPr="00FC2A41">
        <w:t>sólidos</w:t>
      </w:r>
      <w:bookmarkEnd w:id="126"/>
      <w:bookmarkEnd w:id="127"/>
      <w:bookmarkEnd w:id="128"/>
      <w:bookmarkEnd w:id="129"/>
      <w:bookmarkEnd w:id="130"/>
    </w:p>
    <w:p w:rsidR="00671620" w:rsidRPr="00FC2A41" w:rsidRDefault="00671620" w:rsidP="00671620">
      <w:pPr>
        <w:pStyle w:val="Default"/>
        <w:spacing w:line="360" w:lineRule="auto"/>
        <w:ind w:firstLine="709"/>
        <w:jc w:val="both"/>
        <w:rPr>
          <w:color w:val="auto"/>
        </w:rPr>
      </w:pPr>
      <w:r w:rsidRPr="00FC2A41">
        <w:rPr>
          <w:color w:val="auto"/>
        </w:rPr>
        <w:t>Para que haja uma operacionalidade eficaz e eficiente no sistema de limpeza urbana e manejo de resíduos sólidos, há a necessidade de se estabelecer atividades de transporte dos resíduos de diversas naturezas gerados no espaço municipal, assim como o acondicionamento, o armazenamento e, se necessário, o transbordo de materiais.</w:t>
      </w:r>
    </w:p>
    <w:p w:rsidR="00671620" w:rsidRPr="00FC2A41" w:rsidRDefault="00671620" w:rsidP="00671620">
      <w:pPr>
        <w:pStyle w:val="Default"/>
        <w:spacing w:line="360" w:lineRule="auto"/>
        <w:ind w:firstLine="709"/>
        <w:jc w:val="both"/>
        <w:rPr>
          <w:color w:val="auto"/>
        </w:rPr>
      </w:pPr>
      <w:r w:rsidRPr="00FC2A41">
        <w:rPr>
          <w:color w:val="auto"/>
        </w:rPr>
        <w:t xml:space="preserve">A operacionalização desses serviços pode ser assumida diretamente pela Administração Municipal ou pode ser delegada a terceiros, mediante contratos. Para </w:t>
      </w:r>
      <w:r w:rsidRPr="00FC2A41">
        <w:rPr>
          <w:color w:val="auto"/>
        </w:rPr>
        <w:lastRenderedPageBreak/>
        <w:t xml:space="preserve">que as atividades de transporte e outras necessárias à gestão integrada de resíduos sejam empreendidas com o mínimo risco para as pessoas e para o meio ambiente, faz-se necessário que uma série de normas e regras sejam atendidas. Quando a prestação desses serviços é delegada a terceiros, a responsabilidade pelo atendimento aos requisitos legais que convergem sobre eles é compartilhada entre a empresa que realiza tais atividades e o titular dos serviços de saneamento, ou seja, a Administração Pública Municipal. Por essa razão, a Prefeitura </w:t>
      </w:r>
      <w:r>
        <w:rPr>
          <w:color w:val="auto"/>
        </w:rPr>
        <w:t xml:space="preserve">Municipal </w:t>
      </w:r>
      <w:r w:rsidRPr="00FC2A41">
        <w:rPr>
          <w:color w:val="auto"/>
        </w:rPr>
        <w:t xml:space="preserve">deve incluir as atividades das empresas terceirizadas naquelas sujeitas à sua fiscalização. Com relação às atividades de armazenamento, estocagem, transporte e disposição final de resíduos, entre outras, as regras são apresentadas nos itens seguintes.  </w:t>
      </w:r>
    </w:p>
    <w:p w:rsidR="00671620" w:rsidRPr="00DF4A2F" w:rsidRDefault="00671620" w:rsidP="00BC01B1">
      <w:pPr>
        <w:pStyle w:val="Ttulo4"/>
      </w:pPr>
      <w:bookmarkStart w:id="131" w:name="_Toc488825320"/>
      <w:bookmarkStart w:id="132" w:name="_Toc493151486"/>
      <w:bookmarkStart w:id="133" w:name="_Toc498593464"/>
      <w:bookmarkStart w:id="134" w:name="_Toc504404436"/>
      <w:bookmarkStart w:id="135" w:name="_Toc509935475"/>
      <w:r w:rsidRPr="00DF4A2F">
        <w:t>Resíduos dos serviços públicos de saneamento básico</w:t>
      </w:r>
      <w:bookmarkEnd w:id="131"/>
      <w:bookmarkEnd w:id="132"/>
      <w:bookmarkEnd w:id="133"/>
      <w:bookmarkEnd w:id="134"/>
      <w:bookmarkEnd w:id="135"/>
    </w:p>
    <w:p w:rsidR="00671620" w:rsidRPr="00DF4A2F" w:rsidRDefault="00671620" w:rsidP="00671620">
      <w:pPr>
        <w:pStyle w:val="Default"/>
        <w:spacing w:line="360" w:lineRule="auto"/>
        <w:ind w:firstLine="709"/>
        <w:jc w:val="both"/>
        <w:rPr>
          <w:color w:val="auto"/>
        </w:rPr>
      </w:pPr>
      <w:r w:rsidRPr="00DF4A2F">
        <w:rPr>
          <w:color w:val="auto"/>
        </w:rPr>
        <w:t xml:space="preserve">Os resíduos de serviços públicos de saneamento básico são aqueles gerados nessas atividades, excetuados os resíduos domiciliares e os de limpeza urbana, segundo o art. 13 da Lei n° 12.305 de 2010. Algumas regras e normas sobre esse tipo de resíduo estão </w:t>
      </w:r>
      <w:r w:rsidRPr="006D17A2">
        <w:rPr>
          <w:color w:val="auto"/>
        </w:rPr>
        <w:t xml:space="preserve">apresentadas no </w:t>
      </w:r>
      <w:r w:rsidRPr="006D17A2">
        <w:rPr>
          <w:color w:val="auto"/>
        </w:rPr>
        <w:fldChar w:fldCharType="begin"/>
      </w:r>
      <w:r w:rsidRPr="006D17A2">
        <w:rPr>
          <w:color w:val="auto"/>
        </w:rPr>
        <w:instrText xml:space="preserve"> REF _Ref483559870 \h  \* MERGEFORMAT </w:instrText>
      </w:r>
      <w:r w:rsidRPr="006D17A2">
        <w:rPr>
          <w:color w:val="auto"/>
        </w:rPr>
      </w:r>
      <w:r w:rsidRPr="006D17A2">
        <w:rPr>
          <w:color w:val="auto"/>
        </w:rPr>
        <w:fldChar w:fldCharType="separate"/>
      </w:r>
      <w:r w:rsidR="001B481B" w:rsidRPr="001B481B">
        <w:rPr>
          <w:color w:val="auto"/>
        </w:rPr>
        <w:t xml:space="preserve">Quadro </w:t>
      </w:r>
      <w:r w:rsidR="001B481B" w:rsidRPr="001B481B">
        <w:rPr>
          <w:noProof/>
          <w:color w:val="auto"/>
        </w:rPr>
        <w:t>5</w:t>
      </w:r>
      <w:r w:rsidRPr="006D17A2">
        <w:rPr>
          <w:color w:val="auto"/>
        </w:rPr>
        <w:fldChar w:fldCharType="end"/>
      </w:r>
      <w:r w:rsidRPr="006D17A2">
        <w:rPr>
          <w:color w:val="auto"/>
        </w:rPr>
        <w:t xml:space="preserve">, </w:t>
      </w:r>
      <w:r w:rsidR="00FB2D31" w:rsidRPr="006D17A2">
        <w:rPr>
          <w:color w:val="auto"/>
        </w:rPr>
        <w:fldChar w:fldCharType="begin"/>
      </w:r>
      <w:r w:rsidR="00FB2D31" w:rsidRPr="006D17A2">
        <w:rPr>
          <w:color w:val="auto"/>
        </w:rPr>
        <w:instrText xml:space="preserve"> REF _Ref506478220 \h  \* MERGEFORMAT </w:instrText>
      </w:r>
      <w:r w:rsidR="00FB2D31" w:rsidRPr="006D17A2">
        <w:rPr>
          <w:color w:val="auto"/>
        </w:rPr>
      </w:r>
      <w:r w:rsidR="00FB2D31" w:rsidRPr="006D17A2">
        <w:rPr>
          <w:color w:val="auto"/>
        </w:rPr>
        <w:fldChar w:fldCharType="separate"/>
      </w:r>
      <w:r w:rsidR="001B481B" w:rsidRPr="00DF4A2F">
        <w:t xml:space="preserve">Quadro </w:t>
      </w:r>
      <w:r w:rsidR="001B481B">
        <w:rPr>
          <w:noProof/>
        </w:rPr>
        <w:t>6</w:t>
      </w:r>
      <w:r w:rsidR="00FB2D31" w:rsidRPr="006D17A2">
        <w:rPr>
          <w:color w:val="auto"/>
        </w:rPr>
        <w:fldChar w:fldCharType="end"/>
      </w:r>
      <w:r w:rsidR="00FB2D31" w:rsidRPr="006D17A2">
        <w:rPr>
          <w:color w:val="auto"/>
        </w:rPr>
        <w:t xml:space="preserve">, </w:t>
      </w:r>
      <w:r w:rsidR="00FB2D31" w:rsidRPr="006D17A2">
        <w:rPr>
          <w:color w:val="auto"/>
        </w:rPr>
        <w:fldChar w:fldCharType="begin"/>
      </w:r>
      <w:r w:rsidR="00FB2D31" w:rsidRPr="006D17A2">
        <w:rPr>
          <w:color w:val="auto"/>
        </w:rPr>
        <w:instrText xml:space="preserve"> REF _Ref506478227 \h  \* MERGEFORMAT </w:instrText>
      </w:r>
      <w:r w:rsidR="00FB2D31" w:rsidRPr="006D17A2">
        <w:rPr>
          <w:color w:val="auto"/>
        </w:rPr>
      </w:r>
      <w:r w:rsidR="00FB2D31" w:rsidRPr="006D17A2">
        <w:rPr>
          <w:color w:val="auto"/>
        </w:rPr>
        <w:fldChar w:fldCharType="separate"/>
      </w:r>
      <w:r w:rsidR="001B481B" w:rsidRPr="00DF4A2F">
        <w:t xml:space="preserve">Quadro </w:t>
      </w:r>
      <w:r w:rsidR="001B481B">
        <w:rPr>
          <w:noProof/>
        </w:rPr>
        <w:t>7</w:t>
      </w:r>
      <w:r w:rsidR="00FB2D31" w:rsidRPr="006D17A2">
        <w:rPr>
          <w:color w:val="auto"/>
        </w:rPr>
        <w:fldChar w:fldCharType="end"/>
      </w:r>
      <w:r w:rsidR="00FB2D31" w:rsidRPr="006D17A2">
        <w:rPr>
          <w:color w:val="auto"/>
        </w:rPr>
        <w:t xml:space="preserve"> e </w:t>
      </w:r>
      <w:r w:rsidRPr="006D17A2">
        <w:rPr>
          <w:color w:val="auto"/>
        </w:rPr>
        <w:fldChar w:fldCharType="begin"/>
      </w:r>
      <w:r w:rsidRPr="006D17A2">
        <w:rPr>
          <w:color w:val="auto"/>
        </w:rPr>
        <w:instrText xml:space="preserve"> REF _Ref483559890 \h  \* MERGEFORMAT </w:instrText>
      </w:r>
      <w:r w:rsidRPr="006D17A2">
        <w:rPr>
          <w:color w:val="auto"/>
        </w:rPr>
      </w:r>
      <w:r w:rsidRPr="006D17A2">
        <w:rPr>
          <w:color w:val="auto"/>
        </w:rPr>
        <w:fldChar w:fldCharType="separate"/>
      </w:r>
      <w:r w:rsidR="001B481B" w:rsidRPr="001B481B">
        <w:rPr>
          <w:color w:val="auto"/>
        </w:rPr>
        <w:t xml:space="preserve">Quadro </w:t>
      </w:r>
      <w:r w:rsidR="001B481B" w:rsidRPr="001B481B">
        <w:rPr>
          <w:noProof/>
          <w:color w:val="auto"/>
        </w:rPr>
        <w:t>8</w:t>
      </w:r>
      <w:r w:rsidRPr="006D17A2">
        <w:rPr>
          <w:color w:val="auto"/>
        </w:rPr>
        <w:fldChar w:fldCharType="end"/>
      </w:r>
      <w:r w:rsidRPr="006D17A2">
        <w:rPr>
          <w:color w:val="auto"/>
        </w:rPr>
        <w:t>.</w:t>
      </w:r>
    </w:p>
    <w:p w:rsidR="00671620" w:rsidRPr="00DF4A2F" w:rsidRDefault="00671620" w:rsidP="00E95583">
      <w:pPr>
        <w:pStyle w:val="Legenda"/>
      </w:pPr>
      <w:bookmarkStart w:id="136" w:name="_Ref483559870"/>
      <w:bookmarkStart w:id="137" w:name="_Toc488825048"/>
      <w:bookmarkStart w:id="138" w:name="_Toc493151585"/>
      <w:bookmarkStart w:id="139" w:name="_Toc498593642"/>
      <w:bookmarkStart w:id="140" w:name="_Toc503949433"/>
      <w:bookmarkStart w:id="141" w:name="_Toc509935782"/>
      <w:r w:rsidRPr="00DF4A2F">
        <w:t xml:space="preserve">Quadro </w:t>
      </w:r>
      <w:r w:rsidR="000A1C78">
        <w:fldChar w:fldCharType="begin"/>
      </w:r>
      <w:r w:rsidR="000A1C78">
        <w:instrText xml:space="preserve"> SEQ Quadro \* ARABIC </w:instrText>
      </w:r>
      <w:r w:rsidR="000A1C78">
        <w:fldChar w:fldCharType="separate"/>
      </w:r>
      <w:r w:rsidR="001B481B">
        <w:rPr>
          <w:noProof/>
        </w:rPr>
        <w:t>5</w:t>
      </w:r>
      <w:r w:rsidR="000A1C78">
        <w:rPr>
          <w:noProof/>
        </w:rPr>
        <w:fldChar w:fldCharType="end"/>
      </w:r>
      <w:bookmarkEnd w:id="136"/>
      <w:r w:rsidRPr="00DF4A2F">
        <w:t xml:space="preserve"> </w:t>
      </w:r>
      <w:r w:rsidRPr="00DF4A2F">
        <w:rPr>
          <w:lang w:val="pt-BR"/>
        </w:rPr>
        <w:t>-</w:t>
      </w:r>
      <w:r w:rsidRPr="00DF4A2F">
        <w:t xml:space="preserve"> Resíduos dos Serviços Públicos de Saneamento Básico – </w:t>
      </w:r>
      <w:r w:rsidRPr="00841358">
        <w:t>Regras de estocagem</w:t>
      </w:r>
      <w:bookmarkEnd w:id="137"/>
      <w:bookmarkEnd w:id="138"/>
      <w:bookmarkEnd w:id="139"/>
      <w:bookmarkEnd w:id="140"/>
      <w:bookmarkEnd w:id="141"/>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00" w:after="100" w:line="240" w:lineRule="auto"/>
              <w:rPr>
                <w:b/>
                <w:sz w:val="22"/>
              </w:rPr>
            </w:pPr>
            <w:r w:rsidRPr="00D8615B">
              <w:rPr>
                <w:b/>
                <w:sz w:val="22"/>
              </w:rPr>
              <w:t xml:space="preserve">Regras de estocagem segundo a Resolução CONAMA n° 375/06 </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00" w:after="100" w:line="240" w:lineRule="auto"/>
              <w:jc w:val="both"/>
              <w:rPr>
                <w:sz w:val="22"/>
              </w:rPr>
            </w:pPr>
            <w:r w:rsidRPr="00D8615B">
              <w:rPr>
                <w:sz w:val="22"/>
              </w:rPr>
              <w:t>O lodo de esgoto ou produto derivado só poderá ficar estocado na propriedade por no máximo 15 dias.</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00" w:after="100" w:line="240" w:lineRule="auto"/>
              <w:jc w:val="both"/>
              <w:rPr>
                <w:rFonts w:eastAsia="MS Mincho"/>
                <w:sz w:val="22"/>
              </w:rPr>
            </w:pPr>
            <w:r w:rsidRPr="00D8615B">
              <w:rPr>
                <w:sz w:val="22"/>
              </w:rPr>
              <w:t>A declividade da área de estocagem não pode ser superior a 5%.</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00" w:after="100" w:line="240" w:lineRule="auto"/>
              <w:jc w:val="both"/>
              <w:rPr>
                <w:rFonts w:eastAsia="MS Mincho"/>
                <w:sz w:val="22"/>
              </w:rPr>
            </w:pPr>
            <w:r w:rsidRPr="00D8615B">
              <w:rPr>
                <w:sz w:val="22"/>
              </w:rPr>
              <w:t>A distância mínima do local de estocagem a rios, poços, minas e cursos d’água, canais, lagos e residências deverá respeitar o conteúdo apresentado na sequência.</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00" w:after="100" w:line="240" w:lineRule="auto"/>
              <w:jc w:val="both"/>
              <w:rPr>
                <w:rFonts w:eastAsia="MS Mincho"/>
                <w:sz w:val="22"/>
              </w:rPr>
            </w:pPr>
            <w:r w:rsidRPr="00D8615B">
              <w:rPr>
                <w:sz w:val="22"/>
              </w:rPr>
              <w:t>É proibida a estocagem diretamente sobre o solo de lodo de esgoto ou produto derivado contendo líquidos livres, cuja identificação deverá ser feita pela norma brasileira vigente.</w:t>
            </w:r>
          </w:p>
        </w:tc>
      </w:tr>
    </w:tbl>
    <w:p w:rsidR="00D8615B" w:rsidRDefault="00D8615B" w:rsidP="00AC47A2">
      <w:pPr>
        <w:pStyle w:val="Fonte"/>
      </w:pPr>
      <w:bookmarkStart w:id="142" w:name="_Ref483559877"/>
      <w:bookmarkStart w:id="143" w:name="_Toc488825049"/>
      <w:bookmarkStart w:id="144" w:name="_Toc493151586"/>
      <w:bookmarkStart w:id="145" w:name="_Toc498593643"/>
      <w:bookmarkStart w:id="146" w:name="_Toc503949434"/>
    </w:p>
    <w:p w:rsidR="00671620" w:rsidRPr="00DF4A2F" w:rsidRDefault="00671620" w:rsidP="00E95583">
      <w:pPr>
        <w:pStyle w:val="Legenda"/>
      </w:pPr>
      <w:bookmarkStart w:id="147" w:name="_Ref506478220"/>
      <w:bookmarkStart w:id="148" w:name="_Toc509935783"/>
      <w:r w:rsidRPr="00DF4A2F">
        <w:t xml:space="preserve">Quadro </w:t>
      </w:r>
      <w:r w:rsidR="000A1C78">
        <w:fldChar w:fldCharType="begin"/>
      </w:r>
      <w:r w:rsidR="000A1C78">
        <w:instrText xml:space="preserve"> SEQ Quadro \* ARABIC </w:instrText>
      </w:r>
      <w:r w:rsidR="000A1C78">
        <w:fldChar w:fldCharType="separate"/>
      </w:r>
      <w:r w:rsidR="001B481B">
        <w:rPr>
          <w:noProof/>
        </w:rPr>
        <w:t>6</w:t>
      </w:r>
      <w:r w:rsidR="000A1C78">
        <w:rPr>
          <w:noProof/>
        </w:rPr>
        <w:fldChar w:fldCharType="end"/>
      </w:r>
      <w:bookmarkEnd w:id="142"/>
      <w:bookmarkEnd w:id="147"/>
      <w:r w:rsidRPr="00DF4A2F">
        <w:t xml:space="preserve"> </w:t>
      </w:r>
      <w:r w:rsidRPr="00DF4A2F">
        <w:rPr>
          <w:lang w:val="pt-BR"/>
        </w:rPr>
        <w:t>-</w:t>
      </w:r>
      <w:r w:rsidRPr="00DF4A2F">
        <w:t xml:space="preserve"> Resíduos dos Serviços Públicos de Saneamento Básico – </w:t>
      </w:r>
      <w:r w:rsidRPr="00841358">
        <w:t>Regras de transporte</w:t>
      </w:r>
      <w:bookmarkEnd w:id="143"/>
      <w:bookmarkEnd w:id="144"/>
      <w:bookmarkEnd w:id="145"/>
      <w:bookmarkEnd w:id="146"/>
      <w:bookmarkEnd w:id="148"/>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D8615B" w:rsidTr="00D8615B">
        <w:trPr>
          <w:tblHeade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00" w:after="100" w:line="240" w:lineRule="auto"/>
              <w:rPr>
                <w:b/>
                <w:sz w:val="22"/>
              </w:rPr>
            </w:pPr>
            <w:r w:rsidRPr="00D8615B">
              <w:rPr>
                <w:b/>
                <w:sz w:val="22"/>
              </w:rPr>
              <w:t>Regras de transporte segundo a Resolução CONAMA n° 375/06</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00" w:after="100" w:line="240" w:lineRule="auto"/>
              <w:jc w:val="both"/>
              <w:rPr>
                <w:sz w:val="22"/>
              </w:rPr>
            </w:pPr>
            <w:r w:rsidRPr="00D8615B">
              <w:rPr>
                <w:sz w:val="22"/>
              </w:rPr>
              <w:t>Para retirar lodos de esgoto ou produtos derivados de uma Estação de Tratamento de Esgoto - ETE ou Unidade de Gerenciamento de Lodo - UGL o motorista de caminhão deverá apresentar o Termo de Responsabilidade e o Formulário de Controle de Retirada.</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00" w:after="100" w:line="240" w:lineRule="auto"/>
              <w:jc w:val="both"/>
              <w:rPr>
                <w:rFonts w:eastAsia="MS Mincho"/>
                <w:sz w:val="22"/>
              </w:rPr>
            </w:pPr>
            <w:r w:rsidRPr="00D8615B">
              <w:rPr>
                <w:sz w:val="22"/>
              </w:rPr>
              <w:t>O motorista deve estar cadastrado e com as credenciais da empresa geradora do lodo ou produto derivado.</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00" w:after="100" w:line="240" w:lineRule="auto"/>
              <w:jc w:val="both"/>
              <w:rPr>
                <w:rFonts w:eastAsia="MS Mincho"/>
                <w:sz w:val="22"/>
              </w:rPr>
            </w:pPr>
            <w:r w:rsidRPr="00D8615B">
              <w:rPr>
                <w:sz w:val="22"/>
              </w:rPr>
              <w:lastRenderedPageBreak/>
              <w:t>Para o transporte deverão ser utilizados caminhões com carrocerias totalmente vedadas, tais como os caminhões basculantes, equipados com sistema de trava para impedir a abertura da tampa traseira, lona plástica para cobertura, cone de sinalização, pá ou enxada e um par de luvas de látex.</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00" w:after="100" w:line="240" w:lineRule="auto"/>
              <w:jc w:val="both"/>
              <w:rPr>
                <w:rFonts w:eastAsia="MS Mincho"/>
                <w:sz w:val="22"/>
              </w:rPr>
            </w:pPr>
            <w:r w:rsidRPr="00D8615B">
              <w:rPr>
                <w:sz w:val="22"/>
              </w:rPr>
              <w:t>A altura da carga não pode ultrapassar a altura da carroceria.</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00" w:after="100" w:line="240" w:lineRule="auto"/>
              <w:jc w:val="both"/>
              <w:rPr>
                <w:rFonts w:eastAsia="MS Mincho"/>
                <w:sz w:val="22"/>
              </w:rPr>
            </w:pPr>
            <w:r w:rsidRPr="00D8615B">
              <w:rPr>
                <w:sz w:val="22"/>
              </w:rPr>
              <w:t>Os caminhões devem possuir algum tipo de sistema de comunicação para uso imediato em caso de ocorrência de sinistro (ocorrências inesperadas).</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00" w:after="100" w:line="240" w:lineRule="auto"/>
              <w:jc w:val="both"/>
              <w:rPr>
                <w:rFonts w:eastAsia="MS Mincho"/>
                <w:sz w:val="22"/>
              </w:rPr>
            </w:pPr>
            <w:r w:rsidRPr="00D8615B">
              <w:rPr>
                <w:sz w:val="22"/>
              </w:rPr>
              <w:t>Em caso de sinistro em vias públicas, com derramamento de lodo de esgoto, todos os procedimentos para limpeza são de responsabilidade da empresa transportadora do lodo de esgoto ou produto derivado.</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00" w:after="100" w:line="240" w:lineRule="auto"/>
              <w:jc w:val="both"/>
              <w:rPr>
                <w:rFonts w:eastAsia="MS Mincho"/>
                <w:sz w:val="22"/>
              </w:rPr>
            </w:pPr>
            <w:r w:rsidRPr="00D8615B">
              <w:rPr>
                <w:sz w:val="22"/>
              </w:rPr>
              <w:t>Todos trabalhadores em contato com o lodo de esgoto ou produto derivado deverão sempre utilizar luvas de proteção plásticas ou de couro. Também é requerido o uso de calçado adequado, sapatos ou botas de couro ou plástico, sendo proibido o uso de sandálias e outros calçados abertos.</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00" w:after="100" w:line="240" w:lineRule="auto"/>
              <w:jc w:val="both"/>
              <w:rPr>
                <w:rFonts w:eastAsia="MS Mincho"/>
                <w:sz w:val="22"/>
              </w:rPr>
            </w:pPr>
            <w:r w:rsidRPr="00D8615B">
              <w:rPr>
                <w:sz w:val="22"/>
              </w:rPr>
              <w:t>Ao término dos serviços, lavar com água e sabão as luvas, os calçados e as mãos.</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00" w:after="100" w:line="240" w:lineRule="auto"/>
              <w:jc w:val="both"/>
              <w:rPr>
                <w:rFonts w:eastAsia="MS Mincho"/>
                <w:sz w:val="22"/>
              </w:rPr>
            </w:pPr>
            <w:r w:rsidRPr="00D8615B">
              <w:rPr>
                <w:sz w:val="22"/>
              </w:rPr>
              <w:t>Deverá ser observada a limpeza dos pneus na saída dos caminhões da ETE ou UGL.</w:t>
            </w:r>
          </w:p>
        </w:tc>
      </w:tr>
    </w:tbl>
    <w:p w:rsidR="00D8615B" w:rsidRDefault="00D8615B" w:rsidP="00AC47A2">
      <w:pPr>
        <w:pStyle w:val="Fonte"/>
      </w:pPr>
      <w:bookmarkStart w:id="149" w:name="_Ref483559883"/>
      <w:bookmarkStart w:id="150" w:name="_Toc488825050"/>
      <w:bookmarkStart w:id="151" w:name="_Toc493151587"/>
      <w:bookmarkStart w:id="152" w:name="_Toc498593644"/>
      <w:bookmarkStart w:id="153" w:name="_Toc503949435"/>
    </w:p>
    <w:p w:rsidR="00671620" w:rsidRPr="00DF4A2F" w:rsidRDefault="00671620" w:rsidP="00E95583">
      <w:pPr>
        <w:pStyle w:val="Legenda"/>
      </w:pPr>
      <w:bookmarkStart w:id="154" w:name="_Ref506478227"/>
      <w:bookmarkStart w:id="155" w:name="_Toc509935784"/>
      <w:r w:rsidRPr="00DF4A2F">
        <w:t xml:space="preserve">Quadro </w:t>
      </w:r>
      <w:r w:rsidR="000A1C78">
        <w:fldChar w:fldCharType="begin"/>
      </w:r>
      <w:r w:rsidR="000A1C78">
        <w:instrText xml:space="preserve"> SEQ Quadro \* ARABIC </w:instrText>
      </w:r>
      <w:r w:rsidR="000A1C78">
        <w:fldChar w:fldCharType="separate"/>
      </w:r>
      <w:r w:rsidR="001B481B">
        <w:rPr>
          <w:noProof/>
        </w:rPr>
        <w:t>7</w:t>
      </w:r>
      <w:r w:rsidR="000A1C78">
        <w:rPr>
          <w:noProof/>
        </w:rPr>
        <w:fldChar w:fldCharType="end"/>
      </w:r>
      <w:bookmarkEnd w:id="149"/>
      <w:bookmarkEnd w:id="154"/>
      <w:r w:rsidRPr="00DF4A2F">
        <w:t xml:space="preserve"> </w:t>
      </w:r>
      <w:r w:rsidRPr="00DF4A2F">
        <w:rPr>
          <w:lang w:val="pt-BR"/>
        </w:rPr>
        <w:t>-</w:t>
      </w:r>
      <w:r w:rsidRPr="00DF4A2F">
        <w:t xml:space="preserve"> Resíduos dos Serviços Públicos de Saneamento Básico – </w:t>
      </w:r>
      <w:r w:rsidRPr="00841358">
        <w:t>Regras de disposição final</w:t>
      </w:r>
      <w:bookmarkEnd w:id="150"/>
      <w:bookmarkEnd w:id="151"/>
      <w:bookmarkEnd w:id="152"/>
      <w:bookmarkEnd w:id="153"/>
      <w:bookmarkEnd w:id="155"/>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D8615B" w:rsidTr="00D8615B">
        <w:trPr>
          <w:tblHeade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00" w:after="100" w:line="240" w:lineRule="auto"/>
              <w:rPr>
                <w:b/>
                <w:sz w:val="22"/>
              </w:rPr>
            </w:pPr>
            <w:r w:rsidRPr="00D8615B">
              <w:rPr>
                <w:b/>
                <w:sz w:val="22"/>
              </w:rPr>
              <w:t>Regras de disposição final segundo a Resolução CONAMA n° 375/06</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00" w:after="100" w:line="240" w:lineRule="auto"/>
              <w:jc w:val="both"/>
              <w:rPr>
                <w:sz w:val="22"/>
              </w:rPr>
            </w:pPr>
            <w:r w:rsidRPr="00D8615B">
              <w:rPr>
                <w:sz w:val="22"/>
              </w:rPr>
              <w:t xml:space="preserve">O lodo de esgoto pode ser classificado como Classe A ou Classe B, segundo a concentração de agentes patogênicos. </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00" w:after="100" w:line="240" w:lineRule="auto"/>
              <w:jc w:val="both"/>
              <w:rPr>
                <w:rFonts w:eastAsia="MS Mincho"/>
                <w:sz w:val="22"/>
              </w:rPr>
            </w:pPr>
            <w:r w:rsidRPr="00D8615B">
              <w:rPr>
                <w:sz w:val="22"/>
              </w:rPr>
              <w:t>Lodos de esgoto ou produtos derivados enquadrados como Classe A poderão ser utilizados para quaisquer culturas, com exceção de pastagens e cultivos de olerícolas, tubérculos e raízes, e culturas inundadas, bem como as demais culturas cuja parte comestível fique em contato com o solo.</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00" w:after="100" w:line="240" w:lineRule="auto"/>
              <w:jc w:val="both"/>
              <w:rPr>
                <w:rFonts w:eastAsia="MS Mincho"/>
                <w:sz w:val="22"/>
              </w:rPr>
            </w:pPr>
            <w:r w:rsidRPr="00D8615B">
              <w:rPr>
                <w:sz w:val="22"/>
              </w:rPr>
              <w:t>A utilização de lodo de esgoto ou produto derivado enquadrado como Classe B é restrita ao cultivo de café, silvicultura, culturas para produção de fibras e óleos, com a aplicação mecanizada, em sulcos ou covas, seguida de incorporação.</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00" w:after="100" w:line="240" w:lineRule="auto"/>
              <w:jc w:val="both"/>
              <w:rPr>
                <w:rFonts w:eastAsia="MS Mincho"/>
                <w:sz w:val="22"/>
              </w:rPr>
            </w:pPr>
            <w:r w:rsidRPr="00D8615B">
              <w:rPr>
                <w:sz w:val="22"/>
              </w:rPr>
              <w:t>O lodo de esgoto, tanto Classe A quanto Classe B, deverá ser disposto respeitando as restrições previstas no art. 15 da Resolução CONAMA n° 375 de 2006.</w:t>
            </w:r>
          </w:p>
        </w:tc>
      </w:tr>
    </w:tbl>
    <w:p w:rsidR="00671620" w:rsidRPr="00DF4A2F" w:rsidRDefault="00671620" w:rsidP="00671620">
      <w:pPr>
        <w:pStyle w:val="Default"/>
        <w:spacing w:line="360" w:lineRule="auto"/>
        <w:ind w:firstLine="709"/>
        <w:jc w:val="both"/>
        <w:rPr>
          <w:color w:val="auto"/>
        </w:rPr>
      </w:pPr>
    </w:p>
    <w:p w:rsidR="00671620" w:rsidRDefault="00671620" w:rsidP="00D8615B">
      <w:pPr>
        <w:pStyle w:val="Default"/>
        <w:spacing w:line="360" w:lineRule="auto"/>
        <w:ind w:firstLine="709"/>
        <w:jc w:val="both"/>
      </w:pPr>
      <w:r w:rsidRPr="00DF4A2F">
        <w:rPr>
          <w:color w:val="auto"/>
        </w:rPr>
        <w:t>O art. 15 da Resolução CONAMA nº 375/06 dispõe sobre restrições de disposição dos resíduos dos serviços públicos de saneamento básico, conforme segue:</w:t>
      </w:r>
    </w:p>
    <w:p w:rsidR="00D8615B" w:rsidRDefault="00D8615B" w:rsidP="00671620">
      <w:pPr>
        <w:sectPr w:rsidR="00D8615B" w:rsidSect="00407BB1">
          <w:type w:val="continuous"/>
          <w:pgSz w:w="11906" w:h="16838"/>
          <w:pgMar w:top="1134" w:right="1134" w:bottom="1134" w:left="1418" w:header="708" w:footer="708" w:gutter="0"/>
          <w:cols w:space="708"/>
          <w:titlePg/>
          <w:docGrid w:linePitch="360"/>
        </w:sectPr>
      </w:pPr>
    </w:p>
    <w:p w:rsidR="00671620" w:rsidRPr="00DF4A2F" w:rsidRDefault="00671620" w:rsidP="00671620">
      <w:pPr>
        <w:rPr>
          <w:i/>
          <w:sz w:val="18"/>
        </w:rPr>
      </w:pPr>
      <w:r w:rsidRPr="00DF4A2F">
        <w:rPr>
          <w:i/>
          <w:sz w:val="18"/>
        </w:rPr>
        <w:lastRenderedPageBreak/>
        <w:t xml:space="preserve"> “Art. 15. Não será permitida a aplicação de lodo de esgoto ou produto derivado:</w:t>
      </w:r>
    </w:p>
    <w:p w:rsidR="00671620" w:rsidRPr="00DF4A2F" w:rsidRDefault="00671620" w:rsidP="00671620">
      <w:pPr>
        <w:rPr>
          <w:i/>
          <w:sz w:val="18"/>
        </w:rPr>
      </w:pPr>
      <w:r w:rsidRPr="00DF4A2F">
        <w:rPr>
          <w:i/>
          <w:sz w:val="18"/>
        </w:rPr>
        <w:t>I - em unidades de conservação, com exceção das Áreas de Proteção Ambiental -APA;</w:t>
      </w:r>
    </w:p>
    <w:p w:rsidR="00671620" w:rsidRPr="00DF4A2F" w:rsidRDefault="00671620" w:rsidP="00671620">
      <w:pPr>
        <w:rPr>
          <w:i/>
          <w:sz w:val="18"/>
        </w:rPr>
      </w:pPr>
      <w:r w:rsidRPr="00DF4A2F">
        <w:rPr>
          <w:i/>
          <w:sz w:val="18"/>
        </w:rPr>
        <w:t>II - em Área de Preservação Permanente - APP;</w:t>
      </w:r>
    </w:p>
    <w:p w:rsidR="00671620" w:rsidRPr="00DF4A2F" w:rsidRDefault="00671620" w:rsidP="00671620">
      <w:pPr>
        <w:rPr>
          <w:i/>
          <w:sz w:val="18"/>
        </w:rPr>
      </w:pPr>
      <w:r w:rsidRPr="00DF4A2F">
        <w:rPr>
          <w:i/>
          <w:sz w:val="18"/>
        </w:rPr>
        <w:t>III - em Áreas de Proteção aos Mananciais - APMs definidas por legislações estaduais e municipais e em outras áreas de captação de água para abastecimento público, a critério do órgão ambiental competente;</w:t>
      </w:r>
    </w:p>
    <w:p w:rsidR="00671620" w:rsidRPr="00DF4A2F" w:rsidRDefault="00671620" w:rsidP="00671620">
      <w:pPr>
        <w:rPr>
          <w:i/>
          <w:sz w:val="18"/>
        </w:rPr>
      </w:pPr>
      <w:r w:rsidRPr="00DF4A2F">
        <w:rPr>
          <w:i/>
          <w:sz w:val="18"/>
        </w:rPr>
        <w:t>IV - no interior da Zona de Transporte para fontes de águas minerais, balneários e estâncias de águas minerais e potáveis de mesa, definidos na Portaria DNPM n 231, de 1998;</w:t>
      </w:r>
    </w:p>
    <w:p w:rsidR="00671620" w:rsidRPr="00DF4A2F" w:rsidRDefault="00671620" w:rsidP="00671620">
      <w:pPr>
        <w:rPr>
          <w:i/>
          <w:sz w:val="18"/>
        </w:rPr>
      </w:pPr>
      <w:r w:rsidRPr="00DF4A2F">
        <w:rPr>
          <w:i/>
          <w:sz w:val="18"/>
        </w:rPr>
        <w:t>V - num raio mínimo de 100 m de poços rasos e residências, podendo este limite ser ampliado para garantir que não ocorram incômodos à vizinhança;</w:t>
      </w:r>
    </w:p>
    <w:p w:rsidR="00671620" w:rsidRPr="00DF4A2F" w:rsidRDefault="00671620" w:rsidP="00671620">
      <w:pPr>
        <w:rPr>
          <w:i/>
          <w:sz w:val="18"/>
        </w:rPr>
      </w:pPr>
      <w:r w:rsidRPr="00DF4A2F">
        <w:rPr>
          <w:i/>
          <w:sz w:val="18"/>
        </w:rPr>
        <w:t>VI - numa distância mínima de 15 (quinze) metros de vias de domínio público e drenos interceptadores e divisores de águas superficiais de jusante e de trincheiras drenantes de águas subterrâneas e superficiais;</w:t>
      </w:r>
    </w:p>
    <w:p w:rsidR="00671620" w:rsidRPr="00DF4A2F" w:rsidRDefault="00671620" w:rsidP="00671620">
      <w:pPr>
        <w:rPr>
          <w:i/>
          <w:sz w:val="18"/>
        </w:rPr>
      </w:pPr>
      <w:r w:rsidRPr="00DF4A2F">
        <w:rPr>
          <w:i/>
          <w:sz w:val="18"/>
        </w:rPr>
        <w:t>VII - em área agrícola cuja declividade das parcelas ultrapasse:</w:t>
      </w:r>
    </w:p>
    <w:p w:rsidR="00671620" w:rsidRPr="00DF4A2F" w:rsidRDefault="00671620" w:rsidP="00671620">
      <w:pPr>
        <w:rPr>
          <w:i/>
          <w:sz w:val="18"/>
        </w:rPr>
      </w:pPr>
      <w:r w:rsidRPr="00DF4A2F">
        <w:rPr>
          <w:i/>
          <w:sz w:val="18"/>
        </w:rPr>
        <w:t>a) 10% no caso de aplicação superficial sem incorporação;</w:t>
      </w:r>
    </w:p>
    <w:p w:rsidR="00671620" w:rsidRPr="00DF4A2F" w:rsidRDefault="00671620" w:rsidP="00671620">
      <w:pPr>
        <w:rPr>
          <w:i/>
          <w:sz w:val="18"/>
        </w:rPr>
      </w:pPr>
      <w:r w:rsidRPr="00DF4A2F">
        <w:rPr>
          <w:i/>
          <w:sz w:val="18"/>
        </w:rPr>
        <w:t>b) 15% no caso de aplicação superficial com incorporação;</w:t>
      </w:r>
    </w:p>
    <w:p w:rsidR="00671620" w:rsidRPr="00DF4A2F" w:rsidRDefault="00671620" w:rsidP="00671620">
      <w:pPr>
        <w:rPr>
          <w:i/>
          <w:sz w:val="18"/>
        </w:rPr>
      </w:pPr>
      <w:r w:rsidRPr="00DF4A2F">
        <w:rPr>
          <w:i/>
          <w:sz w:val="18"/>
        </w:rPr>
        <w:t>c) 18% no caso de aplicação subsuperficial e em sulcos, e no caso de aplicação superficial sem incorporação em áreas para produção florestal;</w:t>
      </w:r>
    </w:p>
    <w:p w:rsidR="00671620" w:rsidRPr="00DF4A2F" w:rsidRDefault="00671620" w:rsidP="00671620">
      <w:pPr>
        <w:rPr>
          <w:i/>
          <w:sz w:val="18"/>
        </w:rPr>
      </w:pPr>
      <w:r w:rsidRPr="00DF4A2F">
        <w:rPr>
          <w:i/>
          <w:sz w:val="18"/>
        </w:rPr>
        <w:t>d) 25% no caso de aplicação em covas;</w:t>
      </w:r>
    </w:p>
    <w:p w:rsidR="00671620" w:rsidRPr="00DF4A2F" w:rsidRDefault="00671620" w:rsidP="00671620">
      <w:pPr>
        <w:rPr>
          <w:i/>
          <w:sz w:val="18"/>
        </w:rPr>
      </w:pPr>
      <w:r w:rsidRPr="00DF4A2F">
        <w:rPr>
          <w:i/>
          <w:sz w:val="18"/>
        </w:rPr>
        <w:t>VIII - em parcelas com solos com menos de 50 cm de espessura até o horizonte C;</w:t>
      </w:r>
    </w:p>
    <w:p w:rsidR="00671620" w:rsidRPr="00DF4A2F" w:rsidRDefault="00671620" w:rsidP="00671620">
      <w:pPr>
        <w:rPr>
          <w:i/>
          <w:sz w:val="18"/>
        </w:rPr>
      </w:pPr>
      <w:r w:rsidRPr="00DF4A2F">
        <w:rPr>
          <w:i/>
          <w:sz w:val="18"/>
        </w:rPr>
        <w:t>IX - em áreas onde a profundidade do nível do aqüífero freático seja inferior a 1,5 m na cota mais baixa do terreno; e</w:t>
      </w:r>
    </w:p>
    <w:p w:rsidR="00671620" w:rsidRPr="00DF4A2F" w:rsidRDefault="00671620" w:rsidP="00671620">
      <w:pPr>
        <w:rPr>
          <w:i/>
          <w:sz w:val="18"/>
        </w:rPr>
      </w:pPr>
      <w:r w:rsidRPr="00DF4A2F">
        <w:rPr>
          <w:i/>
          <w:sz w:val="18"/>
        </w:rPr>
        <w:t>X - em áreas agrícolas definidas como não adequadas por decisão motivada dos órgãos ambientais e de agricultura competentes.</w:t>
      </w:r>
    </w:p>
    <w:p w:rsidR="00671620" w:rsidRPr="00DF4A2F" w:rsidRDefault="00671620" w:rsidP="00671620">
      <w:pPr>
        <w:rPr>
          <w:i/>
          <w:sz w:val="18"/>
        </w:rPr>
      </w:pPr>
      <w:r w:rsidRPr="00DF4A2F">
        <w:rPr>
          <w:i/>
          <w:sz w:val="18"/>
        </w:rPr>
        <w:t>§ 1</w:t>
      </w:r>
      <w:r>
        <w:rPr>
          <w:i/>
          <w:sz w:val="18"/>
        </w:rPr>
        <w:t>º</w:t>
      </w:r>
      <w:r w:rsidRPr="00DF4A2F">
        <w:rPr>
          <w:i/>
          <w:sz w:val="18"/>
        </w:rPr>
        <w:t xml:space="preserve"> O lodo de esgoto ou produto derivado poderão ser utilizados na zona de amortecimento de unidades </w:t>
      </w:r>
      <w:r w:rsidRPr="00DF4A2F">
        <w:rPr>
          <w:i/>
          <w:sz w:val="18"/>
        </w:rPr>
        <w:lastRenderedPageBreak/>
        <w:t>de conservação, desde que sejam respeitados as restrições e os cuidados de aplicação previstos nesta Resolução, bem como restrições previstas no plano de manejo, mediante prévia autorização do órgão responsável pela administração da unidade de conservação.</w:t>
      </w:r>
    </w:p>
    <w:p w:rsidR="00671620" w:rsidRPr="00DF4A2F" w:rsidRDefault="00671620" w:rsidP="00671620">
      <w:pPr>
        <w:sectPr w:rsidR="00671620" w:rsidRPr="00DF4A2F" w:rsidSect="00D5039A">
          <w:footerReference w:type="default" r:id="rId31"/>
          <w:pgSz w:w="11906" w:h="16838"/>
          <w:pgMar w:top="1134" w:right="1134" w:bottom="1134" w:left="1418" w:header="708" w:footer="708" w:gutter="0"/>
          <w:cols w:num="2" w:space="708"/>
          <w:docGrid w:linePitch="360"/>
        </w:sectPr>
      </w:pPr>
      <w:r w:rsidRPr="00DF4A2F">
        <w:rPr>
          <w:i/>
          <w:sz w:val="18"/>
        </w:rPr>
        <w:t>§ 2</w:t>
      </w:r>
      <w:r>
        <w:rPr>
          <w:i/>
          <w:sz w:val="18"/>
        </w:rPr>
        <w:t>º</w:t>
      </w:r>
      <w:r w:rsidRPr="00DF4A2F">
        <w:rPr>
          <w:i/>
          <w:sz w:val="18"/>
        </w:rPr>
        <w:t xml:space="preserve"> No caso da identificação de qualquer efeito adverso decorrente da aplicação de lodos de esgoto ou produto derivado realizada em conformidade com esta Resolução, e com vistas a proteger a saúde humana e o ambiente, as autoridades competentes deverão estabelecer, imediatamente após a mencionada identificação, requisitos complementares aos padrões e critérios insertos nesta Resolução”.</w:t>
      </w:r>
    </w:p>
    <w:p w:rsidR="00671620" w:rsidRPr="00DF4A2F" w:rsidRDefault="00671620" w:rsidP="00E95583">
      <w:pPr>
        <w:pStyle w:val="Legenda"/>
        <w:rPr>
          <w:lang w:val="pt-BR"/>
        </w:rPr>
      </w:pPr>
      <w:bookmarkStart w:id="156" w:name="_Ref483559890"/>
      <w:bookmarkStart w:id="157" w:name="_Toc488825051"/>
      <w:bookmarkStart w:id="158" w:name="_Toc493151588"/>
      <w:bookmarkStart w:id="159" w:name="_Toc498593645"/>
      <w:bookmarkStart w:id="160" w:name="_Toc503949436"/>
      <w:bookmarkStart w:id="161" w:name="_Toc509935785"/>
      <w:r w:rsidRPr="00DF4A2F">
        <w:lastRenderedPageBreak/>
        <w:t xml:space="preserve">Quadro </w:t>
      </w:r>
      <w:r w:rsidR="000A1C78">
        <w:fldChar w:fldCharType="begin"/>
      </w:r>
      <w:r w:rsidR="000A1C78">
        <w:instrText xml:space="preserve"> SEQ Quadro \* ARABIC </w:instrText>
      </w:r>
      <w:r w:rsidR="000A1C78">
        <w:fldChar w:fldCharType="separate"/>
      </w:r>
      <w:r w:rsidR="001B481B">
        <w:rPr>
          <w:noProof/>
        </w:rPr>
        <w:t>8</w:t>
      </w:r>
      <w:r w:rsidR="000A1C78">
        <w:rPr>
          <w:noProof/>
        </w:rPr>
        <w:fldChar w:fldCharType="end"/>
      </w:r>
      <w:bookmarkEnd w:id="156"/>
      <w:r w:rsidRPr="00DF4A2F">
        <w:t xml:space="preserve"> </w:t>
      </w:r>
      <w:r w:rsidRPr="00DF4A2F">
        <w:rPr>
          <w:lang w:val="pt-BR"/>
        </w:rPr>
        <w:t>-</w:t>
      </w:r>
      <w:r w:rsidRPr="00DF4A2F">
        <w:t xml:space="preserve"> Resíduos dos Serviços Públicos de Saneamento Básico – </w:t>
      </w:r>
      <w:r w:rsidRPr="00841358">
        <w:t>Legislação e normas</w:t>
      </w:r>
      <w:bookmarkEnd w:id="157"/>
      <w:bookmarkEnd w:id="158"/>
      <w:bookmarkEnd w:id="159"/>
      <w:bookmarkEnd w:id="160"/>
      <w:bookmarkEnd w:id="161"/>
    </w:p>
    <w:tbl>
      <w:tblPr>
        <w:tblpPr w:leftFromText="141" w:rightFromText="141" w:vertAnchor="text" w:horzAnchor="margin" w:tblpXSpec="center" w:tblpY="108"/>
        <w:tblW w:w="0" w:type="auto"/>
        <w:tblBorders>
          <w:top w:val="single" w:sz="8" w:space="0" w:color="4F81BD"/>
          <w:bottom w:val="single" w:sz="8" w:space="0" w:color="4F81BD"/>
        </w:tblBorders>
        <w:tblLook w:val="04A0" w:firstRow="1" w:lastRow="0" w:firstColumn="1" w:lastColumn="0" w:noHBand="0" w:noVBand="1"/>
      </w:tblPr>
      <w:tblGrid>
        <w:gridCol w:w="8682"/>
      </w:tblGrid>
      <w:tr w:rsidR="00671620" w:rsidRPr="00D8615B" w:rsidTr="00D5039A">
        <w:trPr>
          <w:trHeight w:val="277"/>
        </w:trPr>
        <w:tc>
          <w:tcPr>
            <w:tcW w:w="8682" w:type="dxa"/>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rPr>
                <w:rFonts w:cs="Arial"/>
                <w:b/>
                <w:sz w:val="22"/>
                <w:u w:val="single"/>
              </w:rPr>
            </w:pPr>
            <w:r w:rsidRPr="00D8615B">
              <w:rPr>
                <w:rFonts w:cs="Arial"/>
                <w:b/>
                <w:sz w:val="22"/>
                <w:u w:val="single"/>
              </w:rPr>
              <w:t>Principais resoluções nacionais</w:t>
            </w:r>
          </w:p>
        </w:tc>
      </w:tr>
      <w:tr w:rsidR="00671620" w:rsidRPr="00D8615B" w:rsidTr="00D5039A">
        <w:trPr>
          <w:trHeight w:val="277"/>
        </w:trPr>
        <w:tc>
          <w:tcPr>
            <w:tcW w:w="8682" w:type="dxa"/>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cs="Arial"/>
                <w:sz w:val="22"/>
              </w:rPr>
            </w:pPr>
            <w:r w:rsidRPr="00D8615B">
              <w:rPr>
                <w:rFonts w:cs="Arial"/>
                <w:sz w:val="22"/>
              </w:rPr>
              <w:t>Resolução CONAMA nº 380, de 31 de outubro de 2006. Retifica a Resolução CONAMA nº 375/06.</w:t>
            </w:r>
          </w:p>
        </w:tc>
      </w:tr>
      <w:tr w:rsidR="00671620" w:rsidRPr="00D8615B" w:rsidTr="00D5039A">
        <w:trPr>
          <w:trHeight w:val="277"/>
        </w:trPr>
        <w:tc>
          <w:tcPr>
            <w:tcW w:w="8682" w:type="dxa"/>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cs="Arial"/>
                <w:sz w:val="22"/>
              </w:rPr>
            </w:pPr>
            <w:r w:rsidRPr="00D8615B">
              <w:rPr>
                <w:rFonts w:cs="Arial"/>
                <w:sz w:val="22"/>
              </w:rPr>
              <w:t>Resolução CONAMA nº 375, de 29 de agosto de 2006. Define critérios e procedimentos para o uso agrícola de lodos de esgoto gerados em estações de tratamento de esgoto sanitário e seus produtos derivados, e dá outras providências. Retificada pela Resolução CONAMA nº 380/06.</w:t>
            </w:r>
          </w:p>
        </w:tc>
      </w:tr>
      <w:tr w:rsidR="00671620" w:rsidRPr="00D8615B" w:rsidTr="00D5039A">
        <w:trPr>
          <w:trHeight w:val="277"/>
        </w:trPr>
        <w:tc>
          <w:tcPr>
            <w:tcW w:w="8682" w:type="dxa"/>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cs="Arial"/>
                <w:b/>
                <w:sz w:val="22"/>
                <w:u w:val="single"/>
              </w:rPr>
            </w:pPr>
            <w:r w:rsidRPr="00D8615B">
              <w:rPr>
                <w:rFonts w:cs="Arial"/>
                <w:b/>
                <w:sz w:val="22"/>
                <w:u w:val="single"/>
              </w:rPr>
              <w:t>Normas Internacionais</w:t>
            </w:r>
          </w:p>
        </w:tc>
      </w:tr>
      <w:tr w:rsidR="00671620" w:rsidRPr="00D8615B" w:rsidTr="00D5039A">
        <w:trPr>
          <w:trHeight w:val="264"/>
        </w:trPr>
        <w:tc>
          <w:tcPr>
            <w:tcW w:w="8682" w:type="dxa"/>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cs="Arial"/>
                <w:sz w:val="22"/>
              </w:rPr>
            </w:pPr>
            <w:r w:rsidRPr="00D8615B">
              <w:rPr>
                <w:rFonts w:cs="Arial"/>
                <w:sz w:val="22"/>
              </w:rPr>
              <w:t>Environmental Protection Agency - EPA 40 CFR Part 503: Norma para o uso ou disposição de lodo de esgoto.</w:t>
            </w:r>
          </w:p>
        </w:tc>
      </w:tr>
    </w:tbl>
    <w:p w:rsidR="00671620" w:rsidRDefault="00671620" w:rsidP="00671620"/>
    <w:p w:rsidR="00671620" w:rsidRPr="00DF4A2F" w:rsidRDefault="00671620" w:rsidP="00BC01B1">
      <w:pPr>
        <w:pStyle w:val="Ttulo4"/>
      </w:pPr>
      <w:bookmarkStart w:id="162" w:name="_Toc488825321"/>
      <w:bookmarkStart w:id="163" w:name="_Toc493151487"/>
      <w:bookmarkStart w:id="164" w:name="_Toc498593465"/>
      <w:bookmarkStart w:id="165" w:name="_Toc504404437"/>
      <w:bookmarkStart w:id="166" w:name="_Toc509935476"/>
      <w:r w:rsidRPr="00DF4A2F">
        <w:t>Resíduos dos serviços de transporte</w:t>
      </w:r>
      <w:bookmarkEnd w:id="162"/>
      <w:bookmarkEnd w:id="163"/>
      <w:bookmarkEnd w:id="164"/>
      <w:bookmarkEnd w:id="165"/>
      <w:bookmarkEnd w:id="166"/>
    </w:p>
    <w:p w:rsidR="00671620" w:rsidRPr="00841358" w:rsidRDefault="00671620" w:rsidP="00671620">
      <w:pPr>
        <w:pStyle w:val="Default"/>
        <w:spacing w:line="360" w:lineRule="auto"/>
        <w:ind w:firstLine="709"/>
        <w:jc w:val="both"/>
        <w:rPr>
          <w:color w:val="auto"/>
        </w:rPr>
      </w:pPr>
      <w:r w:rsidRPr="00DF4A2F">
        <w:rPr>
          <w:color w:val="auto"/>
        </w:rPr>
        <w:t xml:space="preserve">Os resíduos de serviços de transporte são aqueles “originários de portos, aeroportos, terminais alfandegários, rodoviários e ferroviários e passagens de fronteira” segundo o art. 13 da Lei n° 12.305 de 2010. </w:t>
      </w:r>
      <w:r w:rsidRPr="00841358">
        <w:rPr>
          <w:color w:val="auto"/>
        </w:rPr>
        <w:t xml:space="preserve">Segue-se a normatização específica para esse tipo de </w:t>
      </w:r>
      <w:r w:rsidRPr="006D17A2">
        <w:rPr>
          <w:color w:val="auto"/>
        </w:rPr>
        <w:t>resíduo (</w:t>
      </w:r>
      <w:r w:rsidR="006D17A2" w:rsidRPr="006D17A2">
        <w:rPr>
          <w:color w:val="auto"/>
        </w:rPr>
        <w:fldChar w:fldCharType="begin"/>
      </w:r>
      <w:r w:rsidR="006D17A2" w:rsidRPr="006D17A2">
        <w:rPr>
          <w:color w:val="auto"/>
        </w:rPr>
        <w:instrText xml:space="preserve"> REF _Ref483559969 \h  \* MERGEFORMAT </w:instrText>
      </w:r>
      <w:r w:rsidR="006D17A2" w:rsidRPr="006D17A2">
        <w:rPr>
          <w:color w:val="auto"/>
        </w:rPr>
      </w:r>
      <w:r w:rsidR="006D17A2" w:rsidRPr="006D17A2">
        <w:rPr>
          <w:color w:val="auto"/>
        </w:rPr>
        <w:fldChar w:fldCharType="separate"/>
      </w:r>
      <w:r w:rsidR="001B481B" w:rsidRPr="001B481B">
        <w:rPr>
          <w:color w:val="auto"/>
        </w:rPr>
        <w:t xml:space="preserve">Quadro </w:t>
      </w:r>
      <w:r w:rsidR="001B481B" w:rsidRPr="001B481B">
        <w:rPr>
          <w:noProof/>
          <w:color w:val="auto"/>
        </w:rPr>
        <w:t>9</w:t>
      </w:r>
      <w:r w:rsidR="006D17A2" w:rsidRPr="006D17A2">
        <w:rPr>
          <w:color w:val="auto"/>
        </w:rPr>
        <w:fldChar w:fldCharType="end"/>
      </w:r>
      <w:r w:rsidR="006D17A2" w:rsidRPr="006D17A2">
        <w:rPr>
          <w:color w:val="auto"/>
        </w:rPr>
        <w:t xml:space="preserve">, </w:t>
      </w:r>
      <w:r w:rsidR="006D17A2" w:rsidRPr="006D17A2">
        <w:rPr>
          <w:color w:val="auto"/>
        </w:rPr>
        <w:fldChar w:fldCharType="begin"/>
      </w:r>
      <w:r w:rsidR="006D17A2" w:rsidRPr="006D17A2">
        <w:rPr>
          <w:color w:val="auto"/>
        </w:rPr>
        <w:instrText xml:space="preserve"> REF _Ref506478276 \h  \* MERGEFORMAT </w:instrText>
      </w:r>
      <w:r w:rsidR="006D17A2" w:rsidRPr="006D17A2">
        <w:rPr>
          <w:color w:val="auto"/>
        </w:rPr>
      </w:r>
      <w:r w:rsidR="006D17A2" w:rsidRPr="006D17A2">
        <w:rPr>
          <w:color w:val="auto"/>
        </w:rPr>
        <w:fldChar w:fldCharType="separate"/>
      </w:r>
      <w:r w:rsidR="001B481B" w:rsidRPr="001B481B">
        <w:rPr>
          <w:color w:val="auto"/>
        </w:rPr>
        <w:t xml:space="preserve">Quadro </w:t>
      </w:r>
      <w:r w:rsidR="001B481B" w:rsidRPr="001B481B">
        <w:rPr>
          <w:noProof/>
          <w:color w:val="auto"/>
        </w:rPr>
        <w:t>10</w:t>
      </w:r>
      <w:r w:rsidR="006D17A2" w:rsidRPr="006D17A2">
        <w:rPr>
          <w:color w:val="auto"/>
        </w:rPr>
        <w:fldChar w:fldCharType="end"/>
      </w:r>
      <w:r w:rsidR="006D17A2" w:rsidRPr="006D17A2">
        <w:rPr>
          <w:color w:val="auto"/>
        </w:rPr>
        <w:t xml:space="preserve">, </w:t>
      </w:r>
      <w:r w:rsidR="006D17A2" w:rsidRPr="006D17A2">
        <w:rPr>
          <w:color w:val="auto"/>
        </w:rPr>
        <w:fldChar w:fldCharType="begin"/>
      </w:r>
      <w:r w:rsidR="006D17A2" w:rsidRPr="006D17A2">
        <w:rPr>
          <w:color w:val="auto"/>
        </w:rPr>
        <w:instrText xml:space="preserve"> REF _Ref506478278 \h  \* MERGEFORMAT </w:instrText>
      </w:r>
      <w:r w:rsidR="006D17A2" w:rsidRPr="006D17A2">
        <w:rPr>
          <w:color w:val="auto"/>
        </w:rPr>
      </w:r>
      <w:r w:rsidR="006D17A2" w:rsidRPr="006D17A2">
        <w:rPr>
          <w:color w:val="auto"/>
        </w:rPr>
        <w:fldChar w:fldCharType="separate"/>
      </w:r>
      <w:r w:rsidR="001B481B" w:rsidRPr="001B481B">
        <w:rPr>
          <w:color w:val="auto"/>
        </w:rPr>
        <w:t xml:space="preserve">Quadro </w:t>
      </w:r>
      <w:r w:rsidR="001B481B" w:rsidRPr="001B481B">
        <w:rPr>
          <w:noProof/>
          <w:color w:val="auto"/>
        </w:rPr>
        <w:t>11</w:t>
      </w:r>
      <w:r w:rsidR="006D17A2" w:rsidRPr="006D17A2">
        <w:rPr>
          <w:color w:val="auto"/>
        </w:rPr>
        <w:fldChar w:fldCharType="end"/>
      </w:r>
      <w:r w:rsidR="006D17A2" w:rsidRPr="006D17A2">
        <w:rPr>
          <w:color w:val="auto"/>
        </w:rPr>
        <w:t>,</w:t>
      </w:r>
      <w:r w:rsidR="006D17A2">
        <w:rPr>
          <w:color w:val="auto"/>
        </w:rPr>
        <w:t xml:space="preserve"> </w:t>
      </w:r>
      <w:r w:rsidR="006D17A2" w:rsidRPr="006D17A2">
        <w:rPr>
          <w:color w:val="auto"/>
        </w:rPr>
        <w:fldChar w:fldCharType="begin"/>
      </w:r>
      <w:r w:rsidR="006D17A2" w:rsidRPr="006D17A2">
        <w:rPr>
          <w:color w:val="auto"/>
        </w:rPr>
        <w:instrText xml:space="preserve"> REF _Ref506478282 \h  \* MERGEFORMAT </w:instrText>
      </w:r>
      <w:r w:rsidR="006D17A2" w:rsidRPr="006D17A2">
        <w:rPr>
          <w:color w:val="auto"/>
        </w:rPr>
      </w:r>
      <w:r w:rsidR="006D17A2" w:rsidRPr="006D17A2">
        <w:rPr>
          <w:color w:val="auto"/>
        </w:rPr>
        <w:fldChar w:fldCharType="separate"/>
      </w:r>
      <w:r w:rsidR="001B481B" w:rsidRPr="001B481B">
        <w:rPr>
          <w:color w:val="auto"/>
        </w:rPr>
        <w:t xml:space="preserve">Quadro </w:t>
      </w:r>
      <w:r w:rsidR="001B481B" w:rsidRPr="001B481B">
        <w:rPr>
          <w:noProof/>
          <w:color w:val="auto"/>
        </w:rPr>
        <w:t>12</w:t>
      </w:r>
      <w:r w:rsidR="006D17A2" w:rsidRPr="006D17A2">
        <w:rPr>
          <w:color w:val="auto"/>
        </w:rPr>
        <w:fldChar w:fldCharType="end"/>
      </w:r>
      <w:r w:rsidR="006D17A2" w:rsidRPr="006D17A2">
        <w:rPr>
          <w:color w:val="auto"/>
        </w:rPr>
        <w:t xml:space="preserve"> e </w:t>
      </w:r>
      <w:r w:rsidR="006D17A2" w:rsidRPr="006D17A2">
        <w:rPr>
          <w:color w:val="auto"/>
        </w:rPr>
        <w:fldChar w:fldCharType="begin"/>
      </w:r>
      <w:r w:rsidR="006D17A2" w:rsidRPr="006D17A2">
        <w:rPr>
          <w:color w:val="auto"/>
        </w:rPr>
        <w:instrText xml:space="preserve"> REF _Ref506478284 \h  \* MERGEFORMAT </w:instrText>
      </w:r>
      <w:r w:rsidR="006D17A2" w:rsidRPr="006D17A2">
        <w:rPr>
          <w:color w:val="auto"/>
        </w:rPr>
      </w:r>
      <w:r w:rsidR="006D17A2" w:rsidRPr="006D17A2">
        <w:rPr>
          <w:color w:val="auto"/>
        </w:rPr>
        <w:fldChar w:fldCharType="separate"/>
      </w:r>
      <w:r w:rsidR="001B481B" w:rsidRPr="001B481B">
        <w:rPr>
          <w:color w:val="auto"/>
        </w:rPr>
        <w:t xml:space="preserve">Quadro </w:t>
      </w:r>
      <w:r w:rsidR="001B481B" w:rsidRPr="001B481B">
        <w:rPr>
          <w:noProof/>
          <w:color w:val="auto"/>
        </w:rPr>
        <w:t>13</w:t>
      </w:r>
      <w:r w:rsidR="006D17A2" w:rsidRPr="006D17A2">
        <w:rPr>
          <w:color w:val="auto"/>
        </w:rPr>
        <w:fldChar w:fldCharType="end"/>
      </w:r>
      <w:r w:rsidR="006C5D28" w:rsidRPr="006D17A2">
        <w:rPr>
          <w:color w:val="auto"/>
        </w:rPr>
        <w:t>)</w:t>
      </w:r>
      <w:r w:rsidRPr="006D17A2">
        <w:rPr>
          <w:color w:val="auto"/>
        </w:rPr>
        <w:t xml:space="preserve">. A obrigação em operacionalizar e atender às disposições normativas </w:t>
      </w:r>
      <w:r w:rsidRPr="00841358">
        <w:rPr>
          <w:color w:val="auto"/>
        </w:rPr>
        <w:t xml:space="preserve">da gestão dos resíduos sólidos mencionados adiante recai sobre o responsável pelo estabelecimento onde eles foram gerados, porém é sempre compartilhada com a Prefeitura Municipal local.  </w:t>
      </w:r>
    </w:p>
    <w:p w:rsidR="00671620" w:rsidRPr="00521751" w:rsidRDefault="00671620" w:rsidP="00E95583">
      <w:pPr>
        <w:pStyle w:val="Legenda"/>
        <w:rPr>
          <w:lang w:val="pt-BR"/>
        </w:rPr>
      </w:pPr>
      <w:bookmarkStart w:id="167" w:name="_Ref483559969"/>
      <w:bookmarkStart w:id="168" w:name="_Toc488825052"/>
      <w:bookmarkStart w:id="169" w:name="_Toc493151589"/>
      <w:bookmarkStart w:id="170" w:name="_Toc498593646"/>
      <w:bookmarkStart w:id="171" w:name="_Toc503949437"/>
      <w:bookmarkStart w:id="172" w:name="_Toc509935786"/>
      <w:r w:rsidRPr="00841358">
        <w:t xml:space="preserve">Quadro </w:t>
      </w:r>
      <w:r w:rsidR="000A1C78">
        <w:fldChar w:fldCharType="begin"/>
      </w:r>
      <w:r w:rsidR="000A1C78">
        <w:instrText xml:space="preserve"> SEQ Quadro \* ARABIC </w:instrText>
      </w:r>
      <w:r w:rsidR="000A1C78">
        <w:fldChar w:fldCharType="separate"/>
      </w:r>
      <w:r w:rsidR="001B481B">
        <w:rPr>
          <w:noProof/>
        </w:rPr>
        <w:t>9</w:t>
      </w:r>
      <w:r w:rsidR="000A1C78">
        <w:rPr>
          <w:noProof/>
        </w:rPr>
        <w:fldChar w:fldCharType="end"/>
      </w:r>
      <w:bookmarkEnd w:id="167"/>
      <w:r w:rsidRPr="00841358">
        <w:t xml:space="preserve"> </w:t>
      </w:r>
      <w:r w:rsidRPr="00841358">
        <w:rPr>
          <w:lang w:val="pt-BR"/>
        </w:rPr>
        <w:t>-</w:t>
      </w:r>
      <w:r w:rsidRPr="00841358">
        <w:t xml:space="preserve"> Resíduos dos Serviços de Transporte – Classificação</w:t>
      </w:r>
      <w:bookmarkEnd w:id="168"/>
      <w:bookmarkEnd w:id="169"/>
      <w:bookmarkEnd w:id="170"/>
      <w:bookmarkEnd w:id="171"/>
      <w:bookmarkEnd w:id="172"/>
    </w:p>
    <w:tbl>
      <w:tblPr>
        <w:tblW w:w="9624" w:type="dxa"/>
        <w:jc w:val="center"/>
        <w:tblBorders>
          <w:top w:val="single" w:sz="8" w:space="0" w:color="4F81BD"/>
          <w:bottom w:val="single" w:sz="8" w:space="0" w:color="4F81BD"/>
        </w:tblBorders>
        <w:tblLook w:val="04A0" w:firstRow="1" w:lastRow="0" w:firstColumn="1" w:lastColumn="0" w:noHBand="0" w:noVBand="1"/>
      </w:tblPr>
      <w:tblGrid>
        <w:gridCol w:w="9624"/>
      </w:tblGrid>
      <w:tr w:rsidR="00671620" w:rsidRPr="00D8615B" w:rsidTr="00D5039A">
        <w:trPr>
          <w:trHeight w:val="236"/>
          <w:tblHeader/>
          <w:jc w:val="center"/>
        </w:trPr>
        <w:tc>
          <w:tcPr>
            <w:tcW w:w="9624" w:type="dxa"/>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rPr>
                <w:rFonts w:cs="Arial"/>
                <w:b/>
                <w:sz w:val="22"/>
                <w:lang w:eastAsia="pt-BR"/>
              </w:rPr>
            </w:pPr>
            <w:r w:rsidRPr="00D8615B">
              <w:rPr>
                <w:rFonts w:cs="Arial"/>
                <w:b/>
                <w:sz w:val="22"/>
                <w:lang w:eastAsia="pt-BR"/>
              </w:rPr>
              <w:t>Classificação segundo a Resolução CONAMA n° 05 de 1993</w:t>
            </w:r>
          </w:p>
        </w:tc>
      </w:tr>
      <w:tr w:rsidR="00671620" w:rsidRPr="00D8615B" w:rsidTr="00D5039A">
        <w:trPr>
          <w:trHeight w:val="485"/>
          <w:jc w:val="center"/>
        </w:trPr>
        <w:tc>
          <w:tcPr>
            <w:tcW w:w="9624" w:type="dxa"/>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cs="Arial"/>
                <w:sz w:val="22"/>
                <w:lang w:eastAsia="pt-BR"/>
              </w:rPr>
            </w:pPr>
            <w:r w:rsidRPr="00D8615B">
              <w:rPr>
                <w:rFonts w:cs="Arial"/>
                <w:sz w:val="22"/>
                <w:lang w:eastAsia="pt-BR"/>
              </w:rPr>
              <w:t>Grupo A: Resíduos que apresentam risco potencial à saúde pública e ao meio ambiente devido à presença de agentes biológicos.</w:t>
            </w:r>
          </w:p>
        </w:tc>
      </w:tr>
      <w:tr w:rsidR="00671620" w:rsidRPr="00D8615B" w:rsidTr="00D5039A">
        <w:trPr>
          <w:trHeight w:val="2345"/>
          <w:jc w:val="center"/>
        </w:trPr>
        <w:tc>
          <w:tcPr>
            <w:tcW w:w="9624" w:type="dxa"/>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Enquadram-se neste grupo, entre outros: sangue e hemoderivados; animais usados em experimentação, bem como os materiais que tenham entrado em contato com os mesmos; excreções, secreções e líquidos orgânicos; meios de cultura; tecidos, órgãos, fetos e peças anatômicas; filtros de gases aspirados de área contaminada; resíduos advindos de área de isolamento; restos alimentares de unidade de isolamento; resíduos de laboratórios de análises clínicas; resíduos de unidades de atendimento ambulatorial; resíduos de sanitários de unidade de internação e de enfermaria e animais mortos a bordo dos meios de transporte. Além disso, incluem-se, entre outros, os objetos perfurantes ou cortantes, capazes de causar punctura ou corte, tais como lâminas de barbear, bisturi, agulhas, escalpes, vidros quebrados, etc., provenientes de estabelecimentos prestadores de serviços de saúde.</w:t>
            </w:r>
          </w:p>
        </w:tc>
      </w:tr>
      <w:tr w:rsidR="00671620" w:rsidRPr="00D8615B" w:rsidTr="00D5039A">
        <w:trPr>
          <w:trHeight w:val="485"/>
          <w:jc w:val="center"/>
        </w:trPr>
        <w:tc>
          <w:tcPr>
            <w:tcW w:w="9624" w:type="dxa"/>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rPr>
            </w:pPr>
            <w:r w:rsidRPr="00D8615B">
              <w:rPr>
                <w:rFonts w:cs="Arial"/>
                <w:sz w:val="22"/>
              </w:rPr>
              <w:lastRenderedPageBreak/>
              <w:t>Grupo B: Resíduos que apresentam risco potencial à saúde pública e ao meio ambiente devido às suas características químicas.</w:t>
            </w:r>
          </w:p>
        </w:tc>
      </w:tr>
      <w:tr w:rsidR="00671620" w:rsidRPr="00D8615B" w:rsidTr="00D5039A">
        <w:trPr>
          <w:trHeight w:val="944"/>
          <w:jc w:val="center"/>
        </w:trPr>
        <w:tc>
          <w:tcPr>
            <w:tcW w:w="9624" w:type="dxa"/>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rPr>
            </w:pPr>
            <w:r w:rsidRPr="00D8615B">
              <w:rPr>
                <w:rFonts w:cs="Arial"/>
                <w:sz w:val="22"/>
              </w:rPr>
              <w:t xml:space="preserve">Enquadram-se neste grupo, entre outros: drogas quimioterápicas e produtos por elas contaminados; resíduos farmacêuticos (medicamentos vencidos, contaminados, interditados ou não utilizados); e demais produtos considerados perigosos, conforme classiﬁcação da NBR 10.004 da ABNT (tóxicos, corrosivos, inﬂamáveis e reativos). </w:t>
            </w:r>
          </w:p>
        </w:tc>
      </w:tr>
      <w:tr w:rsidR="00671620" w:rsidRPr="00D8615B" w:rsidTr="00D5039A">
        <w:trPr>
          <w:trHeight w:val="708"/>
          <w:jc w:val="center"/>
        </w:trPr>
        <w:tc>
          <w:tcPr>
            <w:tcW w:w="9624" w:type="dxa"/>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rPr>
            </w:pPr>
            <w:r w:rsidRPr="00D8615B">
              <w:rPr>
                <w:rFonts w:cs="Arial"/>
                <w:sz w:val="22"/>
              </w:rPr>
              <w:t>Grupo C: Rejeitos radioativos: enquadram-se neste grupo os materiais radioativos ou contaminados com radionuclídeos, provenientes de laboratórios de análises clínicas, serviços de medicina nuclear e radioterapia, segundo Resolução CNEN 6.05.</w:t>
            </w:r>
          </w:p>
        </w:tc>
      </w:tr>
      <w:tr w:rsidR="00671620" w:rsidRPr="00D8615B" w:rsidTr="00D5039A">
        <w:trPr>
          <w:trHeight w:val="485"/>
          <w:jc w:val="center"/>
        </w:trPr>
        <w:tc>
          <w:tcPr>
            <w:tcW w:w="9624" w:type="dxa"/>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rPr>
            </w:pPr>
            <w:r w:rsidRPr="00D8615B">
              <w:rPr>
                <w:rFonts w:cs="Arial"/>
                <w:sz w:val="22"/>
              </w:rPr>
              <w:t>Grupo D: Resíduos comuns são todos os demais que não se enquadram nos grupos descritos anteriormente.</w:t>
            </w:r>
          </w:p>
        </w:tc>
      </w:tr>
    </w:tbl>
    <w:p w:rsidR="00D8615B" w:rsidRDefault="00D8615B" w:rsidP="00AC47A2">
      <w:pPr>
        <w:pStyle w:val="Fonte"/>
      </w:pPr>
      <w:bookmarkStart w:id="173" w:name="_Ref483559979"/>
      <w:bookmarkStart w:id="174" w:name="_Toc488825053"/>
      <w:bookmarkStart w:id="175" w:name="_Toc493151590"/>
      <w:bookmarkStart w:id="176" w:name="_Toc498593647"/>
      <w:bookmarkStart w:id="177" w:name="_Toc503949438"/>
    </w:p>
    <w:p w:rsidR="00671620" w:rsidRPr="00521751" w:rsidRDefault="00671620" w:rsidP="00E95583">
      <w:pPr>
        <w:pStyle w:val="Legenda"/>
        <w:rPr>
          <w:lang w:val="pt-BR"/>
        </w:rPr>
      </w:pPr>
      <w:bookmarkStart w:id="178" w:name="_Ref506478276"/>
      <w:bookmarkStart w:id="179" w:name="_Toc509935787"/>
      <w:r w:rsidRPr="00DF4A2F">
        <w:t xml:space="preserve">Quadro </w:t>
      </w:r>
      <w:r w:rsidR="000A1C78">
        <w:fldChar w:fldCharType="begin"/>
      </w:r>
      <w:r w:rsidR="000A1C78">
        <w:instrText xml:space="preserve"> SEQ Quadro \* ARABIC </w:instrText>
      </w:r>
      <w:r w:rsidR="000A1C78">
        <w:fldChar w:fldCharType="separate"/>
      </w:r>
      <w:r w:rsidR="001B481B">
        <w:rPr>
          <w:noProof/>
        </w:rPr>
        <w:t>10</w:t>
      </w:r>
      <w:r w:rsidR="000A1C78">
        <w:rPr>
          <w:noProof/>
        </w:rPr>
        <w:fldChar w:fldCharType="end"/>
      </w:r>
      <w:bookmarkEnd w:id="173"/>
      <w:bookmarkEnd w:id="178"/>
      <w:r w:rsidRPr="00DF4A2F">
        <w:t xml:space="preserve"> </w:t>
      </w:r>
      <w:r w:rsidRPr="00DF4A2F">
        <w:rPr>
          <w:lang w:val="pt-BR"/>
        </w:rPr>
        <w:t>-</w:t>
      </w:r>
      <w:r w:rsidRPr="00DF4A2F">
        <w:t xml:space="preserve"> Resíduos dos Serviços de Transporte </w:t>
      </w:r>
      <w:r w:rsidRPr="00521751">
        <w:t xml:space="preserve">– Regras </w:t>
      </w:r>
      <w:r w:rsidRPr="00841358">
        <w:t>de coleta e transporte</w:t>
      </w:r>
      <w:bookmarkEnd w:id="174"/>
      <w:bookmarkEnd w:id="175"/>
      <w:bookmarkEnd w:id="176"/>
      <w:bookmarkEnd w:id="177"/>
      <w:bookmarkEnd w:id="179"/>
    </w:p>
    <w:tbl>
      <w:tblPr>
        <w:tblW w:w="5000" w:type="pct"/>
        <w:tblBorders>
          <w:top w:val="single" w:sz="8" w:space="0" w:color="4F81BD"/>
          <w:bottom w:val="single" w:sz="8" w:space="0" w:color="4F81BD"/>
        </w:tblBorders>
        <w:tblLook w:val="04A0" w:firstRow="1" w:lastRow="0" w:firstColumn="1" w:lastColumn="0" w:noHBand="0" w:noVBand="1"/>
      </w:tblPr>
      <w:tblGrid>
        <w:gridCol w:w="9570"/>
      </w:tblGrid>
      <w:tr w:rsidR="00671620" w:rsidRPr="00D8615B" w:rsidTr="00D5039A">
        <w:trPr>
          <w:trHeight w:val="274"/>
          <w:tblHeader/>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rPr>
                <w:rFonts w:cs="Arial"/>
                <w:b/>
                <w:sz w:val="22"/>
                <w:lang w:eastAsia="pt-BR"/>
              </w:rPr>
            </w:pPr>
            <w:r w:rsidRPr="00D8615B">
              <w:rPr>
                <w:rFonts w:cs="Arial"/>
                <w:b/>
                <w:sz w:val="22"/>
                <w:lang w:eastAsia="pt-BR"/>
              </w:rPr>
              <w:t>Regras de coleta e transporte segundo a Resolução CONAMA n° 05 de 1993</w:t>
            </w:r>
          </w:p>
        </w:tc>
      </w:tr>
      <w:tr w:rsidR="00671620" w:rsidRPr="00D8615B" w:rsidTr="00D5039A">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cs="Arial"/>
                <w:sz w:val="22"/>
                <w:lang w:eastAsia="pt-BR"/>
              </w:rPr>
            </w:pPr>
            <w:r w:rsidRPr="00D8615B">
              <w:rPr>
                <w:rFonts w:cs="Arial"/>
                <w:sz w:val="22"/>
                <w:lang w:eastAsia="pt-BR"/>
              </w:rPr>
              <w:t>Os resíduos sólidos serão acondicionados adequadamente, atendendo às normas aplicáveis da ABNT e demais disposições legais vigentes.</w:t>
            </w:r>
          </w:p>
        </w:tc>
      </w:tr>
      <w:tr w:rsidR="00671620" w:rsidRPr="00D8615B" w:rsidTr="00D5039A">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Os resíduos sólidos pertencentes ao grupo A serão acondicionados em sacos plásticos com a simbologia de substância infectante.</w:t>
            </w:r>
          </w:p>
        </w:tc>
      </w:tr>
      <w:tr w:rsidR="00671620" w:rsidRPr="00D8615B" w:rsidTr="00D5039A">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Havendo, entre os resíduos mencionados no parágrafo anterior, outros perfurantes ou cortantes, estes serão acondicionados previamente em recipiente rígido, estanque, vedado e identificado pela simbologia de substância infectante.</w:t>
            </w:r>
          </w:p>
        </w:tc>
      </w:tr>
      <w:tr w:rsidR="00671620" w:rsidRPr="00D8615B" w:rsidTr="00D5039A">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O transporte dos resíduos sólidos gerados nos estabelecimentos (portos, aeroportos e terminais rodoviários e ferroviários) será feito em veículos apropriados, compatíveis com as características dos resíduos, atendendo às condicionantes de proteção ao meio ambiente e à saúde pública.</w:t>
            </w:r>
          </w:p>
        </w:tc>
      </w:tr>
      <w:tr w:rsidR="00671620" w:rsidRPr="00D8615B" w:rsidTr="00D5039A">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Caberá aos estabelecimentos o gerenciamento de seus resíduos sólidos, desde a geração até a disposição final, de forma a atender aos requisitos ambientais e de saúde pública.</w:t>
            </w:r>
          </w:p>
        </w:tc>
      </w:tr>
      <w:tr w:rsidR="00671620" w:rsidRPr="00D8615B" w:rsidTr="00D5039A">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Estes estabelecimentos deverão ter um responsável técnico, devidamente registrado em conselho profissional, para o correto gerenciamento dos resíduos sólidos gerados em decorrência de suas atividades.</w:t>
            </w:r>
          </w:p>
        </w:tc>
      </w:tr>
    </w:tbl>
    <w:p w:rsidR="00D8615B" w:rsidRDefault="00D8615B" w:rsidP="00AC47A2">
      <w:pPr>
        <w:pStyle w:val="Fonte"/>
      </w:pPr>
      <w:bookmarkStart w:id="180" w:name="_Ref483559986"/>
      <w:bookmarkStart w:id="181" w:name="_Toc488825054"/>
      <w:bookmarkStart w:id="182" w:name="_Toc493151591"/>
      <w:bookmarkStart w:id="183" w:name="_Toc498593648"/>
      <w:bookmarkStart w:id="184" w:name="_Toc503949439"/>
    </w:p>
    <w:p w:rsidR="00D8615B" w:rsidRDefault="00D8615B" w:rsidP="00AC47A2">
      <w:pPr>
        <w:pStyle w:val="Fonte"/>
      </w:pPr>
    </w:p>
    <w:p w:rsidR="00D8615B" w:rsidRDefault="00D8615B" w:rsidP="00AC47A2">
      <w:pPr>
        <w:pStyle w:val="Fonte"/>
      </w:pPr>
    </w:p>
    <w:p w:rsidR="00AC47A2" w:rsidRDefault="00AC47A2" w:rsidP="00AC47A2">
      <w:pPr>
        <w:pStyle w:val="Fonte"/>
      </w:pPr>
    </w:p>
    <w:p w:rsidR="00671620" w:rsidRPr="00DF4A2F" w:rsidRDefault="00671620" w:rsidP="00E95583">
      <w:pPr>
        <w:pStyle w:val="Legenda"/>
      </w:pPr>
      <w:bookmarkStart w:id="185" w:name="_Ref506478278"/>
      <w:bookmarkStart w:id="186" w:name="_Toc509935788"/>
      <w:r w:rsidRPr="00DF4A2F">
        <w:lastRenderedPageBreak/>
        <w:t xml:space="preserve">Quadro </w:t>
      </w:r>
      <w:r w:rsidR="000A1C78">
        <w:fldChar w:fldCharType="begin"/>
      </w:r>
      <w:r w:rsidR="000A1C78">
        <w:instrText xml:space="preserve"> SEQ Quadro \* ARABIC </w:instrText>
      </w:r>
      <w:r w:rsidR="000A1C78">
        <w:fldChar w:fldCharType="separate"/>
      </w:r>
      <w:r w:rsidR="001B481B">
        <w:rPr>
          <w:noProof/>
        </w:rPr>
        <w:t>11</w:t>
      </w:r>
      <w:r w:rsidR="000A1C78">
        <w:rPr>
          <w:noProof/>
        </w:rPr>
        <w:fldChar w:fldCharType="end"/>
      </w:r>
      <w:bookmarkEnd w:id="180"/>
      <w:bookmarkEnd w:id="185"/>
      <w:r w:rsidRPr="00DF4A2F">
        <w:t xml:space="preserve"> </w:t>
      </w:r>
      <w:r w:rsidRPr="00DF4A2F">
        <w:rPr>
          <w:lang w:val="pt-BR"/>
        </w:rPr>
        <w:t>-</w:t>
      </w:r>
      <w:r w:rsidRPr="00DF4A2F">
        <w:t xml:space="preserve"> Resíduos dos Serviços de Transporte – </w:t>
      </w:r>
      <w:r w:rsidRPr="00841358">
        <w:t>Regras de tratamento e disposição final</w:t>
      </w:r>
      <w:bookmarkEnd w:id="181"/>
      <w:bookmarkEnd w:id="182"/>
      <w:bookmarkEnd w:id="183"/>
      <w:bookmarkEnd w:id="184"/>
      <w:bookmarkEnd w:id="186"/>
    </w:p>
    <w:tbl>
      <w:tblPr>
        <w:tblW w:w="5000" w:type="pct"/>
        <w:tblBorders>
          <w:top w:val="single" w:sz="8" w:space="0" w:color="4F81BD"/>
          <w:bottom w:val="single" w:sz="8" w:space="0" w:color="4F81BD"/>
        </w:tblBorders>
        <w:tblLook w:val="04A0" w:firstRow="1" w:lastRow="0" w:firstColumn="1" w:lastColumn="0" w:noHBand="0" w:noVBand="1"/>
      </w:tblPr>
      <w:tblGrid>
        <w:gridCol w:w="9570"/>
      </w:tblGrid>
      <w:tr w:rsidR="00671620" w:rsidRPr="00D8615B" w:rsidTr="00D5039A">
        <w:trPr>
          <w:trHeight w:val="274"/>
          <w:tblHeader/>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rPr>
                <w:rFonts w:cs="Arial"/>
                <w:b/>
                <w:sz w:val="22"/>
                <w:lang w:eastAsia="pt-BR"/>
              </w:rPr>
            </w:pPr>
            <w:r w:rsidRPr="00D8615B">
              <w:rPr>
                <w:rFonts w:cs="Arial"/>
                <w:b/>
                <w:sz w:val="22"/>
                <w:lang w:eastAsia="pt-BR"/>
              </w:rPr>
              <w:t>Regras de tratamento e disposição final segundo a Resolução CONAMA n° 05 de 1993</w:t>
            </w:r>
          </w:p>
        </w:tc>
      </w:tr>
      <w:tr w:rsidR="00671620" w:rsidRPr="00D8615B" w:rsidTr="00D5039A">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cs="Arial"/>
                <w:sz w:val="22"/>
                <w:lang w:eastAsia="pt-BR"/>
              </w:rPr>
            </w:pPr>
            <w:r w:rsidRPr="00D8615B">
              <w:rPr>
                <w:rFonts w:cs="Arial"/>
                <w:sz w:val="22"/>
                <w:lang w:eastAsia="pt-BR"/>
              </w:rPr>
              <w:t>Recomenda-se a esterilização a vapor ou a incineração como tratamento dos resíduos sólidos pertencentes ao grupo A, ressalvadas as condições particulares de emprego e operação de cada tecnologia.</w:t>
            </w:r>
          </w:p>
        </w:tc>
      </w:tr>
      <w:tr w:rsidR="00671620" w:rsidRPr="00D8615B" w:rsidTr="00D5039A">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Os resíduos sólidos pertencentes ao grupo A não poderão ser dispostos no meio ambiente sem tratamento prévio que assegure: a eliminação das características de periculosidade do resíduo; a preservação dos recursos naturais; e o atendimento aos padrões de qualidade ambiental e de saúde pública.</w:t>
            </w:r>
          </w:p>
        </w:tc>
      </w:tr>
      <w:tr w:rsidR="00671620" w:rsidRPr="00D8615B" w:rsidTr="00D5039A">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Após tratamento, os resíduos sólidos pertencentes ao grupo A serão considerados “resíduos comuns” (grupo D), para fins de disposição final, porém os mesmos não poderão ser reciclados.</w:t>
            </w:r>
          </w:p>
        </w:tc>
      </w:tr>
      <w:tr w:rsidR="00671620" w:rsidRPr="00D8615B" w:rsidTr="00D5039A">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Aterros sanitários implantados e operados conforme normas técnicas vigentes deverão ter previstos em seus licenciamentos ambientais sistemas específicos que possibilitem a disposição de resíduos sólidos pertencentes ao grupo A.</w:t>
            </w:r>
          </w:p>
        </w:tc>
      </w:tr>
      <w:tr w:rsidR="00671620" w:rsidRPr="00D8615B" w:rsidTr="00D5039A">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Os resíduos sólidos classificados como grupo B deverão ser submetidos a tratamento e disposição final específicos, de acordo com as características de toxicidade, inflamabilidade, corrosividade e reatividade, segundo exigências do órgão ambiental competente.</w:t>
            </w:r>
          </w:p>
        </w:tc>
      </w:tr>
      <w:tr w:rsidR="00671620" w:rsidRPr="00D8615B" w:rsidTr="00D5039A">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rPr>
              <w:t>Os resíduos sólidos classificados como grupo C ou rejeitos radioativos obedecerão às exigências definidas pela Comissão Nacional de Energia Nuclear – CNEN.</w:t>
            </w:r>
          </w:p>
        </w:tc>
      </w:tr>
      <w:tr w:rsidR="00671620" w:rsidRPr="00D8615B" w:rsidTr="00D5039A">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rPr>
              <w:t>Os resíduos sólidos classificados como grupo D deverão ser coletados pelo órgão municipal de limpeza urbana e receberão tratamento e disposição final semelhante aos determinados para os resíduos domiciliares, desde que resguardadas as condições de proteção ao meio ambiente e à saúde pública.</w:t>
            </w:r>
          </w:p>
        </w:tc>
      </w:tr>
      <w:tr w:rsidR="00671620" w:rsidRPr="00D8615B" w:rsidTr="00D5039A">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Quando não assegurada a devida segregação dos resíduos sólidos, estes serão considerados, na sua totalidade, como pertencentes ao grupo A, salvo os resíduos sólidos pertencentes aos grupos B e C que, por suas peculiaridades, deverão ser sempre separados dos resíduos com outras qualificações.</w:t>
            </w:r>
          </w:p>
        </w:tc>
      </w:tr>
      <w:tr w:rsidR="00671620" w:rsidRPr="00D8615B" w:rsidTr="00D5039A">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Os resíduos comuns ou grupo D, gerados nos estabelecimentos provenientes de áreas endêmicas definidas pelas autoridades de saúde pública competentes, serão considerados, com vistas ao manejo e tratamento, como pertencentes ao grupo A.</w:t>
            </w:r>
          </w:p>
        </w:tc>
      </w:tr>
      <w:tr w:rsidR="00671620" w:rsidRPr="00D8615B" w:rsidTr="00D5039A">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O tratamento e a disposição final dos resíduos gerados serão controlados e fiscalizados pelos órgãos de meio ambiente, de saúde pública e de vigilância sanitária competentes, de acordo com a legislação vigente.</w:t>
            </w:r>
          </w:p>
        </w:tc>
      </w:tr>
    </w:tbl>
    <w:p w:rsidR="00D8615B" w:rsidRDefault="00D8615B" w:rsidP="00AC47A2">
      <w:pPr>
        <w:pStyle w:val="Fonte"/>
      </w:pPr>
      <w:bookmarkStart w:id="187" w:name="_Ref483559991"/>
      <w:bookmarkStart w:id="188" w:name="_Toc488825055"/>
      <w:bookmarkStart w:id="189" w:name="_Toc493151592"/>
      <w:bookmarkStart w:id="190" w:name="_Toc498593649"/>
      <w:bookmarkStart w:id="191" w:name="_Toc503949440"/>
    </w:p>
    <w:p w:rsidR="00D8615B" w:rsidRDefault="00D8615B" w:rsidP="00AC47A2">
      <w:pPr>
        <w:pStyle w:val="Fonte"/>
      </w:pPr>
    </w:p>
    <w:p w:rsidR="00D8615B" w:rsidRDefault="00D8615B" w:rsidP="00AC47A2">
      <w:pPr>
        <w:pStyle w:val="Fonte"/>
      </w:pPr>
    </w:p>
    <w:p w:rsidR="00671620" w:rsidRPr="00841358" w:rsidRDefault="00671620" w:rsidP="00E95583">
      <w:pPr>
        <w:pStyle w:val="Legenda"/>
      </w:pPr>
      <w:bookmarkStart w:id="192" w:name="_Ref506478282"/>
      <w:bookmarkStart w:id="193" w:name="_Toc509935789"/>
      <w:r w:rsidRPr="00DF4A2F">
        <w:lastRenderedPageBreak/>
        <w:t xml:space="preserve">Quadro </w:t>
      </w:r>
      <w:r w:rsidR="000A1C78">
        <w:fldChar w:fldCharType="begin"/>
      </w:r>
      <w:r w:rsidR="000A1C78">
        <w:instrText xml:space="preserve"> SEQ Quadro \* ARABIC </w:instrText>
      </w:r>
      <w:r w:rsidR="000A1C78">
        <w:fldChar w:fldCharType="separate"/>
      </w:r>
      <w:r w:rsidR="001B481B">
        <w:rPr>
          <w:noProof/>
        </w:rPr>
        <w:t>12</w:t>
      </w:r>
      <w:r w:rsidR="000A1C78">
        <w:rPr>
          <w:noProof/>
        </w:rPr>
        <w:fldChar w:fldCharType="end"/>
      </w:r>
      <w:bookmarkEnd w:id="187"/>
      <w:bookmarkEnd w:id="192"/>
      <w:r w:rsidRPr="00DF4A2F">
        <w:t xml:space="preserve"> </w:t>
      </w:r>
      <w:r w:rsidRPr="00DF4A2F">
        <w:rPr>
          <w:lang w:val="pt-BR"/>
        </w:rPr>
        <w:t>-</w:t>
      </w:r>
      <w:r w:rsidRPr="00DF4A2F">
        <w:t xml:space="preserve"> </w:t>
      </w:r>
      <w:r w:rsidRPr="00841358">
        <w:t>Resíduos dos Serviços de Transporte – Regras de licenciamento</w:t>
      </w:r>
      <w:bookmarkEnd w:id="188"/>
      <w:bookmarkEnd w:id="189"/>
      <w:bookmarkEnd w:id="190"/>
      <w:bookmarkEnd w:id="191"/>
      <w:bookmarkEnd w:id="193"/>
      <w:r w:rsidRPr="00841358">
        <w:t xml:space="preserve"> </w:t>
      </w:r>
    </w:p>
    <w:tbl>
      <w:tblPr>
        <w:tblW w:w="5000" w:type="pct"/>
        <w:tblBorders>
          <w:top w:val="single" w:sz="8" w:space="0" w:color="4F81BD"/>
          <w:bottom w:val="single" w:sz="8" w:space="0" w:color="4F81BD"/>
        </w:tblBorders>
        <w:tblLook w:val="04A0" w:firstRow="1" w:lastRow="0" w:firstColumn="1" w:lastColumn="0" w:noHBand="0" w:noVBand="1"/>
      </w:tblPr>
      <w:tblGrid>
        <w:gridCol w:w="9570"/>
      </w:tblGrid>
      <w:tr w:rsidR="00671620" w:rsidRPr="00D8615B" w:rsidTr="00D5039A">
        <w:trPr>
          <w:trHeight w:val="274"/>
          <w:tblHeader/>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00" w:after="100" w:line="240" w:lineRule="auto"/>
              <w:rPr>
                <w:rFonts w:cs="Arial"/>
                <w:b/>
                <w:sz w:val="22"/>
                <w:lang w:eastAsia="pt-BR"/>
              </w:rPr>
            </w:pPr>
            <w:r w:rsidRPr="00D8615B">
              <w:rPr>
                <w:rFonts w:cs="Arial"/>
                <w:b/>
                <w:sz w:val="22"/>
                <w:lang w:eastAsia="pt-BR"/>
              </w:rPr>
              <w:t>Regras de licenciamento segundo a Resolução CONAMA n° 05 de 1993</w:t>
            </w:r>
          </w:p>
        </w:tc>
      </w:tr>
      <w:tr w:rsidR="00671620" w:rsidRPr="00D8615B" w:rsidTr="00D5039A">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00" w:after="100" w:line="240" w:lineRule="auto"/>
              <w:jc w:val="both"/>
              <w:rPr>
                <w:rFonts w:cs="Arial"/>
                <w:sz w:val="22"/>
                <w:lang w:eastAsia="pt-BR"/>
              </w:rPr>
            </w:pPr>
            <w:r w:rsidRPr="00D8615B">
              <w:rPr>
                <w:rFonts w:cs="Arial"/>
                <w:sz w:val="22"/>
                <w:lang w:eastAsia="pt-BR"/>
              </w:rPr>
              <w:t>A administração dos estabelecimentos, em operação ou a serem implantados, deverá apresentar o Plano de Gerenciamento de Resíduos Sólidos, a ser submetido à aprovação pelos órgãos de meio ambiente e de saúde, dentro de suas respectivas esferas de competência, de acordo com a legislação vigente.</w:t>
            </w:r>
          </w:p>
        </w:tc>
      </w:tr>
      <w:tr w:rsidR="00671620" w:rsidRPr="00D8615B" w:rsidTr="00D5039A">
        <w:trPr>
          <w:trHeight w:val="260"/>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00" w:after="100" w:line="240" w:lineRule="auto"/>
              <w:jc w:val="both"/>
              <w:rPr>
                <w:rFonts w:eastAsia="MS Mincho" w:cs="Arial"/>
                <w:sz w:val="22"/>
                <w:lang w:eastAsia="pt-BR"/>
              </w:rPr>
            </w:pPr>
            <w:r w:rsidRPr="00D8615B">
              <w:rPr>
                <w:rFonts w:cs="Arial"/>
                <w:sz w:val="22"/>
                <w:lang w:eastAsia="pt-BR"/>
              </w:rPr>
              <w:t>Na elaboração do Plano de Gerenciamento de Resíduos Sólidos, devem ser considerados princípios que conduzam à reciclagem, bem como a soluções integradas ou consorciadas, para os sistemas de tratamento e disposição final, de acordo com as diretrizes estabelecidas pelos órgãos de meio ambiente e de saúde competentes.</w:t>
            </w:r>
          </w:p>
        </w:tc>
      </w:tr>
      <w:tr w:rsidR="00671620" w:rsidRPr="00D8615B" w:rsidTr="00D5039A">
        <w:trPr>
          <w:trHeight w:val="274"/>
        </w:trPr>
        <w:tc>
          <w:tcPr>
            <w:tcW w:w="5000" w:type="pct"/>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00" w:after="100" w:line="240" w:lineRule="auto"/>
              <w:jc w:val="both"/>
              <w:rPr>
                <w:rFonts w:eastAsia="MS Mincho" w:cs="Arial"/>
                <w:sz w:val="22"/>
                <w:lang w:eastAsia="pt-BR"/>
              </w:rPr>
            </w:pPr>
            <w:r w:rsidRPr="00D8615B">
              <w:rPr>
                <w:rFonts w:cs="Arial"/>
                <w:sz w:val="22"/>
                <w:lang w:eastAsia="pt-BR"/>
              </w:rPr>
              <w:t>A implantação de sistemas de tratamento e disposição final de resíduos sólidos fica condicionada ao licenciamento, pelo órgão ambiental competente em conformidade com as normas em vigor.</w:t>
            </w:r>
          </w:p>
        </w:tc>
      </w:tr>
    </w:tbl>
    <w:p w:rsidR="00D8615B" w:rsidRDefault="00D8615B" w:rsidP="00AC47A2">
      <w:pPr>
        <w:pStyle w:val="Fonte"/>
      </w:pPr>
      <w:bookmarkStart w:id="194" w:name="_Ref483560010"/>
      <w:bookmarkStart w:id="195" w:name="_Toc488825056"/>
      <w:bookmarkStart w:id="196" w:name="_Toc493151593"/>
      <w:bookmarkStart w:id="197" w:name="_Toc498593650"/>
      <w:bookmarkStart w:id="198" w:name="_Toc503949441"/>
    </w:p>
    <w:p w:rsidR="00671620" w:rsidRPr="00841358" w:rsidRDefault="00671620" w:rsidP="00E95583">
      <w:pPr>
        <w:pStyle w:val="Legenda"/>
      </w:pPr>
      <w:bookmarkStart w:id="199" w:name="_Ref506478284"/>
      <w:bookmarkStart w:id="200" w:name="_Toc509935790"/>
      <w:r w:rsidRPr="00DF4A2F">
        <w:t xml:space="preserve">Quadro </w:t>
      </w:r>
      <w:r w:rsidR="000A1C78">
        <w:fldChar w:fldCharType="begin"/>
      </w:r>
      <w:r w:rsidR="000A1C78">
        <w:instrText xml:space="preserve"> SEQ Quadro \* ARABIC </w:instrText>
      </w:r>
      <w:r w:rsidR="000A1C78">
        <w:fldChar w:fldCharType="separate"/>
      </w:r>
      <w:r w:rsidR="001B481B">
        <w:rPr>
          <w:noProof/>
        </w:rPr>
        <w:t>13</w:t>
      </w:r>
      <w:r w:rsidR="000A1C78">
        <w:rPr>
          <w:noProof/>
        </w:rPr>
        <w:fldChar w:fldCharType="end"/>
      </w:r>
      <w:bookmarkEnd w:id="194"/>
      <w:bookmarkEnd w:id="199"/>
      <w:r w:rsidRPr="00DF4A2F">
        <w:t xml:space="preserve"> - Resíduos dos </w:t>
      </w:r>
      <w:r w:rsidRPr="00841358">
        <w:t>Serviços de Transporte – Legislação e normas</w:t>
      </w:r>
      <w:bookmarkEnd w:id="195"/>
      <w:bookmarkEnd w:id="196"/>
      <w:bookmarkEnd w:id="197"/>
      <w:bookmarkEnd w:id="198"/>
      <w:bookmarkEnd w:id="200"/>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D8615B" w:rsidTr="00D8615B">
        <w:trPr>
          <w:trHeight w:val="268"/>
          <w:tblHeade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00" w:after="100" w:line="240" w:lineRule="auto"/>
              <w:rPr>
                <w:rFonts w:cs="Arial"/>
                <w:b/>
                <w:sz w:val="22"/>
                <w:u w:val="single"/>
              </w:rPr>
            </w:pPr>
            <w:r w:rsidRPr="00D8615B">
              <w:rPr>
                <w:rFonts w:cs="Arial"/>
                <w:b/>
                <w:sz w:val="22"/>
                <w:u w:val="single"/>
                <w:lang w:eastAsia="pt-BR"/>
              </w:rPr>
              <w:t>Principais resoluções nacionais</w:t>
            </w:r>
          </w:p>
        </w:tc>
      </w:tr>
      <w:tr w:rsidR="00671620" w:rsidRPr="00D8615B" w:rsidTr="00D8615B">
        <w:trPr>
          <w:trHeight w:val="268"/>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00" w:after="100" w:line="240" w:lineRule="auto"/>
              <w:jc w:val="both"/>
              <w:rPr>
                <w:rFonts w:cs="Arial"/>
                <w:sz w:val="22"/>
                <w:lang w:eastAsia="pt-BR"/>
              </w:rPr>
            </w:pPr>
            <w:r w:rsidRPr="00D8615B">
              <w:rPr>
                <w:rFonts w:cs="Arial"/>
                <w:sz w:val="22"/>
                <w:lang w:eastAsia="pt-BR"/>
              </w:rPr>
              <w:t>Resolução CONAMA nº 05, de 05 de agosto de 1993. Dispõe sobre o gerenciamento de resíduos sólidos gerados nos portos, aeroportos, terminais ferroviários e estabelecimentos prestadores de serviços de saúde. Revogadas as disposições que tratam de resíduos sólidos oriundos de serviços de saúde pela Resolução CONAMA nº 358/05.</w:t>
            </w:r>
          </w:p>
        </w:tc>
      </w:tr>
      <w:tr w:rsidR="00671620" w:rsidRPr="00D8615B" w:rsidTr="00D8615B">
        <w:trPr>
          <w:trHeight w:val="268"/>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00" w:after="100" w:line="240" w:lineRule="auto"/>
              <w:jc w:val="both"/>
              <w:rPr>
                <w:rFonts w:cs="Arial"/>
                <w:sz w:val="22"/>
                <w:lang w:eastAsia="pt-BR"/>
              </w:rPr>
            </w:pPr>
            <w:r w:rsidRPr="00D8615B">
              <w:rPr>
                <w:rFonts w:cs="Arial"/>
                <w:sz w:val="22"/>
                <w:lang w:eastAsia="pt-BR"/>
              </w:rPr>
              <w:t>Resolução CONAMA nº 06, de 19 de setembro de 1991. Dispõe sobre tratamento de resíduos sólidos provenientes de estabelecimentos de saúde, portos e aeroportos.</w:t>
            </w:r>
          </w:p>
        </w:tc>
      </w:tr>
      <w:tr w:rsidR="00671620" w:rsidRPr="00D8615B" w:rsidTr="00D8615B">
        <w:trPr>
          <w:trHeight w:val="268"/>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00" w:after="100" w:line="240" w:lineRule="auto"/>
              <w:jc w:val="both"/>
              <w:rPr>
                <w:rFonts w:cs="Arial"/>
                <w:b/>
                <w:sz w:val="22"/>
                <w:u w:val="single"/>
              </w:rPr>
            </w:pPr>
            <w:r w:rsidRPr="00D8615B">
              <w:rPr>
                <w:rFonts w:cs="Arial"/>
                <w:b/>
                <w:sz w:val="22"/>
                <w:u w:val="single"/>
                <w:lang w:eastAsia="pt-BR"/>
              </w:rPr>
              <w:t>Normas técnicas</w:t>
            </w:r>
          </w:p>
        </w:tc>
      </w:tr>
      <w:tr w:rsidR="00671620" w:rsidRPr="00D8615B" w:rsidTr="00D8615B">
        <w:trPr>
          <w:trHeight w:val="255"/>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00" w:after="100" w:line="240" w:lineRule="auto"/>
              <w:jc w:val="both"/>
              <w:rPr>
                <w:rFonts w:cs="Arial"/>
                <w:sz w:val="22"/>
              </w:rPr>
            </w:pPr>
            <w:r w:rsidRPr="00D8615B">
              <w:rPr>
                <w:rFonts w:cs="Arial"/>
                <w:sz w:val="22"/>
              </w:rPr>
              <w:t xml:space="preserve">ABNT NBR 7500:2013 - </w:t>
            </w:r>
            <w:r w:rsidRPr="00D8615B">
              <w:rPr>
                <w:rFonts w:cs="Arial"/>
                <w:sz w:val="22"/>
                <w:lang w:val="pt-PT"/>
              </w:rPr>
              <w:t>Identificação para o transporte terrestre, manuseio, movimentação e armazenamento de produtos.</w:t>
            </w:r>
          </w:p>
        </w:tc>
      </w:tr>
      <w:tr w:rsidR="00671620" w:rsidRPr="00D8615B" w:rsidTr="00D8615B">
        <w:trPr>
          <w:trHeight w:val="255"/>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autoSpaceDE w:val="0"/>
              <w:autoSpaceDN w:val="0"/>
              <w:adjustRightInd w:val="0"/>
              <w:spacing w:before="100" w:after="100" w:line="240" w:lineRule="auto"/>
              <w:jc w:val="both"/>
              <w:rPr>
                <w:rFonts w:cs="Arial"/>
                <w:sz w:val="22"/>
                <w:lang w:val="pt-PT"/>
              </w:rPr>
            </w:pPr>
            <w:r w:rsidRPr="00D8615B">
              <w:rPr>
                <w:rFonts w:cs="Arial"/>
                <w:sz w:val="22"/>
                <w:lang w:val="pt-PT"/>
              </w:rPr>
              <w:t>NBR 7501:2011 - Transporte terrestre de produtos perigosos – Terminologia.</w:t>
            </w:r>
          </w:p>
        </w:tc>
      </w:tr>
      <w:tr w:rsidR="00671620" w:rsidRPr="00D8615B" w:rsidTr="00D8615B">
        <w:trPr>
          <w:trHeight w:val="255"/>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autoSpaceDE w:val="0"/>
              <w:autoSpaceDN w:val="0"/>
              <w:adjustRightInd w:val="0"/>
              <w:spacing w:before="100" w:after="100" w:line="240" w:lineRule="auto"/>
              <w:jc w:val="both"/>
              <w:rPr>
                <w:rFonts w:cs="Arial"/>
                <w:sz w:val="22"/>
                <w:lang w:val="pt-PT"/>
              </w:rPr>
            </w:pPr>
            <w:r w:rsidRPr="00D8615B">
              <w:rPr>
                <w:rFonts w:cs="Arial"/>
                <w:sz w:val="22"/>
                <w:lang w:val="pt-PT"/>
              </w:rPr>
              <w:t>NBR 7503:2013 - Ficha de emergência e envelope para o transporte terrestre de produtos perigosos - Características, dimensões e preenchimento.</w:t>
            </w:r>
          </w:p>
        </w:tc>
      </w:tr>
      <w:tr w:rsidR="00671620" w:rsidRPr="00D8615B" w:rsidTr="00D8615B">
        <w:trPr>
          <w:trHeight w:val="268"/>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00" w:after="100" w:line="240" w:lineRule="auto"/>
              <w:jc w:val="both"/>
              <w:rPr>
                <w:rFonts w:cs="Arial"/>
                <w:sz w:val="22"/>
                <w:lang w:eastAsia="pt-BR"/>
              </w:rPr>
            </w:pPr>
            <w:r w:rsidRPr="00D8615B">
              <w:rPr>
                <w:rFonts w:cs="Arial"/>
                <w:sz w:val="22"/>
                <w:lang w:eastAsia="pt-BR"/>
              </w:rPr>
              <w:t>ABNT NBR 12235:1992 - Armazenamento de resíduos sólidos perigosos – Procedimento.</w:t>
            </w:r>
          </w:p>
        </w:tc>
      </w:tr>
      <w:tr w:rsidR="00671620" w:rsidRPr="00D8615B" w:rsidTr="00D8615B">
        <w:trPr>
          <w:trHeight w:val="268"/>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00" w:after="100" w:line="240" w:lineRule="auto"/>
              <w:jc w:val="both"/>
              <w:rPr>
                <w:rFonts w:cs="Arial"/>
                <w:sz w:val="22"/>
              </w:rPr>
            </w:pPr>
            <w:r w:rsidRPr="00D8615B">
              <w:rPr>
                <w:rFonts w:cs="Arial"/>
                <w:sz w:val="22"/>
              </w:rPr>
              <w:t>ABNT NBR 10.004:2004 – Resíduos sólidos: Classificação.</w:t>
            </w:r>
          </w:p>
        </w:tc>
      </w:tr>
      <w:tr w:rsidR="00671620" w:rsidRPr="00D8615B" w:rsidTr="00D8615B">
        <w:trPr>
          <w:trHeight w:val="268"/>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00" w:after="100" w:line="240" w:lineRule="auto"/>
              <w:jc w:val="both"/>
              <w:rPr>
                <w:rFonts w:cs="Arial"/>
                <w:sz w:val="22"/>
              </w:rPr>
            </w:pPr>
            <w:r w:rsidRPr="00D8615B">
              <w:rPr>
                <w:rFonts w:cs="Arial"/>
                <w:sz w:val="22"/>
              </w:rPr>
              <w:t>ABNT NBR 10.005:2004 – Procedimentos para obtenção de extrato lixiviado de resíduos sólidos.</w:t>
            </w:r>
          </w:p>
        </w:tc>
      </w:tr>
      <w:tr w:rsidR="00671620" w:rsidRPr="00D8615B" w:rsidTr="00D8615B">
        <w:trPr>
          <w:trHeight w:val="268"/>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00" w:after="100" w:line="240" w:lineRule="auto"/>
              <w:jc w:val="both"/>
              <w:rPr>
                <w:rFonts w:cs="Arial"/>
                <w:sz w:val="22"/>
              </w:rPr>
            </w:pPr>
            <w:r w:rsidRPr="00D8615B">
              <w:rPr>
                <w:rFonts w:cs="Arial"/>
                <w:sz w:val="22"/>
              </w:rPr>
              <w:t>ABNT NBR 10.006:2004 – Procedimentos para obtenção de extrato solubilizado de resíduos sólidos.</w:t>
            </w:r>
          </w:p>
        </w:tc>
      </w:tr>
      <w:tr w:rsidR="00671620" w:rsidRPr="00D8615B" w:rsidTr="00D8615B">
        <w:trPr>
          <w:trHeight w:val="268"/>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00" w:after="100" w:line="240" w:lineRule="auto"/>
              <w:jc w:val="both"/>
              <w:rPr>
                <w:rFonts w:cs="Arial"/>
                <w:sz w:val="22"/>
              </w:rPr>
            </w:pPr>
            <w:r w:rsidRPr="00D8615B">
              <w:rPr>
                <w:rFonts w:cs="Arial"/>
                <w:sz w:val="22"/>
              </w:rPr>
              <w:t>ABNT NBR 10.007:2004 – Amostragem de resíduos sólidos.</w:t>
            </w:r>
          </w:p>
        </w:tc>
      </w:tr>
    </w:tbl>
    <w:p w:rsidR="00671620" w:rsidRPr="00DF4A2F" w:rsidRDefault="00671620" w:rsidP="00671620">
      <w:pPr>
        <w:rPr>
          <w:b/>
          <w:bCs/>
        </w:rPr>
      </w:pPr>
    </w:p>
    <w:p w:rsidR="00671620" w:rsidRPr="00DF4A2F" w:rsidRDefault="00671620" w:rsidP="00BC01B1">
      <w:pPr>
        <w:pStyle w:val="Ttulo4"/>
      </w:pPr>
      <w:bookmarkStart w:id="201" w:name="_Toc488825322"/>
      <w:bookmarkStart w:id="202" w:name="_Toc493151488"/>
      <w:bookmarkStart w:id="203" w:name="_Toc498593466"/>
      <w:bookmarkStart w:id="204" w:name="_Toc504404438"/>
      <w:bookmarkStart w:id="205" w:name="_Toc509935477"/>
      <w:r w:rsidRPr="00DF4A2F">
        <w:lastRenderedPageBreak/>
        <w:t>Resíduos dos serviços de saúde</w:t>
      </w:r>
      <w:bookmarkEnd w:id="201"/>
      <w:bookmarkEnd w:id="202"/>
      <w:bookmarkEnd w:id="203"/>
      <w:bookmarkEnd w:id="204"/>
      <w:bookmarkEnd w:id="205"/>
    </w:p>
    <w:p w:rsidR="00671620" w:rsidRPr="00DF4A2F" w:rsidRDefault="00671620" w:rsidP="00671620">
      <w:pPr>
        <w:pStyle w:val="Default"/>
        <w:spacing w:line="360" w:lineRule="auto"/>
        <w:ind w:firstLine="709"/>
        <w:jc w:val="both"/>
        <w:rPr>
          <w:color w:val="auto"/>
        </w:rPr>
      </w:pPr>
      <w:r w:rsidRPr="00DF4A2F">
        <w:rPr>
          <w:color w:val="auto"/>
        </w:rPr>
        <w:t xml:space="preserve">Os resíduos de serviços de saúde são aqueles “gerados nos serviços de saúde, conforme definido em regulamento ou em normas estabelecidas pelos órgãos do </w:t>
      </w:r>
      <w:r w:rsidRPr="00841358">
        <w:rPr>
          <w:color w:val="auto"/>
        </w:rPr>
        <w:t xml:space="preserve">SISNAMA </w:t>
      </w:r>
      <w:r w:rsidRPr="006D17A2">
        <w:rPr>
          <w:color w:val="auto"/>
        </w:rPr>
        <w:t>e do SNVS”, segundo o art. 13 da Lei n° 12.305 de 2010. A seguir são apresentadas regras, legislação aplicável e orientações gerais sobre esses resíduos (</w:t>
      </w:r>
      <w:r w:rsidRPr="006D17A2">
        <w:rPr>
          <w:color w:val="auto"/>
        </w:rPr>
        <w:fldChar w:fldCharType="begin"/>
      </w:r>
      <w:r w:rsidRPr="006D17A2">
        <w:rPr>
          <w:color w:val="auto"/>
        </w:rPr>
        <w:instrText xml:space="preserve"> REF _Ref483560116 \h  \* MERGEFORMAT </w:instrText>
      </w:r>
      <w:r w:rsidRPr="006D17A2">
        <w:rPr>
          <w:color w:val="auto"/>
        </w:rPr>
      </w:r>
      <w:r w:rsidRPr="006D17A2">
        <w:rPr>
          <w:color w:val="auto"/>
        </w:rPr>
        <w:fldChar w:fldCharType="separate"/>
      </w:r>
      <w:r w:rsidR="001B481B" w:rsidRPr="001B481B">
        <w:rPr>
          <w:color w:val="auto"/>
        </w:rPr>
        <w:t>Quadro 14</w:t>
      </w:r>
      <w:r w:rsidRPr="006D17A2">
        <w:rPr>
          <w:color w:val="auto"/>
        </w:rPr>
        <w:fldChar w:fldCharType="end"/>
      </w:r>
      <w:r w:rsidRPr="006D17A2">
        <w:rPr>
          <w:color w:val="auto"/>
        </w:rPr>
        <w:t>,</w:t>
      </w:r>
      <w:r w:rsidR="006D17A2" w:rsidRPr="006D17A2">
        <w:rPr>
          <w:color w:val="auto"/>
        </w:rPr>
        <w:t xml:space="preserve"> </w:t>
      </w:r>
      <w:r w:rsidR="006D17A2" w:rsidRPr="006D17A2">
        <w:rPr>
          <w:color w:val="auto"/>
        </w:rPr>
        <w:fldChar w:fldCharType="begin"/>
      </w:r>
      <w:r w:rsidR="006D17A2" w:rsidRPr="006D17A2">
        <w:rPr>
          <w:color w:val="auto"/>
        </w:rPr>
        <w:instrText xml:space="preserve"> REF _Ref506478412 \h </w:instrText>
      </w:r>
      <w:r w:rsidR="006D17A2">
        <w:rPr>
          <w:color w:val="auto"/>
        </w:rPr>
        <w:instrText xml:space="preserve"> \* MERGEFORMAT </w:instrText>
      </w:r>
      <w:r w:rsidR="006D17A2" w:rsidRPr="006D17A2">
        <w:rPr>
          <w:color w:val="auto"/>
        </w:rPr>
      </w:r>
      <w:r w:rsidR="006D17A2" w:rsidRPr="006D17A2">
        <w:rPr>
          <w:color w:val="auto"/>
        </w:rPr>
        <w:fldChar w:fldCharType="separate"/>
      </w:r>
      <w:r w:rsidR="001B481B" w:rsidRPr="00DF4A2F">
        <w:t xml:space="preserve">Quadro </w:t>
      </w:r>
      <w:r w:rsidR="001B481B">
        <w:rPr>
          <w:noProof/>
        </w:rPr>
        <w:t>15</w:t>
      </w:r>
      <w:r w:rsidR="006D17A2" w:rsidRPr="006D17A2">
        <w:rPr>
          <w:color w:val="auto"/>
        </w:rPr>
        <w:fldChar w:fldCharType="end"/>
      </w:r>
      <w:r w:rsidR="006D17A2" w:rsidRPr="006D17A2">
        <w:rPr>
          <w:color w:val="auto"/>
        </w:rPr>
        <w:t xml:space="preserve">, </w:t>
      </w:r>
      <w:r w:rsidR="006D17A2" w:rsidRPr="006D17A2">
        <w:rPr>
          <w:color w:val="auto"/>
        </w:rPr>
        <w:fldChar w:fldCharType="begin"/>
      </w:r>
      <w:r w:rsidR="006D17A2" w:rsidRPr="006D17A2">
        <w:rPr>
          <w:color w:val="auto"/>
        </w:rPr>
        <w:instrText xml:space="preserve"> REF _Ref506478413 \h </w:instrText>
      </w:r>
      <w:r w:rsidR="006D17A2">
        <w:rPr>
          <w:color w:val="auto"/>
        </w:rPr>
        <w:instrText xml:space="preserve"> \* MERGEFORMAT </w:instrText>
      </w:r>
      <w:r w:rsidR="006D17A2" w:rsidRPr="006D17A2">
        <w:rPr>
          <w:color w:val="auto"/>
        </w:rPr>
      </w:r>
      <w:r w:rsidR="006D17A2" w:rsidRPr="006D17A2">
        <w:rPr>
          <w:color w:val="auto"/>
        </w:rPr>
        <w:fldChar w:fldCharType="separate"/>
      </w:r>
      <w:r w:rsidR="001B481B" w:rsidRPr="00DF4A2F">
        <w:t xml:space="preserve">Quadro </w:t>
      </w:r>
      <w:r w:rsidR="001B481B">
        <w:rPr>
          <w:noProof/>
        </w:rPr>
        <w:t>16</w:t>
      </w:r>
      <w:r w:rsidR="006D17A2" w:rsidRPr="006D17A2">
        <w:rPr>
          <w:color w:val="auto"/>
        </w:rPr>
        <w:fldChar w:fldCharType="end"/>
      </w:r>
      <w:r w:rsidR="006D17A2" w:rsidRPr="006D17A2">
        <w:rPr>
          <w:color w:val="auto"/>
        </w:rPr>
        <w:t xml:space="preserve">, </w:t>
      </w:r>
      <w:r w:rsidR="006D17A2" w:rsidRPr="006D17A2">
        <w:rPr>
          <w:color w:val="auto"/>
        </w:rPr>
        <w:fldChar w:fldCharType="begin"/>
      </w:r>
      <w:r w:rsidR="006D17A2" w:rsidRPr="006D17A2">
        <w:rPr>
          <w:color w:val="auto"/>
        </w:rPr>
        <w:instrText xml:space="preserve"> REF _Ref506478415 \h </w:instrText>
      </w:r>
      <w:r w:rsidR="006D17A2">
        <w:rPr>
          <w:color w:val="auto"/>
        </w:rPr>
        <w:instrText xml:space="preserve"> \* MERGEFORMAT </w:instrText>
      </w:r>
      <w:r w:rsidR="006D17A2" w:rsidRPr="006D17A2">
        <w:rPr>
          <w:color w:val="auto"/>
        </w:rPr>
      </w:r>
      <w:r w:rsidR="006D17A2" w:rsidRPr="006D17A2">
        <w:rPr>
          <w:color w:val="auto"/>
        </w:rPr>
        <w:fldChar w:fldCharType="separate"/>
      </w:r>
      <w:r w:rsidR="001B481B" w:rsidRPr="00DF4A2F">
        <w:t xml:space="preserve">Quadro </w:t>
      </w:r>
      <w:r w:rsidR="001B481B">
        <w:rPr>
          <w:noProof/>
        </w:rPr>
        <w:t>17</w:t>
      </w:r>
      <w:r w:rsidR="006D17A2" w:rsidRPr="006D17A2">
        <w:rPr>
          <w:color w:val="auto"/>
        </w:rPr>
        <w:fldChar w:fldCharType="end"/>
      </w:r>
      <w:r w:rsidR="006D17A2" w:rsidRPr="006D17A2">
        <w:rPr>
          <w:color w:val="auto"/>
        </w:rPr>
        <w:t xml:space="preserve">, </w:t>
      </w:r>
      <w:r w:rsidR="006D17A2" w:rsidRPr="006D17A2">
        <w:rPr>
          <w:color w:val="auto"/>
        </w:rPr>
        <w:fldChar w:fldCharType="begin"/>
      </w:r>
      <w:r w:rsidR="006D17A2" w:rsidRPr="006D17A2">
        <w:rPr>
          <w:color w:val="auto"/>
        </w:rPr>
        <w:instrText xml:space="preserve"> REF _Ref506478417 \h </w:instrText>
      </w:r>
      <w:r w:rsidR="006D17A2">
        <w:rPr>
          <w:color w:val="auto"/>
        </w:rPr>
        <w:instrText xml:space="preserve"> \* MERGEFORMAT </w:instrText>
      </w:r>
      <w:r w:rsidR="006D17A2" w:rsidRPr="006D17A2">
        <w:rPr>
          <w:color w:val="auto"/>
        </w:rPr>
      </w:r>
      <w:r w:rsidR="006D17A2" w:rsidRPr="006D17A2">
        <w:rPr>
          <w:color w:val="auto"/>
        </w:rPr>
        <w:fldChar w:fldCharType="separate"/>
      </w:r>
      <w:r w:rsidR="001B481B" w:rsidRPr="00DF4A2F">
        <w:t xml:space="preserve">Quadro </w:t>
      </w:r>
      <w:r w:rsidR="001B481B">
        <w:rPr>
          <w:noProof/>
        </w:rPr>
        <w:t>18</w:t>
      </w:r>
      <w:r w:rsidR="006D17A2" w:rsidRPr="006D17A2">
        <w:rPr>
          <w:color w:val="auto"/>
        </w:rPr>
        <w:fldChar w:fldCharType="end"/>
      </w:r>
      <w:r w:rsidR="006D17A2" w:rsidRPr="006D17A2">
        <w:rPr>
          <w:color w:val="auto"/>
        </w:rPr>
        <w:t xml:space="preserve">, </w:t>
      </w:r>
      <w:r w:rsidR="006D17A2" w:rsidRPr="006D17A2">
        <w:rPr>
          <w:color w:val="auto"/>
        </w:rPr>
        <w:fldChar w:fldCharType="begin"/>
      </w:r>
      <w:r w:rsidR="006D17A2" w:rsidRPr="006D17A2">
        <w:rPr>
          <w:color w:val="auto"/>
        </w:rPr>
        <w:instrText xml:space="preserve"> REF _Ref506478418 \h </w:instrText>
      </w:r>
      <w:r w:rsidR="006D17A2">
        <w:rPr>
          <w:color w:val="auto"/>
        </w:rPr>
        <w:instrText xml:space="preserve"> \* MERGEFORMAT </w:instrText>
      </w:r>
      <w:r w:rsidR="006D17A2" w:rsidRPr="006D17A2">
        <w:rPr>
          <w:color w:val="auto"/>
        </w:rPr>
      </w:r>
      <w:r w:rsidR="006D17A2" w:rsidRPr="006D17A2">
        <w:rPr>
          <w:color w:val="auto"/>
        </w:rPr>
        <w:fldChar w:fldCharType="separate"/>
      </w:r>
      <w:r w:rsidR="001B481B" w:rsidRPr="00DF4A2F">
        <w:t xml:space="preserve">Quadro </w:t>
      </w:r>
      <w:r w:rsidR="001B481B">
        <w:rPr>
          <w:noProof/>
        </w:rPr>
        <w:t>19</w:t>
      </w:r>
      <w:r w:rsidR="006D17A2" w:rsidRPr="006D17A2">
        <w:rPr>
          <w:color w:val="auto"/>
        </w:rPr>
        <w:fldChar w:fldCharType="end"/>
      </w:r>
      <w:r w:rsidR="006D17A2" w:rsidRPr="006D17A2">
        <w:rPr>
          <w:color w:val="auto"/>
        </w:rPr>
        <w:t xml:space="preserve">, </w:t>
      </w:r>
      <w:r w:rsidR="006D17A2" w:rsidRPr="006D17A2">
        <w:rPr>
          <w:color w:val="auto"/>
        </w:rPr>
        <w:fldChar w:fldCharType="begin"/>
      </w:r>
      <w:r w:rsidR="006D17A2" w:rsidRPr="006D17A2">
        <w:rPr>
          <w:color w:val="auto"/>
        </w:rPr>
        <w:instrText xml:space="preserve"> REF _Ref506478420 \h </w:instrText>
      </w:r>
      <w:r w:rsidR="006D17A2">
        <w:rPr>
          <w:color w:val="auto"/>
        </w:rPr>
        <w:instrText xml:space="preserve"> \* MERGEFORMAT </w:instrText>
      </w:r>
      <w:r w:rsidR="006D17A2" w:rsidRPr="006D17A2">
        <w:rPr>
          <w:color w:val="auto"/>
        </w:rPr>
      </w:r>
      <w:r w:rsidR="006D17A2" w:rsidRPr="006D17A2">
        <w:rPr>
          <w:color w:val="auto"/>
        </w:rPr>
        <w:fldChar w:fldCharType="separate"/>
      </w:r>
      <w:r w:rsidR="001B481B" w:rsidRPr="00DF4A2F">
        <w:t xml:space="preserve">Quadro </w:t>
      </w:r>
      <w:r w:rsidR="001B481B">
        <w:rPr>
          <w:noProof/>
        </w:rPr>
        <w:t>20</w:t>
      </w:r>
      <w:r w:rsidR="006D17A2" w:rsidRPr="006D17A2">
        <w:rPr>
          <w:color w:val="auto"/>
        </w:rPr>
        <w:fldChar w:fldCharType="end"/>
      </w:r>
      <w:r w:rsidR="006D17A2" w:rsidRPr="006D17A2">
        <w:rPr>
          <w:color w:val="auto"/>
        </w:rPr>
        <w:t xml:space="preserve">, </w:t>
      </w:r>
      <w:r w:rsidR="006D17A2" w:rsidRPr="006D17A2">
        <w:rPr>
          <w:color w:val="auto"/>
        </w:rPr>
        <w:fldChar w:fldCharType="begin"/>
      </w:r>
      <w:r w:rsidR="006D17A2" w:rsidRPr="006D17A2">
        <w:rPr>
          <w:color w:val="auto"/>
        </w:rPr>
        <w:instrText xml:space="preserve"> REF _Ref506478421 \h </w:instrText>
      </w:r>
      <w:r w:rsidR="006D17A2">
        <w:rPr>
          <w:color w:val="auto"/>
        </w:rPr>
        <w:instrText xml:space="preserve"> \* MERGEFORMAT </w:instrText>
      </w:r>
      <w:r w:rsidR="006D17A2" w:rsidRPr="006D17A2">
        <w:rPr>
          <w:color w:val="auto"/>
        </w:rPr>
      </w:r>
      <w:r w:rsidR="006D17A2" w:rsidRPr="006D17A2">
        <w:rPr>
          <w:color w:val="auto"/>
        </w:rPr>
        <w:fldChar w:fldCharType="separate"/>
      </w:r>
      <w:r w:rsidR="001B481B" w:rsidRPr="00DF4A2F">
        <w:t xml:space="preserve">Quadro </w:t>
      </w:r>
      <w:r w:rsidR="001B481B">
        <w:rPr>
          <w:noProof/>
        </w:rPr>
        <w:t>21</w:t>
      </w:r>
      <w:r w:rsidR="006D17A2" w:rsidRPr="006D17A2">
        <w:rPr>
          <w:color w:val="auto"/>
        </w:rPr>
        <w:fldChar w:fldCharType="end"/>
      </w:r>
      <w:r w:rsidR="006D17A2" w:rsidRPr="006D17A2">
        <w:rPr>
          <w:color w:val="auto"/>
        </w:rPr>
        <w:t xml:space="preserve"> e </w:t>
      </w:r>
      <w:r w:rsidR="006D17A2" w:rsidRPr="006D17A2">
        <w:rPr>
          <w:color w:val="auto"/>
        </w:rPr>
        <w:fldChar w:fldCharType="begin"/>
      </w:r>
      <w:r w:rsidR="006D17A2" w:rsidRPr="006D17A2">
        <w:rPr>
          <w:color w:val="auto"/>
        </w:rPr>
        <w:instrText xml:space="preserve"> REF _Ref506478423 \h </w:instrText>
      </w:r>
      <w:r w:rsidR="006D17A2">
        <w:rPr>
          <w:color w:val="auto"/>
        </w:rPr>
        <w:instrText xml:space="preserve"> \* MERGEFORMAT </w:instrText>
      </w:r>
      <w:r w:rsidR="006D17A2" w:rsidRPr="006D17A2">
        <w:rPr>
          <w:color w:val="auto"/>
        </w:rPr>
      </w:r>
      <w:r w:rsidR="006D17A2" w:rsidRPr="006D17A2">
        <w:rPr>
          <w:color w:val="auto"/>
        </w:rPr>
        <w:fldChar w:fldCharType="separate"/>
      </w:r>
      <w:r w:rsidR="001B481B" w:rsidRPr="00DF4A2F">
        <w:t xml:space="preserve">Quadro </w:t>
      </w:r>
      <w:r w:rsidR="001B481B">
        <w:rPr>
          <w:noProof/>
        </w:rPr>
        <w:t>22</w:t>
      </w:r>
      <w:r w:rsidR="006D17A2" w:rsidRPr="006D17A2">
        <w:rPr>
          <w:color w:val="auto"/>
        </w:rPr>
        <w:fldChar w:fldCharType="end"/>
      </w:r>
      <w:r w:rsidRPr="006D17A2">
        <w:rPr>
          <w:color w:val="auto"/>
        </w:rPr>
        <w:t>).</w:t>
      </w:r>
    </w:p>
    <w:p w:rsidR="00671620" w:rsidRPr="00521751" w:rsidRDefault="00671620" w:rsidP="00E95583">
      <w:pPr>
        <w:pStyle w:val="Legenda"/>
        <w:rPr>
          <w:lang w:val="pt-BR"/>
        </w:rPr>
      </w:pPr>
      <w:bookmarkStart w:id="206" w:name="_Ref483560116"/>
      <w:bookmarkStart w:id="207" w:name="_Toc488825057"/>
      <w:bookmarkStart w:id="208" w:name="_Toc493151594"/>
      <w:bookmarkStart w:id="209" w:name="_Toc498593651"/>
      <w:bookmarkStart w:id="210" w:name="_Toc503949442"/>
      <w:bookmarkStart w:id="211" w:name="_Toc509935791"/>
      <w:r w:rsidRPr="00DF4A2F">
        <w:t xml:space="preserve">Quadro </w:t>
      </w:r>
      <w:r w:rsidR="000A1C78">
        <w:fldChar w:fldCharType="begin"/>
      </w:r>
      <w:r w:rsidR="000A1C78">
        <w:instrText xml:space="preserve"> SEQ Quadro \* ARABIC </w:instrText>
      </w:r>
      <w:r w:rsidR="000A1C78">
        <w:fldChar w:fldCharType="separate"/>
      </w:r>
      <w:r w:rsidR="001B481B">
        <w:rPr>
          <w:noProof/>
        </w:rPr>
        <w:t>14</w:t>
      </w:r>
      <w:r w:rsidR="000A1C78">
        <w:rPr>
          <w:noProof/>
        </w:rPr>
        <w:fldChar w:fldCharType="end"/>
      </w:r>
      <w:bookmarkEnd w:id="206"/>
      <w:r w:rsidRPr="00DF4A2F">
        <w:t xml:space="preserve"> </w:t>
      </w:r>
      <w:r w:rsidRPr="00DF4A2F">
        <w:rPr>
          <w:lang w:val="pt-BR"/>
        </w:rPr>
        <w:t>-</w:t>
      </w:r>
      <w:r w:rsidRPr="00DF4A2F">
        <w:t xml:space="preserve"> Resíduos de Serviço de </w:t>
      </w:r>
      <w:r w:rsidRPr="00841358">
        <w:t>Saúde – Classificação</w:t>
      </w:r>
      <w:bookmarkEnd w:id="207"/>
      <w:bookmarkEnd w:id="208"/>
      <w:bookmarkEnd w:id="209"/>
      <w:bookmarkEnd w:id="210"/>
      <w:bookmarkEnd w:id="211"/>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D8615B" w:rsidTr="00D8615B">
        <w:trPr>
          <w:cantSplit/>
          <w:tblHeade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rPr>
                <w:rFonts w:cs="Arial"/>
                <w:b/>
                <w:sz w:val="22"/>
                <w:lang w:eastAsia="pt-BR"/>
              </w:rPr>
            </w:pPr>
            <w:r w:rsidRPr="00D8615B">
              <w:rPr>
                <w:rFonts w:cs="Arial"/>
                <w:b/>
                <w:sz w:val="22"/>
                <w:lang w:eastAsia="pt-BR"/>
              </w:rPr>
              <w:t>Classificação dos RSS segundo a Resolução RDC nº 306 de 2004 e a Resolução CONAMA nº 358 de 2005.</w:t>
            </w:r>
          </w:p>
        </w:tc>
      </w:tr>
      <w:tr w:rsidR="00671620" w:rsidRPr="00D8615B" w:rsidTr="00D8615B">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cs="Arial"/>
                <w:sz w:val="22"/>
              </w:rPr>
            </w:pPr>
            <w:r w:rsidRPr="00D8615B">
              <w:rPr>
                <w:rFonts w:cs="Arial"/>
                <w:sz w:val="22"/>
              </w:rPr>
              <w:t>Grupo A1: Culturas e estoques de microrganismos, resíduos de fabricação de produtos biológicos, exceto os hemoderivados, descarte de vacinas de microrganismos vivos ou atenuados; meios de cultura e instrumentos utilizados na transferência, inoculação ou mistura de culturas, resíduos de laboratórios de manipulação genética, resíduos resultantes da atenção à saúde de indivíduos ou animais, com suspeita ou certeza de contaminação biológica ou cujo mecanismo de transmissão seja desconhecido, bolsas de transfusões contendo sangue ou hemocomponentes rejeitados por contaminação ou por má conservação com prazo de validade vencido e aquelas oriundas de coleta incompleta, sobras de amostras de laboratório contendo sangue ou líquidos corpóreos na forma livre.</w:t>
            </w:r>
          </w:p>
        </w:tc>
      </w:tr>
      <w:tr w:rsidR="00671620" w:rsidRPr="00D8615B" w:rsidTr="00D8615B">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rPr>
            </w:pPr>
            <w:r w:rsidRPr="00D8615B">
              <w:rPr>
                <w:rFonts w:cs="Arial"/>
                <w:sz w:val="22"/>
              </w:rPr>
              <w:t>Grupo A2: Carcaças, peças anatômicas, vísceras e outros resíduos provenientes de animais submetidos ao processo de experimentação com inoculação de microrganismos, bem como suas forrações, e os cadáveres dos animais suspeitos de serem portadores de microrganismos de relevância epidemiológica e com risco de disseminação, que foram submetidos ou não a estudo anatomopatológico ou confirmação diagnóstica.</w:t>
            </w:r>
          </w:p>
        </w:tc>
      </w:tr>
      <w:tr w:rsidR="00671620" w:rsidRPr="00D8615B" w:rsidTr="00D8615B">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rPr>
            </w:pPr>
            <w:r w:rsidRPr="00D8615B">
              <w:rPr>
                <w:rFonts w:cs="Arial"/>
                <w:sz w:val="22"/>
              </w:rPr>
              <w:t>Grupo A3: Peças anatômicas (membros) do ser humano; produto de fecundação sem sinais vitais, com peso menor que 500 g ou estatura menor que 25 centímetros ou idade gestacional menor que 20 semanas, que não tenham valor científico ou legal e não tenha havido requisição pelo paciente ou familiares.</w:t>
            </w:r>
          </w:p>
        </w:tc>
      </w:tr>
      <w:tr w:rsidR="00671620" w:rsidRPr="00D8615B" w:rsidTr="00D8615B">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rPr>
            </w:pPr>
            <w:r w:rsidRPr="00D8615B">
              <w:rPr>
                <w:rFonts w:cs="Arial"/>
                <w:sz w:val="22"/>
              </w:rPr>
              <w:lastRenderedPageBreak/>
              <w:t>Grupo A4: Kits de linhas arteriais, endovenosas de dialisadores, quando descartados, filtros de ar e gases aspirados de área contaminada; membrana filtrante de equipamento médico-hospitalar e de pesquisa, entre outros similares, sobras de amostras de laboratório e seus recipientes contendo fezes, urina e secreções, provenientes de pacientes que não contenham e nem sejam suspeitos de conter agentes classe de risco 4, e nem apresentar relevância epidemiológica e risco de disseminação, ou microrganismo causador de doença emergente que seja epidemiologicamente importante ou cujo mecanismo de transmissão seja desconhecido ou com suspeita de contaminação com príons, resíduos de tecido adiposo proveniente de lipoaspiração, lipoescultura ou outro procedimento de cirurgia plástica que gere este tipo de resíduo, recipientes e materiais resultantes do processo de assistência à saúde que não contenha sangue ou líquidos corpóreos na forma livre, peças anatômicas (órgãos e tecidos) e outros resíduos provenientes de procedimentos cirúrgicos ou de estudos anatomopatológicos ou de confirmação diagnóstica, carcaças, peças anatômicas, vísceras e outros resíduos provenientes de animais não submetidos a processos de experimentação com inoculação de microrganismos, bem como suas forrações, bolsas transfusionais vazias ou com volume residual pós-transfusão.</w:t>
            </w:r>
          </w:p>
        </w:tc>
      </w:tr>
      <w:tr w:rsidR="00671620" w:rsidRPr="00D8615B" w:rsidTr="00D8615B">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rPr>
            </w:pPr>
            <w:r w:rsidRPr="00D8615B">
              <w:rPr>
                <w:rFonts w:cs="Arial"/>
                <w:sz w:val="22"/>
              </w:rPr>
              <w:t>Grupo A5: Órgãos, tecidos, fluídos orgânicos, materiais perfurocortantes ou escarificantes e demais materiais resultantes da atenção à saúde de indivíduos, ou animais, com suspeita ou certeza de contaminação com príons.</w:t>
            </w:r>
          </w:p>
        </w:tc>
      </w:tr>
      <w:tr w:rsidR="00671620" w:rsidRPr="00D8615B" w:rsidTr="00D8615B">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autoSpaceDE w:val="0"/>
              <w:autoSpaceDN w:val="0"/>
              <w:adjustRightInd w:val="0"/>
              <w:spacing w:before="120" w:after="120" w:line="240" w:lineRule="auto"/>
              <w:jc w:val="both"/>
              <w:rPr>
                <w:rFonts w:eastAsia="MS Mincho" w:cs="Arial"/>
                <w:sz w:val="22"/>
              </w:rPr>
            </w:pPr>
            <w:r w:rsidRPr="00D8615B">
              <w:rPr>
                <w:rFonts w:cs="Arial"/>
                <w:sz w:val="22"/>
              </w:rPr>
              <w:t>Grupo B: Produtos hormonais e produtos antimicrobianos; citostáticos; antineoplásicos, imunomoduladores, antirretrovirais, quando descartados por serviços de saúde, farmácias, drogarias e distribuidoras de medicamentos ou apreendidos e os resíduos e insumos farmacêuticos dos medicamentos controlados pela Portaria 344/98 e suas atualizações, resíduos de saneantes, desinfetante, resíduos contendo metais pesados; reagentes para laboratório, inclusive os recipientes contaminados por estes, efluentes de processadores de imagem (reveladores e fixadores), efluentes dos equipamentos automatizados utilizados em análises clínicas e demais produtos considerados perigosos, conforme classificação da NBR 10.004 da ABNT (tóxicos, corrosivos, inflamáveis e reativos).</w:t>
            </w:r>
          </w:p>
        </w:tc>
      </w:tr>
      <w:tr w:rsidR="00671620" w:rsidRPr="00D8615B" w:rsidTr="00D8615B">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autoSpaceDE w:val="0"/>
              <w:autoSpaceDN w:val="0"/>
              <w:adjustRightInd w:val="0"/>
              <w:spacing w:before="120" w:after="120" w:line="240" w:lineRule="auto"/>
              <w:jc w:val="both"/>
              <w:rPr>
                <w:rFonts w:eastAsia="MS Mincho" w:cs="Arial"/>
                <w:sz w:val="22"/>
              </w:rPr>
            </w:pPr>
            <w:r w:rsidRPr="00D8615B">
              <w:rPr>
                <w:rFonts w:cs="Arial"/>
                <w:sz w:val="22"/>
              </w:rPr>
              <w:t>Grupo C: Quaisquer materiais resultantes de atividades humanas que contenham radionuclídeos em quantidades superiores aos limites de eliminação especificados nas normas da Comissão Nacional de Energia Nuclear - CNEN e para os quais a reutilização é imprópria ou não prevista. Enquadram-se neste grupo quaisquer materiais resultantes de laboratórios de pesquisa e ensino na área de saúde, laboratórios de análises clínicas e serviços de medicina nuclear e radioterapia que contenham radionuclídeos em quantidade superior aos limites de eliminação.</w:t>
            </w:r>
          </w:p>
        </w:tc>
      </w:tr>
      <w:tr w:rsidR="00671620" w:rsidRPr="00D8615B" w:rsidTr="00D8615B">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autoSpaceDE w:val="0"/>
              <w:autoSpaceDN w:val="0"/>
              <w:adjustRightInd w:val="0"/>
              <w:spacing w:before="120" w:after="120" w:line="240" w:lineRule="auto"/>
              <w:jc w:val="both"/>
              <w:rPr>
                <w:rFonts w:eastAsia="MS Mincho" w:cs="Arial"/>
                <w:sz w:val="22"/>
              </w:rPr>
            </w:pPr>
            <w:r w:rsidRPr="00D8615B">
              <w:rPr>
                <w:rFonts w:cs="Arial"/>
                <w:sz w:val="22"/>
              </w:rPr>
              <w:t xml:space="preserve">Grupo D: Papel de uso sanitário, fralda, absorventes higiênicos, peças descartáveis do vestuário, resto alimentar do paciente, material utilizado em antissepsia e hemostasia de venóclises, equipos de soro e outros similares </w:t>
            </w:r>
            <w:r w:rsidRPr="00D8615B">
              <w:rPr>
                <w:rFonts w:cs="Arial"/>
                <w:sz w:val="22"/>
                <w:u w:val="single"/>
              </w:rPr>
              <w:t>não</w:t>
            </w:r>
            <w:r w:rsidRPr="00D8615B">
              <w:rPr>
                <w:rFonts w:cs="Arial"/>
                <w:sz w:val="22"/>
              </w:rPr>
              <w:t xml:space="preserve"> classificados como Grupo A1, sobras de alimentos e do preparo de alimentos, restos alimentares do refeitório, resíduos provenientes das áreas administrativas, resíduos de varrição, flores, podas e jardins, resíduos de gesso provenientes de assistência à saúde.</w:t>
            </w:r>
          </w:p>
        </w:tc>
      </w:tr>
      <w:tr w:rsidR="00671620" w:rsidRPr="00D8615B" w:rsidTr="00D8615B">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autoSpaceDE w:val="0"/>
              <w:autoSpaceDN w:val="0"/>
              <w:adjustRightInd w:val="0"/>
              <w:spacing w:before="120" w:after="120" w:line="240" w:lineRule="auto"/>
              <w:jc w:val="both"/>
              <w:rPr>
                <w:rFonts w:eastAsia="MS Mincho" w:cs="Arial"/>
                <w:sz w:val="22"/>
              </w:rPr>
            </w:pPr>
            <w:r w:rsidRPr="00D8615B">
              <w:rPr>
                <w:rFonts w:cs="Arial"/>
                <w:sz w:val="22"/>
              </w:rPr>
              <w:lastRenderedPageBreak/>
              <w:t>Grupo E: Materiais perfurocortantes ou escarificantes, tais como: lâminas de barbear, agulhas, escalpes, ampolas de vidro, brocas, limas endodônticas, pontas diamantadas, lâminas de bisturi, lancetas; tubos capilares; micropipetas; lâminas e lamínulas; espátulas; e todos os utensílios de vidro quebrados no laboratório (pipetas, tubos de coleta sanguínea e placas de Petri) e outros similares.</w:t>
            </w:r>
          </w:p>
        </w:tc>
      </w:tr>
    </w:tbl>
    <w:p w:rsidR="00D8615B" w:rsidRDefault="00D8615B" w:rsidP="00AC47A2">
      <w:pPr>
        <w:pStyle w:val="Fonte"/>
      </w:pPr>
      <w:bookmarkStart w:id="212" w:name="_Ref483560122"/>
      <w:bookmarkStart w:id="213" w:name="_Ref487126554"/>
      <w:bookmarkStart w:id="214" w:name="_Toc488825058"/>
      <w:bookmarkStart w:id="215" w:name="_Toc493151595"/>
      <w:bookmarkStart w:id="216" w:name="_Toc498593652"/>
      <w:bookmarkStart w:id="217" w:name="_Toc503949443"/>
    </w:p>
    <w:p w:rsidR="00671620" w:rsidRPr="00DF4A2F" w:rsidRDefault="00671620" w:rsidP="00E95583">
      <w:pPr>
        <w:pStyle w:val="Legenda"/>
      </w:pPr>
      <w:bookmarkStart w:id="218" w:name="_Ref506478412"/>
      <w:bookmarkStart w:id="219" w:name="_Toc509935792"/>
      <w:r w:rsidRPr="00DF4A2F">
        <w:t xml:space="preserve">Quadro </w:t>
      </w:r>
      <w:r w:rsidR="000A1C78">
        <w:fldChar w:fldCharType="begin"/>
      </w:r>
      <w:r w:rsidR="000A1C78">
        <w:instrText xml:space="preserve"> SEQ Quadro \* ARABIC </w:instrText>
      </w:r>
      <w:r w:rsidR="000A1C78">
        <w:fldChar w:fldCharType="separate"/>
      </w:r>
      <w:r w:rsidR="001B481B">
        <w:rPr>
          <w:noProof/>
        </w:rPr>
        <w:t>15</w:t>
      </w:r>
      <w:r w:rsidR="000A1C78">
        <w:rPr>
          <w:noProof/>
        </w:rPr>
        <w:fldChar w:fldCharType="end"/>
      </w:r>
      <w:bookmarkEnd w:id="212"/>
      <w:bookmarkEnd w:id="213"/>
      <w:bookmarkEnd w:id="218"/>
      <w:r w:rsidRPr="00DF4A2F">
        <w:t xml:space="preserve"> </w:t>
      </w:r>
      <w:r w:rsidRPr="00DF4A2F">
        <w:rPr>
          <w:lang w:val="pt-BR"/>
        </w:rPr>
        <w:t>-</w:t>
      </w:r>
      <w:r w:rsidRPr="00DF4A2F">
        <w:t xml:space="preserve"> Resíduos de Serviço de Saúde – </w:t>
      </w:r>
      <w:r w:rsidRPr="00841358">
        <w:t>Símbolos de identificação</w:t>
      </w:r>
      <w:bookmarkEnd w:id="214"/>
      <w:bookmarkEnd w:id="215"/>
      <w:bookmarkEnd w:id="216"/>
      <w:bookmarkEnd w:id="217"/>
      <w:bookmarkEnd w:id="219"/>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D8615B" w:rsidTr="00D8615B">
        <w:trPr>
          <w:cantSplit/>
          <w:tblHeade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rPr>
                <w:rFonts w:cs="Arial"/>
                <w:b/>
                <w:sz w:val="22"/>
                <w:lang w:eastAsia="pt-BR"/>
              </w:rPr>
            </w:pPr>
            <w:r w:rsidRPr="00D8615B">
              <w:rPr>
                <w:rFonts w:cs="Arial"/>
                <w:b/>
                <w:sz w:val="22"/>
                <w:lang w:eastAsia="pt-BR"/>
              </w:rPr>
              <w:t>Símbolos de identificação dos RSS segundo a Resolução RDC nº 306 de 2004</w:t>
            </w:r>
          </w:p>
        </w:tc>
      </w:tr>
      <w:tr w:rsidR="00671620" w:rsidRPr="00D8615B" w:rsidTr="00D8615B">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cs="Arial"/>
                <w:sz w:val="22"/>
                <w:lang w:eastAsia="pt-BR"/>
              </w:rPr>
            </w:pPr>
            <w:r w:rsidRPr="00D8615B">
              <w:rPr>
                <w:rFonts w:cs="Arial"/>
                <w:sz w:val="22"/>
                <w:lang w:eastAsia="pt-BR"/>
              </w:rPr>
              <w:t>Os resíduos do Grupo A, de risco infectante, são identificados com o símbolo de substância INFECTANTE com desenho e contornos pretos em rótulo branco.</w:t>
            </w:r>
          </w:p>
        </w:tc>
      </w:tr>
      <w:tr w:rsidR="00671620" w:rsidRPr="00D8615B" w:rsidTr="00D8615B">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rPr>
            </w:pPr>
            <w:r w:rsidRPr="00D8615B">
              <w:rPr>
                <w:rFonts w:cs="Arial"/>
                <w:sz w:val="22"/>
                <w:lang w:eastAsia="pt-BR"/>
              </w:rPr>
              <w:t>Os resíduos do Grupo B, de risco químico, são identificados com o símbolo de RISCO com discriminação de substancia química e frases de risco.</w:t>
            </w:r>
          </w:p>
        </w:tc>
      </w:tr>
      <w:tr w:rsidR="00671620" w:rsidRPr="00D8615B" w:rsidTr="00D8615B">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O descarte de pilhas, baterias e acumuladores de carga contendo Chumbo (Pb), Cádmio (Cd) e Mercúrio (Hg) e seus compostos, deve ser feito de acordo com a Resolução CONAMA nº. 257/1999.</w:t>
            </w:r>
          </w:p>
        </w:tc>
      </w:tr>
      <w:tr w:rsidR="00671620" w:rsidRPr="00D8615B" w:rsidTr="00D8615B">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Os resíduos do Grupo C, de risco radioativo, são identificados pelo símbolo internacional de presença de IRRADIAÇÃO IONIZANTE (trifólio de cor magenta) em rótulos de fundo amarelo e contornos pretos, acrescidos da expressão REJEITO RADIOATIVO.</w:t>
            </w:r>
          </w:p>
        </w:tc>
      </w:tr>
      <w:tr w:rsidR="00671620" w:rsidRPr="00D8615B" w:rsidTr="00D8615B">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Os resíduos do Grupo D, de risco comum, são identificados com a relação de grupos, recipientes e cores estabelecida pela resolução CONAMA 275 de 2001, ou seja, cor azul para PAPÉIS, cor amarela para METAIS, cor verde para VIDROS, cor vermelha para PLÁSTICOS e cor marrom para RESIDUOS ORGÂNICOS.</w:t>
            </w:r>
          </w:p>
        </w:tc>
      </w:tr>
      <w:tr w:rsidR="00671620" w:rsidRPr="00D8615B" w:rsidTr="00D8615B">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Os resíduos do Grupo E, de risco perfurocortante são identificados com o símbolo de substância INFECTANTE com desenho e contornos pretos em rótulo branco.</w:t>
            </w:r>
          </w:p>
        </w:tc>
      </w:tr>
      <w:tr w:rsidR="00671620" w:rsidRPr="00D8615B" w:rsidTr="00D8615B">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rPr>
            </w:pPr>
            <w:r w:rsidRPr="00D8615B">
              <w:rPr>
                <w:rFonts w:cs="Arial"/>
                <w:sz w:val="22"/>
              </w:rPr>
              <w:t xml:space="preserve">O transporte e armazenando dos resíduos deverão ser devidamente identificados com símbolos de identificação segundo especificações da NBR-7500. </w:t>
            </w:r>
          </w:p>
        </w:tc>
      </w:tr>
    </w:tbl>
    <w:p w:rsidR="00D8615B" w:rsidRDefault="00D8615B" w:rsidP="00AC47A2">
      <w:pPr>
        <w:pStyle w:val="Fonte"/>
      </w:pPr>
      <w:bookmarkStart w:id="220" w:name="_Ref483560134"/>
      <w:bookmarkStart w:id="221" w:name="_Ref487551211"/>
      <w:bookmarkStart w:id="222" w:name="_Toc488825059"/>
      <w:bookmarkStart w:id="223" w:name="_Toc493151596"/>
      <w:bookmarkStart w:id="224" w:name="_Toc498593653"/>
      <w:bookmarkStart w:id="225" w:name="_Toc503949444"/>
    </w:p>
    <w:p w:rsidR="00671620" w:rsidRPr="00DF4A2F" w:rsidRDefault="00671620" w:rsidP="00E95583">
      <w:pPr>
        <w:pStyle w:val="Legenda"/>
      </w:pPr>
      <w:bookmarkStart w:id="226" w:name="_Ref506478413"/>
      <w:bookmarkStart w:id="227" w:name="_Toc509935793"/>
      <w:r w:rsidRPr="00DF4A2F">
        <w:t xml:space="preserve">Quadro </w:t>
      </w:r>
      <w:r w:rsidR="000A1C78">
        <w:fldChar w:fldCharType="begin"/>
      </w:r>
      <w:r w:rsidR="000A1C78">
        <w:instrText xml:space="preserve"> SEQ Quadro \* ARABIC </w:instrText>
      </w:r>
      <w:r w:rsidR="000A1C78">
        <w:fldChar w:fldCharType="separate"/>
      </w:r>
      <w:r w:rsidR="001B481B">
        <w:rPr>
          <w:noProof/>
        </w:rPr>
        <w:t>16</w:t>
      </w:r>
      <w:r w:rsidR="000A1C78">
        <w:rPr>
          <w:noProof/>
        </w:rPr>
        <w:fldChar w:fldCharType="end"/>
      </w:r>
      <w:bookmarkEnd w:id="220"/>
      <w:bookmarkEnd w:id="221"/>
      <w:bookmarkEnd w:id="226"/>
      <w:r w:rsidRPr="00DF4A2F">
        <w:t xml:space="preserve"> </w:t>
      </w:r>
      <w:r w:rsidRPr="00DF4A2F">
        <w:rPr>
          <w:lang w:val="pt-BR"/>
        </w:rPr>
        <w:t>-</w:t>
      </w:r>
      <w:r w:rsidRPr="00DF4A2F">
        <w:t xml:space="preserve"> Resíduos de Serviço de Saúde – </w:t>
      </w:r>
      <w:r w:rsidRPr="00841358">
        <w:t>Regras de acondicionamento</w:t>
      </w:r>
      <w:bookmarkEnd w:id="222"/>
      <w:bookmarkEnd w:id="223"/>
      <w:bookmarkEnd w:id="224"/>
      <w:bookmarkEnd w:id="225"/>
      <w:bookmarkEnd w:id="227"/>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D8615B" w:rsidTr="00D8615B">
        <w:trPr>
          <w:tblHeade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AC47A2">
            <w:pPr>
              <w:spacing w:before="120" w:after="120" w:line="240" w:lineRule="auto"/>
              <w:rPr>
                <w:rFonts w:cs="Arial"/>
                <w:b/>
                <w:sz w:val="22"/>
                <w:lang w:eastAsia="pt-BR"/>
              </w:rPr>
            </w:pPr>
            <w:r w:rsidRPr="00D8615B">
              <w:rPr>
                <w:rFonts w:cs="Arial"/>
                <w:b/>
                <w:sz w:val="22"/>
                <w:lang w:eastAsia="pt-BR"/>
              </w:rPr>
              <w:t>Acondicionamento dos RSS segundo a Resolução RDC nº 306 de 2004</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AC47A2">
            <w:pPr>
              <w:spacing w:before="120" w:after="120" w:line="240" w:lineRule="auto"/>
              <w:jc w:val="both"/>
              <w:rPr>
                <w:rFonts w:cs="Arial"/>
                <w:sz w:val="22"/>
                <w:lang w:eastAsia="pt-BR"/>
              </w:rPr>
            </w:pPr>
            <w:r w:rsidRPr="00D8615B">
              <w:rPr>
                <w:rFonts w:cs="Arial"/>
                <w:sz w:val="22"/>
                <w:lang w:eastAsia="pt-BR"/>
              </w:rPr>
              <w:t>Os resíduos do Grupo A, de risco infectante, são acondicionados em saco de cor branco leitoso.</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AC47A2">
            <w:pPr>
              <w:spacing w:before="120" w:after="120" w:line="240" w:lineRule="auto"/>
              <w:jc w:val="both"/>
              <w:rPr>
                <w:rFonts w:eastAsia="MS Mincho" w:cs="Arial"/>
                <w:sz w:val="22"/>
              </w:rPr>
            </w:pPr>
            <w:r w:rsidRPr="00D8615B">
              <w:rPr>
                <w:rFonts w:cs="Arial"/>
                <w:sz w:val="22"/>
                <w:lang w:eastAsia="pt-BR"/>
              </w:rPr>
              <w:t>Os resíduos do Grupo B, de risco químico, são acondicionados em saco de cor laranja.</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AC47A2">
            <w:pPr>
              <w:spacing w:before="120" w:after="120" w:line="240" w:lineRule="auto"/>
              <w:jc w:val="both"/>
              <w:rPr>
                <w:rFonts w:eastAsia="MS Mincho" w:cs="Arial"/>
                <w:sz w:val="22"/>
                <w:lang w:eastAsia="pt-BR"/>
              </w:rPr>
            </w:pPr>
            <w:r w:rsidRPr="00D8615B">
              <w:rPr>
                <w:rFonts w:cs="Arial"/>
                <w:sz w:val="22"/>
                <w:lang w:eastAsia="pt-BR"/>
              </w:rPr>
              <w:t>Os resíduos do Grupo C, de risco radioativo, são acondicionados em saco de cor magenta.</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AC47A2">
            <w:pPr>
              <w:spacing w:before="120" w:after="120" w:line="240" w:lineRule="auto"/>
              <w:jc w:val="both"/>
              <w:rPr>
                <w:rFonts w:eastAsia="MS Mincho" w:cs="Arial"/>
                <w:sz w:val="22"/>
                <w:lang w:eastAsia="pt-BR"/>
              </w:rPr>
            </w:pPr>
            <w:r w:rsidRPr="00D8615B">
              <w:rPr>
                <w:rFonts w:cs="Arial"/>
                <w:sz w:val="22"/>
                <w:lang w:eastAsia="pt-BR"/>
              </w:rPr>
              <w:lastRenderedPageBreak/>
              <w:t>Os resíduos do Grupo D, de risco comum, são acondicionados em recipientes segundo a resolução CONAMA 275 de 2001, ou seja, cor azul para PAPÉIS, cor amarela para METAIS, cor verde para VIDROS, cor vermelha para PLÁSTICOS e cor marrom para RESIDUOS ORGÂNICOS.</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AC47A2">
            <w:pPr>
              <w:spacing w:before="120" w:after="120" w:line="240" w:lineRule="auto"/>
              <w:jc w:val="both"/>
              <w:rPr>
                <w:rFonts w:eastAsia="MS Mincho" w:cs="Arial"/>
                <w:sz w:val="22"/>
                <w:lang w:eastAsia="pt-BR"/>
              </w:rPr>
            </w:pPr>
            <w:r w:rsidRPr="00D8615B">
              <w:rPr>
                <w:rFonts w:cs="Arial"/>
                <w:sz w:val="22"/>
                <w:lang w:eastAsia="pt-BR"/>
              </w:rPr>
              <w:t>Os resíduos do Grupo E, de risco perfurocortante, são acondicionados em caixa rígida específica.</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AC47A2">
            <w:pPr>
              <w:spacing w:before="120" w:after="120" w:line="240" w:lineRule="auto"/>
              <w:jc w:val="both"/>
              <w:rPr>
                <w:rFonts w:eastAsia="MS Mincho" w:cs="Arial"/>
                <w:sz w:val="22"/>
                <w:lang w:eastAsia="pt-BR"/>
              </w:rPr>
            </w:pPr>
            <w:r w:rsidRPr="00D8615B">
              <w:rPr>
                <w:rFonts w:cs="Arial"/>
                <w:sz w:val="22"/>
                <w:lang w:eastAsia="pt-BR"/>
              </w:rPr>
              <w:t xml:space="preserve">O material utilizado para o acondicionamento dos resíduos deverá se resistente à ruptura e vazamento, impermeável, estando de acordo com a NBR 9191/2000 da ABNT. </w:t>
            </w:r>
          </w:p>
        </w:tc>
      </w:tr>
    </w:tbl>
    <w:p w:rsidR="00D8615B" w:rsidRDefault="00D8615B" w:rsidP="00AC47A2">
      <w:pPr>
        <w:pStyle w:val="Fonte"/>
      </w:pPr>
      <w:bookmarkStart w:id="228" w:name="_Ref483560143"/>
      <w:bookmarkStart w:id="229" w:name="_Toc488825060"/>
      <w:bookmarkStart w:id="230" w:name="_Toc493151597"/>
      <w:bookmarkStart w:id="231" w:name="_Toc498593654"/>
      <w:bookmarkStart w:id="232" w:name="_Toc503949445"/>
    </w:p>
    <w:p w:rsidR="00671620" w:rsidRPr="00521751" w:rsidRDefault="00671620" w:rsidP="00E95583">
      <w:pPr>
        <w:pStyle w:val="Legenda"/>
        <w:rPr>
          <w:lang w:val="pt-BR"/>
        </w:rPr>
      </w:pPr>
      <w:bookmarkStart w:id="233" w:name="_Ref506478415"/>
      <w:bookmarkStart w:id="234" w:name="_Toc509935794"/>
      <w:r w:rsidRPr="00DF4A2F">
        <w:t xml:space="preserve">Quadro </w:t>
      </w:r>
      <w:r w:rsidR="000A1C78">
        <w:fldChar w:fldCharType="begin"/>
      </w:r>
      <w:r w:rsidR="000A1C78">
        <w:instrText xml:space="preserve"> SEQ Quadro \* ARABIC </w:instrText>
      </w:r>
      <w:r w:rsidR="000A1C78">
        <w:fldChar w:fldCharType="separate"/>
      </w:r>
      <w:r w:rsidR="001B481B">
        <w:rPr>
          <w:noProof/>
        </w:rPr>
        <w:t>17</w:t>
      </w:r>
      <w:r w:rsidR="000A1C78">
        <w:rPr>
          <w:noProof/>
        </w:rPr>
        <w:fldChar w:fldCharType="end"/>
      </w:r>
      <w:bookmarkEnd w:id="228"/>
      <w:bookmarkEnd w:id="233"/>
      <w:r w:rsidRPr="00DF4A2F">
        <w:t xml:space="preserve"> </w:t>
      </w:r>
      <w:r w:rsidRPr="00DF4A2F">
        <w:rPr>
          <w:lang w:val="pt-BR"/>
        </w:rPr>
        <w:t>-</w:t>
      </w:r>
      <w:r w:rsidRPr="00DF4A2F">
        <w:t xml:space="preserve"> Resíduos de Serviço de Saúde – </w:t>
      </w:r>
      <w:r w:rsidRPr="00841358">
        <w:t>Regras de coleta e transporte</w:t>
      </w:r>
      <w:bookmarkEnd w:id="229"/>
      <w:bookmarkEnd w:id="230"/>
      <w:bookmarkEnd w:id="231"/>
      <w:bookmarkEnd w:id="232"/>
      <w:bookmarkEnd w:id="234"/>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D8615B" w:rsidTr="00D8615B">
        <w:trPr>
          <w:cantSplit/>
          <w:tblHeade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AC47A2">
            <w:pPr>
              <w:spacing w:before="120" w:after="120" w:line="240" w:lineRule="auto"/>
              <w:rPr>
                <w:rFonts w:cs="Arial"/>
                <w:b/>
                <w:sz w:val="22"/>
                <w:lang w:eastAsia="pt-BR"/>
              </w:rPr>
            </w:pPr>
            <w:r w:rsidRPr="00D8615B">
              <w:rPr>
                <w:rFonts w:cs="Arial"/>
                <w:b/>
                <w:sz w:val="22"/>
                <w:lang w:eastAsia="pt-BR"/>
              </w:rPr>
              <w:t>Regras de coleta e transporte dos RSS segundo a Resolução RDC nº 306 de 2004</w:t>
            </w:r>
          </w:p>
        </w:tc>
      </w:tr>
      <w:tr w:rsidR="00671620" w:rsidRPr="00D8615B" w:rsidTr="00D8615B">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AC47A2">
            <w:pPr>
              <w:spacing w:before="120" w:after="120" w:line="240" w:lineRule="auto"/>
              <w:jc w:val="both"/>
              <w:rPr>
                <w:rFonts w:cs="Arial"/>
                <w:sz w:val="22"/>
                <w:lang w:eastAsia="pt-BR"/>
              </w:rPr>
            </w:pPr>
            <w:r w:rsidRPr="00D8615B">
              <w:rPr>
                <w:rFonts w:cs="Arial"/>
                <w:sz w:val="22"/>
                <w:lang w:eastAsia="pt-BR"/>
              </w:rPr>
              <w:t xml:space="preserve">A coleta pode ser entendida como interna ou externa. A coleta interna consiste no fechamento e recolhimento dos sacos e recipientes de resíduos, e no seu transporte até o local de armazenamento temporário ou armazenamento externo, onde deverão estar alocados para a coleta externa. </w:t>
            </w:r>
          </w:p>
        </w:tc>
      </w:tr>
      <w:tr w:rsidR="00671620" w:rsidRPr="00D8615B" w:rsidTr="00D8615B">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AC47A2">
            <w:pPr>
              <w:spacing w:before="120" w:after="120" w:line="240" w:lineRule="auto"/>
              <w:jc w:val="both"/>
              <w:rPr>
                <w:rFonts w:eastAsia="MS Mincho" w:cs="Arial"/>
                <w:sz w:val="22"/>
                <w:lang w:eastAsia="pt-BR"/>
              </w:rPr>
            </w:pPr>
            <w:r w:rsidRPr="00D8615B">
              <w:rPr>
                <w:rFonts w:cs="Arial"/>
                <w:sz w:val="22"/>
                <w:lang w:eastAsia="pt-BR"/>
              </w:rPr>
              <w:t>A coleta externa consiste em apanhar os resíduos armazenados e transporta-los para o tratamento e disposição final adequados.</w:t>
            </w:r>
          </w:p>
        </w:tc>
      </w:tr>
      <w:tr w:rsidR="00671620" w:rsidRPr="00D8615B" w:rsidTr="00D8615B">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AC47A2">
            <w:pPr>
              <w:spacing w:before="120" w:after="120" w:line="240" w:lineRule="auto"/>
              <w:jc w:val="both"/>
              <w:rPr>
                <w:rFonts w:eastAsia="MS Mincho" w:cs="Arial"/>
                <w:sz w:val="22"/>
                <w:lang w:eastAsia="pt-BR"/>
              </w:rPr>
            </w:pPr>
            <w:r w:rsidRPr="00D8615B">
              <w:rPr>
                <w:rFonts w:cs="Arial"/>
                <w:sz w:val="22"/>
                <w:lang w:eastAsia="pt-BR"/>
              </w:rPr>
              <w:t>O transporte consiste na retirada dos resíduos de serviço de saúde desde seu armazenamento externo até a central de tratamento ou disposição final. Os serviços de transporte devem devidamente regulamentados e fiscalizados pelo poder municipal ou estadual, independente do serviço de transporte ser privado ou público.</w:t>
            </w:r>
          </w:p>
        </w:tc>
      </w:tr>
      <w:tr w:rsidR="00671620" w:rsidRPr="00D8615B" w:rsidTr="00D8615B">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AC47A2">
            <w:pPr>
              <w:spacing w:before="120" w:after="120" w:line="240" w:lineRule="auto"/>
              <w:jc w:val="both"/>
              <w:rPr>
                <w:rFonts w:eastAsia="MS Mincho" w:cs="Arial"/>
                <w:sz w:val="22"/>
              </w:rPr>
            </w:pPr>
            <w:r w:rsidRPr="00D8615B">
              <w:rPr>
                <w:rFonts w:cs="Arial"/>
                <w:sz w:val="22"/>
              </w:rPr>
              <w:t xml:space="preserve">Os veículos utilizados para coleta e transporte externo dos resíduos de serviços de saúde devem atender às exigências legais e às normas da ABNT. </w:t>
            </w:r>
          </w:p>
        </w:tc>
      </w:tr>
      <w:tr w:rsidR="00671620" w:rsidRPr="00D8615B" w:rsidTr="00D8615B">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AC47A2">
            <w:pPr>
              <w:spacing w:before="120" w:after="120" w:line="240" w:lineRule="auto"/>
              <w:jc w:val="both"/>
              <w:rPr>
                <w:rFonts w:eastAsia="MS Mincho" w:cs="Arial"/>
                <w:sz w:val="22"/>
              </w:rPr>
            </w:pPr>
            <w:r w:rsidRPr="00D8615B">
              <w:rPr>
                <w:rFonts w:cs="Arial"/>
                <w:sz w:val="22"/>
              </w:rPr>
              <w:t>As características originais de acondicionamento devem ser mantidas, não se permitindo abertura, rompimento ou transferência do conteúdo de uma embalagem para outra durante o processo de coleta e transporte.</w:t>
            </w:r>
          </w:p>
        </w:tc>
      </w:tr>
    </w:tbl>
    <w:p w:rsidR="00D8615B" w:rsidRDefault="00D8615B" w:rsidP="00AC47A2">
      <w:pPr>
        <w:pStyle w:val="Fonte"/>
      </w:pPr>
      <w:bookmarkStart w:id="235" w:name="_Ref483560150"/>
      <w:bookmarkStart w:id="236" w:name="_Toc488825061"/>
      <w:bookmarkStart w:id="237" w:name="_Toc493151598"/>
      <w:bookmarkStart w:id="238" w:name="_Toc498593655"/>
      <w:bookmarkStart w:id="239" w:name="_Toc503949446"/>
    </w:p>
    <w:p w:rsidR="00671620" w:rsidRPr="00521751" w:rsidRDefault="00671620" w:rsidP="00E95583">
      <w:pPr>
        <w:pStyle w:val="Legenda"/>
        <w:rPr>
          <w:lang w:val="pt-BR"/>
        </w:rPr>
      </w:pPr>
      <w:bookmarkStart w:id="240" w:name="_Ref506478417"/>
      <w:bookmarkStart w:id="241" w:name="_Toc509935795"/>
      <w:r w:rsidRPr="00DF4A2F">
        <w:t xml:space="preserve">Quadro </w:t>
      </w:r>
      <w:r w:rsidR="000A1C78">
        <w:fldChar w:fldCharType="begin"/>
      </w:r>
      <w:r w:rsidR="000A1C78">
        <w:instrText xml:space="preserve"> SEQ Quadro \* ARABIC </w:instrText>
      </w:r>
      <w:r w:rsidR="000A1C78">
        <w:fldChar w:fldCharType="separate"/>
      </w:r>
      <w:r w:rsidR="001B481B">
        <w:rPr>
          <w:noProof/>
        </w:rPr>
        <w:t>18</w:t>
      </w:r>
      <w:r w:rsidR="000A1C78">
        <w:rPr>
          <w:noProof/>
        </w:rPr>
        <w:fldChar w:fldCharType="end"/>
      </w:r>
      <w:bookmarkEnd w:id="235"/>
      <w:bookmarkEnd w:id="240"/>
      <w:r w:rsidRPr="00DF4A2F">
        <w:t xml:space="preserve"> </w:t>
      </w:r>
      <w:r w:rsidRPr="00DF4A2F">
        <w:rPr>
          <w:lang w:val="pt-BR"/>
        </w:rPr>
        <w:t>-</w:t>
      </w:r>
      <w:r w:rsidRPr="00DF4A2F">
        <w:t xml:space="preserve"> Resíduos de Serviço de Saúde – </w:t>
      </w:r>
      <w:r w:rsidRPr="00841358">
        <w:t>Regras de triagem e transbordo</w:t>
      </w:r>
      <w:bookmarkEnd w:id="236"/>
      <w:bookmarkEnd w:id="237"/>
      <w:bookmarkEnd w:id="238"/>
      <w:bookmarkEnd w:id="239"/>
      <w:bookmarkEnd w:id="241"/>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D8615B" w:rsidTr="00810C89">
        <w:trPr>
          <w:tblHeade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AC47A2">
            <w:pPr>
              <w:spacing w:before="120" w:after="120" w:line="240" w:lineRule="auto"/>
              <w:rPr>
                <w:rFonts w:cs="Arial"/>
                <w:b/>
                <w:sz w:val="22"/>
                <w:lang w:eastAsia="pt-BR"/>
              </w:rPr>
            </w:pPr>
            <w:r w:rsidRPr="00D8615B">
              <w:rPr>
                <w:rFonts w:cs="Arial"/>
                <w:b/>
                <w:sz w:val="22"/>
                <w:lang w:eastAsia="pt-BR"/>
              </w:rPr>
              <w:t>Regras de triagem e transbordo dos RSS segundo a Resolução CONAMA nº358 de 2005</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AC47A2">
            <w:pPr>
              <w:spacing w:before="120" w:after="120" w:line="240" w:lineRule="auto"/>
              <w:jc w:val="both"/>
              <w:rPr>
                <w:rFonts w:cs="Arial"/>
                <w:sz w:val="22"/>
              </w:rPr>
            </w:pPr>
            <w:r w:rsidRPr="00D8615B">
              <w:rPr>
                <w:rFonts w:cs="Arial"/>
                <w:sz w:val="22"/>
              </w:rPr>
              <w:t>As estações para transferência de resíduos de serviços de saúde devem estar licenciadas pelo órgão ambiental competente.</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AC47A2">
            <w:pPr>
              <w:spacing w:before="120" w:after="120" w:line="240" w:lineRule="auto"/>
              <w:jc w:val="both"/>
              <w:rPr>
                <w:rFonts w:eastAsia="MS Mincho" w:cs="Arial"/>
                <w:sz w:val="22"/>
              </w:rPr>
            </w:pPr>
            <w:r w:rsidRPr="00D8615B">
              <w:rPr>
                <w:rFonts w:cs="Arial"/>
                <w:sz w:val="22"/>
              </w:rPr>
              <w:t>É obrigatória a segregação dos resíduos na fonte e no momento da geração, de acordo com suas características, para fins de redução do volume dos resíduos a serem tratados e dispostos, garantindo a proteção da saúde e do meio ambiente.</w:t>
            </w:r>
          </w:p>
        </w:tc>
      </w:tr>
      <w:tr w:rsidR="00671620" w:rsidRPr="00D8615B" w:rsidTr="00AC47A2">
        <w:trPr>
          <w:trHeight w:val="51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AC47A2">
            <w:pPr>
              <w:spacing w:before="120" w:after="120" w:line="240" w:lineRule="auto"/>
              <w:jc w:val="both"/>
              <w:rPr>
                <w:rFonts w:eastAsia="MS Mincho" w:cs="Arial"/>
                <w:sz w:val="22"/>
              </w:rPr>
            </w:pPr>
            <w:r w:rsidRPr="00D8615B">
              <w:rPr>
                <w:rFonts w:cs="Arial"/>
                <w:sz w:val="22"/>
              </w:rPr>
              <w:lastRenderedPageBreak/>
              <w:t>O manuseio de resíduos de serviços de saúde está regulamentado pela norma NBR 12.809 da ABNT e compreende os cuidados que se deve ter para segregar os resíduos na fonte e para lidar com os resíduos perigosos.</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AC47A2">
            <w:pPr>
              <w:spacing w:before="120" w:after="120" w:line="240" w:lineRule="auto"/>
              <w:jc w:val="both"/>
              <w:rPr>
                <w:rFonts w:eastAsia="MS Mincho" w:cs="Arial"/>
                <w:sz w:val="22"/>
              </w:rPr>
            </w:pPr>
            <w:r w:rsidRPr="00D8615B">
              <w:rPr>
                <w:rFonts w:cs="Arial"/>
                <w:sz w:val="22"/>
              </w:rPr>
              <w:t xml:space="preserve">Para o manuseio dos resíduos infectantes devem ser utilizados os seguintes equipamentos de proteção individual: avental plástico, luvas plásticas, bota de PVC ou sapato fechado, óculos, máscara. </w:t>
            </w:r>
          </w:p>
        </w:tc>
      </w:tr>
    </w:tbl>
    <w:p w:rsidR="00D8615B" w:rsidRDefault="00D8615B" w:rsidP="00AC47A2">
      <w:pPr>
        <w:pStyle w:val="Fonte"/>
      </w:pPr>
      <w:bookmarkStart w:id="242" w:name="_Ref483560157"/>
      <w:bookmarkStart w:id="243" w:name="_Toc488825062"/>
      <w:bookmarkStart w:id="244" w:name="_Toc493151599"/>
      <w:bookmarkStart w:id="245" w:name="_Toc498593656"/>
      <w:bookmarkStart w:id="246" w:name="_Toc503949447"/>
    </w:p>
    <w:p w:rsidR="00671620" w:rsidRPr="00DF4A2F" w:rsidRDefault="00671620" w:rsidP="00E95583">
      <w:pPr>
        <w:pStyle w:val="Legenda"/>
      </w:pPr>
      <w:bookmarkStart w:id="247" w:name="_Ref506478418"/>
      <w:bookmarkStart w:id="248" w:name="_Toc509935796"/>
      <w:r w:rsidRPr="00DF4A2F">
        <w:t xml:space="preserve">Quadro </w:t>
      </w:r>
      <w:r w:rsidR="000A1C78">
        <w:fldChar w:fldCharType="begin"/>
      </w:r>
      <w:r w:rsidR="000A1C78">
        <w:instrText xml:space="preserve"> SEQ Quadro \* ARABIC </w:instrText>
      </w:r>
      <w:r w:rsidR="000A1C78">
        <w:fldChar w:fldCharType="separate"/>
      </w:r>
      <w:r w:rsidR="001B481B">
        <w:rPr>
          <w:noProof/>
        </w:rPr>
        <w:t>19</w:t>
      </w:r>
      <w:r w:rsidR="000A1C78">
        <w:rPr>
          <w:noProof/>
        </w:rPr>
        <w:fldChar w:fldCharType="end"/>
      </w:r>
      <w:bookmarkEnd w:id="242"/>
      <w:bookmarkEnd w:id="247"/>
      <w:r w:rsidRPr="00DF4A2F">
        <w:t xml:space="preserve"> </w:t>
      </w:r>
      <w:r w:rsidRPr="00DF4A2F">
        <w:rPr>
          <w:lang w:val="pt-BR"/>
        </w:rPr>
        <w:t>-</w:t>
      </w:r>
      <w:r w:rsidRPr="00DF4A2F">
        <w:t xml:space="preserve"> Resíduos de Serviço de Saúde – </w:t>
      </w:r>
      <w:r w:rsidRPr="00841358">
        <w:t>Métodos de tratamento</w:t>
      </w:r>
      <w:bookmarkEnd w:id="243"/>
      <w:bookmarkEnd w:id="244"/>
      <w:bookmarkEnd w:id="245"/>
      <w:bookmarkEnd w:id="246"/>
      <w:bookmarkEnd w:id="248"/>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D8615B" w:rsidTr="00D8615B">
        <w:trPr>
          <w:cantSplit/>
          <w:tblHeade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rPr>
                <w:rFonts w:cs="Arial"/>
                <w:b/>
                <w:sz w:val="22"/>
                <w:lang w:eastAsia="pt-BR"/>
              </w:rPr>
            </w:pPr>
            <w:r w:rsidRPr="00D8615B">
              <w:rPr>
                <w:rFonts w:cs="Arial"/>
                <w:b/>
                <w:sz w:val="22"/>
                <w:lang w:eastAsia="pt-BR"/>
              </w:rPr>
              <w:t xml:space="preserve">Métodos de tratamento dos RSS: suas vantagens e desvantagens </w:t>
            </w:r>
          </w:p>
        </w:tc>
      </w:tr>
      <w:tr w:rsidR="00671620" w:rsidRPr="00D8615B" w:rsidTr="00D8615B">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cs="Arial"/>
                <w:sz w:val="22"/>
                <w:lang w:eastAsia="pt-BR"/>
              </w:rPr>
            </w:pPr>
            <w:r w:rsidRPr="00D8615B">
              <w:rPr>
                <w:rFonts w:cs="Arial"/>
                <w:sz w:val="22"/>
                <w:lang w:eastAsia="pt-BR"/>
              </w:rPr>
              <w:t>O tratamento consiste em modificar as características físicas, químicas ou biológicas dos RSS com o objetivo de reduzir ou neutralizar seus respectivos riscos, permitindo destina-los para a disposição final dentro dos padrões e normas legais.</w:t>
            </w:r>
          </w:p>
        </w:tc>
      </w:tr>
      <w:tr w:rsidR="00671620" w:rsidRPr="00D8615B" w:rsidTr="00D8615B">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No Brasil, os principais tipos de tratamento para RSS são a autoclavagem, incineração e microondas. A autoclavagem consiste em processo de descontaminação por vapor em condições alta temperatura e pressão. VANTAGENS: baixo custo de investimento e operação, adequado para pequenos estabelecimentos; Operação relativamente simples; Não emissão de poluentes na atmosfera. DESVANTAGENS: A eficiência da esterilização depende da correta operação; Algumas embalagens impedem a penetração do vapor, reduzindo a eficiência da esterilização; Não pode ser utilizada para resíduos anatômicos.</w:t>
            </w:r>
          </w:p>
        </w:tc>
      </w:tr>
      <w:tr w:rsidR="00671620" w:rsidRPr="00D8615B" w:rsidTr="00D8615B">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A incineração consiste na queima dos resíduos, utilizando gás natural, gás metano ou diesel para combustão inicial. VANTAGENS: Redução significativa de volume; Pode-se aproveitar o calor para gerar energia elétrica; Diminuição dos custos do transporte de escória aos aterros; Resíduo irreconhecível após tratamento. DESVANTAGENS: Custo elevado de investimento; Emissão de poluentes gasosos; Necessidade de tratamento dos gases emitidos; Necessidade de sistemas de monitoramento ambiental.</w:t>
            </w:r>
          </w:p>
        </w:tc>
      </w:tr>
      <w:tr w:rsidR="00671620" w:rsidRPr="00D8615B" w:rsidTr="00D8615B">
        <w:trPr>
          <w:cantSplit/>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O processo de microondas consiste na descontaminação pelo alto aquecimento das moléculas de água induzido por ressonância. VANTAGENS: Redução significativa de volume, de aproximadamente 80%; Resíduos irreconhecível e descaracterizado após tratamento; Operação simples; Ocupa pequena área; Não produz efluente líquido ou emissões gasosas. DESVANTAGENS: Impedimento de operação no cone de recepção, quando da entrada de objetos rígidos no triturador; O triturador aceita somente pequenas peças de metal.</w:t>
            </w:r>
          </w:p>
        </w:tc>
      </w:tr>
    </w:tbl>
    <w:p w:rsidR="00671620" w:rsidRPr="00DF4A2F" w:rsidRDefault="00671620" w:rsidP="00E95583">
      <w:pPr>
        <w:pStyle w:val="Legenda"/>
      </w:pPr>
      <w:bookmarkStart w:id="249" w:name="_Ref483560169"/>
      <w:bookmarkStart w:id="250" w:name="_Ref506478420"/>
      <w:bookmarkStart w:id="251" w:name="_Toc488825063"/>
      <w:bookmarkStart w:id="252" w:name="_Toc493151600"/>
      <w:bookmarkStart w:id="253" w:name="_Toc498593657"/>
      <w:bookmarkStart w:id="254" w:name="_Toc503949448"/>
      <w:bookmarkStart w:id="255" w:name="_Toc509935797"/>
      <w:r w:rsidRPr="00DF4A2F">
        <w:t xml:space="preserve">Quadro </w:t>
      </w:r>
      <w:r w:rsidR="000A1C78">
        <w:fldChar w:fldCharType="begin"/>
      </w:r>
      <w:r w:rsidR="000A1C78">
        <w:instrText xml:space="preserve"> SEQ Quadro \* ARABIC </w:instrText>
      </w:r>
      <w:r w:rsidR="000A1C78">
        <w:fldChar w:fldCharType="separate"/>
      </w:r>
      <w:r w:rsidR="001B481B">
        <w:rPr>
          <w:noProof/>
        </w:rPr>
        <w:t>20</w:t>
      </w:r>
      <w:r w:rsidR="000A1C78">
        <w:rPr>
          <w:noProof/>
        </w:rPr>
        <w:fldChar w:fldCharType="end"/>
      </w:r>
      <w:bookmarkEnd w:id="249"/>
      <w:bookmarkEnd w:id="250"/>
      <w:r w:rsidRPr="00DF4A2F">
        <w:t xml:space="preserve"> </w:t>
      </w:r>
      <w:r w:rsidRPr="00DF4A2F">
        <w:rPr>
          <w:lang w:val="pt-BR"/>
        </w:rPr>
        <w:t>-</w:t>
      </w:r>
      <w:r w:rsidRPr="00DF4A2F">
        <w:t xml:space="preserve"> Resíduos de Serviço de Saúde – </w:t>
      </w:r>
      <w:r w:rsidRPr="00841358">
        <w:t>Regras de tratamento e disposição final</w:t>
      </w:r>
      <w:bookmarkEnd w:id="251"/>
      <w:bookmarkEnd w:id="252"/>
      <w:bookmarkEnd w:id="253"/>
      <w:bookmarkEnd w:id="254"/>
      <w:bookmarkEnd w:id="255"/>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D8615B" w:rsidTr="00D8615B">
        <w:trPr>
          <w:tblHeade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rPr>
                <w:rFonts w:cs="Arial"/>
                <w:b/>
                <w:sz w:val="22"/>
                <w:lang w:eastAsia="pt-BR"/>
              </w:rPr>
            </w:pPr>
            <w:r w:rsidRPr="00D8615B">
              <w:rPr>
                <w:rFonts w:cs="Arial"/>
                <w:b/>
                <w:sz w:val="22"/>
                <w:lang w:eastAsia="pt-BR"/>
              </w:rPr>
              <w:t>Regras de tratamento e disposição final dos RSS segundo a Resolução CONAMA nº 358 de 2005</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cs="Arial"/>
                <w:sz w:val="22"/>
                <w:lang w:eastAsia="pt-BR"/>
              </w:rPr>
            </w:pPr>
            <w:r w:rsidRPr="00D8615B">
              <w:rPr>
                <w:rFonts w:cs="Arial"/>
                <w:sz w:val="22"/>
                <w:lang w:eastAsia="pt-BR"/>
              </w:rPr>
              <w:t>Os resíduos do Grupo A1 devem ser submetidos a processos de tratamento em equipamento que promova redução de carga microbiana compatível com nível III de inativação microbiana e devem ser encaminhados para aterro sanitário licenciado ou local devidamente licenciado para disposição final de RSS.</w:t>
            </w:r>
          </w:p>
        </w:tc>
      </w:tr>
      <w:tr w:rsidR="00671620" w:rsidRPr="00D8615B" w:rsidTr="00AC47A2">
        <w:trPr>
          <w:trHeight w:val="454"/>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lastRenderedPageBreak/>
              <w:t>Os resíduos do Grupo A2 devem ser submetidos a processos de tratamento em equipamento que promova redução de carga microbiana compatível com nível III de inativação microbiana e devem ser encaminhados para aterro sanitário licenciado ou local devidamente licenciado para disposição final de RSS ou para o sepultamento em cemitério de animais.</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Os resíduos do Grupo A3 quando não houver requisição pelo paciente ou familiares e/ou não tenham mais valor científico ou legal, devem ser encaminhados para</w:t>
            </w:r>
            <w:r w:rsidRPr="00D8615B">
              <w:rPr>
                <w:rFonts w:cs="Arial"/>
                <w:sz w:val="22"/>
              </w:rPr>
              <w:t xml:space="preserve"> </w:t>
            </w:r>
            <w:r w:rsidRPr="00D8615B">
              <w:rPr>
                <w:rFonts w:cs="Arial"/>
                <w:sz w:val="22"/>
                <w:lang w:eastAsia="pt-BR"/>
              </w:rPr>
              <w:t xml:space="preserve">sepultamento em cemitério, desde que haja autorização do órgão competente do Município, do Estado ou do Distrito Federal ou tratamento térmico por incineração ou cremação, em equipamento devidamente licenciado para esse fim. </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Os resíduos do Grupo A4 podem ser encaminhados sem tratamento prévio para local devidamente licenciado para a disposição final de RSS.</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Os resíduos do Grupo A5 devem ser submetidos a tratamento específico orientado pela Agência Nacional de Vigilância Sanitária-ANVISA.</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Os resíduos do Grupo B com características de periculosidade, quando não forem submetidos a processo de reutilização, recuperação ou reciclagem, devem ser submetidos a tratamento e disposição final específicos. Aqueles sem características de periculosidade, não necessitam de tratamento prévio.</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Os resíduos do Grupo C ou rejeitos radioativos são os RSS que contêm radionuclídeos em quantidades superiores aos limites de isenção especificados na norma CNEN-NE-6.02 - Licenciamento de Instalações Radiativas e sua reutilização é imprópria ou não prevista. Estes resíduos devem obedecer às exigências definidas pela CNEN.</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 xml:space="preserve">Os resíduos do Grupo D quando não forem passíveis de processo de reutilização, recuperação ou reciclagem, devem atender as normas legais de higienização e descontaminação e a Resolução CONAMA nº 275 de 2001, devendo ser encaminhados para aterro sanitário de resíduos sólidos urbanos, devidamente licenciado pelo órgão ambiental competente. </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Os resíduos do Grupo E devem ter tratamento específico de acordo com a contaminação química, biológica ou radiológica. Os resíduos devem ser apresentados para coleta acondicionados em coletores estanques, rígidos e hígidos, resistentes à ruptura, à punctura, ao corte ou à escarificação.</w:t>
            </w:r>
          </w:p>
        </w:tc>
      </w:tr>
    </w:tbl>
    <w:p w:rsidR="00D8615B" w:rsidRDefault="00D8615B" w:rsidP="00AC47A2">
      <w:pPr>
        <w:pStyle w:val="Fonte"/>
      </w:pPr>
      <w:bookmarkStart w:id="256" w:name="_Ref483560182"/>
      <w:bookmarkStart w:id="257" w:name="_Toc488825064"/>
      <w:bookmarkStart w:id="258" w:name="_Toc493151601"/>
      <w:bookmarkStart w:id="259" w:name="_Toc498593658"/>
      <w:bookmarkStart w:id="260" w:name="_Toc503949449"/>
    </w:p>
    <w:p w:rsidR="00671620" w:rsidRPr="00DF4A2F" w:rsidRDefault="00671620" w:rsidP="00E95583">
      <w:pPr>
        <w:pStyle w:val="Legenda"/>
        <w:rPr>
          <w:lang w:val="pt-BR"/>
        </w:rPr>
      </w:pPr>
      <w:bookmarkStart w:id="261" w:name="_Ref506478421"/>
      <w:bookmarkStart w:id="262" w:name="_Toc509935798"/>
      <w:r w:rsidRPr="00DF4A2F">
        <w:t xml:space="preserve">Quadro </w:t>
      </w:r>
      <w:r w:rsidR="000A1C78">
        <w:fldChar w:fldCharType="begin"/>
      </w:r>
      <w:r w:rsidR="000A1C78">
        <w:instrText xml:space="preserve"> SEQ Quadro \* ARABIC </w:instrText>
      </w:r>
      <w:r w:rsidR="000A1C78">
        <w:fldChar w:fldCharType="separate"/>
      </w:r>
      <w:r w:rsidR="001B481B">
        <w:rPr>
          <w:noProof/>
        </w:rPr>
        <w:t>21</w:t>
      </w:r>
      <w:r w:rsidR="000A1C78">
        <w:rPr>
          <w:noProof/>
        </w:rPr>
        <w:fldChar w:fldCharType="end"/>
      </w:r>
      <w:bookmarkEnd w:id="256"/>
      <w:bookmarkEnd w:id="261"/>
      <w:r w:rsidRPr="00DF4A2F">
        <w:t xml:space="preserve"> </w:t>
      </w:r>
      <w:r w:rsidRPr="00DF4A2F">
        <w:rPr>
          <w:lang w:val="pt-BR"/>
        </w:rPr>
        <w:t>-</w:t>
      </w:r>
      <w:r w:rsidRPr="00DF4A2F">
        <w:t xml:space="preserve"> Resíduos de Serviço de Saúde – </w:t>
      </w:r>
      <w:r w:rsidRPr="00841358">
        <w:t>Regras de licenciamento</w:t>
      </w:r>
      <w:bookmarkEnd w:id="257"/>
      <w:bookmarkEnd w:id="258"/>
      <w:bookmarkEnd w:id="259"/>
      <w:bookmarkEnd w:id="260"/>
      <w:bookmarkEnd w:id="262"/>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D8615B" w:rsidTr="00D8615B">
        <w:trPr>
          <w:tblHeade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rPr>
                <w:rFonts w:cs="Arial"/>
                <w:b/>
                <w:sz w:val="22"/>
                <w:lang w:eastAsia="pt-BR"/>
              </w:rPr>
            </w:pPr>
            <w:r w:rsidRPr="00D8615B">
              <w:rPr>
                <w:rFonts w:cs="Arial"/>
                <w:b/>
                <w:sz w:val="22"/>
                <w:lang w:eastAsia="pt-BR"/>
              </w:rPr>
              <w:t>Regras de Licenciamento segundo a Resolução CONAMA nº 358 de 2005</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cs="Arial"/>
                <w:sz w:val="22"/>
                <w:lang w:eastAsia="pt-BR"/>
              </w:rPr>
            </w:pPr>
            <w:r w:rsidRPr="00D8615B">
              <w:rPr>
                <w:rFonts w:cs="Arial"/>
                <w:sz w:val="22"/>
                <w:lang w:eastAsia="pt-BR"/>
              </w:rPr>
              <w:t>Os sistemas de tratamento e disposição final de resíduos de serviços de saúde devem estar licenciados pelo órgão ambiental competente para fins de funcionamento e submetidos a monitoramento de acordo com parâmetros e periodicidade definidos no licenciamento ambiental.</w:t>
            </w:r>
          </w:p>
        </w:tc>
      </w:tr>
      <w:tr w:rsidR="00671620" w:rsidRPr="00D8615B" w:rsidTr="00AC47A2">
        <w:trPr>
          <w:trHeight w:val="51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lastRenderedPageBreak/>
              <w:t xml:space="preserve">Os geradores de RSS em operação ou a serem implantados, devem elaborar e implantar o Plano de Gerenciamento de Resíduos de Serviços de Saúde-PGRSS, de acordo com a legislação vigente, especialmente as normas da vigilância sanitária. </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O órgão ambiental competente, no âmbito do licenciamento, fixará prazos para regularização dos serviços em funcionamento, devendo ser apresentado o PGRSS devidamente implantado. O órgão ambiental competente pode solicitar informações adicionais ao PGRSS, sempre que necessário.</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Na elaboração do PGRSS, devem ser considerados princípios que conduzam à minimização e às soluções integradas ou consorciadas, que visem o tratamento e a disposição final destes resíduos de acordo com as diretrizes estabelecidas pelos órgãos de meio ambiente e de saúde competentes.</w:t>
            </w:r>
          </w:p>
        </w:tc>
      </w:tr>
      <w:tr w:rsidR="00671620" w:rsidRPr="00D8615B" w:rsidTr="00D8615B">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Em todo processo de manejo dos RSS, sendo as principais etapas: acondicionamento, coleta, transporte, tratamento e disposição final, deverá haver o devido licenciamento de todas as partes integrantes deste processo segundo as normas legais em âmbito Federal, Estadual e Municipal.</w:t>
            </w:r>
          </w:p>
        </w:tc>
      </w:tr>
    </w:tbl>
    <w:p w:rsidR="00D8615B" w:rsidRDefault="00D8615B" w:rsidP="00AC47A2">
      <w:pPr>
        <w:pStyle w:val="Fonte"/>
      </w:pPr>
      <w:bookmarkStart w:id="263" w:name="_Ref483560191"/>
      <w:bookmarkStart w:id="264" w:name="_Toc488825065"/>
      <w:bookmarkStart w:id="265" w:name="_Toc493151602"/>
      <w:bookmarkStart w:id="266" w:name="_Toc498593659"/>
      <w:bookmarkStart w:id="267" w:name="_Toc503949450"/>
    </w:p>
    <w:p w:rsidR="00671620" w:rsidRPr="00521751" w:rsidRDefault="00671620" w:rsidP="00E95583">
      <w:pPr>
        <w:pStyle w:val="Legenda"/>
        <w:rPr>
          <w:lang w:val="pt-BR"/>
        </w:rPr>
      </w:pPr>
      <w:bookmarkStart w:id="268" w:name="_Ref506478423"/>
      <w:bookmarkStart w:id="269" w:name="_Toc509935799"/>
      <w:r w:rsidRPr="00DF4A2F">
        <w:t xml:space="preserve">Quadro </w:t>
      </w:r>
      <w:r w:rsidR="000A1C78">
        <w:fldChar w:fldCharType="begin"/>
      </w:r>
      <w:r w:rsidR="000A1C78">
        <w:instrText xml:space="preserve"> SEQ Quadro \* ARABIC </w:instrText>
      </w:r>
      <w:r w:rsidR="000A1C78">
        <w:fldChar w:fldCharType="separate"/>
      </w:r>
      <w:r w:rsidR="001B481B">
        <w:rPr>
          <w:noProof/>
        </w:rPr>
        <w:t>22</w:t>
      </w:r>
      <w:r w:rsidR="000A1C78">
        <w:rPr>
          <w:noProof/>
        </w:rPr>
        <w:fldChar w:fldCharType="end"/>
      </w:r>
      <w:bookmarkEnd w:id="263"/>
      <w:bookmarkEnd w:id="268"/>
      <w:r w:rsidRPr="00DF4A2F">
        <w:t xml:space="preserve"> </w:t>
      </w:r>
      <w:r w:rsidRPr="00DF4A2F">
        <w:rPr>
          <w:lang w:val="pt-BR"/>
        </w:rPr>
        <w:t>-</w:t>
      </w:r>
      <w:r w:rsidRPr="00DF4A2F">
        <w:t xml:space="preserve"> Resíduos de Serviço de Saúde – </w:t>
      </w:r>
      <w:r w:rsidRPr="00841358">
        <w:t>Legislação e normas</w:t>
      </w:r>
      <w:bookmarkEnd w:id="264"/>
      <w:bookmarkEnd w:id="265"/>
      <w:bookmarkEnd w:id="266"/>
      <w:bookmarkEnd w:id="267"/>
      <w:bookmarkEnd w:id="269"/>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D8615B" w:rsidTr="00D8615B">
        <w:trPr>
          <w:cantSplit/>
          <w:trHeight w:val="264"/>
          <w:tblHeade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rPr>
                <w:rFonts w:cs="Arial"/>
                <w:b/>
                <w:sz w:val="22"/>
                <w:u w:val="single"/>
              </w:rPr>
            </w:pPr>
            <w:r w:rsidRPr="00D8615B">
              <w:rPr>
                <w:rFonts w:cs="Arial"/>
                <w:b/>
                <w:sz w:val="22"/>
                <w:u w:val="single"/>
              </w:rPr>
              <w:t>Principais resoluções nacionais</w:t>
            </w:r>
          </w:p>
        </w:tc>
      </w:tr>
      <w:tr w:rsidR="00671620" w:rsidRPr="00D8615B" w:rsidTr="00D8615B">
        <w:trPr>
          <w:cantSplit/>
          <w:trHeight w:val="264"/>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cs="Arial"/>
                <w:sz w:val="22"/>
              </w:rPr>
            </w:pPr>
            <w:r w:rsidRPr="00D8615B">
              <w:rPr>
                <w:rFonts w:cs="Arial"/>
                <w:sz w:val="22"/>
              </w:rPr>
              <w:t>Resolução CONAMA nº 358, de 29 de abril de 2005. Dispõe sobre o tratamento e a disposição final dos resíduos dos serviços de saúde e dá outras providências.</w:t>
            </w:r>
          </w:p>
        </w:tc>
      </w:tr>
      <w:tr w:rsidR="00671620" w:rsidRPr="00D8615B" w:rsidTr="00D8615B">
        <w:trPr>
          <w:cantSplit/>
          <w:trHeight w:val="264"/>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rPr>
            </w:pPr>
            <w:r w:rsidRPr="00D8615B">
              <w:rPr>
                <w:rFonts w:cs="Arial"/>
                <w:sz w:val="22"/>
              </w:rPr>
              <w:t>Resolução CONAMA nº 283, de 12 de julho de 2001. Dispõe sobre o tratamento e a destinação final dos resíduos dos serviços de saúde.</w:t>
            </w:r>
          </w:p>
        </w:tc>
      </w:tr>
      <w:tr w:rsidR="00671620" w:rsidRPr="00D8615B" w:rsidTr="00D8615B">
        <w:trPr>
          <w:cantSplit/>
          <w:trHeight w:val="264"/>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 xml:space="preserve">Resolução ANVISA RDC nº 306 de 2004. Dispõe sobre o Regulamento Técnico para o gerenciamento de resíduos de serviços de saúde. </w:t>
            </w:r>
          </w:p>
        </w:tc>
      </w:tr>
      <w:tr w:rsidR="00671620" w:rsidRPr="00D8615B" w:rsidTr="00D8615B">
        <w:trPr>
          <w:cantSplit/>
          <w:trHeight w:val="264"/>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b/>
                <w:sz w:val="22"/>
                <w:u w:val="single"/>
              </w:rPr>
            </w:pPr>
            <w:r w:rsidRPr="00D8615B">
              <w:rPr>
                <w:rFonts w:cs="Arial"/>
                <w:b/>
                <w:sz w:val="22"/>
                <w:u w:val="single"/>
              </w:rPr>
              <w:t>Normas técnicas</w:t>
            </w:r>
          </w:p>
        </w:tc>
      </w:tr>
      <w:tr w:rsidR="00671620" w:rsidRPr="00D8615B" w:rsidTr="00D8615B">
        <w:trPr>
          <w:cantSplit/>
          <w:trHeight w:val="264"/>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rPr>
            </w:pPr>
            <w:r w:rsidRPr="00D8615B">
              <w:rPr>
                <w:rFonts w:cs="Arial"/>
                <w:sz w:val="22"/>
              </w:rPr>
              <w:t xml:space="preserve">ABNT NBR 7500:2013 - </w:t>
            </w:r>
            <w:r w:rsidRPr="00D8615B">
              <w:rPr>
                <w:rFonts w:cs="Arial"/>
                <w:sz w:val="22"/>
                <w:lang w:val="pt-PT"/>
              </w:rPr>
              <w:t>Identificação para o transporte terrestre, manuseio, movimentação e armazenamento de produtos.</w:t>
            </w:r>
          </w:p>
        </w:tc>
      </w:tr>
      <w:tr w:rsidR="00671620" w:rsidRPr="00D8615B" w:rsidTr="00D8615B">
        <w:trPr>
          <w:cantSplit/>
          <w:trHeight w:val="264"/>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autoSpaceDE w:val="0"/>
              <w:autoSpaceDN w:val="0"/>
              <w:adjustRightInd w:val="0"/>
              <w:spacing w:before="120" w:after="120" w:line="240" w:lineRule="auto"/>
              <w:jc w:val="both"/>
              <w:rPr>
                <w:rFonts w:eastAsia="MS Mincho" w:cs="Arial"/>
                <w:sz w:val="22"/>
                <w:lang w:val="pt-PT"/>
              </w:rPr>
            </w:pPr>
            <w:r w:rsidRPr="00D8615B">
              <w:rPr>
                <w:rFonts w:cs="Arial"/>
                <w:sz w:val="22"/>
                <w:lang w:val="pt-PT"/>
              </w:rPr>
              <w:t>NBR 7501:2011 - Transporte terrestre de produtos perigosos – Terminologia.</w:t>
            </w:r>
          </w:p>
        </w:tc>
      </w:tr>
      <w:tr w:rsidR="00671620" w:rsidRPr="00D8615B" w:rsidTr="00D8615B">
        <w:trPr>
          <w:cantSplit/>
          <w:trHeight w:val="264"/>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autoSpaceDE w:val="0"/>
              <w:autoSpaceDN w:val="0"/>
              <w:adjustRightInd w:val="0"/>
              <w:spacing w:before="120" w:after="120" w:line="240" w:lineRule="auto"/>
              <w:jc w:val="both"/>
              <w:rPr>
                <w:rFonts w:eastAsia="MS Mincho" w:cs="Arial"/>
                <w:sz w:val="22"/>
                <w:lang w:val="pt-PT"/>
              </w:rPr>
            </w:pPr>
            <w:r w:rsidRPr="00D8615B">
              <w:rPr>
                <w:rFonts w:cs="Arial"/>
                <w:sz w:val="22"/>
                <w:lang w:val="pt-PT"/>
              </w:rPr>
              <w:t>NBR 7503:2013 - Ficha de emergência e envelope para o transporte terrestre de produtos perigosos - Características, dimensões e preenchimento.</w:t>
            </w:r>
          </w:p>
        </w:tc>
      </w:tr>
      <w:tr w:rsidR="00671620" w:rsidRPr="00D8615B" w:rsidTr="00D8615B">
        <w:trPr>
          <w:cantSplit/>
          <w:trHeight w:val="264"/>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NBR 9191/2000 da ABNT Sacos plásticos para acondicionamento de lixo - Requisitos e métodos de ensaio.</w:t>
            </w:r>
          </w:p>
        </w:tc>
      </w:tr>
      <w:tr w:rsidR="00671620" w:rsidRPr="00D8615B" w:rsidTr="00D8615B">
        <w:trPr>
          <w:cantSplit/>
          <w:trHeight w:val="264"/>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ABNT NBR 12807:2013 Resíduos de serviços de saúde — Terminologia.</w:t>
            </w:r>
          </w:p>
        </w:tc>
      </w:tr>
      <w:tr w:rsidR="00671620" w:rsidRPr="00D8615B" w:rsidTr="00D8615B">
        <w:trPr>
          <w:cantSplit/>
          <w:trHeight w:val="264"/>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lastRenderedPageBreak/>
              <w:t>ABNT NBR 12808:1993 Resíduos de serviço de saúde – Classificação.</w:t>
            </w:r>
          </w:p>
        </w:tc>
      </w:tr>
      <w:tr w:rsidR="00671620" w:rsidRPr="00D8615B" w:rsidTr="00D8615B">
        <w:trPr>
          <w:cantSplit/>
          <w:trHeight w:val="264"/>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ABNT NBR 12809:2013 Resíduos de serviços de saúde — Gerenciamento de resíduos de serviços de saúde intraestabelecimento.</w:t>
            </w:r>
          </w:p>
        </w:tc>
      </w:tr>
      <w:tr w:rsidR="00671620" w:rsidRPr="00D8615B" w:rsidTr="00D8615B">
        <w:trPr>
          <w:cantSplit/>
          <w:trHeight w:val="264"/>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ABNT NBR 12810:1993 - Coleta de resíduos de serviços de saúde – Procedimento.</w:t>
            </w:r>
          </w:p>
        </w:tc>
      </w:tr>
      <w:tr w:rsidR="00671620" w:rsidRPr="00D8615B" w:rsidTr="00D8615B">
        <w:trPr>
          <w:cantSplit/>
          <w:trHeight w:val="264"/>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lang w:eastAsia="pt-BR"/>
              </w:rPr>
            </w:pPr>
            <w:r w:rsidRPr="00D8615B">
              <w:rPr>
                <w:rFonts w:cs="Arial"/>
                <w:sz w:val="22"/>
                <w:lang w:eastAsia="pt-BR"/>
              </w:rPr>
              <w:t xml:space="preserve">ABNT NBR 13853:1997 Coletores para resíduos de serviços de saúde perfurantes ou cortantes - Requisitos e métodos de ensaio. </w:t>
            </w:r>
          </w:p>
        </w:tc>
      </w:tr>
      <w:tr w:rsidR="00671620" w:rsidRPr="00D8615B" w:rsidTr="00D8615B">
        <w:trPr>
          <w:cantSplit/>
          <w:trHeight w:val="639"/>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rPr>
            </w:pPr>
            <w:r w:rsidRPr="00D8615B">
              <w:rPr>
                <w:rFonts w:cs="Arial"/>
                <w:sz w:val="22"/>
              </w:rPr>
              <w:t>- ABNT NBR 13842:2008 – Artigos têxteis hospitalares – Determinação de pureza (resíduos de incineração, corantes corretivos, substâncias gordurosas e de substâncias solúveis em água).</w:t>
            </w:r>
          </w:p>
        </w:tc>
      </w:tr>
      <w:tr w:rsidR="00671620" w:rsidRPr="00D8615B" w:rsidTr="00D8615B">
        <w:trPr>
          <w:cantSplit/>
          <w:trHeight w:val="1222"/>
          <w:jc w:val="center"/>
        </w:trPr>
        <w:tc>
          <w:tcPr>
            <w:tcW w:w="0" w:type="auto"/>
            <w:tcBorders>
              <w:top w:val="single" w:sz="8" w:space="0" w:color="4F81BD"/>
              <w:left w:val="single" w:sz="8" w:space="0" w:color="4F81BD"/>
              <w:bottom w:val="single" w:sz="8" w:space="0" w:color="4F81BD"/>
              <w:right w:val="single" w:sz="8" w:space="0" w:color="4F81BD"/>
            </w:tcBorders>
            <w:shd w:val="clear" w:color="auto" w:fill="DBE5F1" w:themeFill="accent1" w:themeFillTint="33"/>
          </w:tcPr>
          <w:p w:rsidR="00671620" w:rsidRPr="00D8615B" w:rsidRDefault="00671620" w:rsidP="00D8615B">
            <w:pPr>
              <w:spacing w:before="120" w:after="120" w:line="240" w:lineRule="auto"/>
              <w:jc w:val="both"/>
              <w:rPr>
                <w:rFonts w:eastAsia="MS Mincho" w:cs="Arial"/>
                <w:b/>
                <w:sz w:val="22"/>
                <w:u w:val="single"/>
              </w:rPr>
            </w:pPr>
            <w:r w:rsidRPr="00D8615B">
              <w:rPr>
                <w:rFonts w:cs="Arial"/>
                <w:b/>
                <w:sz w:val="22"/>
                <w:u w:val="single"/>
              </w:rPr>
              <w:t>Resoluções SEMAD</w:t>
            </w:r>
          </w:p>
          <w:p w:rsidR="00671620" w:rsidRPr="00D8615B" w:rsidRDefault="00671620" w:rsidP="00D8615B">
            <w:pPr>
              <w:spacing w:before="120" w:after="120" w:line="240" w:lineRule="auto"/>
              <w:jc w:val="both"/>
              <w:rPr>
                <w:rFonts w:cs="Arial"/>
                <w:sz w:val="22"/>
              </w:rPr>
            </w:pPr>
            <w:r w:rsidRPr="00D8615B">
              <w:rPr>
                <w:rFonts w:cs="Arial"/>
                <w:sz w:val="22"/>
              </w:rPr>
              <w:t xml:space="preserve">Resolução SEMAD nº 1.300 de 06 de maio de 2011. Dispõe sobre a criação de Grupo Multidisciplinar de Trabalho para estabelecer critérios de avaliação de implantação do Plano de Gerenciamento de Resíduos de Serviços de Saúde (PGRSS) nos estabelecimentos geradores desses resíduos e estabelecer diretrizes de termo de </w:t>
            </w:r>
            <w:r w:rsidR="00FD2B9A" w:rsidRPr="00D8615B">
              <w:rPr>
                <w:rFonts w:cs="Arial"/>
                <w:sz w:val="22"/>
              </w:rPr>
              <w:t>referência</w:t>
            </w:r>
            <w:r w:rsidRPr="00D8615B">
              <w:rPr>
                <w:rFonts w:cs="Arial"/>
                <w:sz w:val="22"/>
              </w:rPr>
              <w:t xml:space="preserve"> para elaboração e a apresentação do PGRSS no Estado de Minas Gerais.</w:t>
            </w:r>
          </w:p>
        </w:tc>
      </w:tr>
    </w:tbl>
    <w:p w:rsidR="00671620" w:rsidRDefault="00671620" w:rsidP="00AC47A2">
      <w:pPr>
        <w:pStyle w:val="Fonte"/>
      </w:pPr>
    </w:p>
    <w:p w:rsidR="00671620" w:rsidRPr="00DF4A2F" w:rsidRDefault="00671620" w:rsidP="00BC01B1">
      <w:pPr>
        <w:pStyle w:val="Ttulo4"/>
      </w:pPr>
      <w:bookmarkStart w:id="270" w:name="_Toc488825323"/>
      <w:bookmarkStart w:id="271" w:name="_Toc493151489"/>
      <w:bookmarkStart w:id="272" w:name="_Toc498593467"/>
      <w:bookmarkStart w:id="273" w:name="_Toc504404439"/>
      <w:bookmarkStart w:id="274" w:name="_Toc509935478"/>
      <w:r w:rsidRPr="00DF4A2F">
        <w:t>Resíduos de mineração</w:t>
      </w:r>
      <w:bookmarkEnd w:id="270"/>
      <w:bookmarkEnd w:id="271"/>
      <w:bookmarkEnd w:id="272"/>
      <w:bookmarkEnd w:id="273"/>
      <w:bookmarkEnd w:id="274"/>
    </w:p>
    <w:p w:rsidR="00671620" w:rsidRPr="00DF4A2F" w:rsidRDefault="00671620" w:rsidP="00671620">
      <w:pPr>
        <w:pStyle w:val="Default"/>
        <w:spacing w:line="360" w:lineRule="auto"/>
        <w:ind w:firstLine="709"/>
        <w:jc w:val="both"/>
        <w:rPr>
          <w:color w:val="auto"/>
        </w:rPr>
      </w:pPr>
      <w:r w:rsidRPr="00DF4A2F">
        <w:rPr>
          <w:color w:val="auto"/>
        </w:rPr>
        <w:t>Segundo a Lei n° 12.305 de 2010, resíduos de mineração são aqueles “gerados na atividade de pesquisa, extração ou beneficiamento de minérios” (art.13).</w:t>
      </w:r>
    </w:p>
    <w:p w:rsidR="00671620" w:rsidRPr="00DF4A2F" w:rsidRDefault="00671620" w:rsidP="00671620">
      <w:pPr>
        <w:pStyle w:val="Default"/>
        <w:spacing w:line="360" w:lineRule="auto"/>
        <w:ind w:firstLine="709"/>
        <w:jc w:val="both"/>
        <w:rPr>
          <w:color w:val="auto"/>
        </w:rPr>
      </w:pPr>
      <w:r w:rsidRPr="00DF4A2F">
        <w:rPr>
          <w:color w:val="auto"/>
        </w:rPr>
        <w:t xml:space="preserve">Por englobarem diversas tipologias, esses resíduos apresentam poucas regras gerais, exigindo uma avaliação para cada caso. </w:t>
      </w:r>
      <w:r w:rsidR="002433A7">
        <w:rPr>
          <w:color w:val="auto"/>
        </w:rPr>
        <w:t xml:space="preserve">Entretanto, </w:t>
      </w:r>
      <w:r w:rsidRPr="002433A7">
        <w:rPr>
          <w:color w:val="auto"/>
        </w:rPr>
        <w:t>os geradores de resíduos de mineração devem atentar para normas legais específicas</w:t>
      </w:r>
      <w:r w:rsidR="002433A7" w:rsidRPr="002433A7">
        <w:rPr>
          <w:color w:val="auto"/>
        </w:rPr>
        <w:t xml:space="preserve"> que regem a gestão do </w:t>
      </w:r>
      <w:r w:rsidRPr="002433A7">
        <w:rPr>
          <w:color w:val="auto"/>
        </w:rPr>
        <w:t xml:space="preserve"> seu tipo de resíduo.</w:t>
      </w:r>
    </w:p>
    <w:p w:rsidR="00671620" w:rsidRPr="00DF4A2F" w:rsidRDefault="00671620" w:rsidP="00671620">
      <w:pPr>
        <w:pStyle w:val="Default"/>
        <w:spacing w:line="360" w:lineRule="auto"/>
        <w:ind w:firstLine="709"/>
        <w:jc w:val="both"/>
        <w:rPr>
          <w:color w:val="auto"/>
        </w:rPr>
      </w:pPr>
      <w:r w:rsidRPr="00DF4A2F">
        <w:rPr>
          <w:color w:val="auto"/>
        </w:rPr>
        <w:t>Os resíduos de mineração deverão ser classificados de acordo com os procedimentos técnicos estabelecidos pelas normas da ABNT apresentadas a seguir (</w:t>
      </w:r>
      <w:r w:rsidRPr="00DF4A2F">
        <w:rPr>
          <w:color w:val="auto"/>
        </w:rPr>
        <w:fldChar w:fldCharType="begin"/>
      </w:r>
      <w:r w:rsidRPr="00DF4A2F">
        <w:rPr>
          <w:color w:val="auto"/>
        </w:rPr>
        <w:instrText xml:space="preserve"> REF _Ref483560309 \h  \* MERGEFORMAT </w:instrText>
      </w:r>
      <w:r w:rsidRPr="00DF4A2F">
        <w:rPr>
          <w:color w:val="auto"/>
        </w:rPr>
      </w:r>
      <w:r w:rsidRPr="00DF4A2F">
        <w:rPr>
          <w:color w:val="auto"/>
        </w:rPr>
        <w:fldChar w:fldCharType="separate"/>
      </w:r>
      <w:r w:rsidR="001B481B" w:rsidRPr="001B481B">
        <w:rPr>
          <w:color w:val="auto"/>
        </w:rPr>
        <w:t>Quadro 23</w:t>
      </w:r>
      <w:r w:rsidRPr="00DF4A2F">
        <w:rPr>
          <w:color w:val="auto"/>
        </w:rPr>
        <w:fldChar w:fldCharType="end"/>
      </w:r>
      <w:r w:rsidRPr="00DF4A2F">
        <w:rPr>
          <w:color w:val="auto"/>
        </w:rPr>
        <w:t>).</w:t>
      </w:r>
    </w:p>
    <w:p w:rsidR="00671620" w:rsidRPr="00DF4A2F" w:rsidRDefault="00671620" w:rsidP="00E95583">
      <w:pPr>
        <w:pStyle w:val="Legenda"/>
      </w:pPr>
      <w:bookmarkStart w:id="275" w:name="_Ref483560309"/>
      <w:bookmarkStart w:id="276" w:name="_Toc488825066"/>
      <w:bookmarkStart w:id="277" w:name="_Toc493151603"/>
      <w:bookmarkStart w:id="278" w:name="_Toc498593660"/>
      <w:bookmarkStart w:id="279" w:name="_Toc503949451"/>
      <w:bookmarkStart w:id="280" w:name="_Toc509935800"/>
      <w:r w:rsidRPr="00DF4A2F">
        <w:t xml:space="preserve">Quadro </w:t>
      </w:r>
      <w:r w:rsidR="000A1C78">
        <w:fldChar w:fldCharType="begin"/>
      </w:r>
      <w:r w:rsidR="000A1C78">
        <w:instrText xml:space="preserve"> SEQ Quadro \* ARABIC </w:instrText>
      </w:r>
      <w:r w:rsidR="000A1C78">
        <w:fldChar w:fldCharType="separate"/>
      </w:r>
      <w:r w:rsidR="001B481B">
        <w:rPr>
          <w:noProof/>
        </w:rPr>
        <w:t>23</w:t>
      </w:r>
      <w:r w:rsidR="000A1C78">
        <w:rPr>
          <w:noProof/>
        </w:rPr>
        <w:fldChar w:fldCharType="end"/>
      </w:r>
      <w:bookmarkEnd w:id="275"/>
      <w:r w:rsidRPr="00DF4A2F">
        <w:t xml:space="preserve"> </w:t>
      </w:r>
      <w:r w:rsidRPr="00DF4A2F">
        <w:rPr>
          <w:lang w:val="pt-BR"/>
        </w:rPr>
        <w:t>-</w:t>
      </w:r>
      <w:r w:rsidRPr="00DF4A2F">
        <w:t xml:space="preserve"> Resíduos de Mineração – Normas</w:t>
      </w:r>
      <w:bookmarkEnd w:id="276"/>
      <w:bookmarkEnd w:id="277"/>
      <w:bookmarkEnd w:id="278"/>
      <w:bookmarkEnd w:id="279"/>
      <w:bookmarkEnd w:id="280"/>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D8615B" w:rsidTr="00AC47A2">
        <w:trPr>
          <w:trHeight w:val="20"/>
          <w:tblHeade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AC47A2">
            <w:pPr>
              <w:spacing w:before="120" w:after="120" w:line="240" w:lineRule="auto"/>
              <w:rPr>
                <w:rFonts w:eastAsia="Times New Roman" w:cs="Arial"/>
                <w:b/>
                <w:sz w:val="22"/>
                <w:u w:val="single"/>
              </w:rPr>
            </w:pPr>
            <w:r w:rsidRPr="00D8615B">
              <w:rPr>
                <w:rFonts w:cs="Arial"/>
                <w:b/>
                <w:sz w:val="22"/>
                <w:u w:val="single"/>
              </w:rPr>
              <w:t>Normas técnicas</w:t>
            </w:r>
          </w:p>
        </w:tc>
      </w:tr>
      <w:tr w:rsidR="00671620" w:rsidRPr="00D8615B"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AC47A2">
            <w:pPr>
              <w:spacing w:before="120" w:after="120" w:line="240" w:lineRule="auto"/>
              <w:jc w:val="both"/>
              <w:rPr>
                <w:rFonts w:eastAsia="Times New Roman" w:cs="Arial"/>
                <w:sz w:val="22"/>
              </w:rPr>
            </w:pPr>
            <w:r w:rsidRPr="00D8615B">
              <w:rPr>
                <w:rFonts w:eastAsia="Times New Roman" w:cs="Arial"/>
                <w:sz w:val="22"/>
              </w:rPr>
              <w:t>ABNT NBR 10.004:2004 – Resíduos sólidos: Classificação.</w:t>
            </w:r>
          </w:p>
        </w:tc>
      </w:tr>
      <w:tr w:rsidR="00671620" w:rsidRPr="00D8615B"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AC47A2">
            <w:pPr>
              <w:spacing w:before="120" w:after="120" w:line="240" w:lineRule="auto"/>
              <w:jc w:val="both"/>
              <w:rPr>
                <w:rFonts w:eastAsia="Times New Roman" w:cs="Arial"/>
                <w:sz w:val="22"/>
              </w:rPr>
            </w:pPr>
            <w:r w:rsidRPr="00D8615B">
              <w:rPr>
                <w:rFonts w:eastAsia="Times New Roman" w:cs="Arial"/>
                <w:sz w:val="22"/>
              </w:rPr>
              <w:t>ABNT NBR 10.005:2004 – Procedimentos para obtenção de extrato lixiviado de resíduos sólidos.</w:t>
            </w:r>
          </w:p>
        </w:tc>
      </w:tr>
      <w:tr w:rsidR="00671620" w:rsidRPr="00D8615B" w:rsidTr="00AC47A2">
        <w:trPr>
          <w:trHeight w:val="567"/>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AC47A2">
            <w:pPr>
              <w:spacing w:before="120" w:after="120" w:line="240" w:lineRule="auto"/>
              <w:jc w:val="both"/>
              <w:rPr>
                <w:rFonts w:eastAsia="Times New Roman" w:cs="Arial"/>
                <w:sz w:val="22"/>
              </w:rPr>
            </w:pPr>
            <w:r w:rsidRPr="00D8615B">
              <w:rPr>
                <w:rFonts w:eastAsia="Times New Roman" w:cs="Arial"/>
                <w:sz w:val="22"/>
              </w:rPr>
              <w:lastRenderedPageBreak/>
              <w:t>ABNT NBR 10.006:2004 – Procedimentos para obtenção de extrato solubilizado de resíduos sólidos.</w:t>
            </w:r>
          </w:p>
        </w:tc>
      </w:tr>
      <w:tr w:rsidR="00671620" w:rsidRPr="00D8615B"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AC47A2">
            <w:pPr>
              <w:spacing w:before="120" w:after="120" w:line="240" w:lineRule="auto"/>
              <w:jc w:val="both"/>
              <w:rPr>
                <w:rFonts w:eastAsia="Times New Roman" w:cs="Arial"/>
                <w:sz w:val="22"/>
              </w:rPr>
            </w:pPr>
            <w:r w:rsidRPr="00D8615B">
              <w:rPr>
                <w:rFonts w:eastAsia="Times New Roman" w:cs="Arial"/>
                <w:sz w:val="22"/>
              </w:rPr>
              <w:t>ABNT NBR 10.007:2004 – Amostragem de resíduos sólidos.</w:t>
            </w:r>
          </w:p>
        </w:tc>
      </w:tr>
      <w:tr w:rsidR="00671620" w:rsidRPr="00D8615B"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AC47A2">
            <w:pPr>
              <w:spacing w:before="120" w:after="120" w:line="240" w:lineRule="auto"/>
              <w:jc w:val="both"/>
              <w:rPr>
                <w:rFonts w:eastAsia="Times New Roman" w:cs="Arial"/>
                <w:sz w:val="22"/>
              </w:rPr>
            </w:pPr>
            <w:r w:rsidRPr="00D8615B">
              <w:rPr>
                <w:rFonts w:eastAsia="Times New Roman" w:cs="Arial"/>
                <w:sz w:val="22"/>
              </w:rPr>
              <w:t>ABNT NBR 12235:1992 – Armazenamento de Resíduos Sólidos Perigosos.</w:t>
            </w:r>
          </w:p>
        </w:tc>
      </w:tr>
      <w:tr w:rsidR="00671620" w:rsidRPr="00D8615B"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AC47A2">
            <w:pPr>
              <w:spacing w:before="120" w:after="120" w:line="240" w:lineRule="auto"/>
              <w:jc w:val="both"/>
              <w:rPr>
                <w:rFonts w:eastAsia="Times New Roman" w:cs="Arial"/>
                <w:sz w:val="22"/>
              </w:rPr>
            </w:pPr>
            <w:r w:rsidRPr="00D8615B">
              <w:rPr>
                <w:rFonts w:eastAsia="Times New Roman" w:cs="Arial"/>
                <w:sz w:val="22"/>
              </w:rPr>
              <w:t>ABNT NBR 13028:2006 – Mineração – Elaboração e apresentação de projetos de barragens para disposição de rejeitos, contenção de sedimentos e reservação de água.</w:t>
            </w:r>
          </w:p>
        </w:tc>
      </w:tr>
      <w:tr w:rsidR="00671620" w:rsidRPr="00D8615B"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AC47A2">
            <w:pPr>
              <w:spacing w:before="120" w:after="120" w:line="240" w:lineRule="auto"/>
              <w:jc w:val="both"/>
              <w:rPr>
                <w:rFonts w:eastAsia="Times New Roman" w:cs="Arial"/>
                <w:sz w:val="22"/>
              </w:rPr>
            </w:pPr>
            <w:r w:rsidRPr="00D8615B">
              <w:rPr>
                <w:rFonts w:eastAsia="Times New Roman" w:cs="Arial"/>
                <w:sz w:val="22"/>
              </w:rPr>
              <w:t xml:space="preserve">ABNT NBR 13029:2006 – Mineração – Elaboração e apresentação de projeto de disposição de estéril em pilha. </w:t>
            </w:r>
          </w:p>
        </w:tc>
      </w:tr>
      <w:tr w:rsidR="00671620" w:rsidRPr="00D8615B"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AC47A2">
            <w:pPr>
              <w:spacing w:before="120" w:after="120" w:line="240" w:lineRule="auto"/>
              <w:jc w:val="both"/>
              <w:rPr>
                <w:rFonts w:eastAsia="Times New Roman" w:cs="Arial"/>
                <w:sz w:val="22"/>
              </w:rPr>
            </w:pPr>
            <w:r w:rsidRPr="00D8615B">
              <w:rPr>
                <w:rFonts w:eastAsia="Times New Roman" w:cs="Arial"/>
                <w:sz w:val="22"/>
              </w:rPr>
              <w:t>ABNT NBR 13030:1999 – Elaboração e apresentação de projeto de reabilitação de áreas degradadas pela mineração.</w:t>
            </w:r>
          </w:p>
        </w:tc>
      </w:tr>
    </w:tbl>
    <w:p w:rsidR="00671620" w:rsidRPr="00DF4A2F" w:rsidRDefault="00671620" w:rsidP="00671620"/>
    <w:p w:rsidR="00671620" w:rsidRPr="00DF4A2F" w:rsidRDefault="00671620" w:rsidP="00BC01B1">
      <w:pPr>
        <w:pStyle w:val="Ttulo4"/>
      </w:pPr>
      <w:bookmarkStart w:id="281" w:name="_Toc488825324"/>
      <w:bookmarkStart w:id="282" w:name="_Toc493151490"/>
      <w:bookmarkStart w:id="283" w:name="_Toc498593468"/>
      <w:bookmarkStart w:id="284" w:name="_Toc504404440"/>
      <w:bookmarkStart w:id="285" w:name="_Toc509935479"/>
      <w:r w:rsidRPr="00DF4A2F">
        <w:t>Resíduos de construção civil</w:t>
      </w:r>
      <w:bookmarkEnd w:id="281"/>
      <w:bookmarkEnd w:id="282"/>
      <w:bookmarkEnd w:id="283"/>
      <w:bookmarkEnd w:id="284"/>
      <w:bookmarkEnd w:id="285"/>
    </w:p>
    <w:p w:rsidR="00671620" w:rsidRPr="00841358" w:rsidRDefault="00671620" w:rsidP="00671620">
      <w:pPr>
        <w:pStyle w:val="Default"/>
        <w:spacing w:line="360" w:lineRule="auto"/>
        <w:ind w:firstLine="709"/>
        <w:jc w:val="both"/>
        <w:rPr>
          <w:color w:val="auto"/>
        </w:rPr>
      </w:pPr>
      <w:r w:rsidRPr="00DF4A2F">
        <w:rPr>
          <w:color w:val="auto"/>
        </w:rPr>
        <w:t xml:space="preserve">Os resíduos de construção civil são aqueles “gerados nas construções, reformas, reparos e demolições de obras de construção civil, incluídos os resultantes da preparação e escavação de terrenos para obras civis, conforme definido em regulamento ou em normas estabelecidas pelos </w:t>
      </w:r>
      <w:r w:rsidRPr="00841358">
        <w:rPr>
          <w:color w:val="auto"/>
        </w:rPr>
        <w:t xml:space="preserve">órgãos do SISNAMA e do SNVS”, segundo o art. 13 da Lei n° 12.305 de 2010. A legislação aplicável a esse tipo de resíduo, bem como as normas e regras gerais, estão apresentadas no </w:t>
      </w:r>
      <w:r w:rsidRPr="00841358">
        <w:rPr>
          <w:color w:val="auto"/>
        </w:rPr>
        <w:fldChar w:fldCharType="begin"/>
      </w:r>
      <w:r w:rsidRPr="00841358">
        <w:rPr>
          <w:color w:val="auto"/>
        </w:rPr>
        <w:instrText xml:space="preserve"> REF _Ref483560393 \h  \* MERGEFORMAT </w:instrText>
      </w:r>
      <w:r w:rsidRPr="00841358">
        <w:rPr>
          <w:color w:val="auto"/>
        </w:rPr>
      </w:r>
      <w:r w:rsidRPr="00841358">
        <w:rPr>
          <w:color w:val="auto"/>
        </w:rPr>
        <w:fldChar w:fldCharType="separate"/>
      </w:r>
      <w:r w:rsidR="001B481B" w:rsidRPr="001B481B">
        <w:rPr>
          <w:color w:val="auto"/>
        </w:rPr>
        <w:t>Quadro 24</w:t>
      </w:r>
      <w:r w:rsidRPr="00841358">
        <w:rPr>
          <w:color w:val="auto"/>
        </w:rPr>
        <w:fldChar w:fldCharType="end"/>
      </w:r>
      <w:r w:rsidRPr="00841358">
        <w:rPr>
          <w:color w:val="auto"/>
        </w:rPr>
        <w:t>,</w:t>
      </w:r>
      <w:r w:rsidR="002D57EE">
        <w:rPr>
          <w:color w:val="auto"/>
        </w:rPr>
        <w:t xml:space="preserve"> </w:t>
      </w:r>
      <w:r w:rsidR="002D57EE" w:rsidRPr="005512EF">
        <w:rPr>
          <w:color w:val="auto"/>
        </w:rPr>
        <w:fldChar w:fldCharType="begin"/>
      </w:r>
      <w:r w:rsidR="002D57EE" w:rsidRPr="005512EF">
        <w:rPr>
          <w:color w:val="auto"/>
        </w:rPr>
        <w:instrText xml:space="preserve"> REF _Ref505767159 \h </w:instrText>
      </w:r>
      <w:r w:rsidR="006C5D28" w:rsidRPr="005512EF">
        <w:rPr>
          <w:color w:val="auto"/>
        </w:rPr>
        <w:instrText xml:space="preserve"> \* MERGEFORMAT </w:instrText>
      </w:r>
      <w:r w:rsidR="002D57EE" w:rsidRPr="005512EF">
        <w:rPr>
          <w:color w:val="auto"/>
        </w:rPr>
      </w:r>
      <w:r w:rsidR="002D57EE" w:rsidRPr="005512EF">
        <w:rPr>
          <w:color w:val="auto"/>
        </w:rPr>
        <w:fldChar w:fldCharType="separate"/>
      </w:r>
      <w:r w:rsidR="001B481B" w:rsidRPr="00DF4A2F">
        <w:t xml:space="preserve">Quadro </w:t>
      </w:r>
      <w:r w:rsidR="001B481B">
        <w:rPr>
          <w:noProof/>
        </w:rPr>
        <w:t>25</w:t>
      </w:r>
      <w:r w:rsidR="002D57EE" w:rsidRPr="005512EF">
        <w:rPr>
          <w:color w:val="auto"/>
        </w:rPr>
        <w:fldChar w:fldCharType="end"/>
      </w:r>
      <w:r w:rsidR="002D57EE" w:rsidRPr="005512EF">
        <w:rPr>
          <w:color w:val="auto"/>
        </w:rPr>
        <w:t>,</w:t>
      </w:r>
      <w:r w:rsidRPr="005512EF">
        <w:rPr>
          <w:color w:val="auto"/>
        </w:rPr>
        <w:t xml:space="preserve"> </w:t>
      </w:r>
      <w:r w:rsidR="005512EF" w:rsidRPr="005512EF">
        <w:rPr>
          <w:color w:val="auto"/>
        </w:rPr>
        <w:fldChar w:fldCharType="begin"/>
      </w:r>
      <w:r w:rsidR="005512EF" w:rsidRPr="005512EF">
        <w:rPr>
          <w:color w:val="auto"/>
        </w:rPr>
        <w:instrText xml:space="preserve"> REF _Ref506478479 \h </w:instrText>
      </w:r>
      <w:r w:rsidR="005512EF">
        <w:rPr>
          <w:color w:val="auto"/>
        </w:rPr>
        <w:instrText xml:space="preserve"> \* MERGEFORMAT </w:instrText>
      </w:r>
      <w:r w:rsidR="005512EF" w:rsidRPr="005512EF">
        <w:rPr>
          <w:color w:val="auto"/>
        </w:rPr>
      </w:r>
      <w:r w:rsidR="005512EF" w:rsidRPr="005512EF">
        <w:rPr>
          <w:color w:val="auto"/>
        </w:rPr>
        <w:fldChar w:fldCharType="separate"/>
      </w:r>
      <w:r w:rsidR="001B481B" w:rsidRPr="00841358">
        <w:t xml:space="preserve">Quadro </w:t>
      </w:r>
      <w:r w:rsidR="001B481B">
        <w:rPr>
          <w:noProof/>
        </w:rPr>
        <w:t>26</w:t>
      </w:r>
      <w:r w:rsidR="005512EF" w:rsidRPr="005512EF">
        <w:rPr>
          <w:color w:val="auto"/>
        </w:rPr>
        <w:fldChar w:fldCharType="end"/>
      </w:r>
      <w:r w:rsidR="005512EF" w:rsidRPr="005512EF">
        <w:rPr>
          <w:color w:val="auto"/>
        </w:rPr>
        <w:t xml:space="preserve">, </w:t>
      </w:r>
      <w:r w:rsidR="005512EF" w:rsidRPr="005512EF">
        <w:rPr>
          <w:color w:val="auto"/>
        </w:rPr>
        <w:fldChar w:fldCharType="begin"/>
      </w:r>
      <w:r w:rsidR="005512EF" w:rsidRPr="005512EF">
        <w:rPr>
          <w:color w:val="auto"/>
        </w:rPr>
        <w:instrText xml:space="preserve"> REF _Ref506478481 \h </w:instrText>
      </w:r>
      <w:r w:rsidR="005512EF">
        <w:rPr>
          <w:color w:val="auto"/>
        </w:rPr>
        <w:instrText xml:space="preserve"> \* MERGEFORMAT </w:instrText>
      </w:r>
      <w:r w:rsidR="005512EF" w:rsidRPr="005512EF">
        <w:rPr>
          <w:color w:val="auto"/>
        </w:rPr>
      </w:r>
      <w:r w:rsidR="005512EF" w:rsidRPr="005512EF">
        <w:rPr>
          <w:color w:val="auto"/>
        </w:rPr>
        <w:fldChar w:fldCharType="separate"/>
      </w:r>
      <w:r w:rsidR="001B481B" w:rsidRPr="00841358">
        <w:t xml:space="preserve">Quadro </w:t>
      </w:r>
      <w:r w:rsidR="001B481B">
        <w:rPr>
          <w:noProof/>
        </w:rPr>
        <w:t>27</w:t>
      </w:r>
      <w:r w:rsidR="005512EF" w:rsidRPr="005512EF">
        <w:rPr>
          <w:color w:val="auto"/>
        </w:rPr>
        <w:fldChar w:fldCharType="end"/>
      </w:r>
      <w:r w:rsidR="005512EF" w:rsidRPr="005512EF">
        <w:rPr>
          <w:color w:val="auto"/>
        </w:rPr>
        <w:t xml:space="preserve"> e </w:t>
      </w:r>
      <w:r w:rsidRPr="005512EF">
        <w:rPr>
          <w:color w:val="auto"/>
        </w:rPr>
        <w:fldChar w:fldCharType="begin"/>
      </w:r>
      <w:r w:rsidRPr="005512EF">
        <w:rPr>
          <w:color w:val="auto"/>
        </w:rPr>
        <w:instrText xml:space="preserve"> REF _Ref483560437 \h  \* MERGEFORMAT </w:instrText>
      </w:r>
      <w:r w:rsidRPr="005512EF">
        <w:rPr>
          <w:color w:val="auto"/>
        </w:rPr>
      </w:r>
      <w:r w:rsidRPr="005512EF">
        <w:rPr>
          <w:color w:val="auto"/>
        </w:rPr>
        <w:fldChar w:fldCharType="separate"/>
      </w:r>
      <w:r w:rsidR="001B481B" w:rsidRPr="001B481B">
        <w:rPr>
          <w:color w:val="auto"/>
        </w:rPr>
        <w:t>Quadro 28</w:t>
      </w:r>
      <w:r w:rsidRPr="005512EF">
        <w:rPr>
          <w:color w:val="auto"/>
        </w:rPr>
        <w:fldChar w:fldCharType="end"/>
      </w:r>
      <w:r w:rsidRPr="005512EF">
        <w:rPr>
          <w:color w:val="auto"/>
        </w:rPr>
        <w:t>.</w:t>
      </w:r>
    </w:p>
    <w:p w:rsidR="00671620" w:rsidRPr="00521751" w:rsidRDefault="00671620" w:rsidP="00E95583">
      <w:pPr>
        <w:pStyle w:val="Legenda"/>
        <w:rPr>
          <w:lang w:val="pt-BR"/>
        </w:rPr>
      </w:pPr>
      <w:bookmarkStart w:id="286" w:name="_Ref483560393"/>
      <w:bookmarkStart w:id="287" w:name="_Toc488825067"/>
      <w:bookmarkStart w:id="288" w:name="_Toc493151604"/>
      <w:bookmarkStart w:id="289" w:name="_Toc498593661"/>
      <w:bookmarkStart w:id="290" w:name="_Toc503949452"/>
      <w:bookmarkStart w:id="291" w:name="_Toc509935801"/>
      <w:r w:rsidRPr="00841358">
        <w:t xml:space="preserve">Quadro </w:t>
      </w:r>
      <w:r w:rsidR="000A1C78">
        <w:fldChar w:fldCharType="begin"/>
      </w:r>
      <w:r w:rsidR="000A1C78">
        <w:instrText xml:space="preserve"> SEQ Quadro \* ARABIC </w:instrText>
      </w:r>
      <w:r w:rsidR="000A1C78">
        <w:fldChar w:fldCharType="separate"/>
      </w:r>
      <w:r w:rsidR="001B481B">
        <w:rPr>
          <w:noProof/>
        </w:rPr>
        <w:t>24</w:t>
      </w:r>
      <w:r w:rsidR="000A1C78">
        <w:rPr>
          <w:noProof/>
        </w:rPr>
        <w:fldChar w:fldCharType="end"/>
      </w:r>
      <w:bookmarkEnd w:id="286"/>
      <w:r w:rsidRPr="00841358">
        <w:t xml:space="preserve"> </w:t>
      </w:r>
      <w:r w:rsidRPr="00841358">
        <w:rPr>
          <w:lang w:val="pt-BR"/>
        </w:rPr>
        <w:t>-</w:t>
      </w:r>
      <w:r w:rsidRPr="00841358">
        <w:t xml:space="preserve"> Resíduos de Construção Civil – Classificação</w:t>
      </w:r>
      <w:bookmarkEnd w:id="287"/>
      <w:bookmarkEnd w:id="288"/>
      <w:bookmarkEnd w:id="289"/>
      <w:bookmarkEnd w:id="290"/>
      <w:bookmarkEnd w:id="291"/>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D8615B" w:rsidTr="00AC47A2">
        <w:trPr>
          <w:tblHeade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rPr>
                <w:rFonts w:cs="Arial"/>
                <w:b/>
                <w:sz w:val="22"/>
              </w:rPr>
            </w:pPr>
            <w:r w:rsidRPr="00D8615B">
              <w:rPr>
                <w:rFonts w:cs="Arial"/>
                <w:b/>
                <w:sz w:val="22"/>
              </w:rPr>
              <w:t>Classificação dos RCC segundo a</w:t>
            </w:r>
            <w:r w:rsidRPr="00D8615B">
              <w:rPr>
                <w:rFonts w:cs="Arial"/>
                <w:b/>
                <w:sz w:val="22"/>
                <w:lang w:eastAsia="pt-BR"/>
              </w:rPr>
              <w:t xml:space="preserve"> Resolução CONAMA nº 307 de 2002</w:t>
            </w:r>
          </w:p>
        </w:tc>
      </w:tr>
      <w:tr w:rsidR="00671620" w:rsidRPr="00D8615B" w:rsidTr="00AC47A2">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cs="Arial"/>
                <w:sz w:val="22"/>
              </w:rPr>
            </w:pPr>
            <w:r w:rsidRPr="00D8615B">
              <w:rPr>
                <w:rFonts w:cs="Arial"/>
                <w:sz w:val="22"/>
              </w:rPr>
              <w:t>Classe A: são os resíduos reutilizáveis ou recicláveis como agregados, tais como os resíduos de pavimentação e de outras obras de infraestrutura, inclusive solos de terraplanagem; resíduos de edificações: componentes cerâmicos (tijolos, blocos, telhas, placas de revestimento etc.), argamassa e concreto; e resíduos de processo de fabricação e/ou demolição de peças pré-moldadas em concreto (blocos, tubos, meios-fios etc.) produzidas nos canteiros de obras.</w:t>
            </w:r>
          </w:p>
        </w:tc>
      </w:tr>
      <w:tr w:rsidR="00671620" w:rsidRPr="00D8615B" w:rsidTr="00AC47A2">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autoSpaceDE w:val="0"/>
              <w:autoSpaceDN w:val="0"/>
              <w:adjustRightInd w:val="0"/>
              <w:spacing w:before="120" w:after="120" w:line="240" w:lineRule="auto"/>
              <w:jc w:val="both"/>
              <w:rPr>
                <w:rFonts w:eastAsia="MS Mincho" w:cs="Arial"/>
                <w:sz w:val="22"/>
              </w:rPr>
            </w:pPr>
            <w:r w:rsidRPr="00D8615B">
              <w:rPr>
                <w:rFonts w:cs="Arial"/>
                <w:sz w:val="22"/>
              </w:rPr>
              <w:t>Classe B: são os resíduos recicláveis para outras destinações, tais como: plásticos, papel, papelão, metais, vidros, madeiras e gesso.</w:t>
            </w:r>
          </w:p>
        </w:tc>
      </w:tr>
      <w:tr w:rsidR="00671620" w:rsidRPr="00D8615B" w:rsidTr="00AC47A2">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rPr>
            </w:pPr>
            <w:r w:rsidRPr="00D8615B">
              <w:rPr>
                <w:rFonts w:cs="Arial"/>
                <w:sz w:val="22"/>
              </w:rPr>
              <w:t>Classe C: são os resíduos para os quais não foram desenvolvidas tecnologias ou aplicações economicamente viáveis que permitam a sua reciclagem ou recuperação.</w:t>
            </w:r>
          </w:p>
        </w:tc>
      </w:tr>
      <w:tr w:rsidR="00671620" w:rsidRPr="00D8615B" w:rsidTr="00AC47A2">
        <w:trPr>
          <w:trHeight w:val="51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rPr>
            </w:pPr>
            <w:r w:rsidRPr="00D8615B">
              <w:rPr>
                <w:rFonts w:cs="Arial"/>
                <w:sz w:val="22"/>
              </w:rPr>
              <w:lastRenderedPageBreak/>
              <w:t>Classe D: são resíduos perigosos oriundos do processo de construção, tais como tintas, solventes, óleos e outros ou aqueles contaminados ou prejudiciais à saúde oriundos de demolições, reformas e reparos de clínicas radiológicas, instalações industriais e outros, bem como telhas e demais objetos e materiais que contenham amianto ou outros produtos nocivos à saúde.</w:t>
            </w:r>
          </w:p>
        </w:tc>
      </w:tr>
    </w:tbl>
    <w:p w:rsidR="00671620" w:rsidRDefault="00671620" w:rsidP="00AC47A2">
      <w:pPr>
        <w:pStyle w:val="Fonte"/>
      </w:pPr>
      <w:r w:rsidRPr="00DF4A2F">
        <w:tab/>
      </w:r>
      <w:bookmarkStart w:id="292" w:name="_Ref483560404"/>
      <w:bookmarkStart w:id="293" w:name="_Toc488825068"/>
      <w:bookmarkStart w:id="294" w:name="_Toc493151605"/>
      <w:bookmarkStart w:id="295" w:name="_Toc498593662"/>
    </w:p>
    <w:p w:rsidR="00671620" w:rsidRPr="00841358" w:rsidRDefault="00671620" w:rsidP="00E95583">
      <w:pPr>
        <w:pStyle w:val="Legenda"/>
        <w:rPr>
          <w:lang w:val="pt-BR"/>
        </w:rPr>
      </w:pPr>
      <w:bookmarkStart w:id="296" w:name="_Ref505767159"/>
      <w:bookmarkStart w:id="297" w:name="_Toc503949453"/>
      <w:bookmarkStart w:id="298" w:name="_Toc509935802"/>
      <w:r w:rsidRPr="00DF4A2F">
        <w:t xml:space="preserve">Quadro </w:t>
      </w:r>
      <w:r w:rsidR="000A1C78">
        <w:fldChar w:fldCharType="begin"/>
      </w:r>
      <w:r w:rsidR="000A1C78">
        <w:instrText xml:space="preserve"> SEQ Quadro \* ARABIC </w:instrText>
      </w:r>
      <w:r w:rsidR="000A1C78">
        <w:fldChar w:fldCharType="separate"/>
      </w:r>
      <w:r w:rsidR="001B481B">
        <w:rPr>
          <w:noProof/>
        </w:rPr>
        <w:t>25</w:t>
      </w:r>
      <w:r w:rsidR="000A1C78">
        <w:rPr>
          <w:noProof/>
        </w:rPr>
        <w:fldChar w:fldCharType="end"/>
      </w:r>
      <w:bookmarkEnd w:id="292"/>
      <w:bookmarkEnd w:id="296"/>
      <w:r w:rsidRPr="00DF4A2F">
        <w:t xml:space="preserve"> - Resíduos de Construção Civil – Regras </w:t>
      </w:r>
      <w:r w:rsidRPr="00841358">
        <w:t>de coleta e transporte</w:t>
      </w:r>
      <w:bookmarkEnd w:id="293"/>
      <w:bookmarkEnd w:id="294"/>
      <w:bookmarkEnd w:id="295"/>
      <w:bookmarkEnd w:id="297"/>
      <w:bookmarkEnd w:id="298"/>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D8615B" w:rsidTr="00AC47A2">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rPr>
                <w:rFonts w:cs="Arial"/>
                <w:b/>
                <w:sz w:val="22"/>
              </w:rPr>
            </w:pPr>
            <w:r w:rsidRPr="00D8615B">
              <w:rPr>
                <w:rFonts w:cs="Arial"/>
                <w:b/>
                <w:sz w:val="22"/>
              </w:rPr>
              <w:t>Regras de coleta e transporte dos RCC segundo a</w:t>
            </w:r>
            <w:r w:rsidRPr="00D8615B">
              <w:rPr>
                <w:rFonts w:cs="Arial"/>
                <w:b/>
                <w:sz w:val="22"/>
                <w:lang w:eastAsia="pt-BR"/>
              </w:rPr>
              <w:t xml:space="preserve"> Resolução CONAMA nº 307 de 2002</w:t>
            </w:r>
          </w:p>
        </w:tc>
      </w:tr>
      <w:tr w:rsidR="00671620" w:rsidRPr="00D8615B" w:rsidTr="00AC47A2">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cs="Arial"/>
                <w:sz w:val="22"/>
              </w:rPr>
            </w:pPr>
            <w:r w:rsidRPr="00D8615B">
              <w:rPr>
                <w:rFonts w:cs="Arial"/>
                <w:sz w:val="22"/>
              </w:rPr>
              <w:t>O gerador deve garantir o confinamento dos resíduos após a geração até a etapa de transporte, assegurando em todos os casos em que seja possível, as condições de reutilização e de reciclagem.</w:t>
            </w:r>
          </w:p>
        </w:tc>
      </w:tr>
      <w:tr w:rsidR="00671620" w:rsidRPr="00D8615B" w:rsidTr="00AC47A2">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rPr>
            </w:pPr>
            <w:r w:rsidRPr="00D8615B">
              <w:rPr>
                <w:rFonts w:cs="Arial"/>
                <w:sz w:val="22"/>
              </w:rPr>
              <w:t>O transporte deverá ser realizado em conformidade com as etapas anteriores e de acordo com as normas técnicas vigentes para o transporte de resíduos.</w:t>
            </w:r>
          </w:p>
        </w:tc>
      </w:tr>
    </w:tbl>
    <w:p w:rsidR="00AC47A2" w:rsidRDefault="00AC47A2" w:rsidP="00AC47A2">
      <w:pPr>
        <w:pStyle w:val="Fonte"/>
      </w:pPr>
      <w:bookmarkStart w:id="299" w:name="_Ref483560412"/>
      <w:bookmarkStart w:id="300" w:name="_Toc488825069"/>
      <w:bookmarkStart w:id="301" w:name="_Toc493151606"/>
      <w:bookmarkStart w:id="302" w:name="_Toc498593663"/>
      <w:bookmarkStart w:id="303" w:name="_Toc503949454"/>
    </w:p>
    <w:p w:rsidR="00671620" w:rsidRPr="00841358" w:rsidRDefault="00671620" w:rsidP="00E95583">
      <w:pPr>
        <w:pStyle w:val="Legenda"/>
        <w:rPr>
          <w:lang w:val="pt-BR"/>
        </w:rPr>
      </w:pPr>
      <w:bookmarkStart w:id="304" w:name="_Ref506478479"/>
      <w:bookmarkStart w:id="305" w:name="_Toc509935803"/>
      <w:r w:rsidRPr="00841358">
        <w:t xml:space="preserve">Quadro </w:t>
      </w:r>
      <w:r w:rsidR="000A1C78">
        <w:fldChar w:fldCharType="begin"/>
      </w:r>
      <w:r w:rsidR="000A1C78">
        <w:instrText xml:space="preserve"> SEQ Quadro \* ARABIC </w:instrText>
      </w:r>
      <w:r w:rsidR="000A1C78">
        <w:fldChar w:fldCharType="separate"/>
      </w:r>
      <w:r w:rsidR="001B481B">
        <w:rPr>
          <w:noProof/>
        </w:rPr>
        <w:t>26</w:t>
      </w:r>
      <w:r w:rsidR="000A1C78">
        <w:rPr>
          <w:noProof/>
        </w:rPr>
        <w:fldChar w:fldCharType="end"/>
      </w:r>
      <w:bookmarkEnd w:id="299"/>
      <w:bookmarkEnd w:id="304"/>
      <w:r w:rsidRPr="00841358">
        <w:t xml:space="preserve"> </w:t>
      </w:r>
      <w:r w:rsidRPr="00841358">
        <w:rPr>
          <w:lang w:val="pt-BR"/>
        </w:rPr>
        <w:t>-</w:t>
      </w:r>
      <w:r w:rsidRPr="00841358">
        <w:t xml:space="preserve"> Resíduos de Construção Civil – Regras de tratamento e disposição</w:t>
      </w:r>
      <w:bookmarkEnd w:id="300"/>
      <w:bookmarkEnd w:id="301"/>
      <w:bookmarkEnd w:id="302"/>
      <w:bookmarkEnd w:id="303"/>
      <w:bookmarkEnd w:id="305"/>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D8615B" w:rsidTr="00AC47A2">
        <w:trPr>
          <w:trHeight w:val="20"/>
          <w:tblHeade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rPr>
                <w:rFonts w:cs="Arial"/>
                <w:b/>
                <w:sz w:val="22"/>
              </w:rPr>
            </w:pPr>
            <w:r w:rsidRPr="00D8615B">
              <w:rPr>
                <w:rFonts w:cs="Arial"/>
                <w:b/>
                <w:sz w:val="22"/>
              </w:rPr>
              <w:t>Regras de tratamento e disposição dos RCC segundo a</w:t>
            </w:r>
            <w:r w:rsidRPr="00D8615B">
              <w:rPr>
                <w:rFonts w:cs="Arial"/>
                <w:b/>
                <w:sz w:val="22"/>
                <w:lang w:eastAsia="pt-BR"/>
              </w:rPr>
              <w:t xml:space="preserve"> Resolução CONAMA nº 307 de 2002</w:t>
            </w:r>
          </w:p>
        </w:tc>
      </w:tr>
      <w:tr w:rsidR="00671620" w:rsidRPr="00D8615B"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cs="Arial"/>
                <w:sz w:val="22"/>
              </w:rPr>
            </w:pPr>
            <w:r w:rsidRPr="00D8615B">
              <w:rPr>
                <w:rFonts w:cs="Arial"/>
                <w:sz w:val="22"/>
              </w:rPr>
              <w:t>Os resíduos Classe A devem ser reutilizados ou reciclados na forma de agregados ou encaminhados a aterro de resíduos classe A de reservação de material para usos futuros.</w:t>
            </w:r>
          </w:p>
        </w:tc>
      </w:tr>
      <w:tr w:rsidR="00671620" w:rsidRPr="00D8615B"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rPr>
            </w:pPr>
            <w:r w:rsidRPr="00D8615B">
              <w:rPr>
                <w:rFonts w:cs="Arial"/>
                <w:sz w:val="22"/>
              </w:rPr>
              <w:t>Os resíduos Classe B devem ser reutilizados, reciclados ou encaminhados a áreas de armazenamento temporário, sendo dispostos de modo a permitir a sua utilização ou reciclagem futura.</w:t>
            </w:r>
          </w:p>
        </w:tc>
      </w:tr>
      <w:tr w:rsidR="00671620" w:rsidRPr="00D8615B"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rPr>
            </w:pPr>
            <w:r w:rsidRPr="00D8615B">
              <w:rPr>
                <w:rFonts w:cs="Arial"/>
                <w:sz w:val="22"/>
              </w:rPr>
              <w:t>Os resíduos Classe C devem ser armazenados, transportados e destinados em conformidade com as normas técnicas específicas.</w:t>
            </w:r>
          </w:p>
        </w:tc>
      </w:tr>
      <w:tr w:rsidR="00671620" w:rsidRPr="00D8615B"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rPr>
            </w:pPr>
            <w:r w:rsidRPr="00D8615B">
              <w:rPr>
                <w:rFonts w:cs="Arial"/>
                <w:sz w:val="22"/>
              </w:rPr>
              <w:t>Os resíduos Classe D devem ser armazenados, transportados e destinados em conformidade com as normas técnicas específicas.</w:t>
            </w:r>
          </w:p>
        </w:tc>
      </w:tr>
      <w:tr w:rsidR="00671620" w:rsidRPr="00D8615B"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rPr>
            </w:pPr>
            <w:r w:rsidRPr="00D8615B">
              <w:rPr>
                <w:rFonts w:cs="Arial"/>
                <w:sz w:val="22"/>
              </w:rPr>
              <w:t>Os resíduos da construção civil não podem ser dispostos em aterros de resíduos sólidos urbanos, em áreas de "bota fora", em encostas, corpos d'água, lotes vagos e em áreas protegidas por Lei.</w:t>
            </w:r>
          </w:p>
        </w:tc>
      </w:tr>
    </w:tbl>
    <w:p w:rsidR="00AC47A2" w:rsidRDefault="00AC47A2" w:rsidP="00AC47A2">
      <w:pPr>
        <w:pStyle w:val="Fonte"/>
      </w:pPr>
      <w:bookmarkStart w:id="306" w:name="_Ref483560426"/>
      <w:bookmarkStart w:id="307" w:name="_Toc488825070"/>
      <w:bookmarkStart w:id="308" w:name="_Toc493151607"/>
      <w:bookmarkStart w:id="309" w:name="_Toc498593664"/>
      <w:bookmarkStart w:id="310" w:name="_Toc503949455"/>
    </w:p>
    <w:p w:rsidR="00AC47A2" w:rsidRDefault="00AC47A2" w:rsidP="00AC47A2">
      <w:pPr>
        <w:pStyle w:val="Fonte"/>
      </w:pPr>
    </w:p>
    <w:p w:rsidR="00AC47A2" w:rsidRDefault="00AC47A2" w:rsidP="00AC47A2">
      <w:pPr>
        <w:pStyle w:val="Fonte"/>
      </w:pPr>
    </w:p>
    <w:p w:rsidR="00AC47A2" w:rsidRDefault="00AC47A2" w:rsidP="00AC47A2">
      <w:pPr>
        <w:pStyle w:val="Fonte"/>
      </w:pPr>
    </w:p>
    <w:p w:rsidR="00671620" w:rsidRPr="00841358" w:rsidRDefault="00671620" w:rsidP="00E95583">
      <w:pPr>
        <w:pStyle w:val="Legenda"/>
        <w:rPr>
          <w:lang w:val="pt-BR"/>
        </w:rPr>
      </w:pPr>
      <w:bookmarkStart w:id="311" w:name="_Ref506478481"/>
      <w:bookmarkStart w:id="312" w:name="_Toc509935804"/>
      <w:r w:rsidRPr="00841358">
        <w:lastRenderedPageBreak/>
        <w:t xml:space="preserve">Quadro </w:t>
      </w:r>
      <w:r w:rsidR="000A1C78">
        <w:fldChar w:fldCharType="begin"/>
      </w:r>
      <w:r w:rsidR="000A1C78">
        <w:instrText xml:space="preserve"> SEQ Quadro \* ARABIC </w:instrText>
      </w:r>
      <w:r w:rsidR="000A1C78">
        <w:fldChar w:fldCharType="separate"/>
      </w:r>
      <w:r w:rsidR="001B481B">
        <w:rPr>
          <w:noProof/>
        </w:rPr>
        <w:t>27</w:t>
      </w:r>
      <w:r w:rsidR="000A1C78">
        <w:rPr>
          <w:noProof/>
        </w:rPr>
        <w:fldChar w:fldCharType="end"/>
      </w:r>
      <w:bookmarkEnd w:id="306"/>
      <w:bookmarkEnd w:id="311"/>
      <w:r w:rsidRPr="00841358">
        <w:t xml:space="preserve"> </w:t>
      </w:r>
      <w:r w:rsidRPr="00841358">
        <w:rPr>
          <w:lang w:val="pt-BR"/>
        </w:rPr>
        <w:t>-</w:t>
      </w:r>
      <w:r w:rsidRPr="00841358">
        <w:t xml:space="preserve"> Resíduos de Construção Civil – Regras de licenciamento</w:t>
      </w:r>
      <w:bookmarkEnd w:id="307"/>
      <w:bookmarkEnd w:id="308"/>
      <w:bookmarkEnd w:id="309"/>
      <w:bookmarkEnd w:id="310"/>
      <w:bookmarkEnd w:id="312"/>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D8615B" w:rsidTr="00AC47A2">
        <w:trPr>
          <w:trHeight w:val="20"/>
          <w:tblHeade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rPr>
                <w:rFonts w:cs="Arial"/>
                <w:b/>
                <w:sz w:val="22"/>
              </w:rPr>
            </w:pPr>
            <w:r w:rsidRPr="00D8615B">
              <w:rPr>
                <w:rFonts w:cs="Arial"/>
                <w:b/>
                <w:sz w:val="22"/>
              </w:rPr>
              <w:t>Regras de licenciamento dos RCC segundo a</w:t>
            </w:r>
            <w:r w:rsidRPr="00D8615B">
              <w:rPr>
                <w:rFonts w:cs="Arial"/>
                <w:b/>
                <w:sz w:val="22"/>
                <w:lang w:eastAsia="pt-BR"/>
              </w:rPr>
              <w:t xml:space="preserve"> Resolução CONAMA nº 307 de 2002 e o Decreto nº 20.954 de 2014</w:t>
            </w:r>
          </w:p>
        </w:tc>
      </w:tr>
      <w:tr w:rsidR="00671620" w:rsidRPr="00D8615B"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cs="Arial"/>
                <w:sz w:val="22"/>
              </w:rPr>
            </w:pPr>
            <w:r w:rsidRPr="00D8615B">
              <w:rPr>
                <w:rFonts w:cs="Arial"/>
                <w:sz w:val="22"/>
              </w:rPr>
              <w:t>Os Planos de Gerenciamento de Resíduos da Construção Civil - PGRCC serão elaborados e implementados pelos grandes geradores e terão como objetivo estabelecer os procedimentos necessários para o manejo e destinação ambientalmente adequados dos resíduos.</w:t>
            </w:r>
          </w:p>
        </w:tc>
      </w:tr>
      <w:tr w:rsidR="00671620" w:rsidRPr="00D8615B"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rPr>
            </w:pPr>
            <w:r w:rsidRPr="00D8615B">
              <w:rPr>
                <w:rFonts w:cs="Arial"/>
                <w:sz w:val="22"/>
              </w:rPr>
              <w:t>Os PGRCC de empreendimentos e atividades sujeitos ao licenciamento ambiental deverão ser analisados dentro do processo de licenciamento, junto aos órgãos ambientais competentes.</w:t>
            </w:r>
          </w:p>
        </w:tc>
      </w:tr>
      <w:tr w:rsidR="00671620" w:rsidRPr="00D8615B"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rPr>
            </w:pPr>
            <w:r w:rsidRPr="00D8615B">
              <w:rPr>
                <w:rFonts w:cs="Arial"/>
                <w:sz w:val="22"/>
              </w:rPr>
              <w:t>Os Planos de Gerenciamento de Resíduos da Construção Civil deverão contemplar as seguintes etapas: Caracterização; Triagem; Acondicionamento; Transporte e Destinação.</w:t>
            </w:r>
          </w:p>
        </w:tc>
      </w:tr>
      <w:tr w:rsidR="00671620" w:rsidRPr="00D8615B"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rPr>
            </w:pPr>
            <w:r w:rsidRPr="00D8615B">
              <w:rPr>
                <w:rFonts w:cs="Arial"/>
                <w:sz w:val="22"/>
              </w:rPr>
              <w:t>Os Planos de Gerenciamento de Resíduos da Construção Civil, de empreendimentos e atividades não enquadrados na legislação como objeto de licenciamento ambiental, deverão ser apresentados juntamente com o projeto do empreendimento para análise pelo órgão competente do Poder Público Municipal, em conformidade com o Plano Municipal de Gestão de Resíduos da Construção Civil.</w:t>
            </w:r>
          </w:p>
        </w:tc>
      </w:tr>
    </w:tbl>
    <w:p w:rsidR="00671620" w:rsidRDefault="00671620" w:rsidP="00671620"/>
    <w:p w:rsidR="00671620" w:rsidRPr="00521751" w:rsidRDefault="00671620" w:rsidP="00E95583">
      <w:pPr>
        <w:pStyle w:val="Legenda"/>
        <w:rPr>
          <w:lang w:val="pt-BR"/>
        </w:rPr>
      </w:pPr>
      <w:bookmarkStart w:id="313" w:name="_Ref483560437"/>
      <w:bookmarkStart w:id="314" w:name="_Toc488825071"/>
      <w:bookmarkStart w:id="315" w:name="_Toc493151608"/>
      <w:bookmarkStart w:id="316" w:name="_Toc498593665"/>
      <w:bookmarkStart w:id="317" w:name="_Toc503949456"/>
      <w:bookmarkStart w:id="318" w:name="_Toc509935805"/>
      <w:r w:rsidRPr="00DF4A2F">
        <w:t xml:space="preserve">Quadro </w:t>
      </w:r>
      <w:r w:rsidR="000A1C78">
        <w:fldChar w:fldCharType="begin"/>
      </w:r>
      <w:r w:rsidR="000A1C78">
        <w:instrText xml:space="preserve"> SEQ Quadro \* ARABIC </w:instrText>
      </w:r>
      <w:r w:rsidR="000A1C78">
        <w:fldChar w:fldCharType="separate"/>
      </w:r>
      <w:r w:rsidR="001B481B">
        <w:rPr>
          <w:noProof/>
        </w:rPr>
        <w:t>28</w:t>
      </w:r>
      <w:r w:rsidR="000A1C78">
        <w:rPr>
          <w:noProof/>
        </w:rPr>
        <w:fldChar w:fldCharType="end"/>
      </w:r>
      <w:bookmarkEnd w:id="313"/>
      <w:r w:rsidRPr="00DF4A2F">
        <w:t xml:space="preserve"> </w:t>
      </w:r>
      <w:r w:rsidRPr="00DF4A2F">
        <w:rPr>
          <w:lang w:val="pt-BR"/>
        </w:rPr>
        <w:t>-</w:t>
      </w:r>
      <w:r w:rsidRPr="00DF4A2F">
        <w:t xml:space="preserve"> Resíduos de Construção Civil – </w:t>
      </w:r>
      <w:r w:rsidRPr="00841358">
        <w:t>Legislação e normas</w:t>
      </w:r>
      <w:bookmarkEnd w:id="314"/>
      <w:bookmarkEnd w:id="315"/>
      <w:bookmarkEnd w:id="316"/>
      <w:bookmarkEnd w:id="317"/>
      <w:bookmarkEnd w:id="318"/>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D8615B" w:rsidTr="00810C89">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rPr>
                <w:rFonts w:cs="Arial"/>
                <w:b/>
                <w:sz w:val="22"/>
                <w:u w:val="single"/>
              </w:rPr>
            </w:pPr>
            <w:r w:rsidRPr="00D8615B">
              <w:rPr>
                <w:rFonts w:cs="Arial"/>
                <w:b/>
                <w:sz w:val="22"/>
                <w:u w:val="single"/>
              </w:rPr>
              <w:t>Principais resoluções nacionais</w:t>
            </w:r>
          </w:p>
        </w:tc>
      </w:tr>
      <w:tr w:rsidR="00671620" w:rsidRPr="00D8615B" w:rsidTr="00810C89">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cs="Arial"/>
                <w:sz w:val="22"/>
              </w:rPr>
            </w:pPr>
            <w:r w:rsidRPr="00D8615B">
              <w:rPr>
                <w:rFonts w:cs="Arial"/>
                <w:sz w:val="22"/>
              </w:rPr>
              <w:t>Resolução CONAMA nº 448 de 18 de janeiro de 2012. Altera os arts. 2º, 4º, 5º, 8º. 9º, 10 e 11 da Resolução nº 307, de 5 de julho de 2002 do CONAMA, alterando critérios e procedimentos para a gestão dos resíduos da construção civil.</w:t>
            </w:r>
          </w:p>
        </w:tc>
      </w:tr>
      <w:tr w:rsidR="00671620" w:rsidRPr="00D8615B" w:rsidTr="00810C89">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rPr>
            </w:pPr>
            <w:r w:rsidRPr="00D8615B">
              <w:rPr>
                <w:rFonts w:cs="Arial"/>
                <w:sz w:val="22"/>
              </w:rPr>
              <w:t>Resolução CONAMA nº 431 de 24 de maio de 2011. Altera a Resolução nº 307, de 05 de julho de 2002, do Conselho Nacional do Meio Ambiente – CONAMA, estabelecendo nova classificação para o gesso.</w:t>
            </w:r>
          </w:p>
        </w:tc>
      </w:tr>
      <w:tr w:rsidR="00671620" w:rsidRPr="00D8615B" w:rsidTr="00810C89">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rPr>
            </w:pPr>
            <w:r w:rsidRPr="00D8615B">
              <w:rPr>
                <w:rFonts w:cs="Arial"/>
                <w:sz w:val="22"/>
              </w:rPr>
              <w:t>Resolução CONAMA nº 348, de 16 de agosto de 2004. Altera a Resolução nº 307, de 05 de julho de 2002, incluindo o amianto na classe de resíduos perigosos.</w:t>
            </w:r>
          </w:p>
        </w:tc>
      </w:tr>
      <w:tr w:rsidR="00671620" w:rsidRPr="00D8615B" w:rsidTr="00810C89">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rPr>
            </w:pPr>
            <w:r w:rsidRPr="00D8615B">
              <w:rPr>
                <w:rFonts w:cs="Arial"/>
                <w:sz w:val="22"/>
              </w:rPr>
              <w:t>Resolução CONAMA nº 307, de 17 de julho de 2002. Estabelece diretrizes, critérios e procedimentos para a gestão dos resíduos da construção civil. Alterada pelas resoluções CONAMA 348/04, 431/11 e 448/12.</w:t>
            </w:r>
          </w:p>
        </w:tc>
      </w:tr>
      <w:tr w:rsidR="00671620" w:rsidRPr="00D8615B" w:rsidTr="00810C89">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b/>
                <w:sz w:val="22"/>
                <w:u w:val="single"/>
              </w:rPr>
            </w:pPr>
            <w:r w:rsidRPr="00D8615B">
              <w:rPr>
                <w:rFonts w:cs="Arial"/>
                <w:b/>
                <w:sz w:val="22"/>
                <w:u w:val="single"/>
              </w:rPr>
              <w:t>Normas técnicas</w:t>
            </w:r>
          </w:p>
        </w:tc>
      </w:tr>
      <w:tr w:rsidR="00671620" w:rsidRPr="00D8615B" w:rsidTr="00810C89">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rPr>
            </w:pPr>
            <w:r w:rsidRPr="00D8615B">
              <w:rPr>
                <w:rFonts w:cs="Arial"/>
                <w:sz w:val="22"/>
              </w:rPr>
              <w:t>ABNT NBR 15112:2004 - Resíduos da construção civil e resíduos volumosos - Áreas de transbordo e triagem - Diretrizes para projeto, implantação e operação.</w:t>
            </w:r>
          </w:p>
        </w:tc>
      </w:tr>
      <w:tr w:rsidR="00671620" w:rsidRPr="00D8615B" w:rsidTr="00810C89">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D8615B">
            <w:pPr>
              <w:spacing w:before="120" w:after="120" w:line="240" w:lineRule="auto"/>
              <w:jc w:val="both"/>
              <w:rPr>
                <w:rFonts w:eastAsia="MS Mincho" w:cs="Arial"/>
                <w:sz w:val="22"/>
              </w:rPr>
            </w:pPr>
            <w:r w:rsidRPr="00D8615B">
              <w:rPr>
                <w:rFonts w:cs="Arial"/>
                <w:sz w:val="22"/>
              </w:rPr>
              <w:t>ABNT NBR 15113:2004 - Resíduos sólidos da construção civil e resíduos inertes - Aterros - Diretrizes para projeto, implantação e operação.</w:t>
            </w:r>
          </w:p>
        </w:tc>
      </w:tr>
      <w:tr w:rsidR="00671620" w:rsidRPr="00D8615B" w:rsidTr="00810C89">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D8615B">
            <w:pPr>
              <w:spacing w:before="120" w:after="120" w:line="240" w:lineRule="auto"/>
              <w:jc w:val="both"/>
              <w:rPr>
                <w:rFonts w:eastAsia="MS Mincho" w:cs="Arial"/>
                <w:sz w:val="22"/>
              </w:rPr>
            </w:pPr>
            <w:r w:rsidRPr="00D8615B">
              <w:rPr>
                <w:rFonts w:cs="Arial"/>
                <w:sz w:val="22"/>
              </w:rPr>
              <w:t>ABNT NBR 15114:2004 - Resíduos sólidos da Construção civil - Áreas de reciclagem - Diretrizes para projeto, implantação e operação.</w:t>
            </w:r>
          </w:p>
        </w:tc>
      </w:tr>
      <w:tr w:rsidR="00810C89" w:rsidRPr="00D8615B" w:rsidTr="00810C89">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810C89" w:rsidRPr="00D8615B" w:rsidRDefault="00810C89" w:rsidP="00810C89">
            <w:pPr>
              <w:spacing w:before="120" w:after="120" w:line="240" w:lineRule="auto"/>
              <w:jc w:val="both"/>
              <w:rPr>
                <w:rFonts w:eastAsia="MS Mincho" w:cs="Arial"/>
                <w:b/>
                <w:sz w:val="22"/>
                <w:u w:val="single"/>
              </w:rPr>
            </w:pPr>
            <w:r w:rsidRPr="00D8615B">
              <w:rPr>
                <w:rFonts w:cs="Arial"/>
                <w:b/>
                <w:sz w:val="22"/>
                <w:u w:val="single"/>
              </w:rPr>
              <w:lastRenderedPageBreak/>
              <w:t>Normas técnicas</w:t>
            </w:r>
          </w:p>
        </w:tc>
      </w:tr>
      <w:tr w:rsidR="00810C89" w:rsidRPr="00D8615B" w:rsidTr="00810C89">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810C89" w:rsidRPr="00D8615B" w:rsidRDefault="00810C89" w:rsidP="00D8615B">
            <w:pPr>
              <w:spacing w:before="120" w:after="120" w:line="240" w:lineRule="auto"/>
              <w:jc w:val="both"/>
              <w:rPr>
                <w:rFonts w:eastAsia="MS Mincho" w:cs="Arial"/>
                <w:sz w:val="22"/>
              </w:rPr>
            </w:pPr>
            <w:r w:rsidRPr="00D8615B">
              <w:rPr>
                <w:rFonts w:cs="Arial"/>
                <w:sz w:val="22"/>
              </w:rPr>
              <w:t>ABNT NBR 15115:2004 - Agregados reciclados de resíduos sólidos da construção civil - Execução de camadas de pavimentação – Procedimentos.</w:t>
            </w:r>
          </w:p>
        </w:tc>
      </w:tr>
      <w:tr w:rsidR="00810C89" w:rsidRPr="00D8615B" w:rsidTr="00810C89">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810C89" w:rsidRPr="00D8615B" w:rsidRDefault="00810C89" w:rsidP="00D8615B">
            <w:pPr>
              <w:spacing w:before="120" w:after="120" w:line="240" w:lineRule="auto"/>
              <w:jc w:val="both"/>
              <w:rPr>
                <w:rFonts w:eastAsia="MS Mincho" w:cs="Arial"/>
                <w:sz w:val="22"/>
              </w:rPr>
            </w:pPr>
            <w:r w:rsidRPr="00D8615B">
              <w:rPr>
                <w:rFonts w:cs="Arial"/>
                <w:sz w:val="22"/>
              </w:rPr>
              <w:t xml:space="preserve">ABNT NBR 15116:2004 - Agregados reciclados de resíduos sólidos da construção civil - Utilização em pavimentação e preparo de concreto sem função estrutural – Requisitos. </w:t>
            </w:r>
          </w:p>
        </w:tc>
      </w:tr>
      <w:tr w:rsidR="00810C89" w:rsidRPr="00D8615B" w:rsidTr="00810C89">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BE5F1" w:themeFill="accent1" w:themeFillTint="33"/>
          </w:tcPr>
          <w:p w:rsidR="00810C89" w:rsidRPr="00D8615B" w:rsidRDefault="00810C89" w:rsidP="00D8615B">
            <w:pPr>
              <w:spacing w:before="120" w:after="120" w:line="240" w:lineRule="auto"/>
              <w:jc w:val="both"/>
              <w:rPr>
                <w:rFonts w:eastAsia="MS Mincho" w:cs="Arial"/>
                <w:b/>
                <w:sz w:val="22"/>
                <w:u w:val="single"/>
              </w:rPr>
            </w:pPr>
            <w:r w:rsidRPr="00D8615B">
              <w:rPr>
                <w:rFonts w:cs="Arial"/>
                <w:b/>
                <w:sz w:val="22"/>
                <w:u w:val="single"/>
              </w:rPr>
              <w:t>Deliberações COPAM</w:t>
            </w:r>
          </w:p>
          <w:p w:rsidR="00810C89" w:rsidRPr="00D8615B" w:rsidRDefault="00810C89" w:rsidP="00D8615B">
            <w:pPr>
              <w:spacing w:before="120" w:after="120" w:line="240" w:lineRule="auto"/>
              <w:jc w:val="both"/>
              <w:rPr>
                <w:rFonts w:cs="Arial"/>
                <w:sz w:val="22"/>
              </w:rPr>
            </w:pPr>
            <w:r w:rsidRPr="00D8615B">
              <w:rPr>
                <w:rFonts w:cs="Arial"/>
                <w:sz w:val="22"/>
              </w:rPr>
              <w:t>Deliberação Normativa COPAM nº 117, de 27 de junho de 2008. Dispõe sobre a declaração de informações relativas às diversas fases de gerenciamento dos resíduos sólidos gerados pelas atividades minerarias no Estado de Minas Gerais.</w:t>
            </w:r>
          </w:p>
        </w:tc>
      </w:tr>
    </w:tbl>
    <w:p w:rsidR="00671620" w:rsidRPr="00DF4A2F" w:rsidRDefault="00671620" w:rsidP="00AC47A2">
      <w:pPr>
        <w:pStyle w:val="Fonte"/>
      </w:pPr>
    </w:p>
    <w:p w:rsidR="00671620" w:rsidRPr="00DF4A2F" w:rsidRDefault="00671620" w:rsidP="00BC01B1">
      <w:pPr>
        <w:pStyle w:val="Ttulo4"/>
      </w:pPr>
      <w:bookmarkStart w:id="319" w:name="_Toc488825325"/>
      <w:bookmarkStart w:id="320" w:name="_Toc493151491"/>
      <w:bookmarkStart w:id="321" w:name="_Toc498593469"/>
      <w:bookmarkStart w:id="322" w:name="_Toc504404441"/>
      <w:bookmarkStart w:id="323" w:name="_Toc509935480"/>
      <w:r w:rsidRPr="00DF4A2F">
        <w:t>Resíduos agrossilvopastoris – embalagens de agrotóxicos</w:t>
      </w:r>
      <w:bookmarkEnd w:id="319"/>
      <w:bookmarkEnd w:id="320"/>
      <w:bookmarkEnd w:id="321"/>
      <w:bookmarkEnd w:id="322"/>
      <w:bookmarkEnd w:id="323"/>
    </w:p>
    <w:p w:rsidR="00671620" w:rsidRDefault="00671620" w:rsidP="00671620">
      <w:pPr>
        <w:pStyle w:val="Default"/>
        <w:spacing w:line="360" w:lineRule="auto"/>
        <w:ind w:firstLine="709"/>
        <w:jc w:val="both"/>
        <w:rPr>
          <w:color w:val="auto"/>
        </w:rPr>
      </w:pPr>
      <w:r w:rsidRPr="00DF4A2F">
        <w:rPr>
          <w:color w:val="auto"/>
        </w:rPr>
        <w:t xml:space="preserve">Os resíduos agrossilvopastoris são aqueles “gerados nas atividades agropecuárias e silviculturais, incluídos os relacionados a insumos utilizados nessas atividades”, segundo o art. 13 da </w:t>
      </w:r>
      <w:r w:rsidRPr="00030CD0">
        <w:rPr>
          <w:color w:val="auto"/>
        </w:rPr>
        <w:t xml:space="preserve">Lei n° 12.305 de 2010. O </w:t>
      </w:r>
      <w:r w:rsidRPr="00030CD0">
        <w:rPr>
          <w:color w:val="auto"/>
        </w:rPr>
        <w:fldChar w:fldCharType="begin"/>
      </w:r>
      <w:r w:rsidRPr="00030CD0">
        <w:rPr>
          <w:color w:val="auto"/>
        </w:rPr>
        <w:instrText xml:space="preserve"> REF _Ref487127055 \h  \* MERGEFORMAT </w:instrText>
      </w:r>
      <w:r w:rsidRPr="00030CD0">
        <w:rPr>
          <w:color w:val="auto"/>
        </w:rPr>
      </w:r>
      <w:r w:rsidRPr="00030CD0">
        <w:rPr>
          <w:color w:val="auto"/>
        </w:rPr>
        <w:fldChar w:fldCharType="separate"/>
      </w:r>
      <w:r w:rsidR="001B481B" w:rsidRPr="00DF4A2F">
        <w:t xml:space="preserve">Quadro </w:t>
      </w:r>
      <w:r w:rsidR="001B481B">
        <w:rPr>
          <w:noProof/>
        </w:rPr>
        <w:t>29</w:t>
      </w:r>
      <w:r w:rsidRPr="00030CD0">
        <w:rPr>
          <w:color w:val="auto"/>
        </w:rPr>
        <w:fldChar w:fldCharType="end"/>
      </w:r>
      <w:r w:rsidRPr="00030CD0">
        <w:rPr>
          <w:color w:val="auto"/>
        </w:rPr>
        <w:t xml:space="preserve">, </w:t>
      </w:r>
      <w:r w:rsidR="00030CD0" w:rsidRPr="00030CD0">
        <w:rPr>
          <w:color w:val="auto"/>
        </w:rPr>
        <w:fldChar w:fldCharType="begin"/>
      </w:r>
      <w:r w:rsidR="00030CD0" w:rsidRPr="00030CD0">
        <w:rPr>
          <w:color w:val="auto"/>
        </w:rPr>
        <w:instrText xml:space="preserve"> REF _Ref506478517 \h </w:instrText>
      </w:r>
      <w:r w:rsidR="00030CD0">
        <w:rPr>
          <w:color w:val="auto"/>
        </w:rPr>
        <w:instrText xml:space="preserve"> \* MERGEFORMAT </w:instrText>
      </w:r>
      <w:r w:rsidR="00030CD0" w:rsidRPr="00030CD0">
        <w:rPr>
          <w:color w:val="auto"/>
        </w:rPr>
      </w:r>
      <w:r w:rsidR="00030CD0" w:rsidRPr="00030CD0">
        <w:rPr>
          <w:color w:val="auto"/>
        </w:rPr>
        <w:fldChar w:fldCharType="separate"/>
      </w:r>
      <w:r w:rsidR="001B481B" w:rsidRPr="00841358">
        <w:t xml:space="preserve">Quadro </w:t>
      </w:r>
      <w:r w:rsidR="001B481B">
        <w:rPr>
          <w:noProof/>
        </w:rPr>
        <w:t>30</w:t>
      </w:r>
      <w:r w:rsidR="00030CD0" w:rsidRPr="00030CD0">
        <w:rPr>
          <w:color w:val="auto"/>
        </w:rPr>
        <w:fldChar w:fldCharType="end"/>
      </w:r>
      <w:r w:rsidR="00030CD0" w:rsidRPr="00030CD0">
        <w:rPr>
          <w:color w:val="auto"/>
        </w:rPr>
        <w:t xml:space="preserve">, </w:t>
      </w:r>
      <w:r w:rsidR="00030CD0" w:rsidRPr="00030CD0">
        <w:rPr>
          <w:color w:val="auto"/>
        </w:rPr>
        <w:fldChar w:fldCharType="begin"/>
      </w:r>
      <w:r w:rsidR="00030CD0" w:rsidRPr="00030CD0">
        <w:rPr>
          <w:color w:val="auto"/>
        </w:rPr>
        <w:instrText xml:space="preserve"> REF _Ref506478519 \h </w:instrText>
      </w:r>
      <w:r w:rsidR="00030CD0">
        <w:rPr>
          <w:color w:val="auto"/>
        </w:rPr>
        <w:instrText xml:space="preserve"> \* MERGEFORMAT </w:instrText>
      </w:r>
      <w:r w:rsidR="00030CD0" w:rsidRPr="00030CD0">
        <w:rPr>
          <w:color w:val="auto"/>
        </w:rPr>
      </w:r>
      <w:r w:rsidR="00030CD0" w:rsidRPr="00030CD0">
        <w:rPr>
          <w:color w:val="auto"/>
        </w:rPr>
        <w:fldChar w:fldCharType="separate"/>
      </w:r>
      <w:r w:rsidR="001B481B" w:rsidRPr="00DF4A2F">
        <w:t xml:space="preserve">Quadro </w:t>
      </w:r>
      <w:r w:rsidR="001B481B">
        <w:rPr>
          <w:noProof/>
        </w:rPr>
        <w:t>31</w:t>
      </w:r>
      <w:r w:rsidR="00030CD0" w:rsidRPr="00030CD0">
        <w:rPr>
          <w:color w:val="auto"/>
        </w:rPr>
        <w:fldChar w:fldCharType="end"/>
      </w:r>
      <w:r w:rsidR="00030CD0" w:rsidRPr="00030CD0">
        <w:rPr>
          <w:color w:val="auto"/>
        </w:rPr>
        <w:t xml:space="preserve">, </w:t>
      </w:r>
      <w:r w:rsidR="00030CD0" w:rsidRPr="00030CD0">
        <w:rPr>
          <w:color w:val="auto"/>
        </w:rPr>
        <w:fldChar w:fldCharType="begin"/>
      </w:r>
      <w:r w:rsidR="00030CD0" w:rsidRPr="00030CD0">
        <w:rPr>
          <w:color w:val="auto"/>
        </w:rPr>
        <w:instrText xml:space="preserve"> REF _Ref506478520 \h </w:instrText>
      </w:r>
      <w:r w:rsidR="00030CD0">
        <w:rPr>
          <w:color w:val="auto"/>
        </w:rPr>
        <w:instrText xml:space="preserve"> \* MERGEFORMAT </w:instrText>
      </w:r>
      <w:r w:rsidR="00030CD0" w:rsidRPr="00030CD0">
        <w:rPr>
          <w:color w:val="auto"/>
        </w:rPr>
      </w:r>
      <w:r w:rsidR="00030CD0" w:rsidRPr="00030CD0">
        <w:rPr>
          <w:color w:val="auto"/>
        </w:rPr>
        <w:fldChar w:fldCharType="separate"/>
      </w:r>
      <w:r w:rsidR="001B481B" w:rsidRPr="00841358">
        <w:t xml:space="preserve">Quadro </w:t>
      </w:r>
      <w:r w:rsidR="001B481B">
        <w:rPr>
          <w:noProof/>
        </w:rPr>
        <w:t>32</w:t>
      </w:r>
      <w:r w:rsidR="00030CD0" w:rsidRPr="00030CD0">
        <w:rPr>
          <w:color w:val="auto"/>
        </w:rPr>
        <w:fldChar w:fldCharType="end"/>
      </w:r>
      <w:r w:rsidR="00030CD0" w:rsidRPr="00030CD0">
        <w:rPr>
          <w:color w:val="auto"/>
        </w:rPr>
        <w:t xml:space="preserve"> e </w:t>
      </w:r>
      <w:r w:rsidR="00030CD0" w:rsidRPr="00030CD0">
        <w:rPr>
          <w:color w:val="auto"/>
        </w:rPr>
        <w:fldChar w:fldCharType="begin"/>
      </w:r>
      <w:r w:rsidR="00030CD0" w:rsidRPr="00030CD0">
        <w:rPr>
          <w:color w:val="auto"/>
        </w:rPr>
        <w:instrText xml:space="preserve"> REF _Ref506478522 \h </w:instrText>
      </w:r>
      <w:r w:rsidR="00030CD0">
        <w:rPr>
          <w:color w:val="auto"/>
        </w:rPr>
        <w:instrText xml:space="preserve"> \* MERGEFORMAT </w:instrText>
      </w:r>
      <w:r w:rsidR="00030CD0" w:rsidRPr="00030CD0">
        <w:rPr>
          <w:color w:val="auto"/>
        </w:rPr>
      </w:r>
      <w:r w:rsidR="00030CD0" w:rsidRPr="00030CD0">
        <w:rPr>
          <w:color w:val="auto"/>
        </w:rPr>
        <w:fldChar w:fldCharType="separate"/>
      </w:r>
      <w:r w:rsidR="001B481B" w:rsidRPr="00DF4A2F">
        <w:t xml:space="preserve">Quadro </w:t>
      </w:r>
      <w:r w:rsidR="001B481B">
        <w:rPr>
          <w:noProof/>
        </w:rPr>
        <w:t>33</w:t>
      </w:r>
      <w:r w:rsidR="00030CD0" w:rsidRPr="00030CD0">
        <w:rPr>
          <w:color w:val="auto"/>
        </w:rPr>
        <w:fldChar w:fldCharType="end"/>
      </w:r>
      <w:r w:rsidR="00030CD0" w:rsidRPr="00030CD0">
        <w:rPr>
          <w:color w:val="auto"/>
        </w:rPr>
        <w:t xml:space="preserve"> </w:t>
      </w:r>
      <w:r w:rsidRPr="00030CD0">
        <w:rPr>
          <w:color w:val="auto"/>
        </w:rPr>
        <w:t>apresentam as normas específicas.</w:t>
      </w:r>
    </w:p>
    <w:p w:rsidR="00671620" w:rsidRPr="00841358" w:rsidRDefault="00671620" w:rsidP="00E95583">
      <w:pPr>
        <w:pStyle w:val="Legenda"/>
        <w:rPr>
          <w:lang w:val="pt-BR"/>
        </w:rPr>
      </w:pPr>
      <w:bookmarkStart w:id="324" w:name="_Ref487127055"/>
      <w:bookmarkStart w:id="325" w:name="_Toc488825072"/>
      <w:bookmarkStart w:id="326" w:name="_Toc493151609"/>
      <w:bookmarkStart w:id="327" w:name="_Toc498593666"/>
      <w:bookmarkStart w:id="328" w:name="_Toc503949457"/>
      <w:bookmarkStart w:id="329" w:name="_Toc509935806"/>
      <w:r w:rsidRPr="00DF4A2F">
        <w:t xml:space="preserve">Quadro </w:t>
      </w:r>
      <w:r w:rsidR="000A1C78">
        <w:fldChar w:fldCharType="begin"/>
      </w:r>
      <w:r w:rsidR="000A1C78">
        <w:instrText xml:space="preserve"> SEQ Quadro \* ARABIC </w:instrText>
      </w:r>
      <w:r w:rsidR="000A1C78">
        <w:fldChar w:fldCharType="separate"/>
      </w:r>
      <w:r w:rsidR="001B481B">
        <w:rPr>
          <w:noProof/>
        </w:rPr>
        <w:t>29</w:t>
      </w:r>
      <w:r w:rsidR="000A1C78">
        <w:rPr>
          <w:noProof/>
        </w:rPr>
        <w:fldChar w:fldCharType="end"/>
      </w:r>
      <w:bookmarkEnd w:id="324"/>
      <w:r w:rsidRPr="00DF4A2F">
        <w:t xml:space="preserve"> </w:t>
      </w:r>
      <w:r w:rsidRPr="00DF4A2F">
        <w:rPr>
          <w:lang w:val="pt-BR"/>
        </w:rPr>
        <w:t>-</w:t>
      </w:r>
      <w:r w:rsidRPr="00DF4A2F">
        <w:t xml:space="preserve"> Resíduos Agrossilvopastoris – </w:t>
      </w:r>
      <w:r w:rsidRPr="00841358">
        <w:t>Regras de coleta e transporte</w:t>
      </w:r>
      <w:bookmarkEnd w:id="325"/>
      <w:bookmarkEnd w:id="326"/>
      <w:bookmarkEnd w:id="327"/>
      <w:bookmarkEnd w:id="328"/>
      <w:bookmarkEnd w:id="329"/>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D8615B"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AC47A2">
            <w:pPr>
              <w:spacing w:before="120" w:after="120" w:line="240" w:lineRule="auto"/>
              <w:rPr>
                <w:rFonts w:cs="Arial"/>
                <w:b/>
                <w:sz w:val="22"/>
              </w:rPr>
            </w:pPr>
            <w:r w:rsidRPr="00D8615B">
              <w:rPr>
                <w:rFonts w:cs="Arial"/>
                <w:b/>
                <w:sz w:val="22"/>
              </w:rPr>
              <w:t>Regras de coleta e transporte segundo a Resolução CONAMA nº 334 de 2003</w:t>
            </w:r>
          </w:p>
        </w:tc>
      </w:tr>
      <w:tr w:rsidR="00671620" w:rsidRPr="00D8615B"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AC47A2">
            <w:pPr>
              <w:spacing w:before="120" w:after="120" w:line="240" w:lineRule="auto"/>
              <w:jc w:val="both"/>
              <w:rPr>
                <w:rFonts w:cs="Arial"/>
                <w:sz w:val="22"/>
              </w:rPr>
            </w:pPr>
            <w:r w:rsidRPr="00D8615B">
              <w:rPr>
                <w:rFonts w:cs="Arial"/>
                <w:sz w:val="22"/>
              </w:rPr>
              <w:t>As embalagens vazias devem ser, temporariamente, armazenadas na propriedade.</w:t>
            </w:r>
          </w:p>
        </w:tc>
      </w:tr>
      <w:tr w:rsidR="00671620" w:rsidRPr="00D8615B"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AC47A2">
            <w:pPr>
              <w:spacing w:before="120" w:after="120" w:line="240" w:lineRule="auto"/>
              <w:jc w:val="both"/>
              <w:rPr>
                <w:rFonts w:eastAsia="MS Mincho" w:cs="Arial"/>
                <w:sz w:val="22"/>
              </w:rPr>
            </w:pPr>
            <w:r w:rsidRPr="00D8615B">
              <w:rPr>
                <w:rFonts w:cs="Arial"/>
                <w:sz w:val="22"/>
              </w:rPr>
              <w:t>As embalagens vazias devem ser transportadas e devolvidas com suas respectivas tampas, para a unidade de recebimento mais próxima (procurar orientação junto aos revendedores sobre os locais para a devolução das embalagens), no prazo de até um ano, contado da data de sua compra.</w:t>
            </w:r>
          </w:p>
        </w:tc>
      </w:tr>
      <w:tr w:rsidR="00671620" w:rsidRPr="00D8615B"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AC47A2">
            <w:pPr>
              <w:spacing w:before="120" w:after="120" w:line="240" w:lineRule="auto"/>
              <w:jc w:val="both"/>
              <w:rPr>
                <w:rFonts w:eastAsia="MS Mincho" w:cs="Arial"/>
                <w:sz w:val="22"/>
              </w:rPr>
            </w:pPr>
            <w:r w:rsidRPr="00D8615B">
              <w:rPr>
                <w:rFonts w:cs="Arial"/>
                <w:sz w:val="22"/>
              </w:rPr>
              <w:t>Os comprovantes de entrega das embalagens e a nota fiscal de compra do produto deverão ser mantidos pelo poder dos usuários.</w:t>
            </w:r>
          </w:p>
        </w:tc>
      </w:tr>
      <w:tr w:rsidR="00671620" w:rsidRPr="00D8615B"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AC47A2">
            <w:pPr>
              <w:spacing w:before="120" w:after="120" w:line="240" w:lineRule="auto"/>
              <w:jc w:val="both"/>
              <w:rPr>
                <w:rFonts w:eastAsia="MS Mincho" w:cs="Arial"/>
                <w:sz w:val="22"/>
              </w:rPr>
            </w:pPr>
            <w:r w:rsidRPr="00D8615B">
              <w:rPr>
                <w:rFonts w:cs="Arial"/>
                <w:sz w:val="22"/>
              </w:rPr>
              <w:t>Os veículos (unidades volantes) destinados à coleta regular de embalagens vazias de agrotóxicos e afins para posterior entrega em posto, central ou local de destinação final ambientalmente adequada estão sujeitos à legislação específica para o transporte de cargas perigosas.</w:t>
            </w:r>
          </w:p>
        </w:tc>
      </w:tr>
    </w:tbl>
    <w:p w:rsidR="00AC47A2" w:rsidRDefault="00AC47A2" w:rsidP="00AC47A2">
      <w:pPr>
        <w:pStyle w:val="Fonte"/>
      </w:pPr>
      <w:bookmarkStart w:id="330" w:name="_Ref487127066"/>
      <w:bookmarkStart w:id="331" w:name="_Toc488825073"/>
      <w:bookmarkStart w:id="332" w:name="_Toc493151610"/>
      <w:bookmarkStart w:id="333" w:name="_Toc498593667"/>
      <w:bookmarkStart w:id="334" w:name="_Toc503949458"/>
    </w:p>
    <w:p w:rsidR="00AC47A2" w:rsidRDefault="00AC47A2" w:rsidP="00AC47A2">
      <w:pPr>
        <w:pStyle w:val="Fonte"/>
      </w:pPr>
    </w:p>
    <w:p w:rsidR="00AC47A2" w:rsidRDefault="00AC47A2" w:rsidP="00AC47A2">
      <w:pPr>
        <w:pStyle w:val="Fonte"/>
      </w:pPr>
    </w:p>
    <w:p w:rsidR="00AC47A2" w:rsidRDefault="00AC47A2" w:rsidP="00AC47A2">
      <w:pPr>
        <w:pStyle w:val="Fonte"/>
      </w:pPr>
    </w:p>
    <w:p w:rsidR="00AC47A2" w:rsidRDefault="00AC47A2" w:rsidP="00AC47A2">
      <w:pPr>
        <w:pStyle w:val="Fonte"/>
      </w:pPr>
    </w:p>
    <w:p w:rsidR="00AC47A2" w:rsidRDefault="00AC47A2" w:rsidP="00AC47A2">
      <w:pPr>
        <w:pStyle w:val="Fonte"/>
      </w:pPr>
    </w:p>
    <w:p w:rsidR="00671620" w:rsidRPr="003E7782" w:rsidRDefault="00671620" w:rsidP="00E95583">
      <w:pPr>
        <w:pStyle w:val="Legenda"/>
        <w:rPr>
          <w:lang w:val="pt-BR"/>
        </w:rPr>
      </w:pPr>
      <w:bookmarkStart w:id="335" w:name="_Ref506478517"/>
      <w:bookmarkStart w:id="336" w:name="_Toc509935807"/>
      <w:r w:rsidRPr="00841358">
        <w:lastRenderedPageBreak/>
        <w:t xml:space="preserve">Quadro </w:t>
      </w:r>
      <w:r w:rsidR="000A1C78">
        <w:fldChar w:fldCharType="begin"/>
      </w:r>
      <w:r w:rsidR="000A1C78">
        <w:instrText xml:space="preserve"> SEQ Quadro \* ARABIC </w:instrText>
      </w:r>
      <w:r w:rsidR="000A1C78">
        <w:fldChar w:fldCharType="separate"/>
      </w:r>
      <w:r w:rsidR="001B481B">
        <w:rPr>
          <w:noProof/>
        </w:rPr>
        <w:t>30</w:t>
      </w:r>
      <w:r w:rsidR="000A1C78">
        <w:rPr>
          <w:noProof/>
        </w:rPr>
        <w:fldChar w:fldCharType="end"/>
      </w:r>
      <w:bookmarkEnd w:id="330"/>
      <w:bookmarkEnd w:id="335"/>
      <w:r w:rsidRPr="00841358">
        <w:t xml:space="preserve"> </w:t>
      </w:r>
      <w:r w:rsidRPr="00841358">
        <w:rPr>
          <w:lang w:val="pt-BR"/>
        </w:rPr>
        <w:t>-</w:t>
      </w:r>
      <w:r w:rsidRPr="00841358">
        <w:t xml:space="preserve"> Resíduos Agrossilvopastoris – Regras de triagem e transbordo</w:t>
      </w:r>
      <w:bookmarkEnd w:id="331"/>
      <w:bookmarkEnd w:id="332"/>
      <w:bookmarkEnd w:id="333"/>
      <w:bookmarkEnd w:id="334"/>
      <w:bookmarkEnd w:id="336"/>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D8615B" w:rsidTr="00AC47A2">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AC47A2">
            <w:pPr>
              <w:spacing w:before="120" w:after="120" w:line="240" w:lineRule="auto"/>
              <w:rPr>
                <w:rFonts w:cs="Arial"/>
                <w:b/>
                <w:sz w:val="22"/>
              </w:rPr>
            </w:pPr>
            <w:r w:rsidRPr="00D8615B">
              <w:rPr>
                <w:rFonts w:cs="Arial"/>
                <w:b/>
                <w:sz w:val="22"/>
              </w:rPr>
              <w:t>Regras de triagem e transbordo segundo a Resolução CONAMA nº 334 de 2003</w:t>
            </w:r>
          </w:p>
        </w:tc>
      </w:tr>
      <w:tr w:rsidR="00671620" w:rsidRPr="00D8615B" w:rsidTr="00AC47A2">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8615B" w:rsidRDefault="00671620" w:rsidP="00AC47A2">
            <w:pPr>
              <w:spacing w:before="120" w:after="120" w:line="240" w:lineRule="auto"/>
              <w:jc w:val="both"/>
              <w:rPr>
                <w:rFonts w:cs="Arial"/>
                <w:sz w:val="22"/>
              </w:rPr>
            </w:pPr>
            <w:r w:rsidRPr="00D8615B">
              <w:rPr>
                <w:rFonts w:cs="Arial"/>
                <w:sz w:val="22"/>
              </w:rPr>
              <w:t>Os critérios de adequação de estabelecimento comercial para as operações de recebimento e armazenamento temporário das embalagens vazias de agrotóxicos e afins serão definidos pelo órgão ambiental competente.</w:t>
            </w:r>
          </w:p>
        </w:tc>
      </w:tr>
      <w:tr w:rsidR="00671620" w:rsidRPr="00D8615B" w:rsidTr="00AC47A2">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8615B" w:rsidRDefault="00671620" w:rsidP="00AC47A2">
            <w:pPr>
              <w:spacing w:before="120" w:after="120" w:line="240" w:lineRule="auto"/>
              <w:jc w:val="both"/>
              <w:rPr>
                <w:rFonts w:eastAsia="MS Mincho" w:cs="Arial"/>
                <w:sz w:val="22"/>
              </w:rPr>
            </w:pPr>
            <w:r w:rsidRPr="00D8615B">
              <w:rPr>
                <w:rFonts w:cs="Arial"/>
                <w:sz w:val="22"/>
              </w:rPr>
              <w:t>Os postos e centrais não poderão receber embalagens com restos de produtos, produtos em desuso, ou impróprios para comercialização e utilização.</w:t>
            </w:r>
          </w:p>
        </w:tc>
      </w:tr>
    </w:tbl>
    <w:p w:rsidR="00AC47A2" w:rsidRDefault="00AC47A2" w:rsidP="00AC47A2">
      <w:pPr>
        <w:pStyle w:val="Fonte"/>
      </w:pPr>
      <w:bookmarkStart w:id="337" w:name="_Ref487127076"/>
      <w:bookmarkStart w:id="338" w:name="_Toc488825074"/>
      <w:bookmarkStart w:id="339" w:name="_Toc493151611"/>
      <w:bookmarkStart w:id="340" w:name="_Toc498593668"/>
      <w:bookmarkStart w:id="341" w:name="_Toc503949459"/>
    </w:p>
    <w:p w:rsidR="00671620" w:rsidRPr="00841358" w:rsidRDefault="00671620" w:rsidP="00E95583">
      <w:pPr>
        <w:pStyle w:val="Legenda"/>
        <w:rPr>
          <w:lang w:val="pt-BR"/>
        </w:rPr>
      </w:pPr>
      <w:bookmarkStart w:id="342" w:name="_Ref506478519"/>
      <w:bookmarkStart w:id="343" w:name="_Toc509935808"/>
      <w:r w:rsidRPr="00DF4A2F">
        <w:t xml:space="preserve">Quadro </w:t>
      </w:r>
      <w:r w:rsidR="000A1C78">
        <w:fldChar w:fldCharType="begin"/>
      </w:r>
      <w:r w:rsidR="000A1C78">
        <w:instrText xml:space="preserve"> SEQ Quadro \* ARABIC </w:instrText>
      </w:r>
      <w:r w:rsidR="000A1C78">
        <w:fldChar w:fldCharType="separate"/>
      </w:r>
      <w:r w:rsidR="001B481B">
        <w:rPr>
          <w:noProof/>
        </w:rPr>
        <w:t>31</w:t>
      </w:r>
      <w:r w:rsidR="000A1C78">
        <w:rPr>
          <w:noProof/>
        </w:rPr>
        <w:fldChar w:fldCharType="end"/>
      </w:r>
      <w:bookmarkEnd w:id="337"/>
      <w:bookmarkEnd w:id="342"/>
      <w:r w:rsidRPr="00DF4A2F">
        <w:t xml:space="preserve"> </w:t>
      </w:r>
      <w:r w:rsidRPr="00DF4A2F">
        <w:rPr>
          <w:lang w:val="pt-BR"/>
        </w:rPr>
        <w:t>-</w:t>
      </w:r>
      <w:r w:rsidRPr="00DF4A2F">
        <w:t xml:space="preserve"> Resíduos Agrossilvopastoris – </w:t>
      </w:r>
      <w:r w:rsidRPr="00841358">
        <w:t>Regras de tratamento e disposição</w:t>
      </w:r>
      <w:bookmarkEnd w:id="338"/>
      <w:bookmarkEnd w:id="339"/>
      <w:bookmarkEnd w:id="340"/>
      <w:bookmarkEnd w:id="341"/>
      <w:bookmarkEnd w:id="343"/>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841358"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841358" w:rsidRDefault="00671620" w:rsidP="00AC47A2">
            <w:pPr>
              <w:spacing w:before="120" w:after="120" w:line="240" w:lineRule="auto"/>
              <w:rPr>
                <w:b/>
                <w:sz w:val="20"/>
                <w:szCs w:val="20"/>
              </w:rPr>
            </w:pPr>
            <w:r w:rsidRPr="00841358">
              <w:rPr>
                <w:b/>
                <w:sz w:val="20"/>
                <w:szCs w:val="20"/>
              </w:rPr>
              <w:t>Regras de tratamento e disposição final segundo a Resolução CONAMA nº 334 de 2003</w:t>
            </w:r>
          </w:p>
        </w:tc>
      </w:tr>
      <w:tr w:rsidR="00671620" w:rsidRPr="00841358"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841358" w:rsidRDefault="00671620" w:rsidP="00AC47A2">
            <w:pPr>
              <w:spacing w:before="120" w:after="120" w:line="240" w:lineRule="auto"/>
              <w:jc w:val="both"/>
              <w:rPr>
                <w:sz w:val="20"/>
                <w:szCs w:val="20"/>
              </w:rPr>
            </w:pPr>
            <w:r w:rsidRPr="00841358">
              <w:rPr>
                <w:sz w:val="20"/>
                <w:szCs w:val="20"/>
              </w:rPr>
              <w:t>Cabe às empresas instaladas ou que venham a se instalar no território municipal, a responsabilidade pela construção e gerenciamento de unidades de recebimento de embalagens vazias de defensivos agrícolas.</w:t>
            </w:r>
          </w:p>
        </w:tc>
      </w:tr>
      <w:tr w:rsidR="00671620" w:rsidRPr="00841358"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841358" w:rsidRDefault="00671620" w:rsidP="00AC47A2">
            <w:pPr>
              <w:spacing w:before="120" w:after="120" w:line="240" w:lineRule="auto"/>
              <w:jc w:val="both"/>
              <w:rPr>
                <w:rFonts w:eastAsia="MS Mincho"/>
                <w:sz w:val="20"/>
                <w:szCs w:val="20"/>
              </w:rPr>
            </w:pPr>
            <w:r w:rsidRPr="00841358">
              <w:rPr>
                <w:sz w:val="20"/>
                <w:szCs w:val="20"/>
              </w:rPr>
              <w:t>Para encerrar as atividades, o empreendedor deve, previamente, requerer Autorização de Desativação, juntando Plano de Encerramento da Atividade, nele incluindo medidas de recuperação da área atingida e indenização de possíveis vítimas.</w:t>
            </w:r>
          </w:p>
        </w:tc>
      </w:tr>
      <w:tr w:rsidR="00671620" w:rsidRPr="00841358"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841358" w:rsidRDefault="00671620" w:rsidP="00AC47A2">
            <w:pPr>
              <w:spacing w:before="120" w:after="120" w:line="240" w:lineRule="auto"/>
              <w:jc w:val="both"/>
              <w:rPr>
                <w:rFonts w:eastAsia="MS Mincho"/>
                <w:sz w:val="20"/>
                <w:szCs w:val="20"/>
              </w:rPr>
            </w:pPr>
            <w:r w:rsidRPr="00841358">
              <w:rPr>
                <w:sz w:val="20"/>
                <w:szCs w:val="20"/>
              </w:rPr>
              <w:t>Não podem ser instalados galpões em áreas de mananciais.</w:t>
            </w:r>
          </w:p>
        </w:tc>
      </w:tr>
    </w:tbl>
    <w:p w:rsidR="00AC47A2" w:rsidRDefault="00AC47A2" w:rsidP="00AC47A2">
      <w:pPr>
        <w:pStyle w:val="Fonte"/>
      </w:pPr>
      <w:bookmarkStart w:id="344" w:name="_Ref487127088"/>
      <w:bookmarkStart w:id="345" w:name="_Toc488825075"/>
      <w:bookmarkStart w:id="346" w:name="_Toc493151612"/>
      <w:bookmarkStart w:id="347" w:name="_Toc498593669"/>
      <w:bookmarkStart w:id="348" w:name="_Toc503949460"/>
    </w:p>
    <w:p w:rsidR="00671620" w:rsidRPr="00841358" w:rsidRDefault="00671620" w:rsidP="00E95583">
      <w:pPr>
        <w:pStyle w:val="Legenda"/>
      </w:pPr>
      <w:bookmarkStart w:id="349" w:name="_Ref506478520"/>
      <w:bookmarkStart w:id="350" w:name="_Toc509935809"/>
      <w:r w:rsidRPr="00841358">
        <w:t xml:space="preserve">Quadro </w:t>
      </w:r>
      <w:r w:rsidR="000A1C78">
        <w:fldChar w:fldCharType="begin"/>
      </w:r>
      <w:r w:rsidR="000A1C78">
        <w:instrText xml:space="preserve"> SEQ Quadro \* ARABIC </w:instrText>
      </w:r>
      <w:r w:rsidR="000A1C78">
        <w:fldChar w:fldCharType="separate"/>
      </w:r>
      <w:r w:rsidR="001B481B">
        <w:rPr>
          <w:noProof/>
        </w:rPr>
        <w:t>32</w:t>
      </w:r>
      <w:r w:rsidR="000A1C78">
        <w:rPr>
          <w:noProof/>
        </w:rPr>
        <w:fldChar w:fldCharType="end"/>
      </w:r>
      <w:bookmarkEnd w:id="344"/>
      <w:bookmarkEnd w:id="349"/>
      <w:r w:rsidRPr="00841358">
        <w:t xml:space="preserve"> </w:t>
      </w:r>
      <w:r w:rsidRPr="00841358">
        <w:rPr>
          <w:lang w:val="pt-BR"/>
        </w:rPr>
        <w:t>-</w:t>
      </w:r>
      <w:r w:rsidRPr="00841358">
        <w:t xml:space="preserve"> Resíduos Agrossilvopastoris – Regras de licenciamento</w:t>
      </w:r>
      <w:bookmarkEnd w:id="345"/>
      <w:bookmarkEnd w:id="346"/>
      <w:bookmarkEnd w:id="347"/>
      <w:bookmarkEnd w:id="348"/>
      <w:bookmarkEnd w:id="350"/>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DF4A2F" w:rsidTr="00AC47A2">
        <w:trPr>
          <w:trHeight w:val="20"/>
          <w:tblHeade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F4A2F" w:rsidRDefault="00671620" w:rsidP="00AC47A2">
            <w:pPr>
              <w:spacing w:before="120" w:after="120" w:line="240" w:lineRule="auto"/>
              <w:rPr>
                <w:b/>
                <w:sz w:val="20"/>
                <w:szCs w:val="20"/>
              </w:rPr>
            </w:pPr>
            <w:r w:rsidRPr="00841358">
              <w:rPr>
                <w:b/>
                <w:sz w:val="20"/>
                <w:szCs w:val="20"/>
              </w:rPr>
              <w:t>Regras de licenciamento segundo a Resolução CONAMA nº 334 de 2003</w:t>
            </w:r>
          </w:p>
        </w:tc>
      </w:tr>
      <w:tr w:rsidR="00671620" w:rsidRPr="00DF4A2F"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F4A2F" w:rsidRDefault="00671620" w:rsidP="00AC47A2">
            <w:pPr>
              <w:spacing w:before="120" w:after="120" w:line="240" w:lineRule="auto"/>
              <w:jc w:val="both"/>
              <w:rPr>
                <w:sz w:val="20"/>
                <w:szCs w:val="20"/>
              </w:rPr>
            </w:pPr>
            <w:r w:rsidRPr="00DF4A2F">
              <w:rPr>
                <w:sz w:val="20"/>
                <w:szCs w:val="20"/>
              </w:rPr>
              <w:t>Posto é considerado a unidade que se destina ao recebimento, controle e armazenamento temporário das embalagens vazias de agrotóxicos e afins, até que as mesmas sejam transferidas à central, ou diretamente à destinação final ambientalmente adequada. Central possui a mesma definição de posto, com o acréscimo da redução de volume, conforme o art. 2° da CONAMA nº 334/03.</w:t>
            </w:r>
          </w:p>
        </w:tc>
      </w:tr>
      <w:tr w:rsidR="00671620" w:rsidRPr="00DF4A2F"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F4A2F" w:rsidRDefault="00671620" w:rsidP="00AC47A2">
            <w:pPr>
              <w:spacing w:before="120" w:after="120" w:line="240" w:lineRule="auto"/>
              <w:jc w:val="both"/>
              <w:rPr>
                <w:rFonts w:eastAsia="MS Mincho"/>
                <w:sz w:val="20"/>
                <w:szCs w:val="20"/>
              </w:rPr>
            </w:pPr>
            <w:r w:rsidRPr="00DF4A2F">
              <w:rPr>
                <w:sz w:val="20"/>
                <w:szCs w:val="20"/>
              </w:rPr>
              <w:t>A localização, construção, instalação, modificação e operação de posto e central de recebimento de embalagens vazias de agrotóxicos e afins dependerão de prévio licenciamento do órgão ambiental competente, sem prejuízo de outras licenças legalmente exigíveis.</w:t>
            </w:r>
          </w:p>
        </w:tc>
      </w:tr>
      <w:tr w:rsidR="00671620" w:rsidRPr="00DF4A2F"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F4A2F" w:rsidRDefault="00671620" w:rsidP="00AC47A2">
            <w:pPr>
              <w:spacing w:before="120" w:after="120" w:line="240" w:lineRule="auto"/>
              <w:jc w:val="both"/>
              <w:rPr>
                <w:rFonts w:eastAsia="MS Mincho"/>
                <w:sz w:val="20"/>
                <w:szCs w:val="20"/>
              </w:rPr>
            </w:pPr>
            <w:r w:rsidRPr="00DF4A2F">
              <w:rPr>
                <w:sz w:val="20"/>
                <w:szCs w:val="20"/>
              </w:rPr>
              <w:t>O órgão ambiental competente exigirá para o licenciamento ambiental de posto e central, no mínimo, os itens relacionados no art. 5° da CONAMA nº 334/03, exigindo-os, a seu critério, em cada uma de suas etapas.</w:t>
            </w:r>
          </w:p>
        </w:tc>
      </w:tr>
    </w:tbl>
    <w:p w:rsidR="00AC47A2" w:rsidRDefault="00AC47A2" w:rsidP="00AC47A2">
      <w:pPr>
        <w:pStyle w:val="Fonte"/>
      </w:pPr>
      <w:bookmarkStart w:id="351" w:name="_Ref487127098"/>
      <w:bookmarkStart w:id="352" w:name="_Toc488825076"/>
      <w:bookmarkStart w:id="353" w:name="_Toc493151613"/>
      <w:bookmarkStart w:id="354" w:name="_Toc498593670"/>
      <w:bookmarkStart w:id="355" w:name="_Toc503949461"/>
    </w:p>
    <w:p w:rsidR="00671620" w:rsidRPr="00841358" w:rsidRDefault="00671620" w:rsidP="00E95583">
      <w:pPr>
        <w:pStyle w:val="Legenda"/>
        <w:rPr>
          <w:lang w:val="pt-BR"/>
        </w:rPr>
      </w:pPr>
      <w:bookmarkStart w:id="356" w:name="_Ref506478522"/>
      <w:bookmarkStart w:id="357" w:name="_Toc509935810"/>
      <w:r w:rsidRPr="00DF4A2F">
        <w:t xml:space="preserve">Quadro </w:t>
      </w:r>
      <w:r w:rsidR="000A1C78">
        <w:fldChar w:fldCharType="begin"/>
      </w:r>
      <w:r w:rsidR="000A1C78">
        <w:instrText xml:space="preserve"> SEQ Quadro \* ARABIC </w:instrText>
      </w:r>
      <w:r w:rsidR="000A1C78">
        <w:fldChar w:fldCharType="separate"/>
      </w:r>
      <w:r w:rsidR="001B481B">
        <w:rPr>
          <w:noProof/>
        </w:rPr>
        <w:t>33</w:t>
      </w:r>
      <w:r w:rsidR="000A1C78">
        <w:rPr>
          <w:noProof/>
        </w:rPr>
        <w:fldChar w:fldCharType="end"/>
      </w:r>
      <w:bookmarkEnd w:id="351"/>
      <w:bookmarkEnd w:id="356"/>
      <w:r w:rsidRPr="00DF4A2F">
        <w:t xml:space="preserve"> </w:t>
      </w:r>
      <w:r w:rsidRPr="00DF4A2F">
        <w:rPr>
          <w:lang w:val="pt-BR"/>
        </w:rPr>
        <w:t>-</w:t>
      </w:r>
      <w:r w:rsidRPr="00DF4A2F">
        <w:t xml:space="preserve"> Resíduos Agrossilvopastoris – </w:t>
      </w:r>
      <w:r w:rsidRPr="00841358">
        <w:t>Legislação e normas</w:t>
      </w:r>
      <w:bookmarkEnd w:id="352"/>
      <w:bookmarkEnd w:id="353"/>
      <w:bookmarkEnd w:id="354"/>
      <w:bookmarkEnd w:id="355"/>
      <w:bookmarkEnd w:id="357"/>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DF4A2F" w:rsidTr="00AC47A2">
        <w:trPr>
          <w:cantSplit/>
          <w:trHeight w:val="20"/>
          <w:tblHeade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F4A2F" w:rsidRDefault="00671620" w:rsidP="00AC47A2">
            <w:pPr>
              <w:spacing w:before="120" w:after="120" w:line="240" w:lineRule="auto"/>
              <w:rPr>
                <w:b/>
                <w:sz w:val="20"/>
                <w:szCs w:val="20"/>
                <w:u w:val="single"/>
              </w:rPr>
            </w:pPr>
            <w:r w:rsidRPr="00841358">
              <w:rPr>
                <w:b/>
                <w:sz w:val="20"/>
                <w:szCs w:val="20"/>
                <w:u w:val="single"/>
              </w:rPr>
              <w:t>Leis e decretos federais</w:t>
            </w:r>
          </w:p>
        </w:tc>
      </w:tr>
      <w:tr w:rsidR="00671620" w:rsidRPr="00DF4A2F"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F4A2F" w:rsidRDefault="00671620" w:rsidP="00AC47A2">
            <w:pPr>
              <w:spacing w:before="120" w:after="120" w:line="240" w:lineRule="auto"/>
              <w:jc w:val="both"/>
              <w:rPr>
                <w:sz w:val="20"/>
                <w:szCs w:val="20"/>
              </w:rPr>
            </w:pPr>
            <w:r w:rsidRPr="00DF4A2F">
              <w:rPr>
                <w:sz w:val="20"/>
                <w:szCs w:val="20"/>
              </w:rPr>
              <w:t>Decreto nº 4.074, de 04 de janeiro de 2002. Regulamenta a Lei nº 7.802, de 11 de julho de 1989.</w:t>
            </w:r>
          </w:p>
        </w:tc>
      </w:tr>
      <w:tr w:rsidR="00671620" w:rsidRPr="00DF4A2F"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F4A2F" w:rsidRDefault="00671620" w:rsidP="00AC47A2">
            <w:pPr>
              <w:spacing w:before="120" w:after="120" w:line="240" w:lineRule="auto"/>
              <w:jc w:val="both"/>
              <w:rPr>
                <w:rFonts w:eastAsia="MS Mincho"/>
                <w:sz w:val="20"/>
                <w:szCs w:val="20"/>
              </w:rPr>
            </w:pPr>
            <w:r w:rsidRPr="00DF4A2F">
              <w:rPr>
                <w:sz w:val="20"/>
                <w:szCs w:val="20"/>
              </w:rPr>
              <w:t>Lei nº 9.974, de 06 de junho de 2000. Altera a Lei nº 7.082, de 11 de julho de 1989.</w:t>
            </w:r>
          </w:p>
        </w:tc>
      </w:tr>
      <w:tr w:rsidR="00671620" w:rsidRPr="00DF4A2F"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F4A2F" w:rsidRDefault="00671620" w:rsidP="00AC47A2">
            <w:pPr>
              <w:spacing w:before="120" w:after="120" w:line="240" w:lineRule="auto"/>
              <w:jc w:val="both"/>
              <w:rPr>
                <w:rFonts w:eastAsia="MS Mincho"/>
                <w:sz w:val="20"/>
                <w:szCs w:val="20"/>
                <w:u w:val="single"/>
              </w:rPr>
            </w:pPr>
            <w:r w:rsidRPr="00DF4A2F">
              <w:rPr>
                <w:sz w:val="20"/>
                <w:szCs w:val="20"/>
              </w:rPr>
              <w:lastRenderedPageBreak/>
              <w:t>Lei nº 7.802, de 11 de julho de 1989. Dispõe sobre a pesquisa, a experimentação, a produção, a embalagem e a rotulagem, o transporte, o armazenamento, a comercialização, a propaganda comercial, a utilização, a importação, a exportação, o destino final dos resíduos e embalagens, o registro, a classificação, o controle, a inspeção e a fiscalização de agrotóxicos, seus componentes e afins, e dá outras providências. Alterada pela Lei nº 9.974, de 06.06.00.</w:t>
            </w:r>
          </w:p>
        </w:tc>
      </w:tr>
      <w:tr w:rsidR="00671620" w:rsidRPr="00DF4A2F"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F4A2F" w:rsidRDefault="00671620" w:rsidP="00AC47A2">
            <w:pPr>
              <w:spacing w:before="120" w:after="120" w:line="240" w:lineRule="auto"/>
              <w:jc w:val="both"/>
              <w:rPr>
                <w:rFonts w:eastAsia="MS Mincho"/>
                <w:b/>
                <w:sz w:val="20"/>
                <w:szCs w:val="20"/>
                <w:u w:val="single"/>
              </w:rPr>
            </w:pPr>
            <w:r w:rsidRPr="00DF4A2F">
              <w:rPr>
                <w:b/>
                <w:sz w:val="20"/>
                <w:szCs w:val="20"/>
                <w:u w:val="single"/>
              </w:rPr>
              <w:t>Principais resoluções nacionais</w:t>
            </w:r>
          </w:p>
        </w:tc>
      </w:tr>
      <w:tr w:rsidR="00671620" w:rsidRPr="00DF4A2F"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F4A2F" w:rsidRDefault="00671620" w:rsidP="00AC47A2">
            <w:pPr>
              <w:spacing w:before="120" w:after="120" w:line="240" w:lineRule="auto"/>
              <w:jc w:val="both"/>
              <w:rPr>
                <w:rFonts w:eastAsia="MS Mincho"/>
                <w:sz w:val="20"/>
                <w:szCs w:val="20"/>
              </w:rPr>
            </w:pPr>
            <w:r w:rsidRPr="00DF4A2F">
              <w:rPr>
                <w:sz w:val="20"/>
                <w:szCs w:val="20"/>
              </w:rPr>
              <w:t>Resolução CONAMA nº 334, de 03 de abril de 2003. Dispõe sobre os procedimentos de licenciamento ambiental de estabelecimentos destinados ao recebimento de embalagens vazias de agrotóxicos.</w:t>
            </w:r>
          </w:p>
        </w:tc>
      </w:tr>
      <w:tr w:rsidR="00671620" w:rsidRPr="00DF4A2F"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F4A2F" w:rsidRDefault="00671620" w:rsidP="00AC47A2">
            <w:pPr>
              <w:spacing w:before="120" w:after="120" w:line="240" w:lineRule="auto"/>
              <w:jc w:val="both"/>
              <w:rPr>
                <w:rFonts w:eastAsia="MS Mincho"/>
                <w:b/>
                <w:sz w:val="20"/>
                <w:szCs w:val="20"/>
                <w:u w:val="single"/>
              </w:rPr>
            </w:pPr>
            <w:r w:rsidRPr="00DF4A2F">
              <w:rPr>
                <w:b/>
                <w:sz w:val="20"/>
                <w:szCs w:val="20"/>
                <w:u w:val="single"/>
              </w:rPr>
              <w:t>Normas técnicas</w:t>
            </w:r>
          </w:p>
        </w:tc>
      </w:tr>
      <w:tr w:rsidR="00671620" w:rsidRPr="00DF4A2F"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F4A2F" w:rsidRDefault="00671620" w:rsidP="00AC47A2">
            <w:pPr>
              <w:spacing w:before="120" w:after="120" w:line="240" w:lineRule="auto"/>
              <w:jc w:val="both"/>
              <w:rPr>
                <w:rFonts w:eastAsia="MS Mincho"/>
                <w:sz w:val="20"/>
                <w:szCs w:val="20"/>
              </w:rPr>
            </w:pPr>
            <w:r w:rsidRPr="00DF4A2F">
              <w:rPr>
                <w:sz w:val="20"/>
                <w:szCs w:val="20"/>
              </w:rPr>
              <w:t xml:space="preserve">ABNT NBR 7500:2013 - </w:t>
            </w:r>
            <w:r w:rsidRPr="00DF4A2F">
              <w:rPr>
                <w:sz w:val="20"/>
                <w:szCs w:val="20"/>
                <w:lang w:val="pt-PT"/>
              </w:rPr>
              <w:t>Identificação para o transporte terrestre, manuseio, movimentação e armazenamento de produtos.</w:t>
            </w:r>
          </w:p>
        </w:tc>
      </w:tr>
      <w:tr w:rsidR="00671620" w:rsidRPr="00DF4A2F"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F4A2F" w:rsidRDefault="00671620" w:rsidP="00AC47A2">
            <w:pPr>
              <w:autoSpaceDE w:val="0"/>
              <w:autoSpaceDN w:val="0"/>
              <w:adjustRightInd w:val="0"/>
              <w:spacing w:before="120" w:after="120" w:line="240" w:lineRule="auto"/>
              <w:jc w:val="both"/>
              <w:rPr>
                <w:rFonts w:eastAsia="MS Mincho"/>
                <w:sz w:val="20"/>
                <w:szCs w:val="20"/>
                <w:lang w:val="pt-PT"/>
              </w:rPr>
            </w:pPr>
            <w:r w:rsidRPr="00DF4A2F">
              <w:rPr>
                <w:sz w:val="20"/>
                <w:szCs w:val="20"/>
                <w:lang w:val="pt-PT"/>
              </w:rPr>
              <w:t xml:space="preserve">NBR 7501:2011 - Transporte terrestre de produtos perigosos </w:t>
            </w:r>
            <w:r>
              <w:rPr>
                <w:sz w:val="20"/>
                <w:szCs w:val="20"/>
                <w:lang w:val="pt-PT"/>
              </w:rPr>
              <w:t>–</w:t>
            </w:r>
            <w:r w:rsidRPr="00DF4A2F">
              <w:rPr>
                <w:sz w:val="20"/>
                <w:szCs w:val="20"/>
                <w:lang w:val="pt-PT"/>
              </w:rPr>
              <w:t xml:space="preserve"> Terminologia</w:t>
            </w:r>
            <w:r>
              <w:rPr>
                <w:sz w:val="20"/>
                <w:szCs w:val="20"/>
                <w:lang w:val="pt-PT"/>
              </w:rPr>
              <w:t>.</w:t>
            </w:r>
          </w:p>
        </w:tc>
      </w:tr>
      <w:tr w:rsidR="00671620" w:rsidRPr="00DF4A2F"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F4A2F" w:rsidRDefault="00671620" w:rsidP="00AC47A2">
            <w:pPr>
              <w:autoSpaceDE w:val="0"/>
              <w:autoSpaceDN w:val="0"/>
              <w:adjustRightInd w:val="0"/>
              <w:spacing w:before="120" w:after="120" w:line="240" w:lineRule="auto"/>
              <w:jc w:val="both"/>
              <w:rPr>
                <w:rFonts w:eastAsia="MS Mincho"/>
                <w:sz w:val="20"/>
                <w:szCs w:val="20"/>
                <w:lang w:val="pt-PT"/>
              </w:rPr>
            </w:pPr>
            <w:r w:rsidRPr="00DF4A2F">
              <w:rPr>
                <w:sz w:val="20"/>
                <w:szCs w:val="20"/>
                <w:lang w:val="pt-PT"/>
              </w:rPr>
              <w:t>NBR 7503:2013 - Ficha de emergência e envelope para o transporte terrestre de produtos perigosos - Características, dimensões e preenchimento.</w:t>
            </w:r>
          </w:p>
        </w:tc>
      </w:tr>
      <w:tr w:rsidR="00671620" w:rsidRPr="00DF4A2F"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F4A2F" w:rsidRDefault="00671620" w:rsidP="00AC47A2">
            <w:pPr>
              <w:autoSpaceDE w:val="0"/>
              <w:autoSpaceDN w:val="0"/>
              <w:adjustRightInd w:val="0"/>
              <w:spacing w:before="120" w:after="120" w:line="240" w:lineRule="auto"/>
              <w:jc w:val="both"/>
              <w:rPr>
                <w:rFonts w:eastAsia="MS Mincho"/>
                <w:sz w:val="20"/>
                <w:szCs w:val="20"/>
              </w:rPr>
            </w:pPr>
            <w:r w:rsidRPr="00DF4A2F">
              <w:rPr>
                <w:sz w:val="20"/>
                <w:szCs w:val="20"/>
              </w:rPr>
              <w:t>ABNT NBR 13227:2006 – Agrotóxicos e afins - Determinação de resíduo não</w:t>
            </w:r>
            <w:r>
              <w:rPr>
                <w:sz w:val="20"/>
                <w:szCs w:val="20"/>
              </w:rPr>
              <w:t xml:space="preserve"> </w:t>
            </w:r>
            <w:r w:rsidRPr="00DF4A2F">
              <w:rPr>
                <w:sz w:val="20"/>
                <w:szCs w:val="20"/>
              </w:rPr>
              <w:t>volátil.</w:t>
            </w:r>
          </w:p>
        </w:tc>
      </w:tr>
      <w:tr w:rsidR="00671620" w:rsidRPr="00DF4A2F"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F4A2F" w:rsidRDefault="00671620" w:rsidP="00AC47A2">
            <w:pPr>
              <w:autoSpaceDE w:val="0"/>
              <w:autoSpaceDN w:val="0"/>
              <w:adjustRightInd w:val="0"/>
              <w:spacing w:before="120" w:after="120" w:line="240" w:lineRule="auto"/>
              <w:jc w:val="both"/>
              <w:rPr>
                <w:rFonts w:eastAsia="MS Mincho"/>
                <w:sz w:val="20"/>
                <w:szCs w:val="20"/>
              </w:rPr>
            </w:pPr>
            <w:r w:rsidRPr="00DF4A2F">
              <w:rPr>
                <w:sz w:val="20"/>
                <w:szCs w:val="20"/>
              </w:rPr>
              <w:t>ABNT NBR 13230:2008 – Embalagens e acondicionamento plásticos recicláveis - Identificação e simbologia.</w:t>
            </w:r>
          </w:p>
        </w:tc>
      </w:tr>
      <w:tr w:rsidR="00671620" w:rsidRPr="00DF4A2F"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F4A2F" w:rsidRDefault="00671620" w:rsidP="00AC47A2">
            <w:pPr>
              <w:spacing w:before="120" w:after="120" w:line="240" w:lineRule="auto"/>
              <w:jc w:val="both"/>
              <w:rPr>
                <w:rFonts w:eastAsia="MS Mincho"/>
                <w:sz w:val="20"/>
                <w:szCs w:val="20"/>
              </w:rPr>
            </w:pPr>
            <w:r w:rsidRPr="00DF4A2F">
              <w:rPr>
                <w:sz w:val="20"/>
                <w:szCs w:val="20"/>
              </w:rPr>
              <w:t>ABNT NBR 13968:1997 - Embalagem rígida vazia de agrotóxico - Procedimentos de lavagem</w:t>
            </w:r>
          </w:p>
        </w:tc>
      </w:tr>
      <w:tr w:rsidR="00671620" w:rsidRPr="00DF4A2F"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DF4A2F" w:rsidRDefault="00671620" w:rsidP="00AC47A2">
            <w:pPr>
              <w:spacing w:before="120" w:after="120" w:line="240" w:lineRule="auto"/>
              <w:jc w:val="both"/>
              <w:rPr>
                <w:rFonts w:eastAsia="MS Mincho"/>
                <w:sz w:val="20"/>
                <w:szCs w:val="20"/>
              </w:rPr>
            </w:pPr>
            <w:r w:rsidRPr="00DF4A2F">
              <w:rPr>
                <w:sz w:val="20"/>
                <w:szCs w:val="20"/>
              </w:rPr>
              <w:t xml:space="preserve">NBR 14719:2001 - Embalagem rígida vazia de agrotóxico - destinação final da embalagem lavada </w:t>
            </w:r>
            <w:r>
              <w:rPr>
                <w:sz w:val="20"/>
                <w:szCs w:val="20"/>
              </w:rPr>
              <w:t>–</w:t>
            </w:r>
            <w:r w:rsidRPr="00DF4A2F">
              <w:rPr>
                <w:sz w:val="20"/>
                <w:szCs w:val="20"/>
              </w:rPr>
              <w:t xml:space="preserve"> Procedimento</w:t>
            </w:r>
            <w:r>
              <w:rPr>
                <w:sz w:val="20"/>
                <w:szCs w:val="20"/>
              </w:rPr>
              <w:t>.</w:t>
            </w:r>
            <w:r w:rsidRPr="00DF4A2F">
              <w:rPr>
                <w:sz w:val="20"/>
                <w:szCs w:val="20"/>
              </w:rPr>
              <w:t xml:space="preserve"> </w:t>
            </w:r>
          </w:p>
        </w:tc>
      </w:tr>
      <w:tr w:rsidR="00671620" w:rsidRPr="00DF4A2F"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DF4A2F" w:rsidRDefault="00671620" w:rsidP="00AC47A2">
            <w:pPr>
              <w:spacing w:before="120" w:after="120" w:line="240" w:lineRule="auto"/>
              <w:jc w:val="both"/>
              <w:rPr>
                <w:rFonts w:eastAsia="MS Mincho"/>
                <w:sz w:val="20"/>
                <w:szCs w:val="20"/>
              </w:rPr>
            </w:pPr>
            <w:r w:rsidRPr="00DF4A2F">
              <w:rPr>
                <w:sz w:val="20"/>
                <w:szCs w:val="20"/>
              </w:rPr>
              <w:t>NBR 14935:2003 - Embalagem vazia de agrotóxico - Destinação final de embalagem não lavada – Procedimento.</w:t>
            </w:r>
          </w:p>
        </w:tc>
      </w:tr>
    </w:tbl>
    <w:p w:rsidR="00671620" w:rsidRPr="00DF4A2F" w:rsidRDefault="00671620" w:rsidP="00671620">
      <w:pPr>
        <w:autoSpaceDE w:val="0"/>
        <w:autoSpaceDN w:val="0"/>
        <w:adjustRightInd w:val="0"/>
        <w:rPr>
          <w:lang w:eastAsia="pt-BR"/>
        </w:rPr>
      </w:pPr>
    </w:p>
    <w:p w:rsidR="00671620" w:rsidRDefault="00671620" w:rsidP="00671620">
      <w:pPr>
        <w:pStyle w:val="Default"/>
        <w:spacing w:line="360" w:lineRule="auto"/>
        <w:ind w:firstLine="709"/>
        <w:jc w:val="both"/>
        <w:rPr>
          <w:color w:val="auto"/>
        </w:rPr>
      </w:pPr>
      <w:r w:rsidRPr="00DF4A2F">
        <w:rPr>
          <w:color w:val="auto"/>
        </w:rPr>
        <w:t>O art. 5º da Resolução CONAMA nº 334 de 2003 dispõe os itens mínimos para o licenciamento de posto e central de resíduos agrossilvospastoris, conforme segue:</w:t>
      </w:r>
    </w:p>
    <w:p w:rsidR="00407BB1" w:rsidRDefault="00407BB1" w:rsidP="00671620">
      <w:pPr>
        <w:pStyle w:val="Default"/>
        <w:spacing w:line="360" w:lineRule="auto"/>
        <w:ind w:firstLine="709"/>
        <w:jc w:val="both"/>
        <w:rPr>
          <w:color w:val="auto"/>
        </w:rPr>
      </w:pPr>
      <w:r>
        <w:rPr>
          <w:color w:val="auto"/>
        </w:rPr>
        <w:br w:type="page"/>
      </w:r>
    </w:p>
    <w:p w:rsidR="00407BB1" w:rsidRDefault="00407BB1" w:rsidP="00671620">
      <w:pPr>
        <w:rPr>
          <w:bCs/>
          <w:i/>
          <w:sz w:val="20"/>
          <w:szCs w:val="20"/>
        </w:rPr>
        <w:sectPr w:rsidR="00407BB1" w:rsidSect="000336E1">
          <w:headerReference w:type="default" r:id="rId32"/>
          <w:footerReference w:type="default" r:id="rId33"/>
          <w:pgSz w:w="11906" w:h="16838"/>
          <w:pgMar w:top="1134" w:right="1134" w:bottom="1134" w:left="1418" w:header="709" w:footer="709" w:gutter="0"/>
          <w:cols w:space="708"/>
          <w:docGrid w:linePitch="360"/>
        </w:sectPr>
      </w:pPr>
    </w:p>
    <w:p w:rsidR="00671620" w:rsidRPr="00DF4A2F" w:rsidRDefault="00407BB1" w:rsidP="00671620">
      <w:pPr>
        <w:rPr>
          <w:bCs/>
          <w:i/>
          <w:sz w:val="20"/>
          <w:szCs w:val="20"/>
        </w:rPr>
      </w:pPr>
      <w:r w:rsidRPr="00DF4A2F">
        <w:rPr>
          <w:bCs/>
          <w:i/>
          <w:sz w:val="20"/>
          <w:szCs w:val="20"/>
        </w:rPr>
        <w:lastRenderedPageBreak/>
        <w:t xml:space="preserve"> </w:t>
      </w:r>
      <w:r w:rsidR="00671620" w:rsidRPr="00DF4A2F">
        <w:rPr>
          <w:bCs/>
          <w:i/>
          <w:sz w:val="20"/>
          <w:szCs w:val="20"/>
        </w:rPr>
        <w:t>“Art. 5° O órgão ambiental competente exigirá para o licenciamento ambiental de posto</w:t>
      </w:r>
      <w:r w:rsidR="00671620">
        <w:rPr>
          <w:bCs/>
          <w:i/>
          <w:sz w:val="20"/>
          <w:szCs w:val="20"/>
        </w:rPr>
        <w:t xml:space="preserve"> </w:t>
      </w:r>
      <w:r w:rsidR="00671620" w:rsidRPr="00DF4A2F">
        <w:rPr>
          <w:bCs/>
          <w:i/>
          <w:sz w:val="20"/>
          <w:szCs w:val="20"/>
        </w:rPr>
        <w:t>e central, no mínimo, os itens relacionados abaixo, exigindo-os, a seu critério, em cada uma de suas etapas:</w:t>
      </w:r>
    </w:p>
    <w:p w:rsidR="00671620" w:rsidRPr="00DF4A2F" w:rsidRDefault="00671620" w:rsidP="00671620">
      <w:pPr>
        <w:rPr>
          <w:bCs/>
          <w:i/>
          <w:sz w:val="20"/>
          <w:szCs w:val="20"/>
        </w:rPr>
      </w:pPr>
      <w:r w:rsidRPr="00DF4A2F">
        <w:rPr>
          <w:bCs/>
          <w:i/>
          <w:sz w:val="20"/>
          <w:szCs w:val="20"/>
        </w:rPr>
        <w:t>I - projeto básico que deverá seguir, no mínimo, as especificações de construção que constam do anexo II, destacando o sistema de drenagem;</w:t>
      </w:r>
    </w:p>
    <w:p w:rsidR="00671620" w:rsidRPr="00DF4A2F" w:rsidRDefault="00671620" w:rsidP="00671620">
      <w:pPr>
        <w:rPr>
          <w:bCs/>
          <w:i/>
          <w:sz w:val="20"/>
          <w:szCs w:val="20"/>
        </w:rPr>
      </w:pPr>
      <w:r w:rsidRPr="00DF4A2F">
        <w:rPr>
          <w:bCs/>
          <w:i/>
          <w:sz w:val="20"/>
          <w:szCs w:val="20"/>
        </w:rPr>
        <w:t>II - declaração da Prefeitura Municipal ou do Governo do Distrito Federal, de que o local e o tipo de empreendimento estão de acordo com o Plano Diretor ou similar;</w:t>
      </w:r>
    </w:p>
    <w:p w:rsidR="00407BB1" w:rsidRDefault="00671620" w:rsidP="00671620">
      <w:pPr>
        <w:rPr>
          <w:bCs/>
          <w:i/>
          <w:sz w:val="20"/>
          <w:szCs w:val="20"/>
        </w:rPr>
      </w:pPr>
      <w:r w:rsidRPr="00DF4A2F">
        <w:rPr>
          <w:bCs/>
          <w:i/>
          <w:sz w:val="20"/>
          <w:szCs w:val="20"/>
        </w:rPr>
        <w:t xml:space="preserve">III - croqui de localização dos postos e centrais, locando o mesmo dentro da bacia hidrográfica, ou sub-bacia, com rede de drenagem, áreas de preservação permanente, edificações, </w:t>
      </w:r>
    </w:p>
    <w:p w:rsidR="00671620" w:rsidRPr="00DF4A2F" w:rsidRDefault="00671620" w:rsidP="00671620">
      <w:pPr>
        <w:rPr>
          <w:bCs/>
          <w:i/>
          <w:sz w:val="20"/>
          <w:szCs w:val="20"/>
        </w:rPr>
      </w:pPr>
      <w:r w:rsidRPr="00DF4A2F">
        <w:rPr>
          <w:bCs/>
          <w:i/>
          <w:sz w:val="20"/>
          <w:szCs w:val="20"/>
        </w:rPr>
        <w:t>vegetação, em um raio mínimo de quinhentos metros;</w:t>
      </w:r>
    </w:p>
    <w:p w:rsidR="00671620" w:rsidRPr="00DF4A2F" w:rsidRDefault="00671620" w:rsidP="00671620">
      <w:pPr>
        <w:rPr>
          <w:bCs/>
          <w:i/>
          <w:sz w:val="20"/>
          <w:szCs w:val="20"/>
        </w:rPr>
      </w:pPr>
      <w:r w:rsidRPr="00DF4A2F">
        <w:rPr>
          <w:bCs/>
          <w:i/>
          <w:sz w:val="20"/>
          <w:szCs w:val="20"/>
        </w:rPr>
        <w:t xml:space="preserve">IV - termo de compromisso firmado pela empresa registrante de agrotóxicos e afins, ou por sua entidade representativa, garantindo o recolhimento, transporte e destinação final das </w:t>
      </w:r>
      <w:r w:rsidRPr="00DF4A2F">
        <w:rPr>
          <w:bCs/>
          <w:i/>
          <w:sz w:val="20"/>
          <w:szCs w:val="20"/>
        </w:rPr>
        <w:lastRenderedPageBreak/>
        <w:t>embalagens vazias recebidas, com previsão de multa diária, conforme legislação pertinente;</w:t>
      </w:r>
    </w:p>
    <w:p w:rsidR="00671620" w:rsidRPr="00DF4A2F" w:rsidRDefault="00671620" w:rsidP="00671620">
      <w:pPr>
        <w:rPr>
          <w:bCs/>
          <w:i/>
          <w:sz w:val="20"/>
          <w:szCs w:val="20"/>
        </w:rPr>
      </w:pPr>
      <w:r w:rsidRPr="00DF4A2F">
        <w:rPr>
          <w:bCs/>
          <w:i/>
          <w:sz w:val="20"/>
          <w:szCs w:val="20"/>
        </w:rPr>
        <w:t>V - identificação de possíveis riscos de contaminação e medidas de controle associadas;</w:t>
      </w:r>
    </w:p>
    <w:p w:rsidR="00671620" w:rsidRPr="00DF4A2F" w:rsidRDefault="00671620" w:rsidP="00671620">
      <w:pPr>
        <w:rPr>
          <w:bCs/>
          <w:i/>
          <w:sz w:val="20"/>
          <w:szCs w:val="20"/>
        </w:rPr>
      </w:pPr>
      <w:r w:rsidRPr="00DF4A2F">
        <w:rPr>
          <w:bCs/>
          <w:i/>
          <w:sz w:val="20"/>
          <w:szCs w:val="20"/>
        </w:rPr>
        <w:t>VI - programa de treinamento dos funcionários;</w:t>
      </w:r>
    </w:p>
    <w:p w:rsidR="00671620" w:rsidRPr="00DF4A2F" w:rsidRDefault="00671620" w:rsidP="00671620">
      <w:pPr>
        <w:rPr>
          <w:bCs/>
          <w:i/>
          <w:sz w:val="20"/>
          <w:szCs w:val="20"/>
        </w:rPr>
      </w:pPr>
      <w:r w:rsidRPr="00DF4A2F">
        <w:rPr>
          <w:bCs/>
          <w:i/>
          <w:sz w:val="20"/>
          <w:szCs w:val="20"/>
        </w:rPr>
        <w:t>VII - programa de monitoramento toxicológico dos funcionários, com exames médicos periódicos, com pesquisa de agrotóxicos no sangue;</w:t>
      </w:r>
    </w:p>
    <w:p w:rsidR="00671620" w:rsidRPr="00DF4A2F" w:rsidRDefault="00671620" w:rsidP="00671620">
      <w:pPr>
        <w:rPr>
          <w:bCs/>
          <w:i/>
          <w:sz w:val="20"/>
          <w:szCs w:val="20"/>
        </w:rPr>
      </w:pPr>
      <w:r w:rsidRPr="00DF4A2F">
        <w:rPr>
          <w:bCs/>
          <w:i/>
          <w:sz w:val="20"/>
          <w:szCs w:val="20"/>
        </w:rPr>
        <w:t>VIII - programa de monitoramento de solo e da água nas áreas de postos e centrais de recebimento;</w:t>
      </w:r>
    </w:p>
    <w:p w:rsidR="00671620" w:rsidRDefault="00671620" w:rsidP="00671620">
      <w:pPr>
        <w:rPr>
          <w:bCs/>
          <w:i/>
          <w:sz w:val="20"/>
          <w:szCs w:val="20"/>
        </w:rPr>
      </w:pPr>
      <w:r w:rsidRPr="00DF4A2F">
        <w:rPr>
          <w:bCs/>
          <w:i/>
          <w:sz w:val="20"/>
          <w:szCs w:val="20"/>
        </w:rPr>
        <w:t>IX - programa de comunicação social interno e externo alertando sobre os riscos ao meio ambiente e a saúde;</w:t>
      </w:r>
    </w:p>
    <w:p w:rsidR="00671620" w:rsidRPr="00DF4A2F" w:rsidRDefault="00671620" w:rsidP="00671620">
      <w:pPr>
        <w:rPr>
          <w:bCs/>
          <w:i/>
          <w:sz w:val="20"/>
          <w:szCs w:val="20"/>
        </w:rPr>
      </w:pPr>
      <w:r w:rsidRPr="00DF4A2F">
        <w:rPr>
          <w:bCs/>
          <w:i/>
          <w:sz w:val="20"/>
          <w:szCs w:val="20"/>
        </w:rPr>
        <w:t>X - sistema de controle de recebimento e de destinação de embalagens vazias; e</w:t>
      </w:r>
    </w:p>
    <w:p w:rsidR="00671620" w:rsidRDefault="00671620" w:rsidP="00671620">
      <w:pPr>
        <w:rPr>
          <w:bCs/>
          <w:i/>
          <w:sz w:val="20"/>
          <w:szCs w:val="20"/>
        </w:rPr>
      </w:pPr>
      <w:r w:rsidRPr="00DF4A2F">
        <w:rPr>
          <w:bCs/>
          <w:i/>
          <w:sz w:val="20"/>
          <w:szCs w:val="20"/>
        </w:rPr>
        <w:t>XI - responsável técnico pelo funcionamento dos postos e centrais de recebimento”.</w:t>
      </w:r>
    </w:p>
    <w:p w:rsidR="00407BB1" w:rsidRDefault="00407BB1" w:rsidP="00671620">
      <w:pPr>
        <w:rPr>
          <w:bCs/>
          <w:i/>
          <w:sz w:val="20"/>
          <w:szCs w:val="20"/>
        </w:rPr>
      </w:pPr>
    </w:p>
    <w:p w:rsidR="00407BB1" w:rsidRDefault="00407BB1" w:rsidP="00671620">
      <w:pPr>
        <w:rPr>
          <w:bCs/>
          <w:i/>
          <w:sz w:val="20"/>
          <w:szCs w:val="20"/>
        </w:rPr>
      </w:pPr>
    </w:p>
    <w:p w:rsidR="00407BB1" w:rsidRDefault="00407BB1" w:rsidP="00671620">
      <w:pPr>
        <w:rPr>
          <w:bCs/>
          <w:i/>
          <w:sz w:val="20"/>
          <w:szCs w:val="20"/>
        </w:rPr>
      </w:pPr>
    </w:p>
    <w:p w:rsidR="00407BB1" w:rsidRDefault="00407BB1" w:rsidP="00671620">
      <w:pPr>
        <w:rPr>
          <w:bCs/>
          <w:i/>
          <w:sz w:val="20"/>
          <w:szCs w:val="20"/>
        </w:rPr>
      </w:pPr>
    </w:p>
    <w:p w:rsidR="00407BB1" w:rsidRDefault="00407BB1" w:rsidP="00671620">
      <w:pPr>
        <w:rPr>
          <w:bCs/>
          <w:i/>
          <w:sz w:val="20"/>
          <w:szCs w:val="20"/>
        </w:rPr>
        <w:sectPr w:rsidR="00407BB1" w:rsidSect="00407BB1">
          <w:footerReference w:type="default" r:id="rId34"/>
          <w:type w:val="continuous"/>
          <w:pgSz w:w="11906" w:h="16838"/>
          <w:pgMar w:top="1134" w:right="1134" w:bottom="1134" w:left="1418" w:header="709" w:footer="709" w:gutter="0"/>
          <w:cols w:num="2" w:space="708"/>
          <w:docGrid w:linePitch="360"/>
        </w:sectPr>
      </w:pPr>
    </w:p>
    <w:p w:rsidR="00671620" w:rsidRPr="00DF4A2F" w:rsidRDefault="00671620" w:rsidP="00BC01B1">
      <w:pPr>
        <w:pStyle w:val="Ttulo4"/>
      </w:pPr>
      <w:bookmarkStart w:id="358" w:name="_Toc488825326"/>
      <w:bookmarkStart w:id="359" w:name="_Toc493151492"/>
      <w:bookmarkStart w:id="360" w:name="_Toc498593470"/>
      <w:bookmarkStart w:id="361" w:name="_Toc504404442"/>
      <w:bookmarkStart w:id="362" w:name="_Toc509935481"/>
      <w:r w:rsidRPr="00DF4A2F">
        <w:lastRenderedPageBreak/>
        <w:t>Resíduos industriais</w:t>
      </w:r>
      <w:bookmarkEnd w:id="358"/>
      <w:bookmarkEnd w:id="359"/>
      <w:bookmarkEnd w:id="360"/>
      <w:bookmarkEnd w:id="361"/>
      <w:bookmarkEnd w:id="362"/>
      <w:r w:rsidR="00137CC5">
        <w:rPr>
          <w:lang w:val="pt-BR"/>
        </w:rPr>
        <w:t xml:space="preserve"> </w:t>
      </w:r>
    </w:p>
    <w:p w:rsidR="00671620" w:rsidRPr="00DF4A2F" w:rsidRDefault="00671620" w:rsidP="00671620">
      <w:pPr>
        <w:pStyle w:val="Default"/>
        <w:spacing w:line="360" w:lineRule="auto"/>
        <w:ind w:firstLine="709"/>
        <w:jc w:val="both"/>
        <w:rPr>
          <w:color w:val="auto"/>
        </w:rPr>
      </w:pPr>
      <w:r w:rsidRPr="00DF4A2F">
        <w:rPr>
          <w:color w:val="auto"/>
        </w:rPr>
        <w:t>Conhecidos como lixo industrial, os resíduos industriais (RI</w:t>
      </w:r>
      <w:r w:rsidR="00137CC5">
        <w:rPr>
          <w:color w:val="auto"/>
        </w:rPr>
        <w:t>s</w:t>
      </w:r>
      <w:r w:rsidRPr="00DF4A2F">
        <w:rPr>
          <w:color w:val="auto"/>
        </w:rPr>
        <w:t>), segundo a Lei n° 12.305 de 2010, são aqueles “gerados nos processos produtivos e instalações industriais” (art.13).</w:t>
      </w:r>
    </w:p>
    <w:p w:rsidR="00671620" w:rsidRPr="00DF4A2F" w:rsidRDefault="00671620" w:rsidP="00671620">
      <w:pPr>
        <w:pStyle w:val="Default"/>
        <w:spacing w:line="360" w:lineRule="auto"/>
        <w:ind w:firstLine="709"/>
        <w:jc w:val="both"/>
        <w:rPr>
          <w:color w:val="auto"/>
        </w:rPr>
      </w:pPr>
      <w:r w:rsidRPr="00DF4A2F">
        <w:rPr>
          <w:color w:val="auto"/>
        </w:rPr>
        <w:t xml:space="preserve">Por suas variadas características, os RIs necessitam de avaliação específica quanto a sua classificação e tratamento. Pelo uso das normas da ABNT de classificação de resíduos, os RIs podem ser considerados como resíduos perigosos (Classe I), não perigosos e não inertes (Classe II - A) e como não perigosos e inertes (Classe II-B), sendo que este último ocorre apenas em alguns casos. A legislação e regras para os resíduos industriais estão </w:t>
      </w:r>
      <w:r w:rsidRPr="00465EA1">
        <w:rPr>
          <w:color w:val="auto"/>
        </w:rPr>
        <w:t xml:space="preserve">apresentadas no </w:t>
      </w:r>
      <w:r w:rsidRPr="00465EA1">
        <w:rPr>
          <w:color w:val="auto"/>
        </w:rPr>
        <w:fldChar w:fldCharType="begin"/>
      </w:r>
      <w:r w:rsidRPr="00465EA1">
        <w:rPr>
          <w:color w:val="auto"/>
        </w:rPr>
        <w:instrText xml:space="preserve"> REF _Ref487181825 \h  \* MERGEFORMAT </w:instrText>
      </w:r>
      <w:r w:rsidRPr="00465EA1">
        <w:rPr>
          <w:color w:val="auto"/>
        </w:rPr>
      </w:r>
      <w:r w:rsidRPr="00465EA1">
        <w:rPr>
          <w:color w:val="auto"/>
        </w:rPr>
        <w:fldChar w:fldCharType="separate"/>
      </w:r>
      <w:r w:rsidR="001B481B" w:rsidRPr="00DF4A2F">
        <w:t xml:space="preserve">Quadro </w:t>
      </w:r>
      <w:r w:rsidR="001B481B">
        <w:rPr>
          <w:noProof/>
        </w:rPr>
        <w:t>34</w:t>
      </w:r>
      <w:r w:rsidRPr="00465EA1">
        <w:rPr>
          <w:color w:val="auto"/>
        </w:rPr>
        <w:fldChar w:fldCharType="end"/>
      </w:r>
      <w:r w:rsidRPr="00465EA1">
        <w:rPr>
          <w:color w:val="auto"/>
        </w:rPr>
        <w:t xml:space="preserve"> e no</w:t>
      </w:r>
      <w:r w:rsidR="00465EA1" w:rsidRPr="00465EA1">
        <w:rPr>
          <w:color w:val="auto"/>
        </w:rPr>
        <w:t xml:space="preserve"> </w:t>
      </w:r>
      <w:r w:rsidR="00465EA1" w:rsidRPr="00465EA1">
        <w:rPr>
          <w:color w:val="auto"/>
        </w:rPr>
        <w:fldChar w:fldCharType="begin"/>
      </w:r>
      <w:r w:rsidR="00465EA1" w:rsidRPr="00465EA1">
        <w:rPr>
          <w:color w:val="auto"/>
        </w:rPr>
        <w:instrText xml:space="preserve"> REF _Ref506478573 \h </w:instrText>
      </w:r>
      <w:r w:rsidR="00465EA1">
        <w:rPr>
          <w:color w:val="auto"/>
        </w:rPr>
        <w:instrText xml:space="preserve"> \* MERGEFORMAT </w:instrText>
      </w:r>
      <w:r w:rsidR="00465EA1" w:rsidRPr="00465EA1">
        <w:rPr>
          <w:color w:val="auto"/>
        </w:rPr>
      </w:r>
      <w:r w:rsidR="00465EA1" w:rsidRPr="00465EA1">
        <w:rPr>
          <w:color w:val="auto"/>
        </w:rPr>
        <w:fldChar w:fldCharType="separate"/>
      </w:r>
      <w:r w:rsidR="001B481B" w:rsidRPr="00DF4A2F">
        <w:t xml:space="preserve">Quadro </w:t>
      </w:r>
      <w:r w:rsidR="001B481B">
        <w:rPr>
          <w:noProof/>
        </w:rPr>
        <w:t>35</w:t>
      </w:r>
      <w:r w:rsidR="00465EA1" w:rsidRPr="00465EA1">
        <w:rPr>
          <w:color w:val="auto"/>
        </w:rPr>
        <w:fldChar w:fldCharType="end"/>
      </w:r>
      <w:r w:rsidR="00465EA1" w:rsidRPr="00465EA1">
        <w:rPr>
          <w:color w:val="auto"/>
        </w:rPr>
        <w:t>.</w:t>
      </w:r>
    </w:p>
    <w:p w:rsidR="00671620" w:rsidRPr="00841358" w:rsidRDefault="00671620" w:rsidP="00E95583">
      <w:pPr>
        <w:pStyle w:val="Legenda"/>
        <w:rPr>
          <w:lang w:val="pt-BR"/>
        </w:rPr>
      </w:pPr>
      <w:bookmarkStart w:id="363" w:name="_Ref487181825"/>
      <w:bookmarkStart w:id="364" w:name="_Toc488825077"/>
      <w:bookmarkStart w:id="365" w:name="_Toc493151614"/>
      <w:bookmarkStart w:id="366" w:name="_Toc498593671"/>
      <w:bookmarkStart w:id="367" w:name="_Toc503949462"/>
      <w:bookmarkStart w:id="368" w:name="_Toc509935811"/>
      <w:r w:rsidRPr="00DF4A2F">
        <w:lastRenderedPageBreak/>
        <w:t xml:space="preserve">Quadro </w:t>
      </w:r>
      <w:r w:rsidR="000A1C78">
        <w:fldChar w:fldCharType="begin"/>
      </w:r>
      <w:r w:rsidR="000A1C78">
        <w:instrText xml:space="preserve"> SEQ Quadro \* ARABIC </w:instrText>
      </w:r>
      <w:r w:rsidR="000A1C78">
        <w:fldChar w:fldCharType="separate"/>
      </w:r>
      <w:r w:rsidR="001B481B">
        <w:rPr>
          <w:noProof/>
        </w:rPr>
        <w:t>34</w:t>
      </w:r>
      <w:r w:rsidR="000A1C78">
        <w:rPr>
          <w:noProof/>
        </w:rPr>
        <w:fldChar w:fldCharType="end"/>
      </w:r>
      <w:bookmarkEnd w:id="363"/>
      <w:r w:rsidRPr="00DF4A2F">
        <w:t xml:space="preserve"> </w:t>
      </w:r>
      <w:r w:rsidRPr="00DF4A2F">
        <w:rPr>
          <w:lang w:val="pt-BR"/>
        </w:rPr>
        <w:t>-</w:t>
      </w:r>
      <w:r w:rsidRPr="00DF4A2F">
        <w:t xml:space="preserve"> Resíduos </w:t>
      </w:r>
      <w:r w:rsidRPr="00841358">
        <w:t>Industriais – Regras de licenciamento e obrigações legais</w:t>
      </w:r>
      <w:bookmarkEnd w:id="364"/>
      <w:bookmarkEnd w:id="365"/>
      <w:bookmarkEnd w:id="366"/>
      <w:bookmarkEnd w:id="367"/>
      <w:bookmarkEnd w:id="368"/>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AC47A2"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AC47A2" w:rsidRDefault="00671620" w:rsidP="00AC47A2">
            <w:pPr>
              <w:spacing w:before="120" w:after="120" w:line="240" w:lineRule="auto"/>
              <w:rPr>
                <w:b/>
                <w:sz w:val="22"/>
              </w:rPr>
            </w:pPr>
            <w:r w:rsidRPr="00AC47A2">
              <w:rPr>
                <w:b/>
                <w:sz w:val="22"/>
              </w:rPr>
              <w:t>Regras de Licenciamento e Obrigações legais segundo a Resolução CONAMA nº 313 de 2002</w:t>
            </w:r>
          </w:p>
        </w:tc>
      </w:tr>
      <w:tr w:rsidR="00671620" w:rsidRPr="00AC47A2"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AC47A2" w:rsidRDefault="00671620" w:rsidP="00AC47A2">
            <w:pPr>
              <w:spacing w:before="120" w:after="120" w:line="240" w:lineRule="auto"/>
              <w:jc w:val="both"/>
              <w:rPr>
                <w:sz w:val="22"/>
              </w:rPr>
            </w:pPr>
            <w:r w:rsidRPr="00AC47A2">
              <w:rPr>
                <w:sz w:val="22"/>
              </w:rPr>
              <w:t>Os resíduos existentes ou gerados pelas atividades industriais serão objeto de controle específico, como parte integrante do processo de licenciamento ambiental.</w:t>
            </w:r>
          </w:p>
        </w:tc>
      </w:tr>
      <w:tr w:rsidR="00671620" w:rsidRPr="00AC47A2"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AC47A2" w:rsidRDefault="00671620" w:rsidP="00AC47A2">
            <w:pPr>
              <w:spacing w:before="120" w:after="120" w:line="240" w:lineRule="auto"/>
              <w:jc w:val="both"/>
              <w:rPr>
                <w:rFonts w:eastAsia="MS Mincho"/>
                <w:sz w:val="22"/>
              </w:rPr>
            </w:pPr>
            <w:r w:rsidRPr="00AC47A2">
              <w:rPr>
                <w:sz w:val="22"/>
              </w:rPr>
              <w:t>As indústrias deverão indicar as informações que considerarem sigilosas.</w:t>
            </w:r>
          </w:p>
        </w:tc>
      </w:tr>
      <w:tr w:rsidR="00671620" w:rsidRPr="00AC47A2"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AC47A2" w:rsidRDefault="00671620" w:rsidP="00AC47A2">
            <w:pPr>
              <w:spacing w:before="120" w:after="120" w:line="240" w:lineRule="auto"/>
              <w:jc w:val="both"/>
              <w:rPr>
                <w:rFonts w:eastAsia="MS Mincho"/>
                <w:sz w:val="22"/>
              </w:rPr>
            </w:pPr>
            <w:r w:rsidRPr="00AC47A2">
              <w:rPr>
                <w:sz w:val="22"/>
              </w:rPr>
              <w:t>As concessionárias de energia elétrica e empresas que possuam materiais e equipamentos contendo Bifenilas Policloradas - PCBs deverão apresentar ao órgão estadual de meio ambiente o inventário desses estoques, na forma e prazo a serem definidos pelo Instituto Brasileiro do Meio Ambiente e dos Recursos Naturais Renováveis - IBAMA.</w:t>
            </w:r>
          </w:p>
        </w:tc>
      </w:tr>
      <w:tr w:rsidR="00671620" w:rsidRPr="00AC47A2"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AC47A2" w:rsidRDefault="00671620" w:rsidP="00AC47A2">
            <w:pPr>
              <w:spacing w:before="120" w:after="120" w:line="240" w:lineRule="auto"/>
              <w:jc w:val="both"/>
              <w:rPr>
                <w:rFonts w:eastAsia="MS Mincho"/>
                <w:sz w:val="22"/>
              </w:rPr>
            </w:pPr>
            <w:r w:rsidRPr="00AC47A2">
              <w:rPr>
                <w:sz w:val="22"/>
              </w:rPr>
              <w:t>Vale ressaltar que as pessoas físicas ou jurídicas que utilizam ou tenham sob sua guarda transformadores, capacitores e demais equipamentos elétricos contendo PCBs, bem como óleos ou outros materiais contaminados por PCBs, ficam obrigadas a providenciar a sua eliminação progressiva até 2020, de acordo com a Lei Estadual nº 12.288 de 2006.</w:t>
            </w:r>
          </w:p>
        </w:tc>
      </w:tr>
      <w:tr w:rsidR="00671620" w:rsidRPr="00AC47A2"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AC47A2" w:rsidRDefault="00AC47A2" w:rsidP="00AC47A2">
            <w:pPr>
              <w:spacing w:before="120" w:after="120" w:line="240" w:lineRule="auto"/>
              <w:jc w:val="both"/>
              <w:rPr>
                <w:sz w:val="22"/>
              </w:rPr>
            </w:pPr>
            <w:r w:rsidRPr="00AC47A2">
              <w:rPr>
                <w:sz w:val="22"/>
              </w:rPr>
              <w:t>As indústrias devem registrar mensalmente e manter na unidade industrial os dados de geração e destinação dos resíduos gerados para efeito de obtenção dos dados para o Inventário Nacional dos Resíduos Industriais.</w:t>
            </w:r>
          </w:p>
        </w:tc>
      </w:tr>
    </w:tbl>
    <w:p w:rsidR="00AC47A2" w:rsidRDefault="00AC47A2" w:rsidP="00AC47A2">
      <w:pPr>
        <w:pStyle w:val="Fonte"/>
      </w:pPr>
      <w:bookmarkStart w:id="369" w:name="_Ref487181841"/>
      <w:bookmarkStart w:id="370" w:name="_Toc488825078"/>
      <w:bookmarkStart w:id="371" w:name="_Toc493151615"/>
      <w:bookmarkStart w:id="372" w:name="_Toc498593672"/>
      <w:bookmarkStart w:id="373" w:name="_Toc503949463"/>
    </w:p>
    <w:p w:rsidR="00671620" w:rsidRPr="00841358" w:rsidRDefault="00671620" w:rsidP="00E95583">
      <w:pPr>
        <w:pStyle w:val="Legenda"/>
        <w:rPr>
          <w:lang w:val="pt-BR"/>
        </w:rPr>
      </w:pPr>
      <w:bookmarkStart w:id="374" w:name="_Ref506478573"/>
      <w:bookmarkStart w:id="375" w:name="_Toc509935812"/>
      <w:r w:rsidRPr="00DF4A2F">
        <w:t xml:space="preserve">Quadro </w:t>
      </w:r>
      <w:r w:rsidR="000A1C78">
        <w:fldChar w:fldCharType="begin"/>
      </w:r>
      <w:r w:rsidR="000A1C78">
        <w:instrText xml:space="preserve"> SEQ Quadro \* ARABIC </w:instrText>
      </w:r>
      <w:r w:rsidR="000A1C78">
        <w:fldChar w:fldCharType="separate"/>
      </w:r>
      <w:r w:rsidR="001B481B">
        <w:rPr>
          <w:noProof/>
        </w:rPr>
        <w:t>35</w:t>
      </w:r>
      <w:r w:rsidR="000A1C78">
        <w:rPr>
          <w:noProof/>
        </w:rPr>
        <w:fldChar w:fldCharType="end"/>
      </w:r>
      <w:bookmarkEnd w:id="369"/>
      <w:bookmarkEnd w:id="374"/>
      <w:r w:rsidRPr="00DF4A2F">
        <w:t xml:space="preserve"> </w:t>
      </w:r>
      <w:r w:rsidRPr="00DF4A2F">
        <w:rPr>
          <w:lang w:val="pt-BR"/>
        </w:rPr>
        <w:t>-</w:t>
      </w:r>
      <w:r w:rsidRPr="00DF4A2F">
        <w:t xml:space="preserve"> Resíduos Industriais </w:t>
      </w:r>
      <w:r w:rsidRPr="00841358">
        <w:t>– Legislação e normas</w:t>
      </w:r>
      <w:bookmarkEnd w:id="370"/>
      <w:bookmarkEnd w:id="371"/>
      <w:bookmarkEnd w:id="372"/>
      <w:bookmarkEnd w:id="373"/>
      <w:bookmarkEnd w:id="375"/>
    </w:p>
    <w:tbl>
      <w:tblPr>
        <w:tblW w:w="5000" w:type="pct"/>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AC47A2" w:rsidTr="00810C89">
        <w:trPr>
          <w:trHeight w:val="20"/>
          <w:jc w:val="center"/>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671620" w:rsidRPr="00AC47A2" w:rsidRDefault="00671620" w:rsidP="00AC47A2">
            <w:pPr>
              <w:spacing w:before="120" w:after="120" w:line="240" w:lineRule="auto"/>
              <w:rPr>
                <w:b/>
                <w:sz w:val="22"/>
                <w:u w:val="single"/>
              </w:rPr>
            </w:pPr>
            <w:r w:rsidRPr="00AC47A2">
              <w:rPr>
                <w:b/>
                <w:sz w:val="22"/>
                <w:u w:val="single"/>
              </w:rPr>
              <w:t>Principais resoluções nacionais</w:t>
            </w:r>
          </w:p>
        </w:tc>
      </w:tr>
      <w:tr w:rsidR="00671620" w:rsidRPr="00AC47A2" w:rsidTr="00810C89">
        <w:trPr>
          <w:trHeight w:val="20"/>
          <w:jc w:val="center"/>
        </w:trPr>
        <w:tc>
          <w:tcPr>
            <w:tcW w:w="5000" w:type="pct"/>
            <w:tcBorders>
              <w:top w:val="single" w:sz="8" w:space="0" w:color="4F81BD"/>
              <w:left w:val="single" w:sz="8" w:space="0" w:color="4F81BD"/>
              <w:bottom w:val="single" w:sz="8" w:space="0" w:color="4F81BD"/>
              <w:right w:val="single" w:sz="8" w:space="0" w:color="4F81BD"/>
            </w:tcBorders>
            <w:shd w:val="clear" w:color="auto" w:fill="D3DFEE"/>
          </w:tcPr>
          <w:p w:rsidR="00671620" w:rsidRPr="00AC47A2" w:rsidRDefault="00671620" w:rsidP="00AC47A2">
            <w:pPr>
              <w:spacing w:before="120" w:after="120" w:line="240" w:lineRule="auto"/>
              <w:jc w:val="both"/>
              <w:rPr>
                <w:sz w:val="22"/>
              </w:rPr>
            </w:pPr>
            <w:r w:rsidRPr="00AC47A2">
              <w:rPr>
                <w:sz w:val="22"/>
              </w:rPr>
              <w:t>Resolução CONAMA nº 313, de 22 de novembro de 2002. Dispõe sobre o Inventário Nacional de Resíduos Sólidos Industriais.</w:t>
            </w:r>
          </w:p>
        </w:tc>
      </w:tr>
      <w:tr w:rsidR="00671620" w:rsidRPr="00AC47A2" w:rsidTr="00810C89">
        <w:trPr>
          <w:trHeight w:val="20"/>
          <w:jc w:val="center"/>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671620" w:rsidRPr="00AC47A2" w:rsidRDefault="00671620" w:rsidP="00AC47A2">
            <w:pPr>
              <w:spacing w:before="120" w:after="120" w:line="240" w:lineRule="auto"/>
              <w:jc w:val="both"/>
              <w:rPr>
                <w:rFonts w:eastAsia="MS Mincho"/>
                <w:b/>
                <w:sz w:val="22"/>
                <w:u w:val="single"/>
              </w:rPr>
            </w:pPr>
            <w:r w:rsidRPr="00AC47A2">
              <w:rPr>
                <w:b/>
                <w:sz w:val="22"/>
                <w:u w:val="single"/>
              </w:rPr>
              <w:t>Normas técnicas</w:t>
            </w:r>
          </w:p>
        </w:tc>
      </w:tr>
      <w:tr w:rsidR="00671620" w:rsidRPr="00AC47A2" w:rsidTr="00810C89">
        <w:trPr>
          <w:trHeight w:val="20"/>
          <w:jc w:val="center"/>
        </w:trPr>
        <w:tc>
          <w:tcPr>
            <w:tcW w:w="5000" w:type="pct"/>
            <w:tcBorders>
              <w:top w:val="single" w:sz="8" w:space="0" w:color="4F81BD"/>
              <w:left w:val="single" w:sz="8" w:space="0" w:color="4F81BD"/>
              <w:bottom w:val="single" w:sz="8" w:space="0" w:color="4F81BD"/>
              <w:right w:val="single" w:sz="8" w:space="0" w:color="4F81BD"/>
            </w:tcBorders>
            <w:shd w:val="clear" w:color="auto" w:fill="D3DFEE"/>
          </w:tcPr>
          <w:p w:rsidR="00671620" w:rsidRPr="00AC47A2" w:rsidRDefault="00671620" w:rsidP="00AC47A2">
            <w:pPr>
              <w:spacing w:before="120" w:after="120" w:line="240" w:lineRule="auto"/>
              <w:jc w:val="both"/>
              <w:rPr>
                <w:rFonts w:eastAsia="MS Mincho"/>
                <w:sz w:val="22"/>
              </w:rPr>
            </w:pPr>
            <w:r w:rsidRPr="00AC47A2">
              <w:rPr>
                <w:sz w:val="22"/>
              </w:rPr>
              <w:t xml:space="preserve">ABNT NBR 7500:2013 - </w:t>
            </w:r>
            <w:r w:rsidRPr="00AC47A2">
              <w:rPr>
                <w:sz w:val="22"/>
                <w:lang w:val="pt-PT"/>
              </w:rPr>
              <w:t>Identificação para o transporte terrestre, manuseio, movimentação e armazenamento de produtos.</w:t>
            </w:r>
          </w:p>
        </w:tc>
      </w:tr>
      <w:tr w:rsidR="00671620" w:rsidRPr="00AC47A2" w:rsidTr="00810C89">
        <w:trPr>
          <w:trHeight w:val="20"/>
          <w:jc w:val="center"/>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671620" w:rsidRPr="00AC47A2" w:rsidRDefault="00671620" w:rsidP="00AC47A2">
            <w:pPr>
              <w:autoSpaceDE w:val="0"/>
              <w:autoSpaceDN w:val="0"/>
              <w:adjustRightInd w:val="0"/>
              <w:spacing w:before="120" w:after="120" w:line="240" w:lineRule="auto"/>
              <w:jc w:val="both"/>
              <w:rPr>
                <w:rFonts w:eastAsia="MS Mincho"/>
                <w:sz w:val="22"/>
                <w:lang w:val="pt-PT"/>
              </w:rPr>
            </w:pPr>
            <w:r w:rsidRPr="00AC47A2">
              <w:rPr>
                <w:sz w:val="22"/>
                <w:lang w:val="pt-PT"/>
              </w:rPr>
              <w:t>NBR 7501:2011 - Transporte terrestre de produtos perigosos – Terminologia.</w:t>
            </w:r>
          </w:p>
        </w:tc>
      </w:tr>
      <w:tr w:rsidR="00671620" w:rsidRPr="00AC47A2" w:rsidTr="00810C89">
        <w:trPr>
          <w:trHeight w:val="20"/>
          <w:jc w:val="center"/>
        </w:trPr>
        <w:tc>
          <w:tcPr>
            <w:tcW w:w="5000" w:type="pct"/>
            <w:tcBorders>
              <w:top w:val="single" w:sz="8" w:space="0" w:color="4F81BD"/>
              <w:left w:val="single" w:sz="8" w:space="0" w:color="4F81BD"/>
              <w:bottom w:val="single" w:sz="8" w:space="0" w:color="4F81BD"/>
              <w:right w:val="single" w:sz="8" w:space="0" w:color="4F81BD"/>
            </w:tcBorders>
            <w:shd w:val="clear" w:color="auto" w:fill="D3DFEE"/>
          </w:tcPr>
          <w:p w:rsidR="00671620" w:rsidRPr="00AC47A2" w:rsidRDefault="00671620" w:rsidP="00AC47A2">
            <w:pPr>
              <w:autoSpaceDE w:val="0"/>
              <w:autoSpaceDN w:val="0"/>
              <w:adjustRightInd w:val="0"/>
              <w:spacing w:before="120" w:after="120" w:line="240" w:lineRule="auto"/>
              <w:jc w:val="both"/>
              <w:rPr>
                <w:rFonts w:eastAsia="MS Mincho"/>
                <w:sz w:val="22"/>
                <w:lang w:val="pt-PT"/>
              </w:rPr>
            </w:pPr>
            <w:r w:rsidRPr="00AC47A2">
              <w:rPr>
                <w:sz w:val="22"/>
                <w:lang w:val="pt-PT"/>
              </w:rPr>
              <w:t>NBR 7503:2013 - Ficha de emergência e envelope para o transporte terrestre de produtos perigosos - Características, dimensões e preenchimento.</w:t>
            </w:r>
          </w:p>
        </w:tc>
      </w:tr>
      <w:tr w:rsidR="00671620" w:rsidRPr="00AC47A2" w:rsidTr="00810C89">
        <w:trPr>
          <w:trHeight w:val="20"/>
          <w:jc w:val="center"/>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671620" w:rsidRPr="00AC47A2" w:rsidRDefault="00671620" w:rsidP="00AC47A2">
            <w:pPr>
              <w:autoSpaceDE w:val="0"/>
              <w:autoSpaceDN w:val="0"/>
              <w:adjustRightInd w:val="0"/>
              <w:spacing w:before="120" w:after="120" w:line="240" w:lineRule="auto"/>
              <w:jc w:val="both"/>
              <w:rPr>
                <w:rFonts w:eastAsia="MS Mincho"/>
                <w:sz w:val="22"/>
                <w:lang w:val="pt-PT"/>
              </w:rPr>
            </w:pPr>
            <w:r w:rsidRPr="00AC47A2">
              <w:rPr>
                <w:sz w:val="22"/>
              </w:rPr>
              <w:t>ABNT NBR 8418:1984 - Apresentação de projetos de aterros de resíduos industriais perigosos- Procedimento.</w:t>
            </w:r>
          </w:p>
        </w:tc>
      </w:tr>
      <w:tr w:rsidR="00671620" w:rsidRPr="00AC47A2" w:rsidTr="00810C89">
        <w:trPr>
          <w:trHeight w:val="20"/>
          <w:jc w:val="center"/>
        </w:trPr>
        <w:tc>
          <w:tcPr>
            <w:tcW w:w="5000" w:type="pct"/>
            <w:tcBorders>
              <w:top w:val="single" w:sz="8" w:space="0" w:color="4F81BD"/>
              <w:left w:val="single" w:sz="8" w:space="0" w:color="4F81BD"/>
              <w:bottom w:val="single" w:sz="8" w:space="0" w:color="4F81BD"/>
              <w:right w:val="single" w:sz="8" w:space="0" w:color="4F81BD"/>
            </w:tcBorders>
            <w:shd w:val="clear" w:color="auto" w:fill="D3DFEE"/>
          </w:tcPr>
          <w:p w:rsidR="00671620" w:rsidRPr="00AC47A2" w:rsidRDefault="00671620" w:rsidP="00AC47A2">
            <w:pPr>
              <w:spacing w:before="120" w:after="120" w:line="240" w:lineRule="auto"/>
              <w:jc w:val="both"/>
              <w:rPr>
                <w:rFonts w:eastAsia="MS Mincho"/>
                <w:sz w:val="22"/>
              </w:rPr>
            </w:pPr>
            <w:r w:rsidRPr="00AC47A2">
              <w:rPr>
                <w:sz w:val="22"/>
              </w:rPr>
              <w:t>ABNT NBR 10.004:2004 – Resíduos sólidos: Classificação.</w:t>
            </w:r>
          </w:p>
        </w:tc>
      </w:tr>
      <w:tr w:rsidR="00671620" w:rsidRPr="00AC47A2" w:rsidTr="00810C89">
        <w:trPr>
          <w:trHeight w:val="20"/>
          <w:jc w:val="center"/>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671620" w:rsidRPr="00AC47A2" w:rsidRDefault="00671620" w:rsidP="00AC47A2">
            <w:pPr>
              <w:spacing w:before="120" w:after="120" w:line="240" w:lineRule="auto"/>
              <w:jc w:val="both"/>
              <w:rPr>
                <w:rFonts w:eastAsia="MS Mincho"/>
                <w:sz w:val="22"/>
              </w:rPr>
            </w:pPr>
            <w:r w:rsidRPr="00AC47A2">
              <w:rPr>
                <w:sz w:val="22"/>
              </w:rPr>
              <w:t>ABNT NBR 10.005:2004 – Procedimentos para obtenção de extrato lixiviado de resíduos sólidos.</w:t>
            </w:r>
          </w:p>
        </w:tc>
      </w:tr>
      <w:tr w:rsidR="00810C89" w:rsidRPr="00AC47A2" w:rsidTr="00810C89">
        <w:trPr>
          <w:trHeight w:val="680"/>
          <w:jc w:val="center"/>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810C89" w:rsidRPr="00AC47A2" w:rsidRDefault="00810C89" w:rsidP="00810C89">
            <w:pPr>
              <w:spacing w:before="120" w:after="120" w:line="240" w:lineRule="auto"/>
              <w:jc w:val="both"/>
              <w:rPr>
                <w:rFonts w:eastAsia="MS Mincho"/>
                <w:b/>
                <w:sz w:val="22"/>
                <w:u w:val="single"/>
              </w:rPr>
            </w:pPr>
            <w:r w:rsidRPr="00AC47A2">
              <w:rPr>
                <w:b/>
                <w:sz w:val="22"/>
                <w:u w:val="single"/>
              </w:rPr>
              <w:lastRenderedPageBreak/>
              <w:t>Normas técnicas</w:t>
            </w:r>
          </w:p>
        </w:tc>
      </w:tr>
      <w:tr w:rsidR="00810C89" w:rsidRPr="00AC47A2" w:rsidTr="00810C89">
        <w:trPr>
          <w:trHeight w:val="680"/>
          <w:jc w:val="center"/>
        </w:trPr>
        <w:tc>
          <w:tcPr>
            <w:tcW w:w="5000" w:type="pct"/>
            <w:tcBorders>
              <w:top w:val="single" w:sz="8" w:space="0" w:color="4F81BD"/>
              <w:left w:val="single" w:sz="8" w:space="0" w:color="4F81BD"/>
              <w:bottom w:val="single" w:sz="8" w:space="0" w:color="4F81BD"/>
              <w:right w:val="single" w:sz="8" w:space="0" w:color="4F81BD"/>
            </w:tcBorders>
            <w:shd w:val="clear" w:color="auto" w:fill="D3DFEE"/>
          </w:tcPr>
          <w:p w:rsidR="00810C89" w:rsidRPr="00AC47A2" w:rsidRDefault="00810C89" w:rsidP="00AC47A2">
            <w:pPr>
              <w:spacing w:before="120" w:after="120" w:line="240" w:lineRule="auto"/>
              <w:jc w:val="both"/>
              <w:rPr>
                <w:rFonts w:eastAsia="MS Mincho"/>
                <w:sz w:val="22"/>
              </w:rPr>
            </w:pPr>
            <w:r w:rsidRPr="00AC47A2">
              <w:rPr>
                <w:sz w:val="22"/>
              </w:rPr>
              <w:t>ABNT NBR 10.006:2004 – Procedimentos para obtenção de extrato solubilizado de resíduos sólidos.</w:t>
            </w:r>
          </w:p>
        </w:tc>
      </w:tr>
      <w:tr w:rsidR="00810C89" w:rsidRPr="00AC47A2" w:rsidTr="00810C89">
        <w:trPr>
          <w:trHeight w:val="20"/>
          <w:jc w:val="center"/>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810C89" w:rsidRPr="00AC47A2" w:rsidRDefault="00810C89" w:rsidP="00AC47A2">
            <w:pPr>
              <w:spacing w:before="120" w:after="120" w:line="240" w:lineRule="auto"/>
              <w:jc w:val="both"/>
              <w:rPr>
                <w:rFonts w:eastAsia="MS Mincho"/>
                <w:sz w:val="22"/>
              </w:rPr>
            </w:pPr>
            <w:r w:rsidRPr="00AC47A2">
              <w:rPr>
                <w:sz w:val="22"/>
              </w:rPr>
              <w:t>ABNT NBR 10.007:2004 – Amostragem de resíduos sólidos.</w:t>
            </w:r>
          </w:p>
        </w:tc>
      </w:tr>
      <w:tr w:rsidR="00810C89" w:rsidRPr="00AC47A2" w:rsidTr="00810C89">
        <w:trPr>
          <w:trHeight w:val="20"/>
          <w:jc w:val="center"/>
        </w:trPr>
        <w:tc>
          <w:tcPr>
            <w:tcW w:w="5000" w:type="pct"/>
            <w:tcBorders>
              <w:top w:val="single" w:sz="8" w:space="0" w:color="4F81BD"/>
              <w:left w:val="single" w:sz="8" w:space="0" w:color="4F81BD"/>
              <w:bottom w:val="single" w:sz="8" w:space="0" w:color="4F81BD"/>
              <w:right w:val="single" w:sz="8" w:space="0" w:color="4F81BD"/>
            </w:tcBorders>
            <w:shd w:val="clear" w:color="auto" w:fill="D3DFEE"/>
          </w:tcPr>
          <w:p w:rsidR="00810C89" w:rsidRPr="00AC47A2" w:rsidRDefault="00810C89" w:rsidP="00AC47A2">
            <w:pPr>
              <w:spacing w:before="120" w:after="120" w:line="240" w:lineRule="auto"/>
              <w:jc w:val="both"/>
              <w:rPr>
                <w:rFonts w:eastAsia="MS Mincho"/>
                <w:sz w:val="22"/>
              </w:rPr>
            </w:pPr>
            <w:r w:rsidRPr="00AC47A2">
              <w:rPr>
                <w:sz w:val="22"/>
              </w:rPr>
              <w:t>ABNT NBR 16725:2011 – Resíduo químico — Informações sobre segurança, saúde e meio ambiente — Ficha com dados de segurança de resíduos químicos (FDSR) e rotulagem.</w:t>
            </w:r>
          </w:p>
        </w:tc>
      </w:tr>
      <w:tr w:rsidR="00810C89" w:rsidRPr="00AC47A2" w:rsidTr="00810C89">
        <w:trPr>
          <w:trHeight w:val="20"/>
          <w:jc w:val="center"/>
        </w:trPr>
        <w:tc>
          <w:tcPr>
            <w:tcW w:w="5000" w:type="pct"/>
            <w:tcBorders>
              <w:top w:val="single" w:sz="8" w:space="0" w:color="4F81BD"/>
              <w:left w:val="single" w:sz="8" w:space="0" w:color="4F81BD"/>
              <w:bottom w:val="single" w:sz="8" w:space="0" w:color="4F81BD"/>
              <w:right w:val="single" w:sz="8" w:space="0" w:color="4F81BD"/>
            </w:tcBorders>
            <w:shd w:val="clear" w:color="auto" w:fill="auto"/>
          </w:tcPr>
          <w:p w:rsidR="00810C89" w:rsidRPr="00AC47A2" w:rsidRDefault="00810C89" w:rsidP="00AC47A2">
            <w:pPr>
              <w:spacing w:before="120" w:after="120" w:line="240" w:lineRule="auto"/>
              <w:jc w:val="both"/>
              <w:rPr>
                <w:rFonts w:eastAsia="MS Mincho"/>
                <w:sz w:val="22"/>
                <w:u w:val="single"/>
              </w:rPr>
            </w:pPr>
            <w:r w:rsidRPr="00AC47A2">
              <w:rPr>
                <w:sz w:val="22"/>
                <w:u w:val="single"/>
              </w:rPr>
              <w:t>Deliberações COPAM</w:t>
            </w:r>
          </w:p>
          <w:p w:rsidR="00810C89" w:rsidRPr="00AC47A2" w:rsidRDefault="00810C89" w:rsidP="00AC47A2">
            <w:pPr>
              <w:spacing w:before="120" w:after="120" w:line="240" w:lineRule="auto"/>
              <w:jc w:val="both"/>
              <w:rPr>
                <w:sz w:val="22"/>
              </w:rPr>
            </w:pPr>
            <w:r w:rsidRPr="00AC47A2">
              <w:rPr>
                <w:sz w:val="22"/>
              </w:rPr>
              <w:t>Deliberação Normativa COPAM nº 136, de 22 de maio de 2009. Altera e complementa a Deliberação Normativa COPAM nº. 90, de 15 de setembro de 2005, que dispõe sobre a declaração de informações relativas às diversas fases de gerenciamento dos resíduos sólidos industriais no Estado de Minas Gerais.</w:t>
            </w:r>
          </w:p>
        </w:tc>
      </w:tr>
    </w:tbl>
    <w:p w:rsidR="00671620" w:rsidRPr="00DF4A2F" w:rsidRDefault="00671620" w:rsidP="00671620">
      <w:pPr>
        <w:jc w:val="both"/>
      </w:pPr>
    </w:p>
    <w:p w:rsidR="00671620" w:rsidRPr="00DF4A2F" w:rsidRDefault="00671620" w:rsidP="00BC01B1">
      <w:pPr>
        <w:pStyle w:val="Ttulo4"/>
      </w:pPr>
      <w:bookmarkStart w:id="376" w:name="_Toc488825327"/>
      <w:bookmarkStart w:id="377" w:name="_Toc493151493"/>
      <w:bookmarkStart w:id="378" w:name="_Toc498593471"/>
      <w:bookmarkStart w:id="379" w:name="_Toc504404443"/>
      <w:bookmarkStart w:id="380" w:name="_Toc509935482"/>
      <w:r w:rsidRPr="00DF4A2F">
        <w:t>Resíduos de estabelecimentos comerciais e prestação de serviço</w:t>
      </w:r>
      <w:bookmarkEnd w:id="376"/>
      <w:bookmarkEnd w:id="377"/>
      <w:bookmarkEnd w:id="378"/>
      <w:bookmarkEnd w:id="379"/>
      <w:bookmarkEnd w:id="380"/>
    </w:p>
    <w:p w:rsidR="00671620" w:rsidRPr="00DF4A2F" w:rsidRDefault="00671620" w:rsidP="00671620">
      <w:pPr>
        <w:pStyle w:val="Default"/>
        <w:spacing w:line="360" w:lineRule="auto"/>
        <w:ind w:firstLine="709"/>
        <w:jc w:val="both"/>
        <w:rPr>
          <w:color w:val="auto"/>
        </w:rPr>
      </w:pPr>
      <w:r w:rsidRPr="00DF4A2F">
        <w:rPr>
          <w:color w:val="auto"/>
        </w:rPr>
        <w:t>Os resíduos de estabelecimento comerciais e prestação de serviço são aqueles gerados por supermercados, estabelecimento bancários, lojas, bares, restaurantes, entre outros. Sua composição compreende grande quantidade de material reciclável (papel, plástico, embalagens diversas), resíduos de higiene, tais como papel-toalha, papel higiênico e resíduos orgânicos (restos de alimentos).</w:t>
      </w:r>
    </w:p>
    <w:p w:rsidR="00671620" w:rsidRPr="00DF4A2F" w:rsidRDefault="00671620" w:rsidP="00671620">
      <w:pPr>
        <w:pStyle w:val="Default"/>
        <w:spacing w:line="360" w:lineRule="auto"/>
        <w:ind w:firstLine="709"/>
        <w:jc w:val="both"/>
        <w:rPr>
          <w:color w:val="auto"/>
        </w:rPr>
      </w:pPr>
      <w:r w:rsidRPr="00DF4A2F">
        <w:rPr>
          <w:color w:val="auto"/>
        </w:rPr>
        <w:t>Além disso, podem ser encontrados resíduos de significativo impacto ambiental, como pilhas e baterias, pneus inservíveis, óleos comestíveis e óleos lubrificantes usados.</w:t>
      </w:r>
    </w:p>
    <w:p w:rsidR="00671620" w:rsidRDefault="00671620" w:rsidP="00516590">
      <w:pPr>
        <w:pStyle w:val="Default"/>
        <w:spacing w:line="360" w:lineRule="auto"/>
        <w:ind w:firstLine="709"/>
        <w:jc w:val="both"/>
        <w:rPr>
          <w:color w:val="auto"/>
        </w:rPr>
      </w:pPr>
      <w:r w:rsidRPr="00DF4A2F">
        <w:rPr>
          <w:color w:val="auto"/>
        </w:rPr>
        <w:t xml:space="preserve">Esses resíduos não são equiparados aos resíduos domiciliares, pois podem conter características de periculosidade, composição e volume que os tornam sujeitos a elaboração de Plano de Gerenciamento de </w:t>
      </w:r>
      <w:r w:rsidRPr="00465EA1">
        <w:rPr>
          <w:color w:val="auto"/>
        </w:rPr>
        <w:t>Resíduos Sólidos. As regras a seguir (</w:t>
      </w:r>
      <w:r w:rsidRPr="00465EA1">
        <w:rPr>
          <w:color w:val="auto"/>
        </w:rPr>
        <w:fldChar w:fldCharType="begin"/>
      </w:r>
      <w:r w:rsidRPr="00465EA1">
        <w:rPr>
          <w:color w:val="auto"/>
        </w:rPr>
        <w:instrText xml:space="preserve"> REF _Ref487181948 \h  \* MERGEFORMAT </w:instrText>
      </w:r>
      <w:r w:rsidRPr="00465EA1">
        <w:rPr>
          <w:color w:val="auto"/>
        </w:rPr>
      </w:r>
      <w:r w:rsidRPr="00465EA1">
        <w:rPr>
          <w:color w:val="auto"/>
        </w:rPr>
        <w:fldChar w:fldCharType="separate"/>
      </w:r>
      <w:r w:rsidR="001B481B" w:rsidRPr="001B481B">
        <w:rPr>
          <w:color w:val="auto"/>
        </w:rPr>
        <w:t>Quadro 36</w:t>
      </w:r>
      <w:r w:rsidRPr="00465EA1">
        <w:rPr>
          <w:color w:val="auto"/>
        </w:rPr>
        <w:fldChar w:fldCharType="end"/>
      </w:r>
      <w:r w:rsidRPr="00465EA1">
        <w:rPr>
          <w:color w:val="auto"/>
        </w:rPr>
        <w:t xml:space="preserve">, </w:t>
      </w:r>
      <w:r w:rsidR="002D57EE" w:rsidRPr="00465EA1">
        <w:rPr>
          <w:color w:val="auto"/>
        </w:rPr>
        <w:fldChar w:fldCharType="begin"/>
      </w:r>
      <w:r w:rsidR="002D57EE" w:rsidRPr="00465EA1">
        <w:rPr>
          <w:color w:val="auto"/>
        </w:rPr>
        <w:instrText xml:space="preserve"> REF _Ref505767160 \h  \* MERGEFORMAT </w:instrText>
      </w:r>
      <w:r w:rsidR="002D57EE" w:rsidRPr="00465EA1">
        <w:rPr>
          <w:color w:val="auto"/>
        </w:rPr>
      </w:r>
      <w:r w:rsidR="002D57EE" w:rsidRPr="00465EA1">
        <w:rPr>
          <w:color w:val="auto"/>
        </w:rPr>
        <w:fldChar w:fldCharType="separate"/>
      </w:r>
      <w:r w:rsidR="001B481B" w:rsidRPr="001B481B">
        <w:rPr>
          <w:color w:val="auto"/>
        </w:rPr>
        <w:t>Quadro 37</w:t>
      </w:r>
      <w:r w:rsidR="002D57EE" w:rsidRPr="00465EA1">
        <w:rPr>
          <w:color w:val="auto"/>
        </w:rPr>
        <w:fldChar w:fldCharType="end"/>
      </w:r>
      <w:r w:rsidRPr="00465EA1">
        <w:rPr>
          <w:color w:val="auto"/>
        </w:rPr>
        <w:t xml:space="preserve">, </w:t>
      </w:r>
      <w:r w:rsidR="00465EA1" w:rsidRPr="00465EA1">
        <w:rPr>
          <w:color w:val="auto"/>
        </w:rPr>
        <w:fldChar w:fldCharType="begin"/>
      </w:r>
      <w:r w:rsidR="00465EA1" w:rsidRPr="00465EA1">
        <w:rPr>
          <w:color w:val="auto"/>
        </w:rPr>
        <w:instrText xml:space="preserve"> REF _Ref506478597 \h </w:instrText>
      </w:r>
      <w:r w:rsidR="00465EA1">
        <w:rPr>
          <w:color w:val="auto"/>
        </w:rPr>
        <w:instrText xml:space="preserve"> \* MERGEFORMAT </w:instrText>
      </w:r>
      <w:r w:rsidR="00465EA1" w:rsidRPr="00465EA1">
        <w:rPr>
          <w:color w:val="auto"/>
        </w:rPr>
      </w:r>
      <w:r w:rsidR="00465EA1" w:rsidRPr="00465EA1">
        <w:rPr>
          <w:color w:val="auto"/>
        </w:rPr>
        <w:fldChar w:fldCharType="separate"/>
      </w:r>
      <w:r w:rsidR="001B481B" w:rsidRPr="00DF4A2F">
        <w:t xml:space="preserve">Quadro </w:t>
      </w:r>
      <w:r w:rsidR="001B481B">
        <w:rPr>
          <w:noProof/>
        </w:rPr>
        <w:t>38</w:t>
      </w:r>
      <w:r w:rsidR="00465EA1" w:rsidRPr="00465EA1">
        <w:rPr>
          <w:color w:val="auto"/>
        </w:rPr>
        <w:fldChar w:fldCharType="end"/>
      </w:r>
      <w:r w:rsidR="00465EA1" w:rsidRPr="00465EA1">
        <w:rPr>
          <w:color w:val="auto"/>
        </w:rPr>
        <w:t xml:space="preserve"> e </w:t>
      </w:r>
      <w:r w:rsidR="002D57EE" w:rsidRPr="00465EA1">
        <w:rPr>
          <w:color w:val="auto"/>
        </w:rPr>
        <w:fldChar w:fldCharType="begin"/>
      </w:r>
      <w:r w:rsidR="002D57EE" w:rsidRPr="00465EA1">
        <w:rPr>
          <w:color w:val="auto"/>
        </w:rPr>
        <w:instrText xml:space="preserve"> REF _Ref505767161 \h  \* MERGEFORMAT </w:instrText>
      </w:r>
      <w:r w:rsidR="002D57EE" w:rsidRPr="00465EA1">
        <w:rPr>
          <w:color w:val="auto"/>
        </w:rPr>
      </w:r>
      <w:r w:rsidR="002D57EE" w:rsidRPr="00465EA1">
        <w:rPr>
          <w:color w:val="auto"/>
        </w:rPr>
        <w:fldChar w:fldCharType="separate"/>
      </w:r>
      <w:r w:rsidR="001B481B" w:rsidRPr="001B481B">
        <w:rPr>
          <w:color w:val="auto"/>
        </w:rPr>
        <w:t>Quadro 39</w:t>
      </w:r>
      <w:r w:rsidR="002D57EE" w:rsidRPr="00465EA1">
        <w:rPr>
          <w:color w:val="auto"/>
        </w:rPr>
        <w:fldChar w:fldCharType="end"/>
      </w:r>
      <w:r w:rsidRPr="00465EA1">
        <w:rPr>
          <w:color w:val="auto"/>
        </w:rPr>
        <w:t>) são</w:t>
      </w:r>
      <w:r w:rsidRPr="002D57EE">
        <w:rPr>
          <w:color w:val="auto"/>
        </w:rPr>
        <w:t xml:space="preserve"> listadas para os estabelecimentos comerciais e prestadores de serviço que geram resíduos</w:t>
      </w:r>
      <w:r w:rsidRPr="00DF4A2F">
        <w:rPr>
          <w:color w:val="auto"/>
        </w:rPr>
        <w:t xml:space="preserve"> perigosos ou resíduos que, por sua natureza, composição ou volume, não podem ser considerados como resíduos domiciliares.</w:t>
      </w:r>
    </w:p>
    <w:p w:rsidR="00AC47A2" w:rsidRDefault="00AC47A2" w:rsidP="00516590">
      <w:pPr>
        <w:pStyle w:val="Default"/>
        <w:spacing w:line="360" w:lineRule="auto"/>
        <w:ind w:firstLine="709"/>
        <w:jc w:val="both"/>
        <w:rPr>
          <w:color w:val="auto"/>
        </w:rPr>
      </w:pPr>
    </w:p>
    <w:p w:rsidR="00671620" w:rsidRPr="00841358" w:rsidRDefault="00671620" w:rsidP="00E95583">
      <w:pPr>
        <w:pStyle w:val="Legenda"/>
        <w:rPr>
          <w:lang w:val="pt-BR"/>
        </w:rPr>
      </w:pPr>
      <w:bookmarkStart w:id="381" w:name="_Ref487181948"/>
      <w:bookmarkStart w:id="382" w:name="_Toc488825079"/>
      <w:bookmarkStart w:id="383" w:name="_Toc493151616"/>
      <w:bookmarkStart w:id="384" w:name="_Toc498593673"/>
      <w:bookmarkStart w:id="385" w:name="_Toc503949464"/>
      <w:bookmarkStart w:id="386" w:name="_Toc509935813"/>
      <w:r w:rsidRPr="00DF4A2F">
        <w:lastRenderedPageBreak/>
        <w:t xml:space="preserve">Quadro </w:t>
      </w:r>
      <w:r w:rsidR="000A1C78">
        <w:fldChar w:fldCharType="begin"/>
      </w:r>
      <w:r w:rsidR="000A1C78">
        <w:instrText xml:space="preserve"> SEQ Quadro \* ARABIC </w:instrText>
      </w:r>
      <w:r w:rsidR="000A1C78">
        <w:fldChar w:fldCharType="separate"/>
      </w:r>
      <w:r w:rsidR="001B481B">
        <w:rPr>
          <w:noProof/>
        </w:rPr>
        <w:t>36</w:t>
      </w:r>
      <w:r w:rsidR="000A1C78">
        <w:rPr>
          <w:noProof/>
        </w:rPr>
        <w:fldChar w:fldCharType="end"/>
      </w:r>
      <w:bookmarkEnd w:id="381"/>
      <w:r w:rsidRPr="00DF4A2F">
        <w:t xml:space="preserve"> </w:t>
      </w:r>
      <w:r w:rsidRPr="00DF4A2F">
        <w:rPr>
          <w:lang w:val="pt-BR"/>
        </w:rPr>
        <w:t>-</w:t>
      </w:r>
      <w:r w:rsidRPr="00DF4A2F">
        <w:t xml:space="preserve"> Resíduos de Estabelecimentos Comerciais – Regras de sobre óleos lubrificantes, pilhas e baterias, pneus </w:t>
      </w:r>
      <w:r w:rsidRPr="00841358">
        <w:t>inservíveis, embalagens de agrotóxico, lixo eletrônico e lâmpadas fluorescentes</w:t>
      </w:r>
      <w:bookmarkEnd w:id="382"/>
      <w:bookmarkEnd w:id="383"/>
      <w:bookmarkEnd w:id="384"/>
      <w:bookmarkEnd w:id="385"/>
      <w:bookmarkEnd w:id="386"/>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AC47A2" w:rsidTr="00AC47A2">
        <w:trPr>
          <w:cantSplit/>
          <w:trHeight w:val="20"/>
          <w:tblHeade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AC47A2" w:rsidRDefault="00671620" w:rsidP="00AC47A2">
            <w:pPr>
              <w:spacing w:before="120" w:after="120" w:line="240" w:lineRule="auto"/>
              <w:rPr>
                <w:rFonts w:cs="Arial"/>
                <w:b/>
                <w:sz w:val="22"/>
              </w:rPr>
            </w:pPr>
            <w:r w:rsidRPr="00AC47A2">
              <w:rPr>
                <w:rFonts w:cs="Arial"/>
                <w:b/>
                <w:sz w:val="22"/>
              </w:rPr>
              <w:t>Regras sobre óleos lubrificantes, pilhas e baterias, pneus inservíveis e embalagens de agrotóxicos, lixo eletrônico e lâmpadas fluorescentes segundo as Resoluções CONAMA n° 362/05, n°401/08, n° 416/09</w:t>
            </w:r>
          </w:p>
        </w:tc>
      </w:tr>
      <w:tr w:rsidR="00671620" w:rsidRPr="00AC47A2"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AC47A2" w:rsidRDefault="00671620" w:rsidP="00AC47A2">
            <w:pPr>
              <w:spacing w:before="120" w:after="120" w:line="240" w:lineRule="auto"/>
              <w:jc w:val="both"/>
              <w:rPr>
                <w:rFonts w:cs="Arial"/>
                <w:sz w:val="22"/>
              </w:rPr>
            </w:pPr>
            <w:r w:rsidRPr="00AC47A2">
              <w:rPr>
                <w:rFonts w:cs="Arial"/>
                <w:sz w:val="22"/>
              </w:rPr>
              <w:t>Todo óleo lubriﬁcante usado ou contaminado deverá ser recolhido, coletado e ter destinação ﬁnal, de modo que não afete negativamente o meio ambiente e propicie a máxima recuperação dos constituintes nele contidos.</w:t>
            </w:r>
          </w:p>
        </w:tc>
      </w:tr>
      <w:tr w:rsidR="00671620" w:rsidRPr="00AC47A2"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AC47A2" w:rsidRDefault="00671620" w:rsidP="00AC47A2">
            <w:pPr>
              <w:spacing w:before="120" w:after="120" w:line="240" w:lineRule="auto"/>
              <w:jc w:val="both"/>
              <w:rPr>
                <w:rFonts w:eastAsia="MS Mincho" w:cs="Arial"/>
                <w:sz w:val="22"/>
              </w:rPr>
            </w:pPr>
            <w:r w:rsidRPr="00AC47A2">
              <w:rPr>
                <w:rFonts w:cs="Arial"/>
                <w:sz w:val="22"/>
              </w:rPr>
              <w:t>Os produtores e importadores são obrigados a coletar todo óleo disponível ou garantir o custeio de toda a coleta de óleo lubriﬁcante usado ou contaminado efetivamente realizada, na proporção do óleo que colocarem no mercado conforme metas progressivas intermediárias e ﬁnais a serem estabelecidas pelos Ministérios de Meio Ambiente e de Minas e Energia em ato normativo conjunto, mesmo que superado o percentual mínimo.</w:t>
            </w:r>
          </w:p>
        </w:tc>
      </w:tr>
      <w:tr w:rsidR="00671620" w:rsidRPr="00AC47A2"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AC47A2" w:rsidRDefault="00671620" w:rsidP="00AC47A2">
            <w:pPr>
              <w:spacing w:before="120" w:after="120" w:line="240" w:lineRule="auto"/>
              <w:jc w:val="both"/>
              <w:rPr>
                <w:rFonts w:eastAsia="MS Mincho" w:cs="Arial"/>
                <w:sz w:val="22"/>
              </w:rPr>
            </w:pPr>
            <w:r w:rsidRPr="00AC47A2">
              <w:rPr>
                <w:rFonts w:cs="Arial"/>
                <w:sz w:val="22"/>
              </w:rPr>
              <w:t>Os estabelecimentos que comercializam as pilhas e baterias enquadradas no art. 1º da Resolução CONAMA n° 401 de 2008, bem como a rede de assistência técnica autorizada pelos fabricantes e importadores desses produtos, deverão receber dos usuários as pilhas e baterias usadas, respeitando o mesmo princípio ativo, sendo facultativa a recepção de outras marcas, para repasse aos respectivos fabricantes ou importadores.</w:t>
            </w:r>
          </w:p>
        </w:tc>
      </w:tr>
      <w:tr w:rsidR="00671620" w:rsidRPr="00AC47A2"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AC47A2" w:rsidRDefault="00671620" w:rsidP="00AC47A2">
            <w:pPr>
              <w:spacing w:before="120" w:after="120" w:line="240" w:lineRule="auto"/>
              <w:jc w:val="both"/>
              <w:rPr>
                <w:rFonts w:eastAsia="MS Mincho" w:cs="Arial"/>
                <w:sz w:val="22"/>
              </w:rPr>
            </w:pPr>
            <w:r w:rsidRPr="00AC47A2">
              <w:rPr>
                <w:rFonts w:cs="Arial"/>
                <w:sz w:val="22"/>
              </w:rPr>
              <w:t>Os fabricantes e os importadores de pneus novos, com peso unitário superior a 2,0 kg (dois quilos), são obrigados a coletar e dar destinação adequada aos pneus inservíveis existentes no território nacional.</w:t>
            </w:r>
          </w:p>
        </w:tc>
      </w:tr>
      <w:tr w:rsidR="00671620" w:rsidRPr="00AC47A2"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AC47A2" w:rsidRDefault="00671620" w:rsidP="00AC47A2">
            <w:pPr>
              <w:spacing w:before="120" w:after="120" w:line="240" w:lineRule="auto"/>
              <w:jc w:val="both"/>
              <w:rPr>
                <w:rFonts w:eastAsia="MS Mincho" w:cs="Arial"/>
                <w:sz w:val="22"/>
              </w:rPr>
            </w:pPr>
            <w:r w:rsidRPr="00AC47A2">
              <w:rPr>
                <w:rFonts w:cs="Arial"/>
                <w:sz w:val="22"/>
              </w:rPr>
              <w:t>Os estabelecimentos de comercialização de pneus são obrigados, no ato da troca de um pneu usado por um pneu novo ou reformado, a receber e armazenar temporariamente os pneus usados entregues pelo consumidor, sem qualquer tipo de ônus para este, adotando procedimentos de controle que identifiquem a sua origem e destino.</w:t>
            </w:r>
          </w:p>
        </w:tc>
      </w:tr>
      <w:tr w:rsidR="00671620" w:rsidRPr="00AC47A2"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AC47A2" w:rsidRDefault="00671620" w:rsidP="00AC47A2">
            <w:pPr>
              <w:spacing w:before="120" w:after="120" w:line="240" w:lineRule="auto"/>
              <w:jc w:val="both"/>
              <w:rPr>
                <w:rFonts w:eastAsia="MS Mincho" w:cs="Arial"/>
                <w:sz w:val="22"/>
              </w:rPr>
            </w:pPr>
            <w:r w:rsidRPr="00AC47A2">
              <w:rPr>
                <w:rFonts w:cs="Arial"/>
                <w:sz w:val="22"/>
              </w:rPr>
              <w:t>As empresas produtoras e comercializadoras de agrotóxicos, seus componentes e afins, são responsáveis pela destinação das embalagens vazias dos produtos por elas fabricados e comercializados, após a devolução pelos usuários, e pela dos produtos apreendidos pela ação fiscalizatória e dos impróprios para utilização ou em desuso, com vistas à sua reutilização, reciclagem ou inutilização, obedecidas as normas e instruções dos órgãos registrantes e sanitário-ambientais competentes.</w:t>
            </w:r>
          </w:p>
        </w:tc>
      </w:tr>
      <w:tr w:rsidR="00671620" w:rsidRPr="00AC47A2"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AC47A2" w:rsidRDefault="00671620" w:rsidP="00AC47A2">
            <w:pPr>
              <w:spacing w:before="120" w:after="120" w:line="240" w:lineRule="auto"/>
              <w:jc w:val="both"/>
              <w:rPr>
                <w:rFonts w:eastAsia="MS Mincho" w:cs="Arial"/>
                <w:sz w:val="22"/>
              </w:rPr>
            </w:pPr>
            <w:r w:rsidRPr="00AC47A2">
              <w:rPr>
                <w:rFonts w:cs="Arial"/>
                <w:sz w:val="22"/>
              </w:rPr>
              <w:t>A empresa que fabrica, importa ou comercializa produtos tecnológicos eletrônicos (componentes periféricos de computadores; monitores e televisores; acumuladores de energia ou baterias e pilhas; produtos magnetizados) tem responsabilidade de manter pontos de coleta para receber lixo eletrônico a ser descartado pelo consumidor.</w:t>
            </w:r>
          </w:p>
        </w:tc>
      </w:tr>
    </w:tbl>
    <w:p w:rsidR="00671620" w:rsidRDefault="00671620" w:rsidP="00AC47A2">
      <w:pPr>
        <w:pStyle w:val="Fonte"/>
      </w:pPr>
      <w:bookmarkStart w:id="387" w:name="_Ref487181959"/>
      <w:bookmarkStart w:id="388" w:name="_Toc488825080"/>
      <w:bookmarkStart w:id="389" w:name="_Toc493151617"/>
      <w:bookmarkStart w:id="390" w:name="_Toc498593674"/>
    </w:p>
    <w:p w:rsidR="00AC47A2" w:rsidRDefault="00AC47A2" w:rsidP="00AC47A2">
      <w:pPr>
        <w:pStyle w:val="Fonte"/>
      </w:pPr>
    </w:p>
    <w:p w:rsidR="00AC47A2" w:rsidRDefault="00AC47A2" w:rsidP="00AC47A2">
      <w:pPr>
        <w:pStyle w:val="Fonte"/>
      </w:pPr>
    </w:p>
    <w:p w:rsidR="00671620" w:rsidRPr="00841358" w:rsidRDefault="00671620" w:rsidP="00E95583">
      <w:pPr>
        <w:pStyle w:val="Legenda"/>
      </w:pPr>
      <w:bookmarkStart w:id="391" w:name="_Ref505767160"/>
      <w:bookmarkStart w:id="392" w:name="_Toc503949465"/>
      <w:bookmarkStart w:id="393" w:name="_Toc509935814"/>
      <w:r w:rsidRPr="00DF4A2F">
        <w:lastRenderedPageBreak/>
        <w:t xml:space="preserve">Quadro </w:t>
      </w:r>
      <w:r w:rsidR="000A1C78">
        <w:fldChar w:fldCharType="begin"/>
      </w:r>
      <w:r w:rsidR="000A1C78">
        <w:instrText xml:space="preserve"> SEQ Quadro \* ARABIC </w:instrText>
      </w:r>
      <w:r w:rsidR="000A1C78">
        <w:fldChar w:fldCharType="separate"/>
      </w:r>
      <w:r w:rsidR="001B481B">
        <w:rPr>
          <w:noProof/>
        </w:rPr>
        <w:t>37</w:t>
      </w:r>
      <w:r w:rsidR="000A1C78">
        <w:rPr>
          <w:noProof/>
        </w:rPr>
        <w:fldChar w:fldCharType="end"/>
      </w:r>
      <w:bookmarkEnd w:id="387"/>
      <w:bookmarkEnd w:id="391"/>
      <w:r w:rsidRPr="00DF4A2F">
        <w:rPr>
          <w:lang w:val="pt-BR"/>
        </w:rPr>
        <w:t xml:space="preserve"> </w:t>
      </w:r>
      <w:r w:rsidRPr="00DF4A2F">
        <w:t xml:space="preserve">- Resíduos de Estabelecimentos </w:t>
      </w:r>
      <w:r w:rsidRPr="00841358">
        <w:t>Comerciais – Regras de coleta e transporte</w:t>
      </w:r>
      <w:bookmarkEnd w:id="388"/>
      <w:bookmarkEnd w:id="389"/>
      <w:bookmarkEnd w:id="390"/>
      <w:bookmarkEnd w:id="392"/>
      <w:bookmarkEnd w:id="393"/>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AC47A2"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AC47A2" w:rsidRDefault="00671620" w:rsidP="00AC47A2">
            <w:pPr>
              <w:pStyle w:val="Legenda"/>
              <w:spacing w:after="120"/>
              <w:rPr>
                <w:rFonts w:cs="Arial"/>
                <w:sz w:val="22"/>
                <w:szCs w:val="22"/>
              </w:rPr>
            </w:pPr>
            <w:r w:rsidRPr="00AC47A2">
              <w:rPr>
                <w:rFonts w:cs="Arial"/>
                <w:sz w:val="22"/>
                <w:szCs w:val="22"/>
              </w:rPr>
              <w:t>Regras de coleta e transporte</w:t>
            </w:r>
          </w:p>
        </w:tc>
      </w:tr>
      <w:tr w:rsidR="00671620" w:rsidRPr="00AC47A2"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AC47A2" w:rsidRDefault="00671620" w:rsidP="00AC47A2">
            <w:pPr>
              <w:spacing w:before="120" w:after="120" w:line="240" w:lineRule="auto"/>
              <w:jc w:val="both"/>
              <w:rPr>
                <w:rFonts w:eastAsia="Times New Roman" w:cs="Arial"/>
                <w:sz w:val="22"/>
              </w:rPr>
            </w:pPr>
            <w:r w:rsidRPr="00AC47A2">
              <w:rPr>
                <w:rFonts w:eastAsia="Times New Roman" w:cs="Arial"/>
                <w:sz w:val="22"/>
              </w:rPr>
              <w:t xml:space="preserve">O acondicionamento de resíduos perigosos, como forma temporária de espera para reciclagem, recuperação, tratamento e/ou disposição final, pode ser realizado em </w:t>
            </w:r>
            <w:r w:rsidRPr="00AC47A2">
              <w:rPr>
                <w:rFonts w:eastAsia="Times New Roman" w:cs="Arial"/>
                <w:i/>
                <w:sz w:val="22"/>
              </w:rPr>
              <w:t>containers</w:t>
            </w:r>
            <w:r w:rsidRPr="00AC47A2">
              <w:rPr>
                <w:rFonts w:eastAsia="Times New Roman" w:cs="Arial"/>
                <w:sz w:val="22"/>
              </w:rPr>
              <w:t>, tambores, tanques e/ou a granel.</w:t>
            </w:r>
          </w:p>
        </w:tc>
      </w:tr>
      <w:tr w:rsidR="00671620" w:rsidRPr="00AC47A2"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AC47A2" w:rsidRDefault="00671620" w:rsidP="00AC47A2">
            <w:pPr>
              <w:autoSpaceDE w:val="0"/>
              <w:autoSpaceDN w:val="0"/>
              <w:adjustRightInd w:val="0"/>
              <w:spacing w:before="120" w:after="120" w:line="240" w:lineRule="auto"/>
              <w:jc w:val="both"/>
              <w:rPr>
                <w:rFonts w:eastAsia="Times New Roman" w:cs="Arial"/>
                <w:sz w:val="22"/>
              </w:rPr>
            </w:pPr>
            <w:r w:rsidRPr="00AC47A2">
              <w:rPr>
                <w:rFonts w:eastAsia="Times New Roman" w:cs="Arial"/>
                <w:sz w:val="22"/>
              </w:rPr>
              <w:t>Nenhum resíduo perigoso pode ser armazenado sem análise prévia de suas propriedades físicas e químicas, uma vez que disso depende a sua caracterização como perigoso ou não e o seu armazenamento adequado.</w:t>
            </w:r>
          </w:p>
        </w:tc>
      </w:tr>
      <w:tr w:rsidR="00671620" w:rsidRPr="00AC47A2" w:rsidTr="00AC47A2">
        <w:trPr>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AC47A2" w:rsidRDefault="00671620" w:rsidP="00AC47A2">
            <w:pPr>
              <w:autoSpaceDE w:val="0"/>
              <w:autoSpaceDN w:val="0"/>
              <w:adjustRightInd w:val="0"/>
              <w:spacing w:before="120" w:after="120" w:line="240" w:lineRule="auto"/>
              <w:jc w:val="both"/>
              <w:rPr>
                <w:rFonts w:eastAsia="Times New Roman" w:cs="Arial"/>
                <w:sz w:val="22"/>
              </w:rPr>
            </w:pPr>
            <w:r w:rsidRPr="00AC47A2">
              <w:rPr>
                <w:rFonts w:eastAsia="Times New Roman" w:cs="Arial"/>
                <w:sz w:val="22"/>
              </w:rPr>
              <w:t>Um local de armazenamento deve possuir um plano de amostragem de resíduos que tenha: os parâmetros que são analisados em cada resíduo, justificando-se cada um; os métodos de amostragem utilizados; os métodos de análise e ensaios a serem utilizados; a frequência de análise; as características de reatividade, inflamabilidade e corrosividade dos resíduos, bem como as propriedades que os caracterizam como tais; a incompatibilidade com outros resíduos.</w:t>
            </w:r>
          </w:p>
        </w:tc>
      </w:tr>
    </w:tbl>
    <w:p w:rsidR="00AC47A2" w:rsidRDefault="00AC47A2" w:rsidP="00AC47A2">
      <w:pPr>
        <w:pStyle w:val="Fonte"/>
      </w:pPr>
      <w:bookmarkStart w:id="394" w:name="_Ref487181975"/>
      <w:bookmarkStart w:id="395" w:name="_Toc488825081"/>
      <w:bookmarkStart w:id="396" w:name="_Toc493151618"/>
      <w:bookmarkStart w:id="397" w:name="_Toc498593675"/>
      <w:bookmarkStart w:id="398" w:name="_Toc503949466"/>
    </w:p>
    <w:p w:rsidR="00671620" w:rsidRPr="00841358" w:rsidRDefault="00671620" w:rsidP="00E95583">
      <w:pPr>
        <w:pStyle w:val="Legenda"/>
        <w:rPr>
          <w:lang w:val="pt-BR"/>
        </w:rPr>
      </w:pPr>
      <w:bookmarkStart w:id="399" w:name="_Ref506478597"/>
      <w:bookmarkStart w:id="400" w:name="_Toc509935815"/>
      <w:r w:rsidRPr="00DF4A2F">
        <w:t xml:space="preserve">Quadro </w:t>
      </w:r>
      <w:r w:rsidR="000A1C78">
        <w:fldChar w:fldCharType="begin"/>
      </w:r>
      <w:r w:rsidR="000A1C78">
        <w:instrText xml:space="preserve"> SEQ Quadro \* ARABIC </w:instrText>
      </w:r>
      <w:r w:rsidR="000A1C78">
        <w:fldChar w:fldCharType="separate"/>
      </w:r>
      <w:r w:rsidR="001B481B">
        <w:rPr>
          <w:noProof/>
        </w:rPr>
        <w:t>38</w:t>
      </w:r>
      <w:r w:rsidR="000A1C78">
        <w:rPr>
          <w:noProof/>
        </w:rPr>
        <w:fldChar w:fldCharType="end"/>
      </w:r>
      <w:bookmarkEnd w:id="394"/>
      <w:bookmarkEnd w:id="399"/>
      <w:r w:rsidRPr="00DF4A2F">
        <w:t xml:space="preserve"> </w:t>
      </w:r>
      <w:r w:rsidRPr="00DF4A2F">
        <w:rPr>
          <w:lang w:val="pt-BR"/>
        </w:rPr>
        <w:t>-</w:t>
      </w:r>
      <w:r w:rsidRPr="00DF4A2F">
        <w:t xml:space="preserve"> Resíduos de Estabelecimentos Comerciais – </w:t>
      </w:r>
      <w:r w:rsidRPr="00841358">
        <w:t>Regras de triagem e transbordo</w:t>
      </w:r>
      <w:bookmarkEnd w:id="395"/>
      <w:bookmarkEnd w:id="396"/>
      <w:bookmarkEnd w:id="397"/>
      <w:bookmarkEnd w:id="398"/>
      <w:bookmarkEnd w:id="400"/>
    </w:p>
    <w:tbl>
      <w:tblPr>
        <w:tblW w:w="0" w:type="auto"/>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firstRow="1" w:lastRow="0" w:firstColumn="1" w:lastColumn="0" w:noHBand="0" w:noVBand="1"/>
      </w:tblPr>
      <w:tblGrid>
        <w:gridCol w:w="9570"/>
      </w:tblGrid>
      <w:tr w:rsidR="00671620" w:rsidRPr="00AC47A2" w:rsidTr="00AC47A2">
        <w:trPr>
          <w:trHeight w:val="20"/>
          <w:jc w:val="center"/>
        </w:trPr>
        <w:tc>
          <w:tcPr>
            <w:tcW w:w="0" w:type="auto"/>
            <w:shd w:val="clear" w:color="auto" w:fill="auto"/>
          </w:tcPr>
          <w:p w:rsidR="00671620" w:rsidRPr="00AC47A2" w:rsidRDefault="00671620" w:rsidP="00AC47A2">
            <w:pPr>
              <w:spacing w:before="120" w:after="120" w:line="240" w:lineRule="auto"/>
              <w:rPr>
                <w:rFonts w:eastAsia="Times New Roman" w:cs="Arial"/>
                <w:b/>
                <w:sz w:val="22"/>
              </w:rPr>
            </w:pPr>
            <w:r w:rsidRPr="00AC47A2">
              <w:rPr>
                <w:rFonts w:eastAsia="Times New Roman" w:cs="Arial"/>
                <w:b/>
                <w:sz w:val="22"/>
              </w:rPr>
              <w:t>Regras de Triagem e Transbordo</w:t>
            </w:r>
          </w:p>
        </w:tc>
      </w:tr>
      <w:tr w:rsidR="00671620" w:rsidRPr="00AC47A2" w:rsidTr="00AC47A2">
        <w:trPr>
          <w:trHeight w:val="20"/>
          <w:jc w:val="center"/>
        </w:trPr>
        <w:tc>
          <w:tcPr>
            <w:tcW w:w="0" w:type="auto"/>
            <w:shd w:val="clear" w:color="auto" w:fill="D3DFEE"/>
          </w:tcPr>
          <w:p w:rsidR="00671620" w:rsidRPr="00AC47A2" w:rsidRDefault="00671620" w:rsidP="00AC47A2">
            <w:pPr>
              <w:spacing w:before="120" w:after="120" w:line="240" w:lineRule="auto"/>
              <w:jc w:val="both"/>
              <w:rPr>
                <w:rFonts w:eastAsia="Times New Roman" w:cs="Arial"/>
                <w:sz w:val="22"/>
              </w:rPr>
            </w:pPr>
            <w:r w:rsidRPr="00AC47A2">
              <w:rPr>
                <w:rFonts w:eastAsia="Times New Roman" w:cs="Arial"/>
                <w:sz w:val="22"/>
              </w:rPr>
              <w:t>Resíduos ou substâncias que, ao se misturarem, provocam efeitos indesejáveis, como fogo, liberação de gases tóxicos ou ainda facilitam a lixiviação de substâncias tóxicas, não devem ser colocados em contato.</w:t>
            </w:r>
          </w:p>
        </w:tc>
      </w:tr>
    </w:tbl>
    <w:p w:rsidR="00671620" w:rsidRPr="00841358" w:rsidRDefault="00671620" w:rsidP="00AC47A2">
      <w:pPr>
        <w:pStyle w:val="Fonte"/>
      </w:pPr>
      <w:bookmarkStart w:id="401" w:name="_Ref487181984"/>
      <w:bookmarkStart w:id="402" w:name="_Toc488825082"/>
      <w:bookmarkStart w:id="403" w:name="_Toc493151619"/>
    </w:p>
    <w:p w:rsidR="00671620" w:rsidRPr="00841358" w:rsidRDefault="00671620" w:rsidP="00E95583">
      <w:pPr>
        <w:pStyle w:val="Legenda"/>
      </w:pPr>
      <w:bookmarkStart w:id="404" w:name="_Ref505767161"/>
      <w:bookmarkStart w:id="405" w:name="_Toc498593676"/>
      <w:bookmarkStart w:id="406" w:name="_Toc503949467"/>
      <w:bookmarkStart w:id="407" w:name="_Toc509935816"/>
      <w:r w:rsidRPr="00841358">
        <w:t xml:space="preserve">Quadro </w:t>
      </w:r>
      <w:r w:rsidR="000A1C78">
        <w:fldChar w:fldCharType="begin"/>
      </w:r>
      <w:r w:rsidR="000A1C78">
        <w:instrText xml:space="preserve"> SEQ Quadro \* ARABIC </w:instrText>
      </w:r>
      <w:r w:rsidR="000A1C78">
        <w:fldChar w:fldCharType="separate"/>
      </w:r>
      <w:r w:rsidR="001B481B">
        <w:rPr>
          <w:noProof/>
        </w:rPr>
        <w:t>39</w:t>
      </w:r>
      <w:r w:rsidR="000A1C78">
        <w:rPr>
          <w:noProof/>
        </w:rPr>
        <w:fldChar w:fldCharType="end"/>
      </w:r>
      <w:bookmarkEnd w:id="401"/>
      <w:bookmarkEnd w:id="404"/>
      <w:r w:rsidRPr="00841358">
        <w:t xml:space="preserve"> </w:t>
      </w:r>
      <w:r w:rsidRPr="00841358">
        <w:rPr>
          <w:lang w:val="pt-BR"/>
        </w:rPr>
        <w:t>-</w:t>
      </w:r>
      <w:r w:rsidRPr="00841358">
        <w:t xml:space="preserve"> Resíduos de Estabelecimentos Comerciais – Legislação e normas</w:t>
      </w:r>
      <w:bookmarkEnd w:id="402"/>
      <w:bookmarkEnd w:id="403"/>
      <w:bookmarkEnd w:id="405"/>
      <w:bookmarkEnd w:id="406"/>
      <w:bookmarkEnd w:id="407"/>
    </w:p>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671620" w:rsidRPr="00AC47A2"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AC47A2" w:rsidRDefault="00671620" w:rsidP="00AC47A2">
            <w:pPr>
              <w:spacing w:before="120" w:after="120" w:line="240" w:lineRule="auto"/>
              <w:rPr>
                <w:rFonts w:eastAsia="Times New Roman" w:cs="Arial"/>
                <w:b/>
                <w:sz w:val="22"/>
                <w:u w:val="single"/>
              </w:rPr>
            </w:pPr>
            <w:r w:rsidRPr="00AC47A2">
              <w:rPr>
                <w:rFonts w:eastAsia="Times New Roman" w:cs="Arial"/>
                <w:b/>
                <w:sz w:val="22"/>
                <w:u w:val="single"/>
              </w:rPr>
              <w:t>Leis e decretos federais</w:t>
            </w:r>
          </w:p>
        </w:tc>
      </w:tr>
      <w:tr w:rsidR="00671620" w:rsidRPr="00AC47A2"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AC47A2" w:rsidRDefault="00671620" w:rsidP="00AC47A2">
            <w:pPr>
              <w:spacing w:before="120" w:after="120" w:line="240" w:lineRule="auto"/>
              <w:jc w:val="both"/>
              <w:rPr>
                <w:rFonts w:eastAsia="Times New Roman" w:cs="Arial"/>
                <w:sz w:val="22"/>
              </w:rPr>
            </w:pPr>
            <w:r w:rsidRPr="00AC47A2">
              <w:rPr>
                <w:rFonts w:eastAsia="Times New Roman" w:cs="Arial"/>
                <w:sz w:val="22"/>
              </w:rPr>
              <w:t>Lei nº 9.974 de 2000 Altera a Lei nº 7.802 de 1989.</w:t>
            </w:r>
          </w:p>
        </w:tc>
      </w:tr>
      <w:tr w:rsidR="00671620" w:rsidRPr="00AC47A2"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AC47A2" w:rsidRDefault="00671620" w:rsidP="00AC47A2">
            <w:pPr>
              <w:spacing w:before="120" w:after="120" w:line="240" w:lineRule="auto"/>
              <w:jc w:val="both"/>
              <w:rPr>
                <w:rFonts w:eastAsia="Times New Roman" w:cs="Arial"/>
                <w:sz w:val="22"/>
              </w:rPr>
            </w:pPr>
            <w:r w:rsidRPr="00AC47A2">
              <w:rPr>
                <w:rFonts w:eastAsia="Times New Roman" w:cs="Arial"/>
                <w:sz w:val="22"/>
              </w:rPr>
              <w:t>Lei nº 7.802 de 1989 dispõe sobre a pesquisa, a experimentação, a produção, a embalagem e rotulagem, o transporte, o armazenamento, a comercialização, a propaganda comercial, a utilização, a importação, a exportação, o destino final dos resíduos e embalagens, o registro, a classificação, o controle, a inspeção e a fiscalização de agrotóxicos, seus componentes e afins, e dá outras providências.</w:t>
            </w:r>
          </w:p>
        </w:tc>
      </w:tr>
      <w:tr w:rsidR="00671620" w:rsidRPr="00AC47A2"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AC47A2" w:rsidRDefault="00671620" w:rsidP="00AC47A2">
            <w:pPr>
              <w:spacing w:before="120" w:after="120" w:line="240" w:lineRule="auto"/>
              <w:jc w:val="both"/>
              <w:rPr>
                <w:rFonts w:eastAsia="Times New Roman" w:cs="Arial"/>
                <w:b/>
                <w:sz w:val="22"/>
                <w:u w:val="single"/>
              </w:rPr>
            </w:pPr>
            <w:r w:rsidRPr="00AC47A2">
              <w:rPr>
                <w:rFonts w:eastAsia="Times New Roman" w:cs="Arial"/>
                <w:b/>
                <w:sz w:val="22"/>
                <w:u w:val="single"/>
              </w:rPr>
              <w:t>Principais resoluções nacionais</w:t>
            </w:r>
          </w:p>
        </w:tc>
      </w:tr>
      <w:tr w:rsidR="00671620" w:rsidRPr="00AC47A2"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AC47A2" w:rsidRDefault="00671620" w:rsidP="00AC47A2">
            <w:pPr>
              <w:spacing w:before="120" w:after="120" w:line="240" w:lineRule="auto"/>
              <w:jc w:val="both"/>
              <w:rPr>
                <w:rFonts w:eastAsia="Times New Roman" w:cs="Arial"/>
                <w:sz w:val="22"/>
              </w:rPr>
            </w:pPr>
            <w:r w:rsidRPr="00AC47A2">
              <w:rPr>
                <w:rFonts w:eastAsia="Times New Roman" w:cs="Arial"/>
                <w:sz w:val="22"/>
              </w:rPr>
              <w:t>Resolução CONAMA nº 424, de 23 de abril de 2010. Revoga o parágrafo único do art. 16 da Resolução CONAMA nº 401/08.</w:t>
            </w:r>
          </w:p>
        </w:tc>
      </w:tr>
      <w:tr w:rsidR="00671620" w:rsidRPr="00AC47A2"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AC47A2" w:rsidRDefault="00671620" w:rsidP="00AC47A2">
            <w:pPr>
              <w:spacing w:before="120" w:after="120" w:line="240" w:lineRule="auto"/>
              <w:jc w:val="both"/>
              <w:rPr>
                <w:rFonts w:eastAsia="Times New Roman" w:cs="Arial"/>
                <w:sz w:val="22"/>
              </w:rPr>
            </w:pPr>
            <w:r w:rsidRPr="00AC47A2">
              <w:rPr>
                <w:rFonts w:eastAsia="Times New Roman" w:cs="Arial"/>
                <w:sz w:val="22"/>
              </w:rPr>
              <w:t>Resolução CONAMA nº 416, de 01 de outubro de 2009. Dispõe sobre a prevenção à degradação ambiental causada por pneus inservíveis e sua destinação ambientalmente adequada, e dá outras providências. Revoga as resoluções nº 258/99 e nº 301/02.</w:t>
            </w:r>
          </w:p>
        </w:tc>
      </w:tr>
    </w:tbl>
    <w:p w:rsidR="00AC47A2" w:rsidRDefault="00AC47A2"/>
    <w:p w:rsidR="00AC47A2" w:rsidRDefault="00AC47A2"/>
    <w:tbl>
      <w:tblPr>
        <w:tblW w:w="0" w:type="auto"/>
        <w:jc w:val="center"/>
        <w:tblBorders>
          <w:top w:val="single" w:sz="8" w:space="0" w:color="4F81BD"/>
          <w:bottom w:val="single" w:sz="8" w:space="0" w:color="4F81BD"/>
        </w:tblBorders>
        <w:tblLook w:val="04A0" w:firstRow="1" w:lastRow="0" w:firstColumn="1" w:lastColumn="0" w:noHBand="0" w:noVBand="1"/>
      </w:tblPr>
      <w:tblGrid>
        <w:gridCol w:w="9570"/>
      </w:tblGrid>
      <w:tr w:rsidR="00AC47A2" w:rsidRPr="00AC47A2"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AC47A2" w:rsidRPr="00AC47A2" w:rsidRDefault="00AC47A2" w:rsidP="00AC47A2">
            <w:pPr>
              <w:spacing w:before="120" w:after="120" w:line="240" w:lineRule="auto"/>
              <w:jc w:val="both"/>
              <w:rPr>
                <w:rFonts w:eastAsia="Times New Roman" w:cs="Arial"/>
                <w:b/>
                <w:sz w:val="22"/>
                <w:u w:val="single"/>
              </w:rPr>
            </w:pPr>
            <w:r w:rsidRPr="00AC47A2">
              <w:rPr>
                <w:rFonts w:eastAsia="Times New Roman" w:cs="Arial"/>
                <w:b/>
                <w:sz w:val="22"/>
                <w:u w:val="single"/>
              </w:rPr>
              <w:lastRenderedPageBreak/>
              <w:t>Principais resoluções nacionais</w:t>
            </w:r>
          </w:p>
        </w:tc>
      </w:tr>
      <w:tr w:rsidR="00671620" w:rsidRPr="00AC47A2"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AC47A2" w:rsidRDefault="00671620" w:rsidP="00AC47A2">
            <w:pPr>
              <w:spacing w:before="120" w:after="120" w:line="240" w:lineRule="auto"/>
              <w:jc w:val="both"/>
              <w:rPr>
                <w:rFonts w:eastAsia="Times New Roman" w:cs="Arial"/>
                <w:sz w:val="22"/>
              </w:rPr>
            </w:pPr>
            <w:r w:rsidRPr="00AC47A2">
              <w:rPr>
                <w:rFonts w:eastAsia="Times New Roman" w:cs="Arial"/>
                <w:sz w:val="22"/>
              </w:rPr>
              <w:t>Resolução CONAMA nº 401, de 04 de novembro de 2008. Estabelece os limites máximos de chumbo, cádmio e mercúrio para pilhas e baterias comercializadas no território nacional e os critérios e padrões para o seu gerenciamento ambientalmente adequado, e dá outras providências. Revoga a Resolução CONAMA nº 257/99 e foi alterada pela Resolução nº 424/10.</w:t>
            </w:r>
          </w:p>
        </w:tc>
      </w:tr>
      <w:tr w:rsidR="00671620" w:rsidRPr="00AC47A2"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AC47A2" w:rsidRDefault="00671620" w:rsidP="00AC47A2">
            <w:pPr>
              <w:spacing w:before="120" w:after="120" w:line="240" w:lineRule="auto"/>
              <w:jc w:val="both"/>
              <w:rPr>
                <w:rFonts w:eastAsia="Times New Roman" w:cs="Arial"/>
                <w:sz w:val="22"/>
              </w:rPr>
            </w:pPr>
            <w:r w:rsidRPr="00AC47A2">
              <w:rPr>
                <w:rFonts w:eastAsia="Times New Roman" w:cs="Arial"/>
                <w:sz w:val="22"/>
              </w:rPr>
              <w:t>Resolução CONAMA nº 362, de 23 de junho de 2005. Dispõe sobre o recolhimento, coleta e destinação final de óleo lubrificante usado ou contaminado.</w:t>
            </w:r>
          </w:p>
        </w:tc>
      </w:tr>
      <w:tr w:rsidR="00671620" w:rsidRPr="00AC47A2"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AC47A2" w:rsidRDefault="00671620" w:rsidP="00AC47A2">
            <w:pPr>
              <w:spacing w:before="120" w:after="120" w:line="240" w:lineRule="auto"/>
              <w:jc w:val="both"/>
              <w:rPr>
                <w:rFonts w:eastAsia="Times New Roman" w:cs="Arial"/>
                <w:b/>
                <w:sz w:val="22"/>
                <w:u w:val="single"/>
              </w:rPr>
            </w:pPr>
            <w:r w:rsidRPr="00AC47A2">
              <w:rPr>
                <w:rFonts w:eastAsia="Times New Roman" w:cs="Arial"/>
                <w:b/>
                <w:sz w:val="22"/>
                <w:u w:val="single"/>
              </w:rPr>
              <w:t>Normas técnicas</w:t>
            </w:r>
          </w:p>
        </w:tc>
      </w:tr>
      <w:tr w:rsidR="00671620" w:rsidRPr="00AC47A2"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AC47A2" w:rsidRDefault="00671620" w:rsidP="00AC47A2">
            <w:pPr>
              <w:spacing w:before="120" w:after="120" w:line="240" w:lineRule="auto"/>
              <w:jc w:val="both"/>
              <w:rPr>
                <w:rFonts w:eastAsia="Times New Roman" w:cs="Arial"/>
                <w:sz w:val="22"/>
              </w:rPr>
            </w:pPr>
            <w:r w:rsidRPr="00AC47A2">
              <w:rPr>
                <w:rFonts w:eastAsia="Times New Roman" w:cs="Arial"/>
                <w:sz w:val="22"/>
              </w:rPr>
              <w:t xml:space="preserve">ABNT NBR 7500:2013 - </w:t>
            </w:r>
            <w:r w:rsidRPr="00AC47A2">
              <w:rPr>
                <w:rFonts w:eastAsia="Times New Roman" w:cs="Arial"/>
                <w:sz w:val="22"/>
                <w:lang w:val="pt-PT"/>
              </w:rPr>
              <w:t>Identificação para o transporte terrestre, manuseio, movimentação e armazenamento de produtos.</w:t>
            </w:r>
          </w:p>
        </w:tc>
      </w:tr>
      <w:tr w:rsidR="00671620" w:rsidRPr="00AC47A2"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AC47A2" w:rsidRDefault="00671620" w:rsidP="00AC47A2">
            <w:pPr>
              <w:autoSpaceDE w:val="0"/>
              <w:autoSpaceDN w:val="0"/>
              <w:adjustRightInd w:val="0"/>
              <w:spacing w:before="120" w:after="120" w:line="240" w:lineRule="auto"/>
              <w:jc w:val="both"/>
              <w:rPr>
                <w:rFonts w:eastAsia="Times New Roman" w:cs="Arial"/>
                <w:sz w:val="22"/>
                <w:lang w:val="pt-PT"/>
              </w:rPr>
            </w:pPr>
            <w:r w:rsidRPr="00AC47A2">
              <w:rPr>
                <w:rFonts w:eastAsia="Times New Roman" w:cs="Arial"/>
                <w:sz w:val="22"/>
                <w:lang w:val="pt-PT"/>
              </w:rPr>
              <w:t>NBR 7501:2011 - Transporte terrestre de produtos perigosos – Terminologia.</w:t>
            </w:r>
          </w:p>
        </w:tc>
      </w:tr>
      <w:tr w:rsidR="00671620" w:rsidRPr="00AC47A2"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AC47A2" w:rsidRDefault="00671620" w:rsidP="00AC47A2">
            <w:pPr>
              <w:autoSpaceDE w:val="0"/>
              <w:autoSpaceDN w:val="0"/>
              <w:adjustRightInd w:val="0"/>
              <w:spacing w:before="120" w:after="120" w:line="240" w:lineRule="auto"/>
              <w:jc w:val="both"/>
              <w:rPr>
                <w:rFonts w:eastAsia="Times New Roman" w:cs="Arial"/>
                <w:sz w:val="22"/>
                <w:lang w:val="pt-PT"/>
              </w:rPr>
            </w:pPr>
            <w:r w:rsidRPr="00AC47A2">
              <w:rPr>
                <w:rFonts w:eastAsia="Times New Roman" w:cs="Arial"/>
                <w:sz w:val="22"/>
                <w:lang w:val="pt-PT"/>
              </w:rPr>
              <w:t>NBR 7503:2013 - Ficha de emergência e envelope para o transporte terrestre de produtos perigosos - Características, dimensões e preenchimento.</w:t>
            </w:r>
          </w:p>
        </w:tc>
      </w:tr>
      <w:tr w:rsidR="00671620" w:rsidRPr="00AC47A2"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AC47A2" w:rsidRDefault="00671620" w:rsidP="00AC47A2">
            <w:pPr>
              <w:spacing w:before="120" w:after="120" w:line="240" w:lineRule="auto"/>
              <w:jc w:val="both"/>
              <w:rPr>
                <w:rFonts w:eastAsia="Times New Roman" w:cs="Arial"/>
                <w:sz w:val="22"/>
              </w:rPr>
            </w:pPr>
            <w:r w:rsidRPr="00AC47A2">
              <w:rPr>
                <w:rFonts w:eastAsia="Times New Roman" w:cs="Arial"/>
                <w:sz w:val="22"/>
              </w:rPr>
              <w:t>ABNT NBR 10004:2004 – Resíduos Sólidos – Classificação.</w:t>
            </w:r>
          </w:p>
        </w:tc>
      </w:tr>
      <w:tr w:rsidR="00671620" w:rsidRPr="00AC47A2"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AC47A2" w:rsidRDefault="00671620" w:rsidP="00AC47A2">
            <w:pPr>
              <w:spacing w:before="120" w:after="120" w:line="240" w:lineRule="auto"/>
              <w:jc w:val="both"/>
              <w:rPr>
                <w:rFonts w:eastAsia="Times New Roman" w:cs="Arial"/>
                <w:sz w:val="22"/>
              </w:rPr>
            </w:pPr>
            <w:r w:rsidRPr="00AC47A2">
              <w:rPr>
                <w:rFonts w:eastAsia="Times New Roman" w:cs="Arial"/>
                <w:sz w:val="22"/>
              </w:rPr>
              <w:t>ABNT NBR 10157:1987 – Aterros de resíduos perigosos – Critérios para projeto, construção e operação – Procedimento.</w:t>
            </w:r>
          </w:p>
        </w:tc>
      </w:tr>
      <w:tr w:rsidR="00671620" w:rsidRPr="00AC47A2"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AC47A2" w:rsidRDefault="00671620" w:rsidP="00AC47A2">
            <w:pPr>
              <w:spacing w:before="120" w:after="120" w:line="240" w:lineRule="auto"/>
              <w:jc w:val="both"/>
              <w:rPr>
                <w:rFonts w:eastAsia="Times New Roman" w:cs="Arial"/>
                <w:sz w:val="22"/>
              </w:rPr>
            </w:pPr>
            <w:r w:rsidRPr="00AC47A2">
              <w:rPr>
                <w:rFonts w:eastAsia="Times New Roman" w:cs="Arial"/>
                <w:sz w:val="22"/>
              </w:rPr>
              <w:t>ABNT NBR 12235:1992 – Armazenamento de Resíduos Sólidos Perigosos.</w:t>
            </w:r>
          </w:p>
        </w:tc>
      </w:tr>
      <w:tr w:rsidR="00671620" w:rsidRPr="00AC47A2"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671620" w:rsidRPr="00AC47A2" w:rsidRDefault="00671620" w:rsidP="00AC47A2">
            <w:pPr>
              <w:spacing w:before="120" w:after="120" w:line="240" w:lineRule="auto"/>
              <w:jc w:val="both"/>
              <w:rPr>
                <w:rFonts w:eastAsia="Times New Roman" w:cs="Arial"/>
                <w:sz w:val="22"/>
              </w:rPr>
            </w:pPr>
            <w:r w:rsidRPr="00AC47A2">
              <w:rPr>
                <w:rFonts w:eastAsia="Times New Roman" w:cs="Arial"/>
                <w:sz w:val="22"/>
              </w:rPr>
              <w:t>ABNT NBR 14619:2009 – Transporte terrestre de produtos perigosos – Incompatibilidade química</w:t>
            </w:r>
          </w:p>
        </w:tc>
      </w:tr>
      <w:tr w:rsidR="00671620" w:rsidRPr="00AC47A2" w:rsidTr="00AC47A2">
        <w:trPr>
          <w:cantSplit/>
          <w:trHeight w:val="20"/>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671620" w:rsidRPr="00AC47A2" w:rsidRDefault="00671620" w:rsidP="00AC47A2">
            <w:pPr>
              <w:spacing w:before="120" w:after="120" w:line="240" w:lineRule="auto"/>
              <w:jc w:val="both"/>
              <w:rPr>
                <w:rFonts w:eastAsia="Times New Roman" w:cs="Arial"/>
                <w:sz w:val="22"/>
              </w:rPr>
            </w:pPr>
            <w:r w:rsidRPr="00AC47A2">
              <w:rPr>
                <w:rFonts w:eastAsia="Times New Roman" w:cs="Arial"/>
                <w:sz w:val="22"/>
              </w:rPr>
              <w:t>ABNT NBR 16156:2013 – Resíduos de equipamentos eletroeletrônicos — Requisitos para atividade de manufatura reversa.</w:t>
            </w:r>
          </w:p>
        </w:tc>
      </w:tr>
    </w:tbl>
    <w:p w:rsidR="00671620" w:rsidRPr="00DF4A2F" w:rsidRDefault="00671620" w:rsidP="00AC47A2">
      <w:pPr>
        <w:pStyle w:val="Fonte"/>
      </w:pPr>
    </w:p>
    <w:p w:rsidR="00671620" w:rsidRPr="00137CC5" w:rsidRDefault="00671620" w:rsidP="00BC01B1">
      <w:pPr>
        <w:pStyle w:val="Ttulo3"/>
        <w:rPr>
          <w:color w:val="FF0000"/>
        </w:rPr>
      </w:pPr>
      <w:bookmarkStart w:id="408" w:name="_Toc488825329"/>
      <w:bookmarkStart w:id="409" w:name="_Toc493151494"/>
      <w:bookmarkStart w:id="410" w:name="_Toc498593472"/>
      <w:bookmarkStart w:id="411" w:name="_Toc509935483"/>
      <w:bookmarkStart w:id="412" w:name="_Toc504404444"/>
      <w:bookmarkStart w:id="413" w:name="_Toc488825328"/>
      <w:r w:rsidRPr="00137CC5">
        <w:t>Critérios para pontos de apoio a serem adotados nos serviços públicos de limpeza urbana e manejo de resíduos sólidos</w:t>
      </w:r>
      <w:bookmarkEnd w:id="408"/>
      <w:bookmarkEnd w:id="409"/>
      <w:bookmarkEnd w:id="410"/>
      <w:bookmarkEnd w:id="411"/>
      <w:r w:rsidRPr="00137CC5">
        <w:t xml:space="preserve"> </w:t>
      </w:r>
      <w:bookmarkEnd w:id="412"/>
    </w:p>
    <w:p w:rsidR="00671620" w:rsidRPr="00FC2A41" w:rsidRDefault="00671620" w:rsidP="00671620">
      <w:pPr>
        <w:pStyle w:val="Default"/>
        <w:spacing w:line="360" w:lineRule="auto"/>
        <w:ind w:firstLine="709"/>
        <w:jc w:val="both"/>
        <w:rPr>
          <w:color w:val="auto"/>
        </w:rPr>
      </w:pPr>
      <w:r w:rsidRPr="00FC2A41">
        <w:rPr>
          <w:color w:val="auto"/>
        </w:rPr>
        <w:t xml:space="preserve">A gestão dos resíduos urbanos não se resume a uma coleta eficiente e uma disposição correta dos resíduos sólidos. Engloba também o planejamento de diversos procedimentos operacionais a serem adotados nos serviços públicos de limpeza urbana, que podem representar significativa otimização desses serviços, tais como: formas de acondicionamento de resíduos condizentes com a realidade local; fornecimento de Equipamentos de Proteção Individual (EPIs) para todos que compõem a equipe de guarnição; oferta de treinamentos às equipes sobre boas práticas no uso </w:t>
      </w:r>
      <w:r w:rsidRPr="00FC2A41">
        <w:rPr>
          <w:color w:val="auto"/>
        </w:rPr>
        <w:lastRenderedPageBreak/>
        <w:t xml:space="preserve">de equipamentos de apoio (EPIs, maquinário, ferramentas, sanitários, etc.); adoção de campanhas educativas para a população sobre o descarte adequado de resíduos; estabelecimento de estrutura adequada para os Pontos de Entrega Voluntária (PEVs); e formas adequadas de comunicação, tanto para a equipe de guarnição quanto para a população em geral sobre procedimentos a serem adotados. </w:t>
      </w:r>
    </w:p>
    <w:p w:rsidR="00671620" w:rsidRPr="00841358" w:rsidRDefault="00671620" w:rsidP="00671620">
      <w:pPr>
        <w:pStyle w:val="Default"/>
        <w:spacing w:line="360" w:lineRule="auto"/>
        <w:ind w:firstLine="709"/>
        <w:jc w:val="both"/>
        <w:rPr>
          <w:color w:val="auto"/>
        </w:rPr>
      </w:pPr>
      <w:r w:rsidRPr="00FC2A41">
        <w:rPr>
          <w:color w:val="auto"/>
        </w:rPr>
        <w:t xml:space="preserve">Quanto às formas de comunicação, seja por meio de cartilhas, panfletos, cartazes, chamadas de rádio ou quaisquer outros veículos, os critérios para mensagens </w:t>
      </w:r>
      <w:r w:rsidRPr="00841358">
        <w:rPr>
          <w:color w:val="auto"/>
        </w:rPr>
        <w:t>devem seguir os princípios estabelecidos pela Política Estadual de Resíduos Sólidos de Minas Gerais (PERS-MG), sendo eles:</w:t>
      </w:r>
    </w:p>
    <w:p w:rsidR="00671620" w:rsidRPr="00841358" w:rsidRDefault="00671620" w:rsidP="0066661F">
      <w:pPr>
        <w:pStyle w:val="Default"/>
        <w:numPr>
          <w:ilvl w:val="0"/>
          <w:numId w:val="80"/>
        </w:numPr>
        <w:spacing w:line="360" w:lineRule="auto"/>
        <w:jc w:val="both"/>
        <w:rPr>
          <w:color w:val="auto"/>
        </w:rPr>
      </w:pPr>
      <w:r w:rsidRPr="00841358">
        <w:rPr>
          <w:color w:val="auto"/>
        </w:rPr>
        <w:t xml:space="preserve">não geração; </w:t>
      </w:r>
    </w:p>
    <w:p w:rsidR="00671620" w:rsidRPr="00841358" w:rsidRDefault="00671620" w:rsidP="0066661F">
      <w:pPr>
        <w:pStyle w:val="Default"/>
        <w:numPr>
          <w:ilvl w:val="0"/>
          <w:numId w:val="80"/>
        </w:numPr>
        <w:spacing w:line="360" w:lineRule="auto"/>
        <w:jc w:val="both"/>
        <w:rPr>
          <w:color w:val="auto"/>
        </w:rPr>
      </w:pPr>
      <w:r w:rsidRPr="00841358">
        <w:rPr>
          <w:color w:val="auto"/>
        </w:rPr>
        <w:t xml:space="preserve">prevenção da geração; </w:t>
      </w:r>
    </w:p>
    <w:p w:rsidR="00671620" w:rsidRPr="00841358" w:rsidRDefault="00671620" w:rsidP="0066661F">
      <w:pPr>
        <w:pStyle w:val="Default"/>
        <w:numPr>
          <w:ilvl w:val="0"/>
          <w:numId w:val="80"/>
        </w:numPr>
        <w:spacing w:line="360" w:lineRule="auto"/>
        <w:jc w:val="both"/>
        <w:rPr>
          <w:color w:val="auto"/>
        </w:rPr>
      </w:pPr>
      <w:r w:rsidRPr="00841358">
        <w:rPr>
          <w:color w:val="auto"/>
        </w:rPr>
        <w:t xml:space="preserve">redução da geração; </w:t>
      </w:r>
    </w:p>
    <w:p w:rsidR="00671620" w:rsidRPr="00841358" w:rsidRDefault="00671620" w:rsidP="0066661F">
      <w:pPr>
        <w:pStyle w:val="Default"/>
        <w:numPr>
          <w:ilvl w:val="0"/>
          <w:numId w:val="80"/>
        </w:numPr>
        <w:spacing w:line="360" w:lineRule="auto"/>
        <w:jc w:val="both"/>
        <w:rPr>
          <w:color w:val="auto"/>
        </w:rPr>
      </w:pPr>
      <w:r w:rsidRPr="00841358">
        <w:rPr>
          <w:color w:val="auto"/>
        </w:rPr>
        <w:t xml:space="preserve">reutilização e reaproveitamento; </w:t>
      </w:r>
    </w:p>
    <w:p w:rsidR="00671620" w:rsidRPr="00841358" w:rsidRDefault="00671620" w:rsidP="0066661F">
      <w:pPr>
        <w:pStyle w:val="Default"/>
        <w:numPr>
          <w:ilvl w:val="0"/>
          <w:numId w:val="80"/>
        </w:numPr>
        <w:spacing w:line="360" w:lineRule="auto"/>
        <w:jc w:val="both"/>
        <w:rPr>
          <w:color w:val="auto"/>
        </w:rPr>
      </w:pPr>
      <w:r w:rsidRPr="00841358">
        <w:rPr>
          <w:color w:val="auto"/>
        </w:rPr>
        <w:t xml:space="preserve">reciclagem; </w:t>
      </w:r>
    </w:p>
    <w:p w:rsidR="00671620" w:rsidRPr="00841358" w:rsidRDefault="00671620" w:rsidP="0066661F">
      <w:pPr>
        <w:pStyle w:val="Default"/>
        <w:numPr>
          <w:ilvl w:val="0"/>
          <w:numId w:val="80"/>
        </w:numPr>
        <w:spacing w:line="360" w:lineRule="auto"/>
        <w:jc w:val="both"/>
        <w:rPr>
          <w:color w:val="auto"/>
        </w:rPr>
      </w:pPr>
      <w:r w:rsidRPr="00841358">
        <w:rPr>
          <w:color w:val="auto"/>
        </w:rPr>
        <w:t xml:space="preserve">tratamento; </w:t>
      </w:r>
    </w:p>
    <w:p w:rsidR="00671620" w:rsidRPr="00841358" w:rsidRDefault="00671620" w:rsidP="0066661F">
      <w:pPr>
        <w:pStyle w:val="Default"/>
        <w:numPr>
          <w:ilvl w:val="0"/>
          <w:numId w:val="80"/>
        </w:numPr>
        <w:spacing w:line="360" w:lineRule="auto"/>
        <w:jc w:val="both"/>
        <w:rPr>
          <w:color w:val="auto"/>
        </w:rPr>
      </w:pPr>
      <w:r w:rsidRPr="00841358">
        <w:rPr>
          <w:color w:val="auto"/>
        </w:rPr>
        <w:t>disposição final ambientalmente adequada;</w:t>
      </w:r>
    </w:p>
    <w:p w:rsidR="00671620" w:rsidRPr="00841358" w:rsidRDefault="00671620" w:rsidP="0066661F">
      <w:pPr>
        <w:pStyle w:val="Default"/>
        <w:numPr>
          <w:ilvl w:val="0"/>
          <w:numId w:val="80"/>
        </w:numPr>
        <w:spacing w:line="360" w:lineRule="auto"/>
        <w:jc w:val="both"/>
        <w:rPr>
          <w:color w:val="auto"/>
        </w:rPr>
      </w:pPr>
      <w:r w:rsidRPr="00841358">
        <w:rPr>
          <w:color w:val="auto"/>
        </w:rPr>
        <w:t>valorização dos resíduos sólidos.</w:t>
      </w:r>
    </w:p>
    <w:p w:rsidR="00671620" w:rsidRPr="00FC2A41" w:rsidRDefault="00671620" w:rsidP="00671620">
      <w:pPr>
        <w:pStyle w:val="Default"/>
        <w:spacing w:line="360" w:lineRule="auto"/>
        <w:ind w:firstLine="709"/>
        <w:jc w:val="both"/>
        <w:rPr>
          <w:color w:val="auto"/>
        </w:rPr>
      </w:pPr>
      <w:r w:rsidRPr="00841358">
        <w:rPr>
          <w:color w:val="auto"/>
        </w:rPr>
        <w:t xml:space="preserve">A </w:t>
      </w:r>
      <w:r w:rsidRPr="00841358">
        <w:rPr>
          <w:color w:val="auto"/>
        </w:rPr>
        <w:fldChar w:fldCharType="begin"/>
      </w:r>
      <w:r w:rsidRPr="00841358">
        <w:rPr>
          <w:color w:val="auto"/>
        </w:rPr>
        <w:instrText xml:space="preserve"> REF _Ref436144793 \h  \* MERGEFORMAT </w:instrText>
      </w:r>
      <w:r w:rsidRPr="00841358">
        <w:rPr>
          <w:color w:val="auto"/>
        </w:rPr>
      </w:r>
      <w:r w:rsidRPr="00841358">
        <w:rPr>
          <w:color w:val="auto"/>
        </w:rPr>
        <w:fldChar w:fldCharType="separate"/>
      </w:r>
      <w:r w:rsidR="001B481B" w:rsidRPr="001B481B">
        <w:rPr>
          <w:color w:val="auto"/>
        </w:rPr>
        <w:t xml:space="preserve">Figura </w:t>
      </w:r>
      <w:r w:rsidR="001B481B" w:rsidRPr="001B481B">
        <w:rPr>
          <w:noProof/>
          <w:color w:val="auto"/>
        </w:rPr>
        <w:t>2</w:t>
      </w:r>
      <w:r w:rsidRPr="00841358">
        <w:rPr>
          <w:color w:val="auto"/>
        </w:rPr>
        <w:fldChar w:fldCharType="end"/>
      </w:r>
      <w:r w:rsidRPr="00841358">
        <w:rPr>
          <w:color w:val="auto"/>
        </w:rPr>
        <w:t xml:space="preserve"> apresenta um modelo geral</w:t>
      </w:r>
      <w:r w:rsidRPr="00FC2A41">
        <w:rPr>
          <w:color w:val="auto"/>
        </w:rPr>
        <w:t xml:space="preserve"> da gestão dos serviços de limpeza urbana e manejo de resíduos sólidos.</w:t>
      </w:r>
      <w:r>
        <w:rPr>
          <w:color w:val="auto"/>
        </w:rPr>
        <w:t xml:space="preserve"> </w:t>
      </w:r>
    </w:p>
    <w:p w:rsidR="00671620" w:rsidRPr="00FC2A41" w:rsidRDefault="00671620" w:rsidP="00E95583">
      <w:pPr>
        <w:pStyle w:val="Legenda"/>
      </w:pPr>
      <w:bookmarkStart w:id="414" w:name="_Ref436144793"/>
      <w:bookmarkStart w:id="415" w:name="_Toc488824957"/>
      <w:bookmarkStart w:id="416" w:name="_Toc493151545"/>
      <w:bookmarkStart w:id="417" w:name="_Toc498593533"/>
      <w:bookmarkStart w:id="418" w:name="_Toc503949399"/>
      <w:bookmarkStart w:id="419" w:name="_Toc509935767"/>
      <w:r w:rsidRPr="00FC2A41">
        <w:lastRenderedPageBreak/>
        <w:t xml:space="preserve">Figura </w:t>
      </w:r>
      <w:r w:rsidR="000A1C78">
        <w:fldChar w:fldCharType="begin"/>
      </w:r>
      <w:r w:rsidR="000A1C78">
        <w:instrText xml:space="preserve"> SEQ Figura \* ARABIC </w:instrText>
      </w:r>
      <w:r w:rsidR="000A1C78">
        <w:fldChar w:fldCharType="separate"/>
      </w:r>
      <w:r w:rsidR="001B481B">
        <w:rPr>
          <w:noProof/>
        </w:rPr>
        <w:t>2</w:t>
      </w:r>
      <w:r w:rsidR="000A1C78">
        <w:rPr>
          <w:noProof/>
        </w:rPr>
        <w:fldChar w:fldCharType="end"/>
      </w:r>
      <w:bookmarkEnd w:id="414"/>
      <w:r w:rsidRPr="00FC2A41">
        <w:t xml:space="preserve"> - Gestão dos resíduos domiciliares</w:t>
      </w:r>
      <w:bookmarkEnd w:id="415"/>
      <w:bookmarkEnd w:id="416"/>
      <w:bookmarkEnd w:id="417"/>
      <w:bookmarkEnd w:id="418"/>
      <w:bookmarkEnd w:id="419"/>
    </w:p>
    <w:p w:rsidR="00671620" w:rsidRPr="00FC2A41" w:rsidRDefault="00671620" w:rsidP="00671620">
      <w:pPr>
        <w:pStyle w:val="figura"/>
      </w:pPr>
      <w:r w:rsidRPr="00FC2A41">
        <w:rPr>
          <w:noProof/>
        </w:rPr>
        <w:drawing>
          <wp:inline distT="0" distB="0" distL="0" distR="0" wp14:anchorId="4E7B41AC" wp14:editId="69933A79">
            <wp:extent cx="5220000" cy="3249841"/>
            <wp:effectExtent l="0" t="0" r="0" b="8255"/>
            <wp:docPr id="6" name="Imagem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6"/>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0" y="0"/>
                      <a:ext cx="5220000" cy="3249841"/>
                    </a:xfrm>
                    <a:prstGeom prst="rect">
                      <a:avLst/>
                    </a:prstGeom>
                    <a:noFill/>
                    <a:ln>
                      <a:noFill/>
                    </a:ln>
                  </pic:spPr>
                </pic:pic>
              </a:graphicData>
            </a:graphic>
          </wp:inline>
        </w:drawing>
      </w:r>
    </w:p>
    <w:p w:rsidR="00671620" w:rsidRPr="00FC2A41" w:rsidRDefault="00671620" w:rsidP="00AC47A2">
      <w:pPr>
        <w:pStyle w:val="Fonte"/>
        <w:rPr>
          <w:sz w:val="20"/>
        </w:rPr>
      </w:pPr>
      <w:r w:rsidRPr="00FC2A41">
        <w:t>Fonte: Schalch, 2002.</w:t>
      </w:r>
    </w:p>
    <w:p w:rsidR="00671620" w:rsidRPr="00FC2A41" w:rsidRDefault="00671620" w:rsidP="00671620">
      <w:pPr>
        <w:pStyle w:val="Default"/>
        <w:spacing w:line="360" w:lineRule="auto"/>
        <w:ind w:firstLine="709"/>
        <w:jc w:val="both"/>
        <w:rPr>
          <w:color w:val="auto"/>
        </w:rPr>
      </w:pPr>
      <w:r w:rsidRPr="00FC2A41">
        <w:rPr>
          <w:color w:val="auto"/>
        </w:rPr>
        <w:t>A seguir é apresentado um diagrama dos procedimentos para não geração, redução, reutilização e reciclagem de resíduos sólidos (</w:t>
      </w:r>
      <w:r w:rsidRPr="00FC2A41">
        <w:rPr>
          <w:color w:val="auto"/>
        </w:rPr>
        <w:fldChar w:fldCharType="begin"/>
      </w:r>
      <w:r w:rsidRPr="00FC2A41">
        <w:rPr>
          <w:color w:val="auto"/>
        </w:rPr>
        <w:instrText xml:space="preserve"> REF _Ref436144808 \h  \* MERGEFORMAT </w:instrText>
      </w:r>
      <w:r w:rsidRPr="00FC2A41">
        <w:rPr>
          <w:color w:val="auto"/>
        </w:rPr>
      </w:r>
      <w:r w:rsidRPr="00FC2A41">
        <w:rPr>
          <w:color w:val="auto"/>
        </w:rPr>
        <w:fldChar w:fldCharType="separate"/>
      </w:r>
      <w:r w:rsidR="001B481B" w:rsidRPr="001B481B">
        <w:rPr>
          <w:color w:val="auto"/>
        </w:rPr>
        <w:t xml:space="preserve">Figura </w:t>
      </w:r>
      <w:r w:rsidR="001B481B" w:rsidRPr="001B481B">
        <w:rPr>
          <w:noProof/>
          <w:color w:val="auto"/>
        </w:rPr>
        <w:t>3</w:t>
      </w:r>
      <w:r w:rsidRPr="00FC2A41">
        <w:rPr>
          <w:color w:val="auto"/>
        </w:rPr>
        <w:fldChar w:fldCharType="end"/>
      </w:r>
      <w:r w:rsidRPr="00FC2A41">
        <w:rPr>
          <w:color w:val="auto"/>
        </w:rPr>
        <w:t>).</w:t>
      </w:r>
    </w:p>
    <w:p w:rsidR="00671620" w:rsidRPr="00FC2A41" w:rsidRDefault="00671620" w:rsidP="00E95583">
      <w:pPr>
        <w:pStyle w:val="Legenda"/>
      </w:pPr>
      <w:bookmarkStart w:id="420" w:name="_Ref436144808"/>
      <w:bookmarkStart w:id="421" w:name="_Toc488824958"/>
      <w:bookmarkStart w:id="422" w:name="_Toc493151546"/>
      <w:bookmarkStart w:id="423" w:name="_Toc498593534"/>
      <w:bookmarkStart w:id="424" w:name="_Toc503949400"/>
      <w:bookmarkStart w:id="425" w:name="_Toc509935768"/>
      <w:r w:rsidRPr="00FC2A41">
        <w:t xml:space="preserve">Figura </w:t>
      </w:r>
      <w:r w:rsidR="000A1C78">
        <w:fldChar w:fldCharType="begin"/>
      </w:r>
      <w:r w:rsidR="000A1C78">
        <w:instrText xml:space="preserve"> SEQ Figura \* ARABIC </w:instrText>
      </w:r>
      <w:r w:rsidR="000A1C78">
        <w:fldChar w:fldCharType="separate"/>
      </w:r>
      <w:r w:rsidR="001B481B">
        <w:rPr>
          <w:noProof/>
        </w:rPr>
        <w:t>3</w:t>
      </w:r>
      <w:r w:rsidR="000A1C78">
        <w:rPr>
          <w:noProof/>
        </w:rPr>
        <w:fldChar w:fldCharType="end"/>
      </w:r>
      <w:bookmarkEnd w:id="420"/>
      <w:r w:rsidRPr="00FC2A41">
        <w:t xml:space="preserve"> </w:t>
      </w:r>
      <w:r w:rsidRPr="00FC2A41">
        <w:rPr>
          <w:lang w:val="pt-BR"/>
        </w:rPr>
        <w:t>-</w:t>
      </w:r>
      <w:r w:rsidRPr="00FC2A41">
        <w:t xml:space="preserve"> Procedimentos para não geração, redução, reutilização e reciclagem de resíduos sólidos</w:t>
      </w:r>
      <w:bookmarkEnd w:id="421"/>
      <w:bookmarkEnd w:id="422"/>
      <w:bookmarkEnd w:id="423"/>
      <w:bookmarkEnd w:id="424"/>
      <w:bookmarkEnd w:id="425"/>
    </w:p>
    <w:p w:rsidR="00671620" w:rsidRPr="00FC2A41" w:rsidRDefault="00671620" w:rsidP="00671620">
      <w:pPr>
        <w:pStyle w:val="figura"/>
      </w:pPr>
      <w:r w:rsidRPr="00FC2A41">
        <w:rPr>
          <w:noProof/>
        </w:rPr>
        <w:drawing>
          <wp:inline distT="0" distB="0" distL="0" distR="0" wp14:anchorId="50372FBD" wp14:editId="702F4232">
            <wp:extent cx="5400675" cy="3419475"/>
            <wp:effectExtent l="0" t="0" r="9525" b="9525"/>
            <wp:docPr id="5" name="Imagem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7"/>
                    <pic:cNvPicPr>
                      <a:picLocks noChangeAspect="1" noChangeArrowheads="1"/>
                    </pic:cNvPicPr>
                  </pic:nvPicPr>
                  <pic:blipFill>
                    <a:blip r:embed="rId36">
                      <a:extLst>
                        <a:ext uri="{28A0092B-C50C-407E-A947-70E740481C1C}">
                          <a14:useLocalDpi xmlns:a14="http://schemas.microsoft.com/office/drawing/2010/main"/>
                        </a:ext>
                      </a:extLst>
                    </a:blip>
                    <a:srcRect/>
                    <a:stretch>
                      <a:fillRect/>
                    </a:stretch>
                  </pic:blipFill>
                  <pic:spPr bwMode="auto">
                    <a:xfrm>
                      <a:off x="0" y="0"/>
                      <a:ext cx="5400675" cy="3419475"/>
                    </a:xfrm>
                    <a:prstGeom prst="rect">
                      <a:avLst/>
                    </a:prstGeom>
                    <a:noFill/>
                    <a:ln>
                      <a:noFill/>
                    </a:ln>
                  </pic:spPr>
                </pic:pic>
              </a:graphicData>
            </a:graphic>
          </wp:inline>
        </w:drawing>
      </w:r>
    </w:p>
    <w:p w:rsidR="00671620" w:rsidRPr="00FC2A41" w:rsidRDefault="00671620" w:rsidP="00AC47A2">
      <w:pPr>
        <w:pStyle w:val="Fonte"/>
      </w:pPr>
      <w:r w:rsidRPr="00FC2A41">
        <w:t>Fonte: Schalch, 2002.</w:t>
      </w:r>
    </w:p>
    <w:p w:rsidR="00671620" w:rsidRPr="00FC2A41" w:rsidRDefault="00671620" w:rsidP="00BC01B1">
      <w:pPr>
        <w:pStyle w:val="Ttulo4"/>
      </w:pPr>
      <w:bookmarkStart w:id="426" w:name="_Toc488825330"/>
      <w:bookmarkStart w:id="427" w:name="_Toc493151495"/>
      <w:bookmarkStart w:id="428" w:name="_Toc498593473"/>
      <w:bookmarkStart w:id="429" w:name="_Toc504404445"/>
      <w:bookmarkStart w:id="430" w:name="_Toc509935484"/>
      <w:r>
        <w:lastRenderedPageBreak/>
        <w:t>Caracterização f</w:t>
      </w:r>
      <w:r w:rsidRPr="00FC2A41">
        <w:t>ísica</w:t>
      </w:r>
      <w:bookmarkEnd w:id="426"/>
      <w:bookmarkEnd w:id="427"/>
      <w:bookmarkEnd w:id="428"/>
      <w:bookmarkEnd w:id="429"/>
      <w:bookmarkEnd w:id="430"/>
      <w:r w:rsidRPr="00FC2A41">
        <w:t xml:space="preserve"> </w:t>
      </w:r>
    </w:p>
    <w:p w:rsidR="00671620" w:rsidRPr="00FC2A41" w:rsidRDefault="00671620" w:rsidP="00671620">
      <w:pPr>
        <w:pStyle w:val="Default"/>
        <w:spacing w:line="360" w:lineRule="auto"/>
        <w:ind w:firstLine="709"/>
        <w:jc w:val="both"/>
        <w:rPr>
          <w:color w:val="auto"/>
        </w:rPr>
      </w:pPr>
      <w:r w:rsidRPr="00FC2A41">
        <w:rPr>
          <w:color w:val="auto"/>
        </w:rPr>
        <w:t>A caracterização física dos resíduos da coleta regular permite a análise dos tipos recolhidos e suas particularidades e, assim, o planejamento das disposições adequadas para cada um deles.</w:t>
      </w:r>
    </w:p>
    <w:p w:rsidR="00671620" w:rsidRPr="00FC2A41" w:rsidRDefault="00671620" w:rsidP="00671620">
      <w:pPr>
        <w:pStyle w:val="Default"/>
        <w:spacing w:line="360" w:lineRule="auto"/>
        <w:ind w:firstLine="709"/>
        <w:jc w:val="both"/>
        <w:rPr>
          <w:color w:val="auto"/>
        </w:rPr>
      </w:pPr>
      <w:r w:rsidRPr="00FC2A41">
        <w:rPr>
          <w:color w:val="auto"/>
        </w:rPr>
        <w:t xml:space="preserve">Algumas características que podem ser determinadas são a composição gravimétrica, o peso específico, o teor de umidade e a geração </w:t>
      </w:r>
      <w:r w:rsidRPr="00FC2A41">
        <w:rPr>
          <w:i/>
          <w:color w:val="auto"/>
        </w:rPr>
        <w:t>per capita</w:t>
      </w:r>
      <w:r w:rsidRPr="00FC2A41">
        <w:rPr>
          <w:color w:val="auto"/>
        </w:rPr>
        <w:t xml:space="preserve">. </w:t>
      </w:r>
    </w:p>
    <w:p w:rsidR="00671620" w:rsidRPr="0091746A" w:rsidRDefault="00671620" w:rsidP="00671620">
      <w:pPr>
        <w:pStyle w:val="Default"/>
        <w:spacing w:line="360" w:lineRule="auto"/>
        <w:ind w:firstLine="709"/>
        <w:jc w:val="both"/>
        <w:rPr>
          <w:color w:val="auto"/>
        </w:rPr>
      </w:pPr>
      <w:r w:rsidRPr="00FC2A41">
        <w:rPr>
          <w:color w:val="auto"/>
        </w:rPr>
        <w:t xml:space="preserve">Uma metodologia muito utilizada no </w:t>
      </w:r>
      <w:r w:rsidRPr="00B519C1">
        <w:rPr>
          <w:color w:val="auto"/>
        </w:rPr>
        <w:t>preparo da amostra e obtenção de uma amostra significativa para a caracterização é o quarteamento, que é descrito por Matos e Schalch (2007), que citam a recomendação da</w:t>
      </w:r>
      <w:r w:rsidRPr="00FC2A41">
        <w:rPr>
          <w:color w:val="auto"/>
        </w:rPr>
        <w:t xml:space="preserve"> </w:t>
      </w:r>
      <w:r w:rsidRPr="00FC2A41">
        <w:rPr>
          <w:i/>
          <w:color w:val="auto"/>
        </w:rPr>
        <w:t>American Society For Testing And Materials</w:t>
      </w:r>
      <w:r w:rsidRPr="00FC2A41">
        <w:rPr>
          <w:color w:val="auto"/>
        </w:rPr>
        <w:t xml:space="preserve"> </w:t>
      </w:r>
      <w:r w:rsidRPr="0091746A">
        <w:rPr>
          <w:color w:val="auto"/>
        </w:rPr>
        <w:t xml:space="preserve">(ASTM) de utilização de uma amostra de 91 a 140 kg, e utilizam para o referido trabalho uma amostra de 200 kg obtida por quarteamento. </w:t>
      </w:r>
    </w:p>
    <w:p w:rsidR="00671620" w:rsidRPr="00FC2A41" w:rsidRDefault="00671620" w:rsidP="00671620">
      <w:pPr>
        <w:pStyle w:val="Default"/>
        <w:spacing w:line="360" w:lineRule="auto"/>
        <w:ind w:firstLine="709"/>
        <w:jc w:val="both"/>
        <w:rPr>
          <w:color w:val="auto"/>
        </w:rPr>
      </w:pPr>
      <w:r w:rsidRPr="0091746A">
        <w:rPr>
          <w:color w:val="auto"/>
        </w:rPr>
        <w:t>As etapas abaixo são descritas no Manual de Gerenciamento Integrado de Resíduos Sólidos do Governo Federal (Manual GIRS).</w:t>
      </w:r>
      <w:r w:rsidRPr="00FC2A41">
        <w:rPr>
          <w:color w:val="auto"/>
        </w:rPr>
        <w:t xml:space="preserve"> </w:t>
      </w:r>
    </w:p>
    <w:p w:rsidR="00671620" w:rsidRPr="00FC2A41" w:rsidRDefault="00671620" w:rsidP="00671620">
      <w:pPr>
        <w:pStyle w:val="Default"/>
        <w:spacing w:line="360" w:lineRule="auto"/>
        <w:ind w:firstLine="709"/>
        <w:jc w:val="both"/>
        <w:rPr>
          <w:color w:val="auto"/>
        </w:rPr>
      </w:pPr>
      <w:r w:rsidRPr="00FC2A41">
        <w:rPr>
          <w:color w:val="auto"/>
        </w:rPr>
        <w:t xml:space="preserve">Preparo da amostra: </w:t>
      </w:r>
    </w:p>
    <w:p w:rsidR="00671620" w:rsidRPr="00FC2A41" w:rsidRDefault="00671620" w:rsidP="0066661F">
      <w:pPr>
        <w:pStyle w:val="Default"/>
        <w:numPr>
          <w:ilvl w:val="0"/>
          <w:numId w:val="69"/>
        </w:numPr>
        <w:spacing w:line="360" w:lineRule="auto"/>
        <w:jc w:val="both"/>
        <w:rPr>
          <w:color w:val="auto"/>
        </w:rPr>
      </w:pPr>
      <w:r w:rsidRPr="00FC2A41">
        <w:rPr>
          <w:color w:val="auto"/>
        </w:rPr>
        <w:t>As amostras iniciais devem ser coletadas do lixo ainda sem compactação, cada uma com cerca de 3m</w:t>
      </w:r>
      <w:r w:rsidRPr="00FC2A41">
        <w:rPr>
          <w:color w:val="auto"/>
          <w:vertAlign w:val="superscript"/>
        </w:rPr>
        <w:t>3</w:t>
      </w:r>
      <w:r w:rsidRPr="00FC2A41">
        <w:rPr>
          <w:color w:val="auto"/>
        </w:rPr>
        <w:t xml:space="preserve">. </w:t>
      </w:r>
    </w:p>
    <w:p w:rsidR="00671620" w:rsidRPr="00841358" w:rsidRDefault="00671620" w:rsidP="0066661F">
      <w:pPr>
        <w:pStyle w:val="Default"/>
        <w:numPr>
          <w:ilvl w:val="0"/>
          <w:numId w:val="69"/>
        </w:numPr>
        <w:spacing w:line="360" w:lineRule="auto"/>
        <w:jc w:val="both"/>
        <w:rPr>
          <w:color w:val="auto"/>
        </w:rPr>
      </w:pPr>
      <w:r w:rsidRPr="00FC2A41">
        <w:rPr>
          <w:color w:val="auto"/>
        </w:rPr>
        <w:t xml:space="preserve">É indicado que a coleta seja de segunda a quinta-feira e em diferentes setores </w:t>
      </w:r>
      <w:r w:rsidRPr="00841358">
        <w:rPr>
          <w:color w:val="auto"/>
        </w:rPr>
        <w:t>do município.</w:t>
      </w:r>
    </w:p>
    <w:p w:rsidR="00671620" w:rsidRPr="00FC2A41" w:rsidRDefault="00671620" w:rsidP="0066661F">
      <w:pPr>
        <w:pStyle w:val="Default"/>
        <w:numPr>
          <w:ilvl w:val="0"/>
          <w:numId w:val="69"/>
        </w:numPr>
        <w:spacing w:line="360" w:lineRule="auto"/>
        <w:jc w:val="both"/>
        <w:rPr>
          <w:color w:val="auto"/>
        </w:rPr>
      </w:pPr>
      <w:r w:rsidRPr="00841358">
        <w:rPr>
          <w:color w:val="auto"/>
        </w:rPr>
        <w:t>Os resíduos devem ser dispostos sobre uma lona, estendida em área plana. Os recipientes de acondicionamento</w:t>
      </w:r>
      <w:r w:rsidRPr="00FC2A41">
        <w:rPr>
          <w:color w:val="auto"/>
        </w:rPr>
        <w:t xml:space="preserve"> devem ser rompidos e os resíduos misturados com auxílio de pás e enxadas. </w:t>
      </w:r>
    </w:p>
    <w:p w:rsidR="00671620" w:rsidRPr="00FC2A41" w:rsidRDefault="00671620" w:rsidP="0066661F">
      <w:pPr>
        <w:pStyle w:val="Default"/>
        <w:numPr>
          <w:ilvl w:val="0"/>
          <w:numId w:val="69"/>
        </w:numPr>
        <w:spacing w:line="360" w:lineRule="auto"/>
        <w:jc w:val="both"/>
        <w:rPr>
          <w:color w:val="auto"/>
        </w:rPr>
      </w:pPr>
      <w:r w:rsidRPr="00FC2A41">
        <w:rPr>
          <w:color w:val="auto"/>
        </w:rPr>
        <w:t>A mistura homogeneizada deve ser dividida em quatro partes. A seguir, dois quartos opostos, anteriormente divididos, devem ser misturados, e o processo repetido para essa nova mistura até que se obtenham quartos de cerca de 1m</w:t>
      </w:r>
      <w:r w:rsidRPr="00FC2A41">
        <w:rPr>
          <w:color w:val="auto"/>
          <w:vertAlign w:val="superscript"/>
        </w:rPr>
        <w:t>3</w:t>
      </w:r>
      <w:r w:rsidRPr="00FC2A41">
        <w:rPr>
          <w:color w:val="auto"/>
        </w:rPr>
        <w:t>.</w:t>
      </w:r>
    </w:p>
    <w:p w:rsidR="00671620" w:rsidRPr="00FC2A41" w:rsidRDefault="00671620" w:rsidP="0066661F">
      <w:pPr>
        <w:pStyle w:val="Default"/>
        <w:numPr>
          <w:ilvl w:val="0"/>
          <w:numId w:val="69"/>
        </w:numPr>
        <w:spacing w:line="360" w:lineRule="auto"/>
        <w:jc w:val="both"/>
        <w:rPr>
          <w:color w:val="auto"/>
        </w:rPr>
      </w:pPr>
      <w:r w:rsidRPr="00FC2A41">
        <w:rPr>
          <w:color w:val="auto"/>
        </w:rPr>
        <w:t xml:space="preserve">Um dos quartos deve ser utilizado para encher cinco latões de 200 litros cada, que devem ser pesados previamente. </w:t>
      </w:r>
    </w:p>
    <w:p w:rsidR="00671620" w:rsidRPr="00FC2A41" w:rsidRDefault="00671620" w:rsidP="0066661F">
      <w:pPr>
        <w:pStyle w:val="Default"/>
        <w:numPr>
          <w:ilvl w:val="0"/>
          <w:numId w:val="69"/>
        </w:numPr>
        <w:spacing w:line="360" w:lineRule="auto"/>
        <w:jc w:val="both"/>
        <w:rPr>
          <w:color w:val="auto"/>
        </w:rPr>
      </w:pPr>
      <w:r w:rsidRPr="00FC2A41">
        <w:rPr>
          <w:color w:val="auto"/>
        </w:rPr>
        <w:t xml:space="preserve">O que sobrar desse quarto de amostra utilizado deve ser picado e colocado em um recipiente de 2 litros, e a seguir fechado hermeticamente. </w:t>
      </w:r>
    </w:p>
    <w:p w:rsidR="00671620" w:rsidRPr="00FC2A41" w:rsidRDefault="00671620" w:rsidP="0066661F">
      <w:pPr>
        <w:pStyle w:val="Default"/>
        <w:numPr>
          <w:ilvl w:val="0"/>
          <w:numId w:val="69"/>
        </w:numPr>
        <w:spacing w:line="360" w:lineRule="auto"/>
        <w:jc w:val="both"/>
        <w:rPr>
          <w:color w:val="auto"/>
        </w:rPr>
      </w:pPr>
      <w:r w:rsidRPr="00FC2A41">
        <w:rPr>
          <w:color w:val="auto"/>
        </w:rPr>
        <w:t xml:space="preserve">Os resíduos restantes na lona devem ser encaminhados ao aterro. </w:t>
      </w:r>
    </w:p>
    <w:p w:rsidR="00671620" w:rsidRPr="00FC2A41" w:rsidRDefault="00671620" w:rsidP="00671620">
      <w:pPr>
        <w:pStyle w:val="Default"/>
        <w:spacing w:line="360" w:lineRule="auto"/>
        <w:ind w:firstLine="709"/>
        <w:jc w:val="both"/>
        <w:rPr>
          <w:color w:val="auto"/>
        </w:rPr>
      </w:pPr>
      <w:r w:rsidRPr="00FC2A41">
        <w:rPr>
          <w:color w:val="auto"/>
        </w:rPr>
        <w:lastRenderedPageBreak/>
        <w:t>O peso específico aparente pode ser determinado com os seguintes passos:</w:t>
      </w:r>
    </w:p>
    <w:p w:rsidR="00671620" w:rsidRPr="00FC2A41" w:rsidRDefault="00671620" w:rsidP="0066661F">
      <w:pPr>
        <w:pStyle w:val="Default"/>
        <w:numPr>
          <w:ilvl w:val="0"/>
          <w:numId w:val="70"/>
        </w:numPr>
        <w:spacing w:line="360" w:lineRule="auto"/>
        <w:jc w:val="both"/>
        <w:rPr>
          <w:color w:val="auto"/>
        </w:rPr>
      </w:pPr>
      <w:r w:rsidRPr="00FC2A41">
        <w:rPr>
          <w:color w:val="auto"/>
        </w:rPr>
        <w:t>Pesar, em balança aferida, os latões um por um e descontar a massa do latão vazio.</w:t>
      </w:r>
    </w:p>
    <w:p w:rsidR="00671620" w:rsidRPr="00FC2A41" w:rsidRDefault="00671620" w:rsidP="0066661F">
      <w:pPr>
        <w:pStyle w:val="Default"/>
        <w:numPr>
          <w:ilvl w:val="0"/>
          <w:numId w:val="70"/>
        </w:numPr>
        <w:spacing w:line="360" w:lineRule="auto"/>
        <w:jc w:val="both"/>
        <w:rPr>
          <w:color w:val="auto"/>
        </w:rPr>
      </w:pPr>
      <w:r w:rsidRPr="00FC2A41">
        <w:rPr>
          <w:color w:val="auto"/>
        </w:rPr>
        <w:t>Somar as massas de todos os latões.</w:t>
      </w:r>
    </w:p>
    <w:p w:rsidR="00671620" w:rsidRPr="00FC2A41" w:rsidRDefault="00671620" w:rsidP="0066661F">
      <w:pPr>
        <w:pStyle w:val="Default"/>
        <w:numPr>
          <w:ilvl w:val="0"/>
          <w:numId w:val="70"/>
        </w:numPr>
        <w:spacing w:line="360" w:lineRule="auto"/>
        <w:jc w:val="both"/>
        <w:rPr>
          <w:color w:val="auto"/>
        </w:rPr>
      </w:pPr>
      <w:r w:rsidRPr="00FC2A41">
        <w:rPr>
          <w:color w:val="auto"/>
        </w:rPr>
        <w:t>Determinar o peso aparente através do valor da soma, com a unidade kg/m</w:t>
      </w:r>
      <w:r w:rsidRPr="00FC2A41">
        <w:rPr>
          <w:color w:val="auto"/>
          <w:vertAlign w:val="superscript"/>
        </w:rPr>
        <w:t>3.</w:t>
      </w:r>
    </w:p>
    <w:p w:rsidR="00671620" w:rsidRPr="00FC2A41" w:rsidRDefault="00671620" w:rsidP="00671620">
      <w:pPr>
        <w:pStyle w:val="Default"/>
        <w:spacing w:line="360" w:lineRule="auto"/>
        <w:ind w:firstLine="709"/>
        <w:jc w:val="both"/>
        <w:rPr>
          <w:color w:val="auto"/>
        </w:rPr>
      </w:pPr>
      <w:r w:rsidRPr="00FC2A41">
        <w:rPr>
          <w:color w:val="auto"/>
        </w:rPr>
        <w:t xml:space="preserve">A composição gravimétrica será obtida através das seguintes ações: </w:t>
      </w:r>
    </w:p>
    <w:p w:rsidR="00671620" w:rsidRPr="00FC2A41" w:rsidRDefault="00671620" w:rsidP="0066661F">
      <w:pPr>
        <w:pStyle w:val="Default"/>
        <w:numPr>
          <w:ilvl w:val="0"/>
          <w:numId w:val="71"/>
        </w:numPr>
        <w:spacing w:line="360" w:lineRule="auto"/>
        <w:jc w:val="both"/>
        <w:rPr>
          <w:color w:val="auto"/>
        </w:rPr>
      </w:pPr>
      <w:r w:rsidRPr="00FC2A41">
        <w:rPr>
          <w:color w:val="auto"/>
        </w:rPr>
        <w:t>Discriminar quais os componentes se quer identificar.</w:t>
      </w:r>
    </w:p>
    <w:p w:rsidR="00671620" w:rsidRPr="00FC2A41" w:rsidRDefault="00671620" w:rsidP="0066661F">
      <w:pPr>
        <w:pStyle w:val="Default"/>
        <w:numPr>
          <w:ilvl w:val="0"/>
          <w:numId w:val="71"/>
        </w:numPr>
        <w:spacing w:line="360" w:lineRule="auto"/>
        <w:jc w:val="both"/>
        <w:rPr>
          <w:color w:val="auto"/>
        </w:rPr>
      </w:pPr>
      <w:r w:rsidRPr="00FC2A41">
        <w:rPr>
          <w:color w:val="auto"/>
        </w:rPr>
        <w:t>Espalhar o conteúdo dos latões em uma lona e separar os resíduos em tipos de interesse.</w:t>
      </w:r>
    </w:p>
    <w:p w:rsidR="00671620" w:rsidRPr="00FC2A41" w:rsidRDefault="00671620" w:rsidP="0066661F">
      <w:pPr>
        <w:pStyle w:val="Default"/>
        <w:numPr>
          <w:ilvl w:val="0"/>
          <w:numId w:val="71"/>
        </w:numPr>
        <w:spacing w:line="360" w:lineRule="auto"/>
        <w:jc w:val="both"/>
        <w:rPr>
          <w:color w:val="auto"/>
        </w:rPr>
      </w:pPr>
      <w:r w:rsidRPr="00FC2A41">
        <w:rPr>
          <w:color w:val="auto"/>
        </w:rPr>
        <w:t>Todo o material que não se enquadrar nos tipos listados deverá ser considerado como “</w:t>
      </w:r>
      <w:r w:rsidRPr="00FC2A41">
        <w:rPr>
          <w:i/>
          <w:color w:val="auto"/>
        </w:rPr>
        <w:t>outros”</w:t>
      </w:r>
      <w:r w:rsidRPr="00FC2A41">
        <w:rPr>
          <w:color w:val="auto"/>
        </w:rPr>
        <w:t>.</w:t>
      </w:r>
    </w:p>
    <w:p w:rsidR="00671620" w:rsidRPr="00FC2A41" w:rsidRDefault="00671620" w:rsidP="0066661F">
      <w:pPr>
        <w:pStyle w:val="Default"/>
        <w:numPr>
          <w:ilvl w:val="0"/>
          <w:numId w:val="71"/>
        </w:numPr>
        <w:spacing w:line="360" w:lineRule="auto"/>
        <w:jc w:val="both"/>
        <w:rPr>
          <w:color w:val="auto"/>
        </w:rPr>
      </w:pPr>
      <w:r w:rsidRPr="00FC2A41">
        <w:rPr>
          <w:color w:val="auto"/>
        </w:rPr>
        <w:t xml:space="preserve">Pesar os componentes de cada tipo e dividir o peso de cada um pelo peso total da amostra. Assim, será calculada a composição gravimétrica percentual. </w:t>
      </w:r>
    </w:p>
    <w:p w:rsidR="00671620" w:rsidRPr="00FC2A41" w:rsidRDefault="00671620" w:rsidP="00671620">
      <w:pPr>
        <w:pStyle w:val="Default"/>
        <w:spacing w:line="360" w:lineRule="auto"/>
        <w:ind w:firstLine="709"/>
        <w:jc w:val="both"/>
        <w:rPr>
          <w:color w:val="auto"/>
        </w:rPr>
      </w:pPr>
      <w:r w:rsidRPr="00FC2A41">
        <w:rPr>
          <w:color w:val="auto"/>
        </w:rPr>
        <w:t xml:space="preserve">O teor de umidade da amostra pode ser determinado através das seguintes ações: </w:t>
      </w:r>
    </w:p>
    <w:p w:rsidR="00671620" w:rsidRPr="00FC2A41" w:rsidRDefault="00671620" w:rsidP="0066661F">
      <w:pPr>
        <w:pStyle w:val="Default"/>
        <w:numPr>
          <w:ilvl w:val="0"/>
          <w:numId w:val="71"/>
        </w:numPr>
        <w:spacing w:line="360" w:lineRule="auto"/>
        <w:jc w:val="both"/>
        <w:rPr>
          <w:color w:val="auto"/>
        </w:rPr>
      </w:pPr>
      <w:r w:rsidRPr="00FC2A41">
        <w:rPr>
          <w:color w:val="auto"/>
        </w:rPr>
        <w:t xml:space="preserve">Pesar uma amostra de 2 litros (separada inicialmente). </w:t>
      </w:r>
    </w:p>
    <w:p w:rsidR="00671620" w:rsidRPr="00FC2A41" w:rsidRDefault="00671620" w:rsidP="0066661F">
      <w:pPr>
        <w:pStyle w:val="Default"/>
        <w:numPr>
          <w:ilvl w:val="0"/>
          <w:numId w:val="71"/>
        </w:numPr>
        <w:spacing w:line="360" w:lineRule="auto"/>
        <w:jc w:val="both"/>
        <w:rPr>
          <w:color w:val="auto"/>
        </w:rPr>
      </w:pPr>
      <w:r w:rsidRPr="00FC2A41">
        <w:rPr>
          <w:color w:val="auto"/>
        </w:rPr>
        <w:t>Levar a amostra ao forno (se possível em estufa) a 105 ºC por um dia, ou por dois dias consecutivos a 75 ºC.</w:t>
      </w:r>
    </w:p>
    <w:p w:rsidR="00671620" w:rsidRPr="00FC2A41" w:rsidRDefault="00671620" w:rsidP="0066661F">
      <w:pPr>
        <w:pStyle w:val="Default"/>
        <w:numPr>
          <w:ilvl w:val="0"/>
          <w:numId w:val="71"/>
        </w:numPr>
        <w:spacing w:line="360" w:lineRule="auto"/>
        <w:jc w:val="both"/>
        <w:rPr>
          <w:color w:val="auto"/>
        </w:rPr>
      </w:pPr>
      <w:r w:rsidRPr="00FC2A41">
        <w:rPr>
          <w:color w:val="auto"/>
        </w:rPr>
        <w:t xml:space="preserve">Pesar o material seco, repetir a pesagem até que a massa aferida seja constante. </w:t>
      </w:r>
    </w:p>
    <w:p w:rsidR="00671620" w:rsidRPr="00FC2A41" w:rsidRDefault="00671620" w:rsidP="00671620">
      <w:pPr>
        <w:pStyle w:val="Default"/>
        <w:spacing w:line="360" w:lineRule="auto"/>
        <w:ind w:firstLine="709"/>
        <w:jc w:val="both"/>
        <w:rPr>
          <w:color w:val="auto"/>
        </w:rPr>
      </w:pPr>
      <w:r w:rsidRPr="00FC2A41">
        <w:rPr>
          <w:color w:val="auto"/>
        </w:rPr>
        <w:t xml:space="preserve">O teor de umidade percentual será obtido com a diferença entre a massa inicial (úmida) e a massa seca sobre a massa inicial. </w:t>
      </w:r>
    </w:p>
    <w:p w:rsidR="00671620" w:rsidRPr="00FC2A41" w:rsidRDefault="00671620" w:rsidP="00671620">
      <w:pPr>
        <w:pStyle w:val="Default"/>
        <w:spacing w:line="360" w:lineRule="auto"/>
        <w:ind w:firstLine="709"/>
        <w:jc w:val="both"/>
        <w:rPr>
          <w:color w:val="auto"/>
        </w:rPr>
      </w:pPr>
      <w:r w:rsidRPr="00FC2A41">
        <w:rPr>
          <w:color w:val="auto"/>
        </w:rPr>
        <w:t xml:space="preserve">A geração </w:t>
      </w:r>
      <w:r w:rsidRPr="00FC2A41">
        <w:rPr>
          <w:i/>
          <w:color w:val="auto"/>
        </w:rPr>
        <w:t>per capita</w:t>
      </w:r>
      <w:r w:rsidRPr="00FC2A41">
        <w:rPr>
          <w:color w:val="auto"/>
        </w:rPr>
        <w:t xml:space="preserve"> pode ser calculada através das seguintes ações:</w:t>
      </w:r>
    </w:p>
    <w:p w:rsidR="00671620" w:rsidRPr="00FC2A41" w:rsidRDefault="00671620" w:rsidP="0066661F">
      <w:pPr>
        <w:pStyle w:val="Default"/>
        <w:numPr>
          <w:ilvl w:val="0"/>
          <w:numId w:val="71"/>
        </w:numPr>
        <w:spacing w:line="360" w:lineRule="auto"/>
        <w:jc w:val="both"/>
        <w:rPr>
          <w:color w:val="auto"/>
        </w:rPr>
      </w:pPr>
      <w:r w:rsidRPr="00FC2A41">
        <w:rPr>
          <w:color w:val="auto"/>
        </w:rPr>
        <w:t>Medir o volume de resíduo que chega ao aterro durante um dia completo de trabalho.</w:t>
      </w:r>
    </w:p>
    <w:p w:rsidR="00671620" w:rsidRPr="00FC2A41" w:rsidRDefault="00671620" w:rsidP="0066661F">
      <w:pPr>
        <w:pStyle w:val="Default"/>
        <w:numPr>
          <w:ilvl w:val="0"/>
          <w:numId w:val="71"/>
        </w:numPr>
        <w:spacing w:line="360" w:lineRule="auto"/>
        <w:jc w:val="both"/>
        <w:rPr>
          <w:color w:val="auto"/>
        </w:rPr>
      </w:pPr>
      <w:r w:rsidRPr="00FC2A41">
        <w:rPr>
          <w:color w:val="auto"/>
        </w:rPr>
        <w:t>Com o valor de peso específico, calcular o peso total do volume aferido.</w:t>
      </w:r>
    </w:p>
    <w:p w:rsidR="00671620" w:rsidRPr="00FC2A41" w:rsidRDefault="00671620" w:rsidP="0066661F">
      <w:pPr>
        <w:pStyle w:val="Default"/>
        <w:numPr>
          <w:ilvl w:val="0"/>
          <w:numId w:val="71"/>
        </w:numPr>
        <w:spacing w:line="360" w:lineRule="auto"/>
        <w:jc w:val="both"/>
        <w:rPr>
          <w:color w:val="auto"/>
        </w:rPr>
      </w:pPr>
      <w:r w:rsidRPr="00FC2A41">
        <w:rPr>
          <w:color w:val="auto"/>
        </w:rPr>
        <w:t>Avaliar qual foi o percentual da população atendida pela coleta naquele dia, e calcular a população atendida com o cálculo desse percentual em relação ao número de habitantes da área urbana do município.</w:t>
      </w:r>
    </w:p>
    <w:p w:rsidR="00671620" w:rsidRDefault="00671620" w:rsidP="00671620">
      <w:pPr>
        <w:pStyle w:val="Default"/>
        <w:spacing w:line="360" w:lineRule="auto"/>
        <w:ind w:firstLine="709"/>
        <w:jc w:val="both"/>
        <w:rPr>
          <w:color w:val="auto"/>
        </w:rPr>
      </w:pPr>
      <w:r w:rsidRPr="00FC2A41">
        <w:rPr>
          <w:color w:val="auto"/>
        </w:rPr>
        <w:lastRenderedPageBreak/>
        <w:t xml:space="preserve">A taxa de geração </w:t>
      </w:r>
      <w:r w:rsidRPr="00FC2A41">
        <w:rPr>
          <w:i/>
          <w:color w:val="auto"/>
        </w:rPr>
        <w:t>per capita</w:t>
      </w:r>
      <w:r w:rsidRPr="00FC2A41">
        <w:rPr>
          <w:color w:val="auto"/>
        </w:rPr>
        <w:t xml:space="preserve"> é o quociente do peso total pela população atendida.</w:t>
      </w:r>
    </w:p>
    <w:p w:rsidR="00671620" w:rsidRPr="00FC2A41" w:rsidRDefault="00671620" w:rsidP="00BC01B1">
      <w:pPr>
        <w:pStyle w:val="Ttulo4"/>
      </w:pPr>
      <w:bookmarkStart w:id="431" w:name="_Toc488825331"/>
      <w:bookmarkStart w:id="432" w:name="_Toc493151496"/>
      <w:bookmarkStart w:id="433" w:name="_Toc498593474"/>
      <w:bookmarkStart w:id="434" w:name="_Toc504404446"/>
      <w:bookmarkStart w:id="435" w:name="_Toc509935485"/>
      <w:r w:rsidRPr="00FC2A41">
        <w:t>Acondicionamento</w:t>
      </w:r>
      <w:bookmarkEnd w:id="431"/>
      <w:bookmarkEnd w:id="432"/>
      <w:bookmarkEnd w:id="433"/>
      <w:bookmarkEnd w:id="434"/>
      <w:bookmarkEnd w:id="435"/>
      <w:r w:rsidRPr="00FC2A41">
        <w:t xml:space="preserve"> </w:t>
      </w:r>
    </w:p>
    <w:p w:rsidR="00671620" w:rsidRPr="00FC2A41" w:rsidRDefault="00671620" w:rsidP="00671620">
      <w:pPr>
        <w:pStyle w:val="Default"/>
        <w:spacing w:line="360" w:lineRule="auto"/>
        <w:ind w:firstLine="709"/>
        <w:jc w:val="both"/>
        <w:rPr>
          <w:color w:val="auto"/>
        </w:rPr>
      </w:pPr>
      <w:r w:rsidRPr="00FC2A41">
        <w:rPr>
          <w:color w:val="auto"/>
        </w:rPr>
        <w:t xml:space="preserve">Para o acondicionamento adequado dos materiais, </w:t>
      </w:r>
      <w:r w:rsidRPr="00FC2A41">
        <w:rPr>
          <w:i/>
          <w:color w:val="auto"/>
        </w:rPr>
        <w:t>o Manual de Gerenciamento Integrado de Resíduos Sólidos</w:t>
      </w:r>
      <w:r w:rsidRPr="00FC2A41">
        <w:rPr>
          <w:color w:val="auto"/>
        </w:rPr>
        <w:t xml:space="preserve"> ou </w:t>
      </w:r>
      <w:r w:rsidRPr="00FC2A41">
        <w:rPr>
          <w:i/>
          <w:color w:val="auto"/>
        </w:rPr>
        <w:t>Manual GIRS</w:t>
      </w:r>
      <w:r w:rsidRPr="00FC2A41">
        <w:rPr>
          <w:color w:val="auto"/>
        </w:rPr>
        <w:t xml:space="preserve"> afirma que o recipiente para acondicionamento adequado dos resíduos domiciliares deve: </w:t>
      </w:r>
    </w:p>
    <w:p w:rsidR="00671620" w:rsidRPr="00FC2A41" w:rsidRDefault="00671620" w:rsidP="0066661F">
      <w:pPr>
        <w:pStyle w:val="Default"/>
        <w:numPr>
          <w:ilvl w:val="0"/>
          <w:numId w:val="71"/>
        </w:numPr>
        <w:spacing w:line="360" w:lineRule="auto"/>
        <w:jc w:val="both"/>
        <w:rPr>
          <w:color w:val="auto"/>
        </w:rPr>
      </w:pPr>
      <w:r w:rsidRPr="00FC2A41">
        <w:rPr>
          <w:color w:val="auto"/>
        </w:rPr>
        <w:t>Ter peso máximo de 30 kg, com a carga para coleta manual.</w:t>
      </w:r>
    </w:p>
    <w:p w:rsidR="00671620" w:rsidRPr="00FC2A41" w:rsidRDefault="00671620" w:rsidP="0066661F">
      <w:pPr>
        <w:pStyle w:val="Default"/>
        <w:numPr>
          <w:ilvl w:val="0"/>
          <w:numId w:val="71"/>
        </w:numPr>
        <w:spacing w:line="360" w:lineRule="auto"/>
        <w:jc w:val="both"/>
        <w:rPr>
          <w:color w:val="auto"/>
        </w:rPr>
      </w:pPr>
      <w:r w:rsidRPr="00FC2A41">
        <w:rPr>
          <w:color w:val="auto"/>
        </w:rPr>
        <w:t>Possuir dispositivos que facilitem a locomoção.</w:t>
      </w:r>
    </w:p>
    <w:p w:rsidR="00671620" w:rsidRPr="00FC2A41" w:rsidRDefault="00671620" w:rsidP="0066661F">
      <w:pPr>
        <w:pStyle w:val="Default"/>
        <w:numPr>
          <w:ilvl w:val="0"/>
          <w:numId w:val="71"/>
        </w:numPr>
        <w:spacing w:line="360" w:lineRule="auto"/>
        <w:jc w:val="both"/>
        <w:rPr>
          <w:color w:val="auto"/>
        </w:rPr>
      </w:pPr>
      <w:r w:rsidRPr="00FC2A41">
        <w:rPr>
          <w:color w:val="auto"/>
        </w:rPr>
        <w:t>Ser hermético.</w:t>
      </w:r>
    </w:p>
    <w:p w:rsidR="00671620" w:rsidRPr="00FC2A41" w:rsidRDefault="00671620" w:rsidP="0066661F">
      <w:pPr>
        <w:pStyle w:val="Default"/>
        <w:numPr>
          <w:ilvl w:val="0"/>
          <w:numId w:val="71"/>
        </w:numPr>
        <w:spacing w:line="360" w:lineRule="auto"/>
        <w:jc w:val="both"/>
        <w:rPr>
          <w:color w:val="auto"/>
        </w:rPr>
      </w:pPr>
      <w:r w:rsidRPr="00FC2A41">
        <w:rPr>
          <w:color w:val="auto"/>
        </w:rPr>
        <w:t>Não permitir o contato com perfurocortantes.</w:t>
      </w:r>
    </w:p>
    <w:p w:rsidR="00671620" w:rsidRPr="00FC2A41" w:rsidRDefault="00671620" w:rsidP="0066661F">
      <w:pPr>
        <w:pStyle w:val="Default"/>
        <w:numPr>
          <w:ilvl w:val="0"/>
          <w:numId w:val="71"/>
        </w:numPr>
        <w:spacing w:line="360" w:lineRule="auto"/>
        <w:jc w:val="both"/>
        <w:rPr>
          <w:color w:val="auto"/>
        </w:rPr>
      </w:pPr>
      <w:r w:rsidRPr="00FC2A41">
        <w:rPr>
          <w:color w:val="auto"/>
        </w:rPr>
        <w:t>Ter preço acessível.</w:t>
      </w:r>
    </w:p>
    <w:p w:rsidR="00671620" w:rsidRPr="00FC2A41" w:rsidRDefault="00671620" w:rsidP="0066661F">
      <w:pPr>
        <w:pStyle w:val="Default"/>
        <w:numPr>
          <w:ilvl w:val="0"/>
          <w:numId w:val="71"/>
        </w:numPr>
        <w:spacing w:line="360" w:lineRule="auto"/>
        <w:jc w:val="both"/>
        <w:rPr>
          <w:color w:val="auto"/>
        </w:rPr>
      </w:pPr>
      <w:r w:rsidRPr="00FC2A41">
        <w:rPr>
          <w:color w:val="auto"/>
        </w:rPr>
        <w:t>Permitir um transporte sem muitos ruídos.</w:t>
      </w:r>
    </w:p>
    <w:p w:rsidR="00671620" w:rsidRPr="00FC2A41" w:rsidRDefault="00671620" w:rsidP="0066661F">
      <w:pPr>
        <w:pStyle w:val="Default"/>
        <w:numPr>
          <w:ilvl w:val="0"/>
          <w:numId w:val="71"/>
        </w:numPr>
        <w:spacing w:line="360" w:lineRule="auto"/>
        <w:jc w:val="both"/>
        <w:rPr>
          <w:color w:val="auto"/>
        </w:rPr>
      </w:pPr>
      <w:r w:rsidRPr="00FC2A41">
        <w:rPr>
          <w:color w:val="auto"/>
        </w:rPr>
        <w:t xml:space="preserve">Não reter resíduos no fundo. </w:t>
      </w:r>
    </w:p>
    <w:p w:rsidR="00671620" w:rsidRPr="00FC2A41" w:rsidRDefault="00671620" w:rsidP="00671620">
      <w:pPr>
        <w:pStyle w:val="Default"/>
        <w:spacing w:line="360" w:lineRule="auto"/>
        <w:ind w:firstLine="709"/>
        <w:jc w:val="both"/>
        <w:rPr>
          <w:color w:val="auto"/>
        </w:rPr>
      </w:pPr>
      <w:r w:rsidRPr="00FC2A41">
        <w:rPr>
          <w:color w:val="auto"/>
        </w:rPr>
        <w:t xml:space="preserve">É recomendado que sejam recipientes sem retorno, que aumentam a produtividade da coleta. Considerando essas características, os sacos plásticos são muito indicados quando a coleta for manual, sendo facilmente fechados, com locomoção silenciosa e sem retorno. Os sacos plásticos a serem utilizados no acondicionamento do lixo domiciliar devem seguir as características estabelecidas pela norma técnica NBR 9191, da ABNT. </w:t>
      </w:r>
    </w:p>
    <w:p w:rsidR="00671620" w:rsidRPr="00FC2A41" w:rsidRDefault="00671620" w:rsidP="00671620">
      <w:pPr>
        <w:pStyle w:val="Default"/>
        <w:spacing w:line="360" w:lineRule="auto"/>
        <w:ind w:firstLine="709"/>
        <w:jc w:val="both"/>
        <w:rPr>
          <w:color w:val="auto"/>
        </w:rPr>
      </w:pPr>
      <w:r w:rsidRPr="00FC2A41">
        <w:rPr>
          <w:color w:val="auto"/>
        </w:rPr>
        <w:t xml:space="preserve">Os </w:t>
      </w:r>
      <w:r w:rsidRPr="00FC2A41">
        <w:rPr>
          <w:i/>
          <w:color w:val="auto"/>
        </w:rPr>
        <w:t>containers</w:t>
      </w:r>
      <w:r w:rsidRPr="00FC2A41">
        <w:rPr>
          <w:color w:val="auto"/>
        </w:rPr>
        <w:t xml:space="preserve"> ou coletores de plástico devem ser equipados com tampa e estar devidamente sinalizados indicando o tipo de material que podem receber. Podem ter rodas ou não. Esses recipientes são fabricados em polietileno de alta densidade (PEAD) e contêm, em sua composição, materiais recicláveis e aditivos que protegem contra a ação de raios ultravioleta. Esses coletores são utilizados para resíduos domiciliares urbanos e públicos, sendo muito indicados para edifícios. Na limpeza pública podem ser transportados pelos trabalhadores, e para acondicionamento de grandes geradores devem ter cores distintas. Existem no Brasil </w:t>
      </w:r>
      <w:r w:rsidRPr="00FC2A41">
        <w:rPr>
          <w:i/>
          <w:color w:val="auto"/>
        </w:rPr>
        <w:t>containers</w:t>
      </w:r>
      <w:r w:rsidRPr="00FC2A41">
        <w:rPr>
          <w:color w:val="auto"/>
        </w:rPr>
        <w:t xml:space="preserve"> com volumes de 120, 240 e 360 litros – com duas rodas, e de 760 e 1.100 litros, com quatro rodas. Ainda podem ser utilizados </w:t>
      </w:r>
      <w:r w:rsidRPr="00FC2A41">
        <w:rPr>
          <w:i/>
          <w:color w:val="auto"/>
        </w:rPr>
        <w:t>containers</w:t>
      </w:r>
      <w:r w:rsidRPr="00FC2A41">
        <w:rPr>
          <w:color w:val="auto"/>
        </w:rPr>
        <w:t xml:space="preserve"> de metal que possuem quatro rodízios e podem ter volume entre 750 e 1500 litros. Esses recipientes são basculados por caminhões compactadores.</w:t>
      </w:r>
    </w:p>
    <w:p w:rsidR="00671620" w:rsidRPr="00FC2A41" w:rsidRDefault="00671620" w:rsidP="00BC01B1">
      <w:pPr>
        <w:pStyle w:val="Ttulo4"/>
      </w:pPr>
      <w:bookmarkStart w:id="436" w:name="_Toc488825332"/>
      <w:bookmarkStart w:id="437" w:name="_Toc493151497"/>
      <w:bookmarkStart w:id="438" w:name="_Toc498593475"/>
      <w:bookmarkStart w:id="439" w:name="_Toc504404447"/>
      <w:bookmarkStart w:id="440" w:name="_Toc509935486"/>
      <w:r w:rsidRPr="00FC2A41">
        <w:lastRenderedPageBreak/>
        <w:t>Coleta e transporte</w:t>
      </w:r>
      <w:bookmarkEnd w:id="436"/>
      <w:bookmarkEnd w:id="437"/>
      <w:bookmarkEnd w:id="438"/>
      <w:bookmarkEnd w:id="439"/>
      <w:bookmarkEnd w:id="440"/>
    </w:p>
    <w:p w:rsidR="00671620" w:rsidRPr="00FC2A41" w:rsidRDefault="00671620" w:rsidP="00671620">
      <w:pPr>
        <w:pStyle w:val="Default"/>
        <w:spacing w:line="360" w:lineRule="auto"/>
        <w:ind w:firstLine="709"/>
        <w:jc w:val="both"/>
        <w:rPr>
          <w:color w:val="auto"/>
        </w:rPr>
      </w:pPr>
      <w:r w:rsidRPr="00FC2A41">
        <w:rPr>
          <w:color w:val="auto"/>
        </w:rPr>
        <w:t>Por conta das características climáticas do país, o tempo entre a geração do resíduo domiciliar e sua disposição não deve ser maior que uma semana, o que evita mau cheiro excessivo e proliferação de vetores. A frequência mínima recomendada para a coleta de resíduos domésticos orgânicos num país de clima quente é de três vezes por semana.</w:t>
      </w:r>
    </w:p>
    <w:p w:rsidR="00671620" w:rsidRPr="00FC2A41" w:rsidRDefault="00671620" w:rsidP="00671620">
      <w:pPr>
        <w:pStyle w:val="Default"/>
        <w:spacing w:line="360" w:lineRule="auto"/>
        <w:ind w:firstLine="709"/>
        <w:jc w:val="both"/>
        <w:rPr>
          <w:color w:val="auto"/>
        </w:rPr>
      </w:pPr>
      <w:r w:rsidRPr="00FC2A41">
        <w:rPr>
          <w:color w:val="auto"/>
        </w:rPr>
        <w:t>Para redução significativa dos custos e otimização da frota, a coleta deve ser realizada em dois turnos. O número de itinerários de coleta deve ser dividido pelos quatro possíveis períodos dos turnos, obtendo-se o número de veículos que a frota deverá conter. Por exemplo: para 8 itinerários, estima-se 8/4 = 2 veículos de coleta. E deve ser incluída uma reserva de 10% da frota para frotas de 10 veículos ou mais e pelo menos 1 veículo para frotas menores.</w:t>
      </w:r>
    </w:p>
    <w:p w:rsidR="00671620" w:rsidRPr="00FC2A41" w:rsidRDefault="00671620" w:rsidP="00671620">
      <w:pPr>
        <w:pStyle w:val="Default"/>
        <w:spacing w:line="360" w:lineRule="auto"/>
        <w:ind w:firstLine="709"/>
        <w:jc w:val="both"/>
        <w:rPr>
          <w:color w:val="auto"/>
        </w:rPr>
      </w:pPr>
      <w:r w:rsidRPr="00FC2A41">
        <w:rPr>
          <w:color w:val="auto"/>
        </w:rPr>
        <w:t>Os turnos podem ser de meio dia (12 horas) cada um, com uma carga de trabalho de 8 horas por turno. Isso permite que reparos e manutenções dos veículos sejam realizados nas demais horas do turno.</w:t>
      </w:r>
    </w:p>
    <w:p w:rsidR="00671620" w:rsidRPr="00FC2A41" w:rsidRDefault="00671620" w:rsidP="00671620">
      <w:pPr>
        <w:pStyle w:val="Default"/>
        <w:spacing w:line="360" w:lineRule="auto"/>
        <w:ind w:firstLine="709"/>
        <w:jc w:val="both"/>
        <w:rPr>
          <w:color w:val="auto"/>
        </w:rPr>
      </w:pPr>
      <w:r w:rsidRPr="00FC2A41">
        <w:rPr>
          <w:color w:val="auto"/>
        </w:rPr>
        <w:t>No Brasil, a tendência é adotar grupos de trabalho (guarnições) por veículo de coleta de 3 a 4 trabalhadores, sendo o mais indicado 3 trabalhadores na coleta e 1 motorista.</w:t>
      </w:r>
    </w:p>
    <w:p w:rsidR="00671620" w:rsidRPr="00FC2A41" w:rsidRDefault="00671620" w:rsidP="00671620">
      <w:pPr>
        <w:pStyle w:val="Default"/>
        <w:spacing w:line="360" w:lineRule="auto"/>
        <w:ind w:firstLine="709"/>
        <w:jc w:val="both"/>
        <w:rPr>
          <w:color w:val="auto"/>
        </w:rPr>
      </w:pPr>
      <w:r w:rsidRPr="00FC2A41">
        <w:rPr>
          <w:color w:val="auto"/>
        </w:rPr>
        <w:t xml:space="preserve">Para que a coleta seja equilibrada em quantidade de trabalho, cada guarnição deve ser alocada para roteiros que exijam um mesmo esforço físico. Áreas com muito lixo e pequena extensão se equivalem a áreas com pouco lixo e grande extensão, sendo considerado o seguinte conceito físico: </w:t>
      </w:r>
      <w:r w:rsidRPr="00FC2A41">
        <w:rPr>
          <w:i/>
          <w:color w:val="auto"/>
        </w:rPr>
        <w:t>trabalho=força x deslocamento</w:t>
      </w:r>
      <w:r w:rsidRPr="00FC2A41">
        <w:rPr>
          <w:color w:val="auto"/>
        </w:rPr>
        <w:t>. É importante considerar as características físicas individuais dos componentes das guarnições, para que se busque um equilíbrio.</w:t>
      </w:r>
    </w:p>
    <w:p w:rsidR="00671620" w:rsidRPr="00FC2A41" w:rsidRDefault="00671620" w:rsidP="00671620">
      <w:pPr>
        <w:pStyle w:val="Default"/>
        <w:spacing w:line="360" w:lineRule="auto"/>
        <w:ind w:firstLine="709"/>
        <w:jc w:val="both"/>
        <w:rPr>
          <w:color w:val="auto"/>
        </w:rPr>
      </w:pPr>
      <w:r w:rsidRPr="00FC2A41">
        <w:rPr>
          <w:color w:val="auto"/>
        </w:rPr>
        <w:t>As rotinas de coleta devem ser amplamente divulgadas (através de cartazes, folhetos explicativos, chamadas nas rádios locais, etc.) de forma que a população sempre tenha conhecimento, em todos os bairros da cidade, dos dias e horários em que deve disponibilizar os resíduos para a coleta convencional e coleta seletiva.</w:t>
      </w:r>
    </w:p>
    <w:p w:rsidR="00671620" w:rsidRPr="00FC2A41" w:rsidRDefault="00671620" w:rsidP="00671620">
      <w:pPr>
        <w:pStyle w:val="Default"/>
        <w:spacing w:line="360" w:lineRule="auto"/>
        <w:ind w:firstLine="709"/>
        <w:jc w:val="both"/>
        <w:rPr>
          <w:b/>
          <w:color w:val="auto"/>
        </w:rPr>
      </w:pPr>
      <w:r w:rsidRPr="00FC2A41">
        <w:rPr>
          <w:b/>
          <w:color w:val="auto"/>
        </w:rPr>
        <w:t>Veículos para coleta</w:t>
      </w:r>
    </w:p>
    <w:p w:rsidR="00671620" w:rsidRPr="00FC2A41" w:rsidRDefault="00671620" w:rsidP="00671620">
      <w:pPr>
        <w:pStyle w:val="Default"/>
        <w:spacing w:line="360" w:lineRule="auto"/>
        <w:ind w:firstLine="709"/>
        <w:jc w:val="both"/>
        <w:rPr>
          <w:color w:val="auto"/>
        </w:rPr>
      </w:pPr>
      <w:r w:rsidRPr="00FC2A41">
        <w:rPr>
          <w:color w:val="auto"/>
        </w:rPr>
        <w:t>O veículo para a coleta domiciliar, de acordo com o Manual GIRS, deve:</w:t>
      </w:r>
    </w:p>
    <w:p w:rsidR="00671620" w:rsidRPr="00FC2A41" w:rsidRDefault="00671620" w:rsidP="0066661F">
      <w:pPr>
        <w:pStyle w:val="Default"/>
        <w:numPr>
          <w:ilvl w:val="0"/>
          <w:numId w:val="62"/>
        </w:numPr>
        <w:spacing w:line="360" w:lineRule="auto"/>
        <w:jc w:val="both"/>
        <w:rPr>
          <w:color w:val="auto"/>
        </w:rPr>
      </w:pPr>
      <w:r w:rsidRPr="00FC2A41">
        <w:rPr>
          <w:color w:val="auto"/>
        </w:rPr>
        <w:lastRenderedPageBreak/>
        <w:t>Apresentar uma altura máxima de 1,20 m do solo ao patamar de carregamento do veículo.</w:t>
      </w:r>
    </w:p>
    <w:p w:rsidR="00671620" w:rsidRPr="00FC2A41" w:rsidRDefault="00671620" w:rsidP="0066661F">
      <w:pPr>
        <w:pStyle w:val="Default"/>
        <w:numPr>
          <w:ilvl w:val="0"/>
          <w:numId w:val="62"/>
        </w:numPr>
        <w:spacing w:line="360" w:lineRule="auto"/>
        <w:jc w:val="both"/>
        <w:rPr>
          <w:color w:val="auto"/>
        </w:rPr>
      </w:pPr>
      <w:r w:rsidRPr="00FC2A41">
        <w:rPr>
          <w:color w:val="auto"/>
        </w:rPr>
        <w:t>Impedir que lixo e/ou chorume sejam derramados nas vias públicas.</w:t>
      </w:r>
    </w:p>
    <w:p w:rsidR="00671620" w:rsidRPr="00FC2A41" w:rsidRDefault="00671620" w:rsidP="0066661F">
      <w:pPr>
        <w:pStyle w:val="Default"/>
        <w:numPr>
          <w:ilvl w:val="0"/>
          <w:numId w:val="62"/>
        </w:numPr>
        <w:spacing w:line="360" w:lineRule="auto"/>
        <w:jc w:val="both"/>
        <w:rPr>
          <w:color w:val="auto"/>
        </w:rPr>
      </w:pPr>
      <w:r w:rsidRPr="00FC2A41">
        <w:rPr>
          <w:color w:val="auto"/>
        </w:rPr>
        <w:t>Ter uma taxa de compactação de no mínimo 3:1, sendo que o volume dos resíduos será reduzido a um terço (1/3) após a compactação.</w:t>
      </w:r>
    </w:p>
    <w:p w:rsidR="00671620" w:rsidRPr="00FC2A41" w:rsidRDefault="00671620" w:rsidP="0066661F">
      <w:pPr>
        <w:pStyle w:val="Default"/>
        <w:numPr>
          <w:ilvl w:val="0"/>
          <w:numId w:val="62"/>
        </w:numPr>
        <w:spacing w:line="360" w:lineRule="auto"/>
        <w:jc w:val="both"/>
        <w:rPr>
          <w:color w:val="auto"/>
        </w:rPr>
      </w:pPr>
      <w:r w:rsidRPr="00FC2A41">
        <w:rPr>
          <w:color w:val="auto"/>
        </w:rPr>
        <w:t>Permitir que dois recipientes sejam esvaziados simultaneamente, sem atraso na coleta.</w:t>
      </w:r>
    </w:p>
    <w:p w:rsidR="00671620" w:rsidRPr="00FC2A41" w:rsidRDefault="00671620" w:rsidP="0066661F">
      <w:pPr>
        <w:pStyle w:val="Default"/>
        <w:numPr>
          <w:ilvl w:val="0"/>
          <w:numId w:val="62"/>
        </w:numPr>
        <w:spacing w:line="360" w:lineRule="auto"/>
        <w:jc w:val="both"/>
        <w:rPr>
          <w:color w:val="auto"/>
        </w:rPr>
      </w:pPr>
      <w:r w:rsidRPr="00FC2A41">
        <w:rPr>
          <w:color w:val="auto"/>
        </w:rPr>
        <w:t>Preferencialmente ter o local de carregamento na traseira do veículo.</w:t>
      </w:r>
    </w:p>
    <w:p w:rsidR="00671620" w:rsidRPr="00FC2A41" w:rsidRDefault="00671620" w:rsidP="0066661F">
      <w:pPr>
        <w:pStyle w:val="Default"/>
        <w:numPr>
          <w:ilvl w:val="0"/>
          <w:numId w:val="62"/>
        </w:numPr>
        <w:spacing w:line="360" w:lineRule="auto"/>
        <w:jc w:val="both"/>
        <w:rPr>
          <w:color w:val="auto"/>
        </w:rPr>
      </w:pPr>
      <w:r w:rsidRPr="00FC2A41">
        <w:rPr>
          <w:color w:val="auto"/>
        </w:rPr>
        <w:t>Ter local seguro e adequado para transporte dos trabalhadores.</w:t>
      </w:r>
    </w:p>
    <w:p w:rsidR="00671620" w:rsidRPr="00FC2A41" w:rsidRDefault="00671620" w:rsidP="0066661F">
      <w:pPr>
        <w:pStyle w:val="Default"/>
        <w:numPr>
          <w:ilvl w:val="0"/>
          <w:numId w:val="62"/>
        </w:numPr>
        <w:spacing w:line="360" w:lineRule="auto"/>
        <w:jc w:val="both"/>
        <w:rPr>
          <w:color w:val="auto"/>
        </w:rPr>
      </w:pPr>
      <w:r w:rsidRPr="00FC2A41">
        <w:rPr>
          <w:color w:val="auto"/>
        </w:rPr>
        <w:t>Conseguir descarregar em no máximo 3 minutos, no local de destino.</w:t>
      </w:r>
    </w:p>
    <w:p w:rsidR="00671620" w:rsidRPr="00FC2A41" w:rsidRDefault="0091746A" w:rsidP="0066661F">
      <w:pPr>
        <w:pStyle w:val="Default"/>
        <w:numPr>
          <w:ilvl w:val="0"/>
          <w:numId w:val="62"/>
        </w:numPr>
        <w:spacing w:line="360" w:lineRule="auto"/>
        <w:jc w:val="both"/>
        <w:rPr>
          <w:color w:val="auto"/>
        </w:rPr>
      </w:pPr>
      <w:r>
        <w:rPr>
          <w:color w:val="auto"/>
        </w:rPr>
        <w:t>C</w:t>
      </w:r>
      <w:r w:rsidR="00671620" w:rsidRPr="00FC2A41">
        <w:rPr>
          <w:color w:val="auto"/>
        </w:rPr>
        <w:t>arregar no mínimo 1,5 m³ no vestíbulo (compartimento de carga).</w:t>
      </w:r>
    </w:p>
    <w:p w:rsidR="00671620" w:rsidRPr="00FC2A41" w:rsidRDefault="00671620" w:rsidP="0066661F">
      <w:pPr>
        <w:pStyle w:val="Default"/>
        <w:numPr>
          <w:ilvl w:val="0"/>
          <w:numId w:val="62"/>
        </w:numPr>
        <w:spacing w:line="360" w:lineRule="auto"/>
        <w:jc w:val="both"/>
        <w:rPr>
          <w:color w:val="auto"/>
        </w:rPr>
      </w:pPr>
      <w:r w:rsidRPr="00FC2A41">
        <w:rPr>
          <w:color w:val="auto"/>
        </w:rPr>
        <w:t>Ser manobrável e com tração suficiente para a topografia local.</w:t>
      </w:r>
    </w:p>
    <w:p w:rsidR="00671620" w:rsidRPr="00FC2A41" w:rsidRDefault="00671620" w:rsidP="0066661F">
      <w:pPr>
        <w:pStyle w:val="Default"/>
        <w:numPr>
          <w:ilvl w:val="0"/>
          <w:numId w:val="62"/>
        </w:numPr>
        <w:spacing w:line="360" w:lineRule="auto"/>
        <w:jc w:val="both"/>
        <w:rPr>
          <w:color w:val="auto"/>
        </w:rPr>
      </w:pPr>
      <w:r w:rsidRPr="00FC2A41">
        <w:rPr>
          <w:color w:val="auto"/>
        </w:rPr>
        <w:t xml:space="preserve">Permitir a descarga (basculamento) de </w:t>
      </w:r>
      <w:r w:rsidRPr="00FC2A41">
        <w:rPr>
          <w:i/>
          <w:color w:val="auto"/>
        </w:rPr>
        <w:t>containers</w:t>
      </w:r>
      <w:r w:rsidRPr="00FC2A41">
        <w:rPr>
          <w:color w:val="auto"/>
        </w:rPr>
        <w:t xml:space="preserve"> de vários tipos.</w:t>
      </w:r>
    </w:p>
    <w:p w:rsidR="00671620" w:rsidRPr="00FC2A41" w:rsidRDefault="00671620" w:rsidP="0066661F">
      <w:pPr>
        <w:pStyle w:val="Default"/>
        <w:numPr>
          <w:ilvl w:val="0"/>
          <w:numId w:val="62"/>
        </w:numPr>
        <w:spacing w:line="360" w:lineRule="auto"/>
        <w:jc w:val="both"/>
        <w:rPr>
          <w:color w:val="auto"/>
        </w:rPr>
      </w:pPr>
      <w:r w:rsidRPr="00FC2A41">
        <w:rPr>
          <w:color w:val="auto"/>
        </w:rPr>
        <w:t>Não sobrecarregar o chassi do caminhão, distribuindo os resíduos uniformemente.</w:t>
      </w:r>
    </w:p>
    <w:p w:rsidR="00671620" w:rsidRPr="00FC2A41" w:rsidRDefault="00671620" w:rsidP="0066661F">
      <w:pPr>
        <w:pStyle w:val="Default"/>
        <w:numPr>
          <w:ilvl w:val="0"/>
          <w:numId w:val="62"/>
        </w:numPr>
        <w:spacing w:line="360" w:lineRule="auto"/>
        <w:jc w:val="both"/>
        <w:rPr>
          <w:color w:val="auto"/>
        </w:rPr>
      </w:pPr>
      <w:r w:rsidRPr="00FC2A41">
        <w:rPr>
          <w:color w:val="auto"/>
        </w:rPr>
        <w:t>Ter capacidade suficiente para o menor número de viagens possível.</w:t>
      </w:r>
    </w:p>
    <w:p w:rsidR="00671620" w:rsidRPr="00FC2A41" w:rsidRDefault="00671620" w:rsidP="00671620">
      <w:pPr>
        <w:pStyle w:val="Default"/>
        <w:spacing w:line="360" w:lineRule="auto"/>
        <w:ind w:firstLine="709"/>
        <w:jc w:val="both"/>
        <w:rPr>
          <w:color w:val="auto"/>
        </w:rPr>
      </w:pPr>
      <w:r w:rsidRPr="00FC2A41">
        <w:rPr>
          <w:color w:val="auto"/>
        </w:rPr>
        <w:t>Para a escolha do tipo de veículo para a coleta é necessário que se analise o custo benefício das opções, através do maior número de características listadas anteriormente e da adequação à realidade do município.</w:t>
      </w:r>
    </w:p>
    <w:p w:rsidR="00671620" w:rsidRPr="00FC2A41" w:rsidRDefault="00671620" w:rsidP="00671620">
      <w:pPr>
        <w:pStyle w:val="Default"/>
        <w:spacing w:line="360" w:lineRule="auto"/>
        <w:ind w:firstLine="709"/>
        <w:jc w:val="both"/>
        <w:rPr>
          <w:color w:val="auto"/>
        </w:rPr>
      </w:pPr>
      <w:r w:rsidRPr="00FC2A41">
        <w:rPr>
          <w:color w:val="auto"/>
        </w:rPr>
        <w:t>Algumas opções de viaturas são expostas a seguir:</w:t>
      </w:r>
    </w:p>
    <w:p w:rsidR="00671620" w:rsidRPr="00FC2A41" w:rsidRDefault="00671620" w:rsidP="0066661F">
      <w:pPr>
        <w:pStyle w:val="Default"/>
        <w:numPr>
          <w:ilvl w:val="0"/>
          <w:numId w:val="63"/>
        </w:numPr>
        <w:spacing w:line="360" w:lineRule="auto"/>
        <w:jc w:val="both"/>
        <w:rPr>
          <w:color w:val="auto"/>
        </w:rPr>
      </w:pPr>
      <w:r w:rsidRPr="00FC2A41">
        <w:rPr>
          <w:color w:val="auto"/>
        </w:rPr>
        <w:t>Baú ou “Prefeitura”: é um coletor sem compactação, com capacidade de caçamba entre 4 e 12 m³. O chassi pode transportar de 7 a 12 toneladas de peso bruto total (PBT), que é calculado pela soma dos pesos do chassi, da caçamba e da carga. A caçamba é basculada hidraulicamente para vazar a carga de resíduos. Apesar de demandar menor investimento, exige maior esforço dos trabalhadores para que os recipientes sejam erguidos a mais de 2 metros de altura da caçamba.</w:t>
      </w:r>
    </w:p>
    <w:p w:rsidR="00671620" w:rsidRPr="00FC2A41" w:rsidRDefault="00671620" w:rsidP="0066661F">
      <w:pPr>
        <w:pStyle w:val="Default"/>
        <w:numPr>
          <w:ilvl w:val="0"/>
          <w:numId w:val="63"/>
        </w:numPr>
        <w:spacing w:line="360" w:lineRule="auto"/>
        <w:jc w:val="both"/>
        <w:rPr>
          <w:color w:val="auto"/>
        </w:rPr>
      </w:pPr>
      <w:r w:rsidRPr="00FC2A41">
        <w:rPr>
          <w:color w:val="auto"/>
        </w:rPr>
        <w:t xml:space="preserve">Coletores compactadores: é um modelo de compactador que pode suportar um volume de 6,10, 12, 15 ou 19 m³. O basculamento pode ser por dispositivo hidráulico e ser independente dos </w:t>
      </w:r>
      <w:r w:rsidRPr="00FC2A41">
        <w:rPr>
          <w:i/>
          <w:color w:val="auto"/>
        </w:rPr>
        <w:t>containers</w:t>
      </w:r>
      <w:r w:rsidRPr="00FC2A41">
        <w:rPr>
          <w:color w:val="auto"/>
        </w:rPr>
        <w:t xml:space="preserve"> plásticos padronizados, sendo que o chassi pode admitir uma carga de 9, 12, 14, </w:t>
      </w:r>
      <w:r w:rsidRPr="00FC2A41">
        <w:rPr>
          <w:color w:val="auto"/>
        </w:rPr>
        <w:lastRenderedPageBreak/>
        <w:t>16 e 23 toneladas. São indicados para a coleta domiciliar e podem transitar por terrenos irregulares.</w:t>
      </w:r>
    </w:p>
    <w:p w:rsidR="00671620" w:rsidRPr="00FC2A41" w:rsidRDefault="00671620" w:rsidP="0066661F">
      <w:pPr>
        <w:pStyle w:val="Default"/>
        <w:numPr>
          <w:ilvl w:val="0"/>
          <w:numId w:val="63"/>
        </w:numPr>
        <w:spacing w:line="360" w:lineRule="auto"/>
        <w:jc w:val="both"/>
        <w:rPr>
          <w:color w:val="auto"/>
        </w:rPr>
      </w:pPr>
      <w:r w:rsidRPr="00FC2A41">
        <w:rPr>
          <w:color w:val="auto"/>
        </w:rPr>
        <w:t>Poliguindastes duplos para caixas estacionárias de 5 m³: possui grande capacidade de transporte, levando duas caixas estacionárias cheias ou, se necessário, várias caixas compactadoras de 10 a 30 m³ de lixo solto.</w:t>
      </w:r>
    </w:p>
    <w:p w:rsidR="00671620" w:rsidRPr="00FC2A41" w:rsidRDefault="00671620" w:rsidP="00671620">
      <w:pPr>
        <w:pStyle w:val="Default"/>
        <w:spacing w:line="360" w:lineRule="auto"/>
        <w:ind w:firstLine="709"/>
        <w:jc w:val="both"/>
        <w:rPr>
          <w:b/>
          <w:color w:val="auto"/>
        </w:rPr>
      </w:pPr>
      <w:r w:rsidRPr="00FC2A41">
        <w:rPr>
          <w:b/>
          <w:color w:val="auto"/>
        </w:rPr>
        <w:t>Roteiros</w:t>
      </w:r>
    </w:p>
    <w:p w:rsidR="00671620" w:rsidRPr="00FC2A41" w:rsidRDefault="00671620" w:rsidP="00671620">
      <w:pPr>
        <w:pStyle w:val="Default"/>
        <w:spacing w:line="360" w:lineRule="auto"/>
        <w:ind w:firstLine="709"/>
        <w:jc w:val="both"/>
        <w:rPr>
          <w:color w:val="auto"/>
        </w:rPr>
      </w:pPr>
      <w:r w:rsidRPr="00FC2A41">
        <w:rPr>
          <w:color w:val="auto"/>
        </w:rPr>
        <w:t>O planejamento de roteiros deve ser progressivo. A coleta deve ter início na área mais distante do local de disposição e deve ir se aproximando dela ao longo do dia, o que diminui as distâncias percorridas e o tempo dispendido.</w:t>
      </w:r>
    </w:p>
    <w:p w:rsidR="00671620" w:rsidRPr="00FC2A41" w:rsidRDefault="00671620" w:rsidP="00671620">
      <w:pPr>
        <w:pStyle w:val="Default"/>
        <w:spacing w:line="360" w:lineRule="auto"/>
        <w:ind w:firstLine="709"/>
        <w:jc w:val="both"/>
        <w:rPr>
          <w:color w:val="auto"/>
        </w:rPr>
      </w:pPr>
      <w:r w:rsidRPr="00FC2A41">
        <w:rPr>
          <w:color w:val="auto"/>
        </w:rPr>
        <w:t xml:space="preserve">Os responsáveis pelos serviços públicos de limpeza urbana e manejo de resíduos sólidos devem prever roteiros que propiciem curtos períodos de descanso aos trabalhadores, considerando pelo menos 10 minutos a cada 150 minutos de trabalho, em locais apropriados para </w:t>
      </w:r>
      <w:r w:rsidRPr="00841358">
        <w:rPr>
          <w:color w:val="auto"/>
        </w:rPr>
        <w:t>que os servidores possam tomar água, sentar um pouco e fazer uso de sanitários. Mensagens educativas devem ser colocadas nos pontos que servem de apoio à guarnição, orientando-a para o uso cuidadoso dos equipamentos disponibilizados para o conforto de todos os colaboradores</w:t>
      </w:r>
      <w:r w:rsidRPr="00FC2A41">
        <w:rPr>
          <w:color w:val="auto"/>
        </w:rPr>
        <w:t xml:space="preserve"> que estão em serviço.</w:t>
      </w:r>
    </w:p>
    <w:p w:rsidR="00671620" w:rsidRPr="00FC2A41" w:rsidRDefault="00671620" w:rsidP="00671620">
      <w:pPr>
        <w:pStyle w:val="Default"/>
        <w:spacing w:line="360" w:lineRule="auto"/>
        <w:ind w:firstLine="709"/>
        <w:jc w:val="both"/>
        <w:rPr>
          <w:color w:val="auto"/>
        </w:rPr>
      </w:pPr>
      <w:r w:rsidRPr="00FC2A41">
        <w:rPr>
          <w:color w:val="auto"/>
        </w:rPr>
        <w:t>Alguns critérios para a implementação de mensagens educativas são:</w:t>
      </w:r>
    </w:p>
    <w:p w:rsidR="00671620" w:rsidRPr="00FC2A41" w:rsidRDefault="00671620" w:rsidP="00671620">
      <w:pPr>
        <w:pStyle w:val="Default"/>
        <w:spacing w:line="360" w:lineRule="auto"/>
        <w:ind w:firstLine="709"/>
        <w:jc w:val="both"/>
        <w:rPr>
          <w:color w:val="auto"/>
        </w:rPr>
      </w:pPr>
      <w:r w:rsidRPr="00FC2A41">
        <w:rPr>
          <w:color w:val="auto"/>
        </w:rPr>
        <w:t>- Colocação em locais de fácil visualização.</w:t>
      </w:r>
    </w:p>
    <w:p w:rsidR="00671620" w:rsidRPr="00FC2A41" w:rsidRDefault="00671620" w:rsidP="00671620">
      <w:pPr>
        <w:pStyle w:val="Default"/>
        <w:spacing w:line="360" w:lineRule="auto"/>
        <w:ind w:firstLine="709"/>
        <w:jc w:val="both"/>
        <w:rPr>
          <w:color w:val="auto"/>
        </w:rPr>
      </w:pPr>
      <w:r w:rsidRPr="00FC2A41">
        <w:rPr>
          <w:color w:val="auto"/>
        </w:rPr>
        <w:t>- Uso de linguagem acessível.</w:t>
      </w:r>
    </w:p>
    <w:p w:rsidR="00671620" w:rsidRPr="00FC2A41" w:rsidRDefault="00671620" w:rsidP="00671620">
      <w:pPr>
        <w:pStyle w:val="Default"/>
        <w:spacing w:line="360" w:lineRule="auto"/>
        <w:ind w:firstLine="709"/>
        <w:jc w:val="both"/>
        <w:rPr>
          <w:color w:val="auto"/>
        </w:rPr>
      </w:pPr>
      <w:r w:rsidRPr="00FC2A41">
        <w:rPr>
          <w:color w:val="auto"/>
        </w:rPr>
        <w:t>- Uso de ilustrações.</w:t>
      </w:r>
    </w:p>
    <w:p w:rsidR="00671620" w:rsidRPr="00FC2A41" w:rsidRDefault="00671620" w:rsidP="00671620">
      <w:pPr>
        <w:pStyle w:val="Default"/>
        <w:spacing w:line="360" w:lineRule="auto"/>
        <w:ind w:firstLine="709"/>
        <w:jc w:val="both"/>
        <w:rPr>
          <w:color w:val="auto"/>
        </w:rPr>
      </w:pPr>
      <w:r w:rsidRPr="00FC2A41">
        <w:rPr>
          <w:color w:val="auto"/>
        </w:rPr>
        <w:t xml:space="preserve">Para dimensionar os roteiros da coleta regular é preciso ter conhecimento das quantidades de resíduos produzidas por tipo de gerador (domicílios, estabelecimentos públicos, pequenos comércios, etc.). A obtenção desses números dá-se pelo levantamento dos geradores em bairros de classe econômica alta, média e baixa. </w:t>
      </w:r>
    </w:p>
    <w:p w:rsidR="00671620" w:rsidRPr="00FC2A41" w:rsidRDefault="00671620" w:rsidP="00671620">
      <w:pPr>
        <w:pStyle w:val="Default"/>
        <w:spacing w:line="360" w:lineRule="auto"/>
        <w:ind w:firstLine="709"/>
        <w:jc w:val="both"/>
        <w:rPr>
          <w:color w:val="auto"/>
        </w:rPr>
      </w:pPr>
      <w:r w:rsidRPr="00FC2A41">
        <w:rPr>
          <w:color w:val="auto"/>
        </w:rPr>
        <w:t>A partir dos dados de projeção populacional, calcula-se a quantidade média de resíduos gerada por habitante, por dia.</w:t>
      </w:r>
    </w:p>
    <w:p w:rsidR="00671620" w:rsidRPr="00FC2A41" w:rsidRDefault="00671620" w:rsidP="00671620">
      <w:pPr>
        <w:pStyle w:val="Default"/>
        <w:spacing w:line="360" w:lineRule="auto"/>
        <w:ind w:firstLine="709"/>
        <w:jc w:val="both"/>
        <w:rPr>
          <w:color w:val="auto"/>
        </w:rPr>
      </w:pPr>
      <w:r w:rsidRPr="00FC2A41">
        <w:rPr>
          <w:color w:val="auto"/>
        </w:rPr>
        <w:t xml:space="preserve">O índice médio de geração </w:t>
      </w:r>
      <w:r w:rsidRPr="00FC2A41">
        <w:rPr>
          <w:i/>
          <w:color w:val="auto"/>
        </w:rPr>
        <w:t>per capita</w:t>
      </w:r>
      <w:r w:rsidRPr="00FC2A41">
        <w:rPr>
          <w:color w:val="auto"/>
        </w:rPr>
        <w:t xml:space="preserve"> diária pode variar entre 0,35 kg e 1,00 kg. Se o índice para o município for de 0,80 kg e a população de 20 mil habitantes, a quantidade de lixo a ser recolhida em um dia de coleta será: 20.000 hab. x 0,80 kg/hab./dia = 16.000 kg/dia. Esse dado também deve ser considerado na definição do </w:t>
      </w:r>
      <w:r w:rsidRPr="00FC2A41">
        <w:rPr>
          <w:color w:val="auto"/>
        </w:rPr>
        <w:lastRenderedPageBreak/>
        <w:t>número de veículos da coleta regular. A determinação pode ser feita juntamente com a caracterização física dos resíduos.</w:t>
      </w:r>
    </w:p>
    <w:p w:rsidR="00671620" w:rsidRPr="00FC2A41" w:rsidRDefault="00671620" w:rsidP="00671620">
      <w:pPr>
        <w:pStyle w:val="Default"/>
        <w:spacing w:line="360" w:lineRule="auto"/>
        <w:ind w:firstLine="709"/>
        <w:jc w:val="both"/>
        <w:rPr>
          <w:color w:val="auto"/>
        </w:rPr>
      </w:pPr>
      <w:r w:rsidRPr="00FC2A41">
        <w:rPr>
          <w:color w:val="auto"/>
        </w:rPr>
        <w:t xml:space="preserve">No traçado das rotas dos veículos coletores devem ser evitados trechos em que não haja coleta. A coleta deve ser realizada de cima para baixo em áreas íngremes, economizando energia e esforço dos trabalhadores. É recomendado que sejam testados diferentes roteiros e que os tempos sejam comparados, para buscar maior eficácia na coleta. De forma geral, o traçado do roteiro deve atender a condições como: obedecer ao sentido do tráfego, evitar manobras à esquerda em vias de sentido duplo, evitar passar duas vezes por um mesmo trecho, evitar áreas improdutivas. Um método muito utilizado para definição de itinerários é conhecido como “heurístico”, que inclui as condições de tráfego e de topografia, conforme mostrado no esquema da </w:t>
      </w:r>
      <w:r w:rsidRPr="00FC2A41">
        <w:rPr>
          <w:color w:val="auto"/>
        </w:rPr>
        <w:fldChar w:fldCharType="begin"/>
      </w:r>
      <w:r w:rsidRPr="00FC2A41">
        <w:rPr>
          <w:color w:val="auto"/>
        </w:rPr>
        <w:instrText xml:space="preserve"> REF _Ref484614188 \h  \* MERGEFORMAT </w:instrText>
      </w:r>
      <w:r w:rsidRPr="00FC2A41">
        <w:rPr>
          <w:color w:val="auto"/>
        </w:rPr>
      </w:r>
      <w:r w:rsidRPr="00FC2A41">
        <w:rPr>
          <w:color w:val="auto"/>
        </w:rPr>
        <w:fldChar w:fldCharType="separate"/>
      </w:r>
      <w:r w:rsidR="001B481B" w:rsidRPr="001B481B">
        <w:rPr>
          <w:color w:val="auto"/>
        </w:rPr>
        <w:t xml:space="preserve">Figura </w:t>
      </w:r>
      <w:r w:rsidR="001B481B" w:rsidRPr="001B481B">
        <w:rPr>
          <w:noProof/>
          <w:color w:val="auto"/>
        </w:rPr>
        <w:t>4</w:t>
      </w:r>
      <w:r w:rsidRPr="00FC2A41">
        <w:rPr>
          <w:color w:val="auto"/>
        </w:rPr>
        <w:fldChar w:fldCharType="end"/>
      </w:r>
      <w:r w:rsidRPr="00FC2A41">
        <w:rPr>
          <w:color w:val="auto"/>
        </w:rPr>
        <w:t>.</w:t>
      </w:r>
    </w:p>
    <w:p w:rsidR="00671620" w:rsidRPr="00FC2A41" w:rsidRDefault="00671620" w:rsidP="00E95583">
      <w:pPr>
        <w:pStyle w:val="Legenda"/>
      </w:pPr>
      <w:bookmarkStart w:id="441" w:name="_Ref484614188"/>
      <w:bookmarkStart w:id="442" w:name="_Toc488824959"/>
      <w:bookmarkStart w:id="443" w:name="_Toc493151547"/>
      <w:bookmarkStart w:id="444" w:name="_Toc498593535"/>
      <w:bookmarkStart w:id="445" w:name="_Toc503949401"/>
      <w:bookmarkStart w:id="446" w:name="_Toc509935769"/>
      <w:r w:rsidRPr="00FC2A41">
        <w:t xml:space="preserve">Figura </w:t>
      </w:r>
      <w:r w:rsidR="000A1C78">
        <w:fldChar w:fldCharType="begin"/>
      </w:r>
      <w:r w:rsidR="000A1C78">
        <w:instrText xml:space="preserve"> SEQ Figura \* ARABIC </w:instrText>
      </w:r>
      <w:r w:rsidR="000A1C78">
        <w:fldChar w:fldCharType="separate"/>
      </w:r>
      <w:r w:rsidR="001B481B">
        <w:rPr>
          <w:noProof/>
        </w:rPr>
        <w:t>4</w:t>
      </w:r>
      <w:r w:rsidR="000A1C78">
        <w:rPr>
          <w:noProof/>
        </w:rPr>
        <w:fldChar w:fldCharType="end"/>
      </w:r>
      <w:bookmarkEnd w:id="441"/>
      <w:r w:rsidRPr="00FC2A41">
        <w:rPr>
          <w:lang w:val="pt-BR"/>
        </w:rPr>
        <w:t xml:space="preserve"> -</w:t>
      </w:r>
      <w:r w:rsidRPr="00FC2A41">
        <w:t xml:space="preserve"> Método heurístico de traçado de itinerários de coleta</w:t>
      </w:r>
      <w:bookmarkEnd w:id="442"/>
      <w:bookmarkEnd w:id="443"/>
      <w:bookmarkEnd w:id="444"/>
      <w:bookmarkEnd w:id="445"/>
      <w:bookmarkEnd w:id="446"/>
    </w:p>
    <w:p w:rsidR="00671620" w:rsidRPr="00FC2A41" w:rsidRDefault="00671620" w:rsidP="00671620">
      <w:pPr>
        <w:pStyle w:val="figura"/>
      </w:pPr>
      <w:r w:rsidRPr="00FC2A41">
        <w:rPr>
          <w:noProof/>
        </w:rPr>
        <w:drawing>
          <wp:inline distT="0" distB="0" distL="0" distR="0" wp14:anchorId="600B5E84" wp14:editId="2F35CC70">
            <wp:extent cx="2880000" cy="225000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880000" cy="2250000"/>
                    </a:xfrm>
                    <a:prstGeom prst="rect">
                      <a:avLst/>
                    </a:prstGeom>
                  </pic:spPr>
                </pic:pic>
              </a:graphicData>
            </a:graphic>
          </wp:inline>
        </w:drawing>
      </w:r>
    </w:p>
    <w:p w:rsidR="00671620" w:rsidRPr="007D26EA" w:rsidRDefault="00671620" w:rsidP="00AC47A2">
      <w:pPr>
        <w:pStyle w:val="Fonte"/>
      </w:pPr>
      <w:r w:rsidRPr="007D26EA">
        <w:t>Fonte: Manual GIRS, 2001.</w:t>
      </w:r>
    </w:p>
    <w:p w:rsidR="00671620" w:rsidRPr="00FC2A41" w:rsidRDefault="00671620" w:rsidP="00BC01B1">
      <w:pPr>
        <w:pStyle w:val="Ttulo4"/>
      </w:pPr>
      <w:bookmarkStart w:id="447" w:name="_Toc488825333"/>
      <w:bookmarkStart w:id="448" w:name="_Toc493151498"/>
      <w:bookmarkStart w:id="449" w:name="_Toc498593476"/>
      <w:bookmarkStart w:id="450" w:name="_Toc504404448"/>
      <w:bookmarkStart w:id="451" w:name="_Toc509935487"/>
      <w:r w:rsidRPr="00FC2A41">
        <w:t>Transbordo</w:t>
      </w:r>
      <w:bookmarkEnd w:id="447"/>
      <w:r w:rsidRPr="00FC2A41">
        <w:t xml:space="preserve"> de rejeitos</w:t>
      </w:r>
      <w:bookmarkEnd w:id="448"/>
      <w:bookmarkEnd w:id="449"/>
      <w:bookmarkEnd w:id="450"/>
      <w:bookmarkEnd w:id="451"/>
    </w:p>
    <w:p w:rsidR="00671620" w:rsidRPr="00FC2A41" w:rsidRDefault="00671620" w:rsidP="00671620">
      <w:pPr>
        <w:pStyle w:val="Default"/>
        <w:spacing w:line="360" w:lineRule="auto"/>
        <w:ind w:firstLine="709"/>
        <w:jc w:val="both"/>
        <w:rPr>
          <w:color w:val="auto"/>
        </w:rPr>
      </w:pPr>
      <w:r w:rsidRPr="00FC2A41">
        <w:rPr>
          <w:color w:val="auto"/>
        </w:rPr>
        <w:t xml:space="preserve">Por conta da instalação de aterros sanitários em áreas distantes dos centros de coleta, alguns municípios optam pela implantação de estações intermediárias, chamadas de estações de transferência e transbordo. Elas são construídas quando a distância entre o centro de coleta e o aterro (destino final) é maior que 25 km, ou então, em casos de tráfego rodoviário muito intenso, visando otimizar o processo de coleta. </w:t>
      </w:r>
    </w:p>
    <w:p w:rsidR="00671620" w:rsidRPr="00FC2A41" w:rsidRDefault="00671620" w:rsidP="00671620">
      <w:pPr>
        <w:pStyle w:val="Default"/>
        <w:spacing w:line="360" w:lineRule="auto"/>
        <w:ind w:firstLine="709"/>
        <w:jc w:val="both"/>
        <w:rPr>
          <w:color w:val="auto"/>
        </w:rPr>
      </w:pPr>
      <w:r w:rsidRPr="00FC2A41">
        <w:rPr>
          <w:color w:val="auto"/>
        </w:rPr>
        <w:t>Para implantar uma estação de transferência devem ser identificados, por meio de estudo de viabilidade econômico-ambiental, os benefícios para o setor público de resíduos.</w:t>
      </w:r>
    </w:p>
    <w:p w:rsidR="00671620" w:rsidRDefault="00671620" w:rsidP="00671620">
      <w:pPr>
        <w:pStyle w:val="Default"/>
        <w:spacing w:line="360" w:lineRule="auto"/>
        <w:ind w:firstLine="709"/>
        <w:jc w:val="both"/>
        <w:rPr>
          <w:color w:val="auto"/>
        </w:rPr>
      </w:pPr>
      <w:r w:rsidRPr="00FC2A41">
        <w:rPr>
          <w:color w:val="auto"/>
        </w:rPr>
        <w:lastRenderedPageBreak/>
        <w:t>Essas centrais podem ser: com transbordo direto, com armazenamento, com compactação e sem compactação.</w:t>
      </w:r>
    </w:p>
    <w:p w:rsidR="00671620" w:rsidRPr="00FC2A41" w:rsidRDefault="00671620" w:rsidP="00BC01B1">
      <w:pPr>
        <w:pStyle w:val="Ttulo4"/>
      </w:pPr>
      <w:bookmarkStart w:id="452" w:name="_Toc488825334"/>
      <w:bookmarkStart w:id="453" w:name="_Toc493151499"/>
      <w:bookmarkStart w:id="454" w:name="_Toc498593477"/>
      <w:bookmarkStart w:id="455" w:name="_Toc504404449"/>
      <w:bookmarkStart w:id="456" w:name="_Toc509935488"/>
      <w:r w:rsidRPr="00FC2A41">
        <w:t>Pontos de Entrega Voluntária (PEVs)</w:t>
      </w:r>
      <w:bookmarkEnd w:id="452"/>
      <w:bookmarkEnd w:id="453"/>
      <w:bookmarkEnd w:id="454"/>
      <w:bookmarkEnd w:id="455"/>
      <w:bookmarkEnd w:id="456"/>
    </w:p>
    <w:p w:rsidR="00671620" w:rsidRPr="00FC2A41" w:rsidRDefault="00671620" w:rsidP="00671620">
      <w:pPr>
        <w:pStyle w:val="Default"/>
        <w:spacing w:line="360" w:lineRule="auto"/>
        <w:ind w:firstLine="709"/>
        <w:jc w:val="both"/>
        <w:rPr>
          <w:color w:val="auto"/>
        </w:rPr>
      </w:pPr>
      <w:r w:rsidRPr="00FC2A41">
        <w:rPr>
          <w:color w:val="auto"/>
        </w:rPr>
        <w:t xml:space="preserve">A fim de inibir a disposição de resíduos em locais impróprios e incentivar a participação da população na coleta seletiva a Prefeitura Municipal pode investir na instalação de Pontos de Entrega Voluntária (PEVs) de resíduos recicláveis. </w:t>
      </w:r>
    </w:p>
    <w:p w:rsidR="00671620" w:rsidRPr="00FC2A41" w:rsidRDefault="00671620" w:rsidP="00671620">
      <w:pPr>
        <w:pStyle w:val="Default"/>
        <w:spacing w:line="360" w:lineRule="auto"/>
        <w:ind w:firstLine="709"/>
        <w:jc w:val="both"/>
        <w:rPr>
          <w:color w:val="auto"/>
        </w:rPr>
      </w:pPr>
      <w:r w:rsidRPr="00FC2A41">
        <w:rPr>
          <w:color w:val="auto"/>
        </w:rPr>
        <w:t xml:space="preserve">O </w:t>
      </w:r>
      <w:r w:rsidRPr="00841358">
        <w:rPr>
          <w:color w:val="auto"/>
        </w:rPr>
        <w:t>PEV é um ponto com uma área</w:t>
      </w:r>
      <w:r w:rsidRPr="00FC2A41">
        <w:rPr>
          <w:color w:val="auto"/>
        </w:rPr>
        <w:t xml:space="preserve"> de transbordo e triagem de pequeno porte, destinada à entrega voluntária de pequenas quantidades de resíduos de construção civil e resíduos volumosos, integrante do sistema público de limpeza urbana e que pode ser implantado nas comunidades distantes da zona urbana. Duas sugestões do Manual GIRS (IBAM, 2001) para a viabilização da instalação dos pontos são: parcerias com empresas, através de disponibilização publicitária nesses locais, e parcerias com indústrias recicladoras que custeariam toda a implantação dos PEVs.</w:t>
      </w:r>
    </w:p>
    <w:p w:rsidR="00671620" w:rsidRPr="00FC2A41" w:rsidRDefault="00671620" w:rsidP="00671620">
      <w:pPr>
        <w:pStyle w:val="Default"/>
        <w:spacing w:line="360" w:lineRule="auto"/>
        <w:ind w:firstLine="709"/>
        <w:jc w:val="both"/>
        <w:rPr>
          <w:color w:val="auto"/>
        </w:rPr>
      </w:pPr>
      <w:r w:rsidRPr="00FC2A41">
        <w:rPr>
          <w:color w:val="auto"/>
        </w:rPr>
        <w:t xml:space="preserve">Os recipientes podem ser plásticos ou metálicos, como latões de 200 litros, ou </w:t>
      </w:r>
      <w:r w:rsidRPr="00FC2A41">
        <w:rPr>
          <w:i/>
          <w:color w:val="auto"/>
        </w:rPr>
        <w:t xml:space="preserve">containers. </w:t>
      </w:r>
      <w:r w:rsidRPr="00FC2A41">
        <w:rPr>
          <w:color w:val="auto"/>
        </w:rPr>
        <w:t xml:space="preserve">Também podem ser de alvenaria, formando pequenas caixas ou baias, onde os materiais são depositados. Esses recipientes são identificados por cores, seguindo as normas de padronização e devem ser protegidos das chuvas e demais intempéries por uma pequena cobertura. </w:t>
      </w:r>
    </w:p>
    <w:p w:rsidR="00671620" w:rsidRDefault="00671620" w:rsidP="00671620">
      <w:pPr>
        <w:pStyle w:val="Default"/>
        <w:spacing w:line="360" w:lineRule="auto"/>
        <w:ind w:firstLine="709"/>
        <w:jc w:val="both"/>
        <w:rPr>
          <w:color w:val="auto"/>
        </w:rPr>
      </w:pPr>
      <w:r w:rsidRPr="00FC2A41">
        <w:rPr>
          <w:color w:val="auto"/>
        </w:rPr>
        <w:t>A Resolução CONAMA</w:t>
      </w:r>
      <w:r w:rsidR="00277521">
        <w:rPr>
          <w:color w:val="auto"/>
        </w:rPr>
        <w:t xml:space="preserve"> nº 275, de 25 de abril de 2001</w:t>
      </w:r>
      <w:r w:rsidRPr="00FC2A41">
        <w:rPr>
          <w:color w:val="auto"/>
        </w:rPr>
        <w:t xml:space="preserve"> estabelece o código de cores para os diferentes tipos de resíduos, a ser adotado na identificação de coletores e transportadores, bem como nas campanhas informativas para a coleta seletiva. Esse padrão é apresentado </w:t>
      </w:r>
      <w:r w:rsidR="00531327">
        <w:rPr>
          <w:color w:val="auto"/>
        </w:rPr>
        <w:t>a seguir:</w:t>
      </w:r>
      <w:r w:rsidRPr="00FC2A41">
        <w:rPr>
          <w:color w:val="auto"/>
        </w:rPr>
        <w:t xml:space="preserve"> </w:t>
      </w:r>
    </w:p>
    <w:p w:rsidR="00531327" w:rsidRPr="00531327" w:rsidRDefault="00531327" w:rsidP="0066661F">
      <w:pPr>
        <w:pStyle w:val="Default"/>
        <w:numPr>
          <w:ilvl w:val="0"/>
          <w:numId w:val="107"/>
        </w:numPr>
        <w:spacing w:line="360" w:lineRule="auto"/>
        <w:ind w:left="1985" w:hanging="294"/>
        <w:jc w:val="both"/>
        <w:rPr>
          <w:color w:val="auto"/>
        </w:rPr>
      </w:pPr>
      <w:r w:rsidRPr="00531327">
        <w:rPr>
          <w:color w:val="auto"/>
        </w:rPr>
        <w:t>AZUL: papel/papelão;</w:t>
      </w:r>
    </w:p>
    <w:p w:rsidR="00531327" w:rsidRPr="00531327" w:rsidRDefault="00531327" w:rsidP="0066661F">
      <w:pPr>
        <w:pStyle w:val="Default"/>
        <w:numPr>
          <w:ilvl w:val="0"/>
          <w:numId w:val="107"/>
        </w:numPr>
        <w:spacing w:line="360" w:lineRule="auto"/>
        <w:ind w:left="1985" w:hanging="294"/>
        <w:jc w:val="both"/>
        <w:rPr>
          <w:color w:val="auto"/>
        </w:rPr>
      </w:pPr>
      <w:r w:rsidRPr="00531327">
        <w:rPr>
          <w:color w:val="auto"/>
        </w:rPr>
        <w:t>VERMELHO: plástico;</w:t>
      </w:r>
    </w:p>
    <w:p w:rsidR="00531327" w:rsidRPr="00531327" w:rsidRDefault="00531327" w:rsidP="0066661F">
      <w:pPr>
        <w:pStyle w:val="Default"/>
        <w:numPr>
          <w:ilvl w:val="0"/>
          <w:numId w:val="107"/>
        </w:numPr>
        <w:spacing w:line="360" w:lineRule="auto"/>
        <w:ind w:left="1985" w:hanging="294"/>
        <w:jc w:val="both"/>
        <w:rPr>
          <w:color w:val="auto"/>
        </w:rPr>
      </w:pPr>
      <w:r w:rsidRPr="00531327">
        <w:rPr>
          <w:color w:val="auto"/>
        </w:rPr>
        <w:t>VERDE: vidro;</w:t>
      </w:r>
    </w:p>
    <w:p w:rsidR="00531327" w:rsidRPr="00531327" w:rsidRDefault="00531327" w:rsidP="0066661F">
      <w:pPr>
        <w:pStyle w:val="Default"/>
        <w:numPr>
          <w:ilvl w:val="0"/>
          <w:numId w:val="107"/>
        </w:numPr>
        <w:spacing w:line="360" w:lineRule="auto"/>
        <w:ind w:left="1985" w:hanging="294"/>
        <w:jc w:val="both"/>
        <w:rPr>
          <w:color w:val="auto"/>
        </w:rPr>
      </w:pPr>
      <w:r w:rsidRPr="00531327">
        <w:rPr>
          <w:color w:val="auto"/>
        </w:rPr>
        <w:t>AMARELO: metal;</w:t>
      </w:r>
    </w:p>
    <w:p w:rsidR="00531327" w:rsidRPr="00531327" w:rsidRDefault="00531327" w:rsidP="0066661F">
      <w:pPr>
        <w:pStyle w:val="Default"/>
        <w:numPr>
          <w:ilvl w:val="0"/>
          <w:numId w:val="107"/>
        </w:numPr>
        <w:spacing w:line="360" w:lineRule="auto"/>
        <w:ind w:left="1985" w:hanging="294"/>
        <w:jc w:val="both"/>
        <w:rPr>
          <w:color w:val="auto"/>
        </w:rPr>
      </w:pPr>
      <w:r w:rsidRPr="00531327">
        <w:rPr>
          <w:color w:val="auto"/>
        </w:rPr>
        <w:t>PRETO: madeira;</w:t>
      </w:r>
    </w:p>
    <w:p w:rsidR="00531327" w:rsidRPr="00531327" w:rsidRDefault="00531327" w:rsidP="0066661F">
      <w:pPr>
        <w:pStyle w:val="Default"/>
        <w:numPr>
          <w:ilvl w:val="0"/>
          <w:numId w:val="107"/>
        </w:numPr>
        <w:spacing w:line="360" w:lineRule="auto"/>
        <w:ind w:left="1985" w:hanging="294"/>
        <w:jc w:val="both"/>
        <w:rPr>
          <w:color w:val="auto"/>
        </w:rPr>
      </w:pPr>
      <w:r w:rsidRPr="00531327">
        <w:rPr>
          <w:color w:val="auto"/>
        </w:rPr>
        <w:t>LARANJA: resíduos perigosos;</w:t>
      </w:r>
    </w:p>
    <w:p w:rsidR="00531327" w:rsidRPr="00531327" w:rsidRDefault="00531327" w:rsidP="0066661F">
      <w:pPr>
        <w:pStyle w:val="Default"/>
        <w:numPr>
          <w:ilvl w:val="0"/>
          <w:numId w:val="107"/>
        </w:numPr>
        <w:spacing w:line="360" w:lineRule="auto"/>
        <w:ind w:left="1985" w:hanging="294"/>
        <w:jc w:val="both"/>
        <w:rPr>
          <w:color w:val="auto"/>
        </w:rPr>
      </w:pPr>
      <w:r w:rsidRPr="00531327">
        <w:rPr>
          <w:color w:val="auto"/>
        </w:rPr>
        <w:t>BRANCO: resíduos ambulatoriais e de serviços de saúde;</w:t>
      </w:r>
    </w:p>
    <w:p w:rsidR="00531327" w:rsidRPr="00531327" w:rsidRDefault="00531327" w:rsidP="0066661F">
      <w:pPr>
        <w:pStyle w:val="Default"/>
        <w:numPr>
          <w:ilvl w:val="0"/>
          <w:numId w:val="107"/>
        </w:numPr>
        <w:spacing w:line="360" w:lineRule="auto"/>
        <w:ind w:left="1985" w:hanging="294"/>
        <w:jc w:val="both"/>
        <w:rPr>
          <w:color w:val="auto"/>
        </w:rPr>
      </w:pPr>
      <w:r w:rsidRPr="00531327">
        <w:rPr>
          <w:color w:val="auto"/>
        </w:rPr>
        <w:t>ROXO: resíduos radioativos;</w:t>
      </w:r>
    </w:p>
    <w:p w:rsidR="00531327" w:rsidRPr="00531327" w:rsidRDefault="00531327" w:rsidP="0066661F">
      <w:pPr>
        <w:pStyle w:val="Default"/>
        <w:numPr>
          <w:ilvl w:val="0"/>
          <w:numId w:val="107"/>
        </w:numPr>
        <w:spacing w:line="360" w:lineRule="auto"/>
        <w:ind w:left="1985" w:hanging="294"/>
        <w:jc w:val="both"/>
        <w:rPr>
          <w:color w:val="auto"/>
        </w:rPr>
      </w:pPr>
      <w:r w:rsidRPr="00531327">
        <w:rPr>
          <w:color w:val="auto"/>
        </w:rPr>
        <w:t>MARROM: resíduos orgânicos;</w:t>
      </w:r>
    </w:p>
    <w:p w:rsidR="00416A83" w:rsidRPr="00FC2A41" w:rsidRDefault="00531327" w:rsidP="0066661F">
      <w:pPr>
        <w:pStyle w:val="Default"/>
        <w:numPr>
          <w:ilvl w:val="0"/>
          <w:numId w:val="107"/>
        </w:numPr>
        <w:spacing w:line="360" w:lineRule="auto"/>
        <w:ind w:left="1985" w:hanging="294"/>
        <w:jc w:val="both"/>
        <w:rPr>
          <w:color w:val="auto"/>
        </w:rPr>
      </w:pPr>
      <w:r w:rsidRPr="00531327">
        <w:rPr>
          <w:color w:val="auto"/>
        </w:rPr>
        <w:lastRenderedPageBreak/>
        <w:t>CINZA: resíduo geral não reciclável ou misturado, ou contaminado não passível de</w:t>
      </w:r>
      <w:r>
        <w:rPr>
          <w:color w:val="auto"/>
        </w:rPr>
        <w:t xml:space="preserve"> </w:t>
      </w:r>
      <w:r w:rsidRPr="00531327">
        <w:rPr>
          <w:color w:val="auto"/>
        </w:rPr>
        <w:t>separação.</w:t>
      </w:r>
    </w:p>
    <w:p w:rsidR="00671620" w:rsidRPr="00ED58AF" w:rsidRDefault="00671620" w:rsidP="00671620">
      <w:pPr>
        <w:pStyle w:val="Default"/>
        <w:spacing w:line="360" w:lineRule="auto"/>
        <w:ind w:firstLine="709"/>
        <w:jc w:val="both"/>
        <w:rPr>
          <w:color w:val="auto"/>
        </w:rPr>
      </w:pPr>
      <w:r w:rsidRPr="00ED58AF">
        <w:rPr>
          <w:color w:val="auto"/>
        </w:rPr>
        <w:t>Os PEVs devem ser instalados preferencialmente em lugares protegidos, de fácil acesso e visualização, frequentados por grande número de pessoas, como postos de gasolina, escolas, hospitais, supermercados, terminais de transporte coletivo, conjuntos habitacionais e outros. Esses locais podem ser aproveitados ou adaptados para abrigar bancos para descanso, armários públicos, bebedouros e outros equipamentos urbanos com a finalidade de dar apoio à guarnição envolvida com a coleta e o transporte de resíduos sólidos. Todas essas funções dadas ao local devem estar devidamente indicadas à guarnição e à população em geral, através de placas, cartazes e painéis explicativos.</w:t>
      </w:r>
    </w:p>
    <w:p w:rsidR="00671620" w:rsidRPr="00ED58AF" w:rsidRDefault="00671620" w:rsidP="00671620">
      <w:pPr>
        <w:pStyle w:val="Default"/>
        <w:spacing w:line="360" w:lineRule="auto"/>
        <w:ind w:firstLine="709"/>
        <w:jc w:val="both"/>
        <w:rPr>
          <w:color w:val="auto"/>
        </w:rPr>
      </w:pPr>
      <w:r w:rsidRPr="00ED58AF">
        <w:rPr>
          <w:color w:val="auto"/>
        </w:rPr>
        <w:t xml:space="preserve">Para ajudar a </w:t>
      </w:r>
      <w:r w:rsidRPr="00841358">
        <w:rPr>
          <w:color w:val="auto"/>
        </w:rPr>
        <w:t xml:space="preserve">população a depositar corretamente os resíduos nos diferentes </w:t>
      </w:r>
      <w:r w:rsidRPr="00841358">
        <w:rPr>
          <w:i/>
          <w:color w:val="auto"/>
        </w:rPr>
        <w:t>containers</w:t>
      </w:r>
      <w:r w:rsidRPr="00841358">
        <w:rPr>
          <w:color w:val="auto"/>
        </w:rPr>
        <w:t>, uma boa opção</w:t>
      </w:r>
      <w:r w:rsidRPr="00ED58AF">
        <w:rPr>
          <w:color w:val="auto"/>
        </w:rPr>
        <w:t xml:space="preserve"> tem sido a utilização de recipientes construídos com telas metálicas que possibilitam a visualização de seu conteúdo. Dessa forma, inibe-se a disposição inadequada dos resíduos.</w:t>
      </w:r>
    </w:p>
    <w:p w:rsidR="00671620" w:rsidRPr="00FC2A41" w:rsidRDefault="00671620" w:rsidP="00BC01B1">
      <w:pPr>
        <w:pStyle w:val="Ttulo4"/>
      </w:pPr>
      <w:bookmarkStart w:id="457" w:name="_Toc493151500"/>
      <w:bookmarkStart w:id="458" w:name="_Toc498593478"/>
      <w:bookmarkStart w:id="459" w:name="_Toc504404450"/>
      <w:bookmarkStart w:id="460" w:name="_Toc509935489"/>
      <w:r w:rsidRPr="00FC2A41">
        <w:t>Área de Transbordo e Triagem de Resíduos</w:t>
      </w:r>
      <w:bookmarkEnd w:id="457"/>
      <w:bookmarkEnd w:id="458"/>
      <w:bookmarkEnd w:id="459"/>
      <w:bookmarkEnd w:id="460"/>
    </w:p>
    <w:p w:rsidR="00671620" w:rsidRPr="00ED58AF" w:rsidRDefault="00671620" w:rsidP="00671620">
      <w:pPr>
        <w:pStyle w:val="Default"/>
        <w:spacing w:line="360" w:lineRule="auto"/>
        <w:ind w:firstLine="709"/>
        <w:jc w:val="both"/>
        <w:rPr>
          <w:color w:val="auto"/>
        </w:rPr>
      </w:pPr>
      <w:r w:rsidRPr="00ED58AF">
        <w:rPr>
          <w:color w:val="auto"/>
        </w:rPr>
        <w:t>O município deverá definir um local para receber resíduos de construção civil em caráter provisório, ou seja, para ser armazenado antes de ser utilizado de forma definitiva. Esses espaços devem ser instalados observando normas operacionais específicas, de modo a evitar danos ou riscos à saúde pública e à segurança e a minimizar os impactos ambientais adversos (Resolução CONAMA 307/2002).</w:t>
      </w:r>
    </w:p>
    <w:p w:rsidR="00671620" w:rsidRPr="00ED58AF" w:rsidRDefault="00671620" w:rsidP="00671620">
      <w:pPr>
        <w:pStyle w:val="Default"/>
        <w:spacing w:line="360" w:lineRule="auto"/>
        <w:ind w:firstLine="709"/>
        <w:jc w:val="both"/>
        <w:rPr>
          <w:color w:val="auto"/>
        </w:rPr>
      </w:pPr>
      <w:r w:rsidRPr="00ED58AF">
        <w:rPr>
          <w:color w:val="auto"/>
        </w:rPr>
        <w:t xml:space="preserve">A área deve ser licenciada para transbordo e triagem de pequeno porte, destinados ao recebimento de pequenas quantidades de resíduos volumosos, resíduos da construção civil, podas e ainda materiais recicláveis. Conforme a NBR 15.112/20047, alguns critérios e aspectos técnicos devem ser analisados na implantação dessa atividade, tais como: </w:t>
      </w:r>
    </w:p>
    <w:p w:rsidR="00671620" w:rsidRPr="00FC2A41" w:rsidRDefault="00671620" w:rsidP="0066661F">
      <w:pPr>
        <w:pStyle w:val="PargrafodaLista"/>
        <w:numPr>
          <w:ilvl w:val="0"/>
          <w:numId w:val="79"/>
        </w:numPr>
        <w:ind w:left="709"/>
        <w:rPr>
          <w:szCs w:val="24"/>
        </w:rPr>
      </w:pPr>
      <w:r w:rsidRPr="00FC2A41">
        <w:rPr>
          <w:szCs w:val="24"/>
        </w:rPr>
        <w:t>Isolamento da área através de cercamento do perímetro da área de operação, de maneira a controlar a entrada de pessoas e animais.</w:t>
      </w:r>
    </w:p>
    <w:p w:rsidR="00671620" w:rsidRPr="00FC2A41" w:rsidRDefault="00671620" w:rsidP="0066661F">
      <w:pPr>
        <w:pStyle w:val="PargrafodaLista"/>
        <w:numPr>
          <w:ilvl w:val="0"/>
          <w:numId w:val="79"/>
        </w:numPr>
        <w:ind w:left="709"/>
        <w:rPr>
          <w:szCs w:val="24"/>
        </w:rPr>
      </w:pPr>
      <w:r w:rsidRPr="00FC2A41">
        <w:rPr>
          <w:szCs w:val="24"/>
        </w:rPr>
        <w:t>Identificação visível e descritiva das atividades desenvolvidas.</w:t>
      </w:r>
    </w:p>
    <w:p w:rsidR="00671620" w:rsidRPr="00FC2A41" w:rsidRDefault="00671620" w:rsidP="0066661F">
      <w:pPr>
        <w:pStyle w:val="PargrafodaLista"/>
        <w:numPr>
          <w:ilvl w:val="0"/>
          <w:numId w:val="79"/>
        </w:numPr>
        <w:ind w:left="709"/>
        <w:rPr>
          <w:szCs w:val="24"/>
        </w:rPr>
      </w:pPr>
      <w:r w:rsidRPr="00FC2A41">
        <w:rPr>
          <w:szCs w:val="24"/>
        </w:rPr>
        <w:t>Adoção de dispositivos de proteção contra descargas atmosféricas e de combate a incêndio.</w:t>
      </w:r>
    </w:p>
    <w:p w:rsidR="00671620" w:rsidRPr="00FC2A41" w:rsidRDefault="00671620" w:rsidP="0066661F">
      <w:pPr>
        <w:pStyle w:val="PargrafodaLista"/>
        <w:numPr>
          <w:ilvl w:val="0"/>
          <w:numId w:val="79"/>
        </w:numPr>
        <w:ind w:left="709"/>
        <w:rPr>
          <w:szCs w:val="24"/>
        </w:rPr>
      </w:pPr>
      <w:r w:rsidRPr="00FC2A41">
        <w:rPr>
          <w:szCs w:val="24"/>
        </w:rPr>
        <w:lastRenderedPageBreak/>
        <w:t>Adoção de dispositivos de proteção ambiental como forma de controlar a poeira e ruídos.</w:t>
      </w:r>
    </w:p>
    <w:p w:rsidR="00671620" w:rsidRPr="00FC2A41" w:rsidRDefault="00671620" w:rsidP="0066661F">
      <w:pPr>
        <w:pStyle w:val="PargrafodaLista"/>
        <w:numPr>
          <w:ilvl w:val="0"/>
          <w:numId w:val="79"/>
        </w:numPr>
        <w:ind w:left="709"/>
        <w:rPr>
          <w:szCs w:val="24"/>
        </w:rPr>
      </w:pPr>
      <w:r w:rsidRPr="00FC2A41">
        <w:rPr>
          <w:szCs w:val="24"/>
        </w:rPr>
        <w:t>Adoção de dispositivos de drenagem superficial e revestimento primário do piso.</w:t>
      </w:r>
    </w:p>
    <w:p w:rsidR="00671620" w:rsidRPr="00FC2A41" w:rsidRDefault="00671620" w:rsidP="0066661F">
      <w:pPr>
        <w:pStyle w:val="PargrafodaLista"/>
        <w:numPr>
          <w:ilvl w:val="0"/>
          <w:numId w:val="79"/>
        </w:numPr>
        <w:ind w:left="709"/>
        <w:rPr>
          <w:szCs w:val="24"/>
        </w:rPr>
      </w:pPr>
      <w:r w:rsidRPr="00FC2A41">
        <w:rPr>
          <w:szCs w:val="24"/>
        </w:rPr>
        <w:t>Viabilização de acesso, operação e estocagem, utilizáveis em qualquer condição climática.</w:t>
      </w:r>
    </w:p>
    <w:p w:rsidR="00671620" w:rsidRPr="00ED58AF" w:rsidRDefault="00671620" w:rsidP="00671620">
      <w:pPr>
        <w:pStyle w:val="Default"/>
        <w:spacing w:line="360" w:lineRule="auto"/>
        <w:ind w:firstLine="709"/>
        <w:jc w:val="both"/>
        <w:rPr>
          <w:color w:val="auto"/>
        </w:rPr>
      </w:pPr>
      <w:r w:rsidRPr="00ED58AF">
        <w:rPr>
          <w:color w:val="auto"/>
        </w:rPr>
        <w:t xml:space="preserve">A </w:t>
      </w:r>
      <w:r w:rsidRPr="00ED58AF">
        <w:rPr>
          <w:color w:val="auto"/>
        </w:rPr>
        <w:fldChar w:fldCharType="begin"/>
      </w:r>
      <w:r w:rsidRPr="00ED58AF">
        <w:rPr>
          <w:color w:val="auto"/>
        </w:rPr>
        <w:instrText xml:space="preserve"> REF _Ref492473079 \h  \* MERGEFORMAT </w:instrText>
      </w:r>
      <w:r w:rsidRPr="00ED58AF">
        <w:rPr>
          <w:color w:val="auto"/>
        </w:rPr>
      </w:r>
      <w:r w:rsidRPr="00ED58AF">
        <w:rPr>
          <w:color w:val="auto"/>
        </w:rPr>
        <w:fldChar w:fldCharType="separate"/>
      </w:r>
      <w:r w:rsidR="001B481B" w:rsidRPr="001B481B">
        <w:rPr>
          <w:color w:val="auto"/>
        </w:rPr>
        <w:t>Figura 5</w:t>
      </w:r>
      <w:r w:rsidRPr="00ED58AF">
        <w:rPr>
          <w:color w:val="auto"/>
        </w:rPr>
        <w:fldChar w:fldCharType="end"/>
      </w:r>
      <w:r w:rsidRPr="00ED58AF">
        <w:rPr>
          <w:color w:val="auto"/>
        </w:rPr>
        <w:t xml:space="preserve"> apresenta uma ilustração de como pode ser feita a distribuição das diversas funções dentro da área licenciada.</w:t>
      </w:r>
    </w:p>
    <w:p w:rsidR="00671620" w:rsidRPr="00FC2A41" w:rsidRDefault="00671620" w:rsidP="00E95583">
      <w:pPr>
        <w:pStyle w:val="Legenda"/>
      </w:pPr>
      <w:bookmarkStart w:id="461" w:name="_Ref492473079"/>
      <w:bookmarkStart w:id="462" w:name="_Toc493151549"/>
      <w:bookmarkStart w:id="463" w:name="_Toc498593537"/>
      <w:bookmarkStart w:id="464" w:name="_Toc503949403"/>
      <w:bookmarkStart w:id="465" w:name="_Toc509935770"/>
      <w:r w:rsidRPr="00FC2A41">
        <w:t xml:space="preserve">Figura </w:t>
      </w:r>
      <w:r w:rsidR="000A1C78">
        <w:fldChar w:fldCharType="begin"/>
      </w:r>
      <w:r w:rsidR="000A1C78">
        <w:instrText xml:space="preserve"> SEQ Figura \* ARABIC </w:instrText>
      </w:r>
      <w:r w:rsidR="000A1C78">
        <w:fldChar w:fldCharType="separate"/>
      </w:r>
      <w:r w:rsidR="001B481B">
        <w:rPr>
          <w:noProof/>
        </w:rPr>
        <w:t>5</w:t>
      </w:r>
      <w:r w:rsidR="000A1C78">
        <w:rPr>
          <w:noProof/>
        </w:rPr>
        <w:fldChar w:fldCharType="end"/>
      </w:r>
      <w:bookmarkEnd w:id="461"/>
      <w:r w:rsidRPr="00FC2A41">
        <w:t xml:space="preserve"> - Área de </w:t>
      </w:r>
      <w:r w:rsidR="00112D44" w:rsidRPr="00FC2A41">
        <w:t xml:space="preserve">transbordo e triagem </w:t>
      </w:r>
      <w:r w:rsidRPr="00FC2A41">
        <w:t>de resíduos sólidos</w:t>
      </w:r>
      <w:bookmarkEnd w:id="462"/>
      <w:bookmarkEnd w:id="463"/>
      <w:bookmarkEnd w:id="464"/>
      <w:bookmarkEnd w:id="465"/>
    </w:p>
    <w:p w:rsidR="00671620" w:rsidRPr="00FC2A41" w:rsidRDefault="00671620" w:rsidP="00671620">
      <w:pPr>
        <w:pStyle w:val="figura"/>
        <w:rPr>
          <w:szCs w:val="24"/>
        </w:rPr>
      </w:pPr>
      <w:r w:rsidRPr="00FC2A41">
        <w:rPr>
          <w:noProof/>
        </w:rPr>
        <w:drawing>
          <wp:inline distT="0" distB="0" distL="0" distR="0" wp14:anchorId="3DF0C066" wp14:editId="5811EF7B">
            <wp:extent cx="4500000" cy="2522290"/>
            <wp:effectExtent l="19050" t="19050" r="15240" b="1143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b="13924"/>
                    <a:stretch/>
                  </pic:blipFill>
                  <pic:spPr bwMode="auto">
                    <a:xfrm>
                      <a:off x="0" y="0"/>
                      <a:ext cx="4500000" cy="2522290"/>
                    </a:xfrm>
                    <a:prstGeom prst="rect">
                      <a:avLst/>
                    </a:prstGeom>
                    <a:ln w="19050">
                      <a:solidFill>
                        <a:schemeClr val="tx1"/>
                      </a:solidFill>
                    </a:ln>
                    <a:effectLst>
                      <a:softEdge rad="25400"/>
                    </a:effectLst>
                    <a:extLst>
                      <a:ext uri="{53640926-AAD7-44D8-BBD7-CCE9431645EC}">
                        <a14:shadowObscured xmlns:a14="http://schemas.microsoft.com/office/drawing/2010/main"/>
                      </a:ext>
                    </a:extLst>
                  </pic:spPr>
                </pic:pic>
              </a:graphicData>
            </a:graphic>
          </wp:inline>
        </w:drawing>
      </w:r>
    </w:p>
    <w:p w:rsidR="00671620" w:rsidRPr="00AC47A2" w:rsidRDefault="00671620" w:rsidP="00AC47A2">
      <w:pPr>
        <w:pStyle w:val="Fonte"/>
      </w:pPr>
      <w:r w:rsidRPr="00AC47A2">
        <w:t>Fonte: Ministério das Cidades / Ministério do Meio Ambiente, 2008 – “Elementos para a</w:t>
      </w:r>
      <w:r w:rsidR="00AC47A2" w:rsidRPr="00AC47A2">
        <w:t xml:space="preserve"> </w:t>
      </w:r>
      <w:r w:rsidRPr="00AC47A2">
        <w:t>organização da coleta seletiva e p</w:t>
      </w:r>
      <w:r w:rsidR="00413FDD" w:rsidRPr="00AC47A2">
        <w:t>rojetos de galpões de triagem”.</w:t>
      </w:r>
    </w:p>
    <w:p w:rsidR="00671620" w:rsidRPr="00FC2A41" w:rsidRDefault="00671620" w:rsidP="00BC01B1">
      <w:pPr>
        <w:pStyle w:val="Ttulo4"/>
      </w:pPr>
      <w:bookmarkStart w:id="466" w:name="_Toc488825336"/>
      <w:bookmarkStart w:id="467" w:name="_Toc493151501"/>
      <w:bookmarkStart w:id="468" w:name="_Toc498593479"/>
      <w:bookmarkStart w:id="469" w:name="_Toc504404451"/>
      <w:bookmarkStart w:id="470" w:name="_Toc509935490"/>
      <w:r w:rsidRPr="00FC2A41">
        <w:t xml:space="preserve">Central de Triagem de </w:t>
      </w:r>
      <w:r w:rsidRPr="005453A5">
        <w:t>Resíduos</w:t>
      </w:r>
      <w:bookmarkEnd w:id="466"/>
      <w:r w:rsidRPr="00FC2A41">
        <w:t xml:space="preserve"> (CTR)</w:t>
      </w:r>
      <w:bookmarkEnd w:id="467"/>
      <w:bookmarkEnd w:id="468"/>
      <w:bookmarkEnd w:id="469"/>
      <w:bookmarkEnd w:id="470"/>
    </w:p>
    <w:p w:rsidR="00671620" w:rsidRPr="00ED58AF" w:rsidRDefault="00671620" w:rsidP="00671620">
      <w:pPr>
        <w:pStyle w:val="Default"/>
        <w:spacing w:line="360" w:lineRule="auto"/>
        <w:ind w:firstLine="709"/>
        <w:jc w:val="both"/>
        <w:rPr>
          <w:color w:val="auto"/>
        </w:rPr>
      </w:pPr>
      <w:r w:rsidRPr="00ED58AF">
        <w:rPr>
          <w:color w:val="auto"/>
        </w:rPr>
        <w:t xml:space="preserve">Para a implantação de uma Central de Triagem de </w:t>
      </w:r>
      <w:r w:rsidR="005453A5" w:rsidRPr="005453A5">
        <w:rPr>
          <w:color w:val="auto"/>
        </w:rPr>
        <w:t>Resíduos</w:t>
      </w:r>
      <w:r w:rsidRPr="005453A5">
        <w:rPr>
          <w:color w:val="auto"/>
        </w:rPr>
        <w:t>,</w:t>
      </w:r>
      <w:r w:rsidRPr="00ED58AF">
        <w:rPr>
          <w:color w:val="auto"/>
        </w:rPr>
        <w:t xml:space="preserve"> </w:t>
      </w:r>
      <w:r w:rsidRPr="00D3414E">
        <w:rPr>
          <w:color w:val="auto"/>
        </w:rPr>
        <w:t xml:space="preserve">algumas </w:t>
      </w:r>
      <w:r w:rsidR="005453A5">
        <w:rPr>
          <w:color w:val="auto"/>
        </w:rPr>
        <w:t xml:space="preserve">condições preliminares </w:t>
      </w:r>
      <w:r w:rsidRPr="00D3414E">
        <w:rPr>
          <w:color w:val="auto"/>
        </w:rPr>
        <w:t>precisam</w:t>
      </w:r>
      <w:r w:rsidRPr="00ED58AF">
        <w:rPr>
          <w:color w:val="auto"/>
        </w:rPr>
        <w:t xml:space="preserve"> ser consideradas, tais como:</w:t>
      </w:r>
    </w:p>
    <w:p w:rsidR="00671620" w:rsidRPr="00FC2A41" w:rsidRDefault="00671620" w:rsidP="0066661F">
      <w:pPr>
        <w:pStyle w:val="Default"/>
        <w:numPr>
          <w:ilvl w:val="0"/>
          <w:numId w:val="64"/>
        </w:numPr>
        <w:spacing w:line="360" w:lineRule="auto"/>
        <w:jc w:val="both"/>
        <w:rPr>
          <w:color w:val="auto"/>
        </w:rPr>
      </w:pPr>
      <w:r w:rsidRPr="00FC2A41">
        <w:rPr>
          <w:color w:val="auto"/>
        </w:rPr>
        <w:t>Ao menos três tipos de materiais recicláveis devem possuir mercado consumidor.</w:t>
      </w:r>
    </w:p>
    <w:p w:rsidR="00671620" w:rsidRPr="00FC2A41" w:rsidRDefault="00671620" w:rsidP="0066661F">
      <w:pPr>
        <w:pStyle w:val="Default"/>
        <w:numPr>
          <w:ilvl w:val="0"/>
          <w:numId w:val="64"/>
        </w:numPr>
        <w:spacing w:line="360" w:lineRule="auto"/>
        <w:jc w:val="both"/>
        <w:rPr>
          <w:color w:val="auto"/>
        </w:rPr>
      </w:pPr>
      <w:r w:rsidRPr="00FC2A41">
        <w:rPr>
          <w:color w:val="auto"/>
        </w:rPr>
        <w:t>O serviço de coleta deve ser razoavelmente eficaz e regular.</w:t>
      </w:r>
    </w:p>
    <w:p w:rsidR="00671620" w:rsidRPr="00FC2A41" w:rsidRDefault="00671620" w:rsidP="0066661F">
      <w:pPr>
        <w:pStyle w:val="Default"/>
        <w:numPr>
          <w:ilvl w:val="0"/>
          <w:numId w:val="64"/>
        </w:numPr>
        <w:spacing w:line="360" w:lineRule="auto"/>
        <w:jc w:val="both"/>
        <w:rPr>
          <w:color w:val="auto"/>
        </w:rPr>
      </w:pPr>
      <w:r w:rsidRPr="00FC2A41">
        <w:rPr>
          <w:color w:val="auto"/>
        </w:rPr>
        <w:t>Existência de área disponível que abrigue a instalação industrial, a área de compostagem, o aterro para rejeitos e emergências com o lixo bruto, cuja localização seja próxima aos centros consumidores e tenha fácil acesso.</w:t>
      </w:r>
    </w:p>
    <w:p w:rsidR="00671620" w:rsidRPr="00FC2A41" w:rsidRDefault="00671620" w:rsidP="0066661F">
      <w:pPr>
        <w:pStyle w:val="Default"/>
        <w:numPr>
          <w:ilvl w:val="0"/>
          <w:numId w:val="64"/>
        </w:numPr>
        <w:spacing w:line="360" w:lineRule="auto"/>
        <w:jc w:val="both"/>
        <w:rPr>
          <w:color w:val="auto"/>
        </w:rPr>
      </w:pPr>
      <w:r w:rsidRPr="00FC2A41">
        <w:rPr>
          <w:color w:val="auto"/>
        </w:rPr>
        <w:lastRenderedPageBreak/>
        <w:t>Escolher local tal que o composto orgânico possa ser absorvido por um mercado consumidor que esteja a, no máximo, 200 km (Cartilha de Limpeza Urbana do IBAM, s.d.).</w:t>
      </w:r>
    </w:p>
    <w:p w:rsidR="00671620" w:rsidRPr="00FC2A41" w:rsidRDefault="00671620" w:rsidP="0066661F">
      <w:pPr>
        <w:pStyle w:val="Default"/>
        <w:numPr>
          <w:ilvl w:val="0"/>
          <w:numId w:val="64"/>
        </w:numPr>
        <w:spacing w:line="360" w:lineRule="auto"/>
        <w:jc w:val="both"/>
        <w:rPr>
          <w:color w:val="auto"/>
        </w:rPr>
      </w:pPr>
      <w:r w:rsidRPr="00FC2A41">
        <w:rPr>
          <w:color w:val="auto"/>
        </w:rPr>
        <w:t>Definir a fonte dos recursos financeiros, se públicos ou privados.</w:t>
      </w:r>
    </w:p>
    <w:p w:rsidR="00671620" w:rsidRPr="00D3414E" w:rsidRDefault="00671620" w:rsidP="00671620">
      <w:pPr>
        <w:pStyle w:val="Default"/>
        <w:spacing w:line="360" w:lineRule="auto"/>
        <w:ind w:firstLine="709"/>
        <w:jc w:val="both"/>
        <w:rPr>
          <w:color w:val="auto"/>
        </w:rPr>
      </w:pPr>
      <w:r w:rsidRPr="00D3414E">
        <w:rPr>
          <w:color w:val="auto"/>
        </w:rPr>
        <w:t xml:space="preserve">Os </w:t>
      </w:r>
      <w:r w:rsidRPr="00C66821">
        <w:rPr>
          <w:color w:val="auto"/>
        </w:rPr>
        <w:t>seguintes procedimentos</w:t>
      </w:r>
      <w:r w:rsidRPr="00D3414E">
        <w:rPr>
          <w:color w:val="auto"/>
        </w:rPr>
        <w:t xml:space="preserve"> devem ser adotados:</w:t>
      </w:r>
    </w:p>
    <w:p w:rsidR="00671620" w:rsidRPr="00FC2A41" w:rsidRDefault="00671620" w:rsidP="0066661F">
      <w:pPr>
        <w:pStyle w:val="Default"/>
        <w:numPr>
          <w:ilvl w:val="0"/>
          <w:numId w:val="64"/>
        </w:numPr>
        <w:spacing w:line="360" w:lineRule="auto"/>
        <w:jc w:val="both"/>
        <w:rPr>
          <w:color w:val="auto"/>
        </w:rPr>
      </w:pPr>
      <w:r w:rsidRPr="00FC2A41">
        <w:rPr>
          <w:color w:val="auto"/>
        </w:rPr>
        <w:t>Efetuar análise quantitativa e qualitativa dos resíduos recolhidos.</w:t>
      </w:r>
    </w:p>
    <w:p w:rsidR="00671620" w:rsidRPr="00FC2A41" w:rsidRDefault="00671620" w:rsidP="0066661F">
      <w:pPr>
        <w:pStyle w:val="Default"/>
        <w:numPr>
          <w:ilvl w:val="0"/>
          <w:numId w:val="64"/>
        </w:numPr>
        <w:spacing w:line="360" w:lineRule="auto"/>
        <w:jc w:val="both"/>
        <w:rPr>
          <w:color w:val="auto"/>
        </w:rPr>
      </w:pPr>
      <w:r w:rsidRPr="00FC2A41">
        <w:rPr>
          <w:color w:val="auto"/>
        </w:rPr>
        <w:t>Efetuar análise de mercado para venda dos produtos recuperados e do composto orgânico.</w:t>
      </w:r>
    </w:p>
    <w:p w:rsidR="00671620" w:rsidRPr="00FC2A41" w:rsidRDefault="00671620" w:rsidP="0066661F">
      <w:pPr>
        <w:pStyle w:val="Default"/>
        <w:numPr>
          <w:ilvl w:val="0"/>
          <w:numId w:val="64"/>
        </w:numPr>
        <w:spacing w:line="360" w:lineRule="auto"/>
        <w:jc w:val="both"/>
        <w:rPr>
          <w:color w:val="auto"/>
        </w:rPr>
      </w:pPr>
      <w:r w:rsidRPr="00FC2A41">
        <w:rPr>
          <w:color w:val="auto"/>
        </w:rPr>
        <w:t>Efetuar identificação de catadores.</w:t>
      </w:r>
    </w:p>
    <w:p w:rsidR="00671620" w:rsidRPr="00FC2A41" w:rsidRDefault="00671620" w:rsidP="0066661F">
      <w:pPr>
        <w:pStyle w:val="Default"/>
        <w:numPr>
          <w:ilvl w:val="0"/>
          <w:numId w:val="64"/>
        </w:numPr>
        <w:spacing w:line="360" w:lineRule="auto"/>
        <w:jc w:val="both"/>
        <w:rPr>
          <w:color w:val="auto"/>
        </w:rPr>
      </w:pPr>
      <w:r w:rsidRPr="00FC2A41">
        <w:rPr>
          <w:color w:val="auto"/>
        </w:rPr>
        <w:t>Escolher tecnologia mais adequada. Quanto maior a mecanização e automatização, maiores os investimentos necessários. No Brasil, é indicada a separação manual sempre que possível, a fim de gerar empregos.</w:t>
      </w:r>
    </w:p>
    <w:p w:rsidR="00671620" w:rsidRPr="00FC2A41" w:rsidRDefault="00671620" w:rsidP="0066661F">
      <w:pPr>
        <w:pStyle w:val="Default"/>
        <w:numPr>
          <w:ilvl w:val="0"/>
          <w:numId w:val="64"/>
        </w:numPr>
        <w:spacing w:line="360" w:lineRule="auto"/>
        <w:jc w:val="both"/>
        <w:rPr>
          <w:color w:val="auto"/>
        </w:rPr>
      </w:pPr>
      <w:r w:rsidRPr="00FC2A41">
        <w:rPr>
          <w:color w:val="auto"/>
        </w:rPr>
        <w:t>Analisar os custos de instalação e operação e o investimento necessário.</w:t>
      </w:r>
    </w:p>
    <w:p w:rsidR="00671620" w:rsidRPr="00FC2A41" w:rsidRDefault="00671620" w:rsidP="0066661F">
      <w:pPr>
        <w:pStyle w:val="Default"/>
        <w:numPr>
          <w:ilvl w:val="0"/>
          <w:numId w:val="64"/>
        </w:numPr>
        <w:spacing w:line="360" w:lineRule="auto"/>
        <w:jc w:val="both"/>
        <w:rPr>
          <w:color w:val="auto"/>
        </w:rPr>
      </w:pPr>
      <w:r w:rsidRPr="00FC2A41">
        <w:rPr>
          <w:color w:val="auto"/>
        </w:rPr>
        <w:t>Decidir sobre a viabilidade econômica, a partir de: análise da produção estimada e dos preços dos produtos; dos custos com mão de obra, energia, combustível, transporte, equipamentos, manutenção; redução dos custos com transporte de lixo bruto e com a operação de aterros, que receberão menos resíduos.</w:t>
      </w:r>
    </w:p>
    <w:p w:rsidR="00671620" w:rsidRPr="00FC2A41" w:rsidRDefault="00671620" w:rsidP="0066661F">
      <w:pPr>
        <w:pStyle w:val="Default"/>
        <w:numPr>
          <w:ilvl w:val="0"/>
          <w:numId w:val="64"/>
        </w:numPr>
        <w:spacing w:line="360" w:lineRule="auto"/>
        <w:jc w:val="both"/>
        <w:rPr>
          <w:color w:val="auto"/>
        </w:rPr>
      </w:pPr>
      <w:r w:rsidRPr="00FC2A41">
        <w:rPr>
          <w:color w:val="auto"/>
        </w:rPr>
        <w:t>Capacitar funcionários para implantação, operação e manutenção da usina.</w:t>
      </w:r>
    </w:p>
    <w:p w:rsidR="00671620" w:rsidRPr="00FC2A41" w:rsidRDefault="00671620" w:rsidP="00671620">
      <w:pPr>
        <w:pStyle w:val="Default"/>
        <w:spacing w:line="360" w:lineRule="auto"/>
        <w:ind w:firstLine="709"/>
        <w:jc w:val="both"/>
        <w:rPr>
          <w:color w:val="auto"/>
        </w:rPr>
      </w:pPr>
      <w:r w:rsidRPr="00FC2A41">
        <w:rPr>
          <w:color w:val="auto"/>
        </w:rPr>
        <w:t>De modo geral, os materiais recuperados são: papel e papelão; plástico duro (PVC, polietileno de alta densidade, PET); plástico filme (polietileno de baixa densidade); garrafas inteiras; vidro claro e misto, metal ferroso (latas, chaparia, etc.); metal não ferroso (alumínio, cobre, chumbo, antimônio, etc.); composto orgânico.</w:t>
      </w:r>
    </w:p>
    <w:p w:rsidR="00671620" w:rsidRPr="00FC2A41" w:rsidRDefault="00671620" w:rsidP="00BC01B1">
      <w:pPr>
        <w:pStyle w:val="Ttulo4"/>
      </w:pPr>
      <w:bookmarkStart w:id="471" w:name="_Toc488825337"/>
      <w:bookmarkStart w:id="472" w:name="_Toc493151502"/>
      <w:bookmarkStart w:id="473" w:name="_Toc498593480"/>
      <w:bookmarkStart w:id="474" w:name="_Toc504404452"/>
      <w:bookmarkStart w:id="475" w:name="_Toc509935491"/>
      <w:r w:rsidRPr="00FC2A41">
        <w:t>Aterro sanitário</w:t>
      </w:r>
      <w:bookmarkEnd w:id="471"/>
      <w:bookmarkEnd w:id="472"/>
      <w:bookmarkEnd w:id="473"/>
      <w:bookmarkEnd w:id="474"/>
      <w:bookmarkEnd w:id="475"/>
    </w:p>
    <w:p w:rsidR="00671620" w:rsidRPr="00FC2A41" w:rsidRDefault="00671620" w:rsidP="00671620">
      <w:pPr>
        <w:pStyle w:val="Default"/>
        <w:spacing w:line="360" w:lineRule="auto"/>
        <w:ind w:firstLine="709"/>
        <w:jc w:val="both"/>
        <w:rPr>
          <w:color w:val="auto"/>
        </w:rPr>
      </w:pPr>
      <w:r w:rsidRPr="00FC2A41">
        <w:rPr>
          <w:color w:val="auto"/>
        </w:rPr>
        <w:t>De acordo com o Manual GIRS, um aterro sanitário deve conter:</w:t>
      </w:r>
    </w:p>
    <w:p w:rsidR="00671620" w:rsidRPr="00FC2A41" w:rsidRDefault="00671620" w:rsidP="0066661F">
      <w:pPr>
        <w:pStyle w:val="Default"/>
        <w:numPr>
          <w:ilvl w:val="0"/>
          <w:numId w:val="65"/>
        </w:numPr>
        <w:spacing w:line="360" w:lineRule="auto"/>
        <w:jc w:val="both"/>
        <w:rPr>
          <w:color w:val="auto"/>
        </w:rPr>
      </w:pPr>
      <w:r w:rsidRPr="00FC2A41">
        <w:rPr>
          <w:color w:val="auto"/>
        </w:rPr>
        <w:t>Unidades operacionais.</w:t>
      </w:r>
    </w:p>
    <w:p w:rsidR="00671620" w:rsidRPr="00FC2A41" w:rsidRDefault="00671620" w:rsidP="0066661F">
      <w:pPr>
        <w:pStyle w:val="Default"/>
        <w:numPr>
          <w:ilvl w:val="0"/>
          <w:numId w:val="65"/>
        </w:numPr>
        <w:spacing w:line="360" w:lineRule="auto"/>
        <w:jc w:val="both"/>
        <w:rPr>
          <w:color w:val="auto"/>
        </w:rPr>
      </w:pPr>
      <w:r w:rsidRPr="00FC2A41">
        <w:rPr>
          <w:color w:val="auto"/>
        </w:rPr>
        <w:t>Células para resíduos domiciliares.</w:t>
      </w:r>
    </w:p>
    <w:p w:rsidR="00671620" w:rsidRPr="00FC2A41" w:rsidRDefault="00671620" w:rsidP="0066661F">
      <w:pPr>
        <w:pStyle w:val="Default"/>
        <w:numPr>
          <w:ilvl w:val="0"/>
          <w:numId w:val="65"/>
        </w:numPr>
        <w:spacing w:line="360" w:lineRule="auto"/>
        <w:jc w:val="both"/>
        <w:rPr>
          <w:color w:val="auto"/>
        </w:rPr>
      </w:pPr>
      <w:r w:rsidRPr="00FC2A41">
        <w:rPr>
          <w:color w:val="auto"/>
        </w:rPr>
        <w:t>Células para resíduos de serviço de saúde, caso seja necessário.</w:t>
      </w:r>
    </w:p>
    <w:p w:rsidR="00671620" w:rsidRPr="00FC2A41" w:rsidRDefault="00671620" w:rsidP="0066661F">
      <w:pPr>
        <w:pStyle w:val="Default"/>
        <w:numPr>
          <w:ilvl w:val="0"/>
          <w:numId w:val="65"/>
        </w:numPr>
        <w:spacing w:line="360" w:lineRule="auto"/>
        <w:jc w:val="both"/>
        <w:rPr>
          <w:color w:val="auto"/>
        </w:rPr>
      </w:pPr>
      <w:r w:rsidRPr="00FC2A41">
        <w:rPr>
          <w:color w:val="auto"/>
        </w:rPr>
        <w:t>Impermeabilização de fundo.</w:t>
      </w:r>
    </w:p>
    <w:p w:rsidR="00671620" w:rsidRPr="00FC2A41" w:rsidRDefault="00671620" w:rsidP="0066661F">
      <w:pPr>
        <w:pStyle w:val="Default"/>
        <w:numPr>
          <w:ilvl w:val="0"/>
          <w:numId w:val="65"/>
        </w:numPr>
        <w:spacing w:line="360" w:lineRule="auto"/>
        <w:jc w:val="both"/>
        <w:rPr>
          <w:color w:val="auto"/>
        </w:rPr>
      </w:pPr>
      <w:r w:rsidRPr="00FC2A41">
        <w:rPr>
          <w:color w:val="auto"/>
        </w:rPr>
        <w:lastRenderedPageBreak/>
        <w:t>Impermeabilização superior (opcional).</w:t>
      </w:r>
    </w:p>
    <w:p w:rsidR="00671620" w:rsidRPr="00FC2A41" w:rsidRDefault="00671620" w:rsidP="0066661F">
      <w:pPr>
        <w:pStyle w:val="Default"/>
        <w:numPr>
          <w:ilvl w:val="0"/>
          <w:numId w:val="65"/>
        </w:numPr>
        <w:spacing w:line="360" w:lineRule="auto"/>
        <w:jc w:val="both"/>
        <w:rPr>
          <w:color w:val="auto"/>
        </w:rPr>
      </w:pPr>
      <w:r w:rsidRPr="00FC2A41">
        <w:rPr>
          <w:color w:val="auto"/>
        </w:rPr>
        <w:t>Sistema de coleta e tratamento de chorume.</w:t>
      </w:r>
    </w:p>
    <w:p w:rsidR="00671620" w:rsidRPr="00FC2A41" w:rsidRDefault="00671620" w:rsidP="0066661F">
      <w:pPr>
        <w:pStyle w:val="Default"/>
        <w:numPr>
          <w:ilvl w:val="0"/>
          <w:numId w:val="65"/>
        </w:numPr>
        <w:spacing w:line="360" w:lineRule="auto"/>
        <w:jc w:val="both"/>
        <w:rPr>
          <w:color w:val="auto"/>
        </w:rPr>
      </w:pPr>
      <w:r w:rsidRPr="00FC2A41">
        <w:rPr>
          <w:color w:val="auto"/>
        </w:rPr>
        <w:t>Sistema de coleta e queima de biogás (pode também ser beneficiado).</w:t>
      </w:r>
    </w:p>
    <w:p w:rsidR="00671620" w:rsidRPr="00FC2A41" w:rsidRDefault="00671620" w:rsidP="0066661F">
      <w:pPr>
        <w:pStyle w:val="Default"/>
        <w:numPr>
          <w:ilvl w:val="0"/>
          <w:numId w:val="65"/>
        </w:numPr>
        <w:spacing w:line="360" w:lineRule="auto"/>
        <w:jc w:val="both"/>
        <w:rPr>
          <w:color w:val="auto"/>
        </w:rPr>
      </w:pPr>
      <w:r w:rsidRPr="00FC2A41">
        <w:rPr>
          <w:color w:val="auto"/>
        </w:rPr>
        <w:t>Sistema para drenagem e afastamento de águas pluviais.</w:t>
      </w:r>
    </w:p>
    <w:p w:rsidR="00671620" w:rsidRPr="00FC2A41" w:rsidRDefault="00671620" w:rsidP="0066661F">
      <w:pPr>
        <w:pStyle w:val="Default"/>
        <w:numPr>
          <w:ilvl w:val="0"/>
          <w:numId w:val="65"/>
        </w:numPr>
        <w:spacing w:line="360" w:lineRule="auto"/>
        <w:jc w:val="both"/>
        <w:rPr>
          <w:color w:val="auto"/>
        </w:rPr>
      </w:pPr>
      <w:r w:rsidRPr="00FC2A41">
        <w:rPr>
          <w:color w:val="auto"/>
        </w:rPr>
        <w:t>Sistemas de monitoramento ambiental, geotécnico e topográfico.</w:t>
      </w:r>
    </w:p>
    <w:p w:rsidR="00671620" w:rsidRPr="00FC2A41" w:rsidRDefault="00671620" w:rsidP="0066661F">
      <w:pPr>
        <w:pStyle w:val="Default"/>
        <w:numPr>
          <w:ilvl w:val="0"/>
          <w:numId w:val="65"/>
        </w:numPr>
        <w:spacing w:line="360" w:lineRule="auto"/>
        <w:jc w:val="both"/>
        <w:rPr>
          <w:color w:val="auto"/>
        </w:rPr>
      </w:pPr>
      <w:r w:rsidRPr="00FC2A41">
        <w:rPr>
          <w:color w:val="auto"/>
        </w:rPr>
        <w:t>Local para estocagem de materiais.</w:t>
      </w:r>
    </w:p>
    <w:p w:rsidR="00671620" w:rsidRPr="00FC2A41" w:rsidRDefault="00671620" w:rsidP="0066661F">
      <w:pPr>
        <w:pStyle w:val="Default"/>
        <w:numPr>
          <w:ilvl w:val="0"/>
          <w:numId w:val="65"/>
        </w:numPr>
        <w:spacing w:line="360" w:lineRule="auto"/>
        <w:jc w:val="both"/>
        <w:rPr>
          <w:color w:val="auto"/>
        </w:rPr>
      </w:pPr>
      <w:r w:rsidRPr="00FC2A41">
        <w:rPr>
          <w:color w:val="auto"/>
        </w:rPr>
        <w:t>Unidades de apoio.</w:t>
      </w:r>
    </w:p>
    <w:p w:rsidR="00671620" w:rsidRPr="00FC2A41" w:rsidRDefault="00671620" w:rsidP="0066661F">
      <w:pPr>
        <w:pStyle w:val="Default"/>
        <w:numPr>
          <w:ilvl w:val="0"/>
          <w:numId w:val="65"/>
        </w:numPr>
        <w:spacing w:line="360" w:lineRule="auto"/>
        <w:jc w:val="both"/>
        <w:rPr>
          <w:color w:val="auto"/>
        </w:rPr>
      </w:pPr>
      <w:r w:rsidRPr="00FC2A41">
        <w:rPr>
          <w:color w:val="auto"/>
        </w:rPr>
        <w:t>Cerca e barreira vegetal.</w:t>
      </w:r>
    </w:p>
    <w:p w:rsidR="00671620" w:rsidRPr="00FC2A41" w:rsidRDefault="00671620" w:rsidP="0066661F">
      <w:pPr>
        <w:pStyle w:val="Default"/>
        <w:numPr>
          <w:ilvl w:val="0"/>
          <w:numId w:val="65"/>
        </w:numPr>
        <w:spacing w:line="360" w:lineRule="auto"/>
        <w:jc w:val="both"/>
        <w:rPr>
          <w:color w:val="auto"/>
        </w:rPr>
      </w:pPr>
      <w:r w:rsidRPr="00FC2A41">
        <w:rPr>
          <w:color w:val="auto"/>
        </w:rPr>
        <w:t>Vias de acesso e para serviços internos.</w:t>
      </w:r>
    </w:p>
    <w:p w:rsidR="00671620" w:rsidRPr="00FC2A41" w:rsidRDefault="00671620" w:rsidP="0066661F">
      <w:pPr>
        <w:pStyle w:val="Default"/>
        <w:numPr>
          <w:ilvl w:val="0"/>
          <w:numId w:val="65"/>
        </w:numPr>
        <w:spacing w:line="360" w:lineRule="auto"/>
        <w:jc w:val="both"/>
        <w:rPr>
          <w:color w:val="auto"/>
        </w:rPr>
      </w:pPr>
      <w:r w:rsidRPr="00FC2A41">
        <w:rPr>
          <w:color w:val="auto"/>
        </w:rPr>
        <w:t>Sistema de controle dos resíduos.</w:t>
      </w:r>
    </w:p>
    <w:p w:rsidR="00671620" w:rsidRPr="00FC2A41" w:rsidRDefault="00671620" w:rsidP="0066661F">
      <w:pPr>
        <w:pStyle w:val="Default"/>
        <w:numPr>
          <w:ilvl w:val="0"/>
          <w:numId w:val="65"/>
        </w:numPr>
        <w:spacing w:line="360" w:lineRule="auto"/>
        <w:jc w:val="both"/>
        <w:rPr>
          <w:color w:val="auto"/>
        </w:rPr>
      </w:pPr>
      <w:r w:rsidRPr="00FC2A41">
        <w:rPr>
          <w:color w:val="auto"/>
        </w:rPr>
        <w:t>Balança para os veículos.</w:t>
      </w:r>
    </w:p>
    <w:p w:rsidR="00671620" w:rsidRPr="00FC2A41" w:rsidRDefault="00671620" w:rsidP="0066661F">
      <w:pPr>
        <w:pStyle w:val="Default"/>
        <w:numPr>
          <w:ilvl w:val="0"/>
          <w:numId w:val="65"/>
        </w:numPr>
        <w:spacing w:line="360" w:lineRule="auto"/>
        <w:jc w:val="both"/>
        <w:rPr>
          <w:color w:val="auto"/>
        </w:rPr>
      </w:pPr>
      <w:r w:rsidRPr="00FC2A41">
        <w:rPr>
          <w:color w:val="auto"/>
        </w:rPr>
        <w:t>Prédio administrativo.</w:t>
      </w:r>
    </w:p>
    <w:p w:rsidR="00671620" w:rsidRPr="00FC2A41" w:rsidRDefault="00671620" w:rsidP="0066661F">
      <w:pPr>
        <w:pStyle w:val="Default"/>
        <w:numPr>
          <w:ilvl w:val="0"/>
          <w:numId w:val="65"/>
        </w:numPr>
        <w:spacing w:line="360" w:lineRule="auto"/>
        <w:jc w:val="both"/>
        <w:rPr>
          <w:color w:val="auto"/>
        </w:rPr>
      </w:pPr>
      <w:r w:rsidRPr="00FC2A41">
        <w:rPr>
          <w:color w:val="auto"/>
        </w:rPr>
        <w:t>Guarita para fiscalização de entrada.</w:t>
      </w:r>
    </w:p>
    <w:p w:rsidR="00671620" w:rsidRPr="00FC2A41" w:rsidRDefault="00671620" w:rsidP="0066661F">
      <w:pPr>
        <w:pStyle w:val="Default"/>
        <w:numPr>
          <w:ilvl w:val="0"/>
          <w:numId w:val="65"/>
        </w:numPr>
        <w:spacing w:line="360" w:lineRule="auto"/>
        <w:jc w:val="both"/>
        <w:rPr>
          <w:color w:val="auto"/>
        </w:rPr>
      </w:pPr>
      <w:r w:rsidRPr="00FC2A41">
        <w:rPr>
          <w:color w:val="auto"/>
        </w:rPr>
        <w:t>Oficina e borracharia.</w:t>
      </w:r>
    </w:p>
    <w:p w:rsidR="00671620" w:rsidRPr="00FC2A41" w:rsidRDefault="00671620" w:rsidP="00BC01B1">
      <w:pPr>
        <w:pStyle w:val="Ttulo4"/>
      </w:pPr>
      <w:bookmarkStart w:id="476" w:name="_Toc488825338"/>
      <w:bookmarkStart w:id="477" w:name="_Toc493151503"/>
      <w:bookmarkStart w:id="478" w:name="_Toc498593481"/>
      <w:bookmarkStart w:id="479" w:name="_Toc504404453"/>
      <w:bookmarkStart w:id="480" w:name="_Toc509935492"/>
      <w:r w:rsidRPr="00FC2A41">
        <w:t>Acondicionamento e destinação de Resíduos de Serviços de Saúde</w:t>
      </w:r>
      <w:bookmarkEnd w:id="476"/>
      <w:bookmarkEnd w:id="477"/>
      <w:bookmarkEnd w:id="478"/>
      <w:bookmarkEnd w:id="479"/>
      <w:bookmarkEnd w:id="480"/>
      <w:r w:rsidRPr="00FC2A41">
        <w:t xml:space="preserve"> </w:t>
      </w:r>
    </w:p>
    <w:p w:rsidR="00671620" w:rsidRPr="00FC2A41" w:rsidRDefault="00671620" w:rsidP="00671620">
      <w:pPr>
        <w:pStyle w:val="Default"/>
        <w:spacing w:line="360" w:lineRule="auto"/>
        <w:ind w:firstLine="709"/>
        <w:jc w:val="both"/>
        <w:rPr>
          <w:color w:val="auto"/>
        </w:rPr>
      </w:pPr>
      <w:r w:rsidRPr="00FC2A41">
        <w:rPr>
          <w:color w:val="auto"/>
        </w:rPr>
        <w:t>Os resíduos gerados por hospitais e outras unidades de saúde públicas, de acordo com o Guia PNRS, demandam condições especiais. Apresentam-se como ideais os seguintes procedimentos:</w:t>
      </w:r>
    </w:p>
    <w:p w:rsidR="00671620" w:rsidRPr="00FC2A41" w:rsidRDefault="00671620" w:rsidP="0066661F">
      <w:pPr>
        <w:pStyle w:val="Default"/>
        <w:numPr>
          <w:ilvl w:val="0"/>
          <w:numId w:val="65"/>
        </w:numPr>
        <w:spacing w:line="360" w:lineRule="auto"/>
        <w:jc w:val="both"/>
        <w:rPr>
          <w:color w:val="auto"/>
        </w:rPr>
      </w:pPr>
      <w:r w:rsidRPr="00FC2A41">
        <w:rPr>
          <w:color w:val="auto"/>
        </w:rPr>
        <w:t>Acondicionar o lixo no momento de sua geração, em recipiente metálico ou de plástico rígido, padronizado, guarnecido por saco plástico de cor branca leitosa e que atenda às demais especificações da NBR- 9191 da Associação Brasileira de Normas Técnicas – ABNT.</w:t>
      </w:r>
    </w:p>
    <w:p w:rsidR="00671620" w:rsidRPr="00FC2A41" w:rsidRDefault="00671620" w:rsidP="0066661F">
      <w:pPr>
        <w:pStyle w:val="Default"/>
        <w:numPr>
          <w:ilvl w:val="0"/>
          <w:numId w:val="65"/>
        </w:numPr>
        <w:spacing w:line="360" w:lineRule="auto"/>
        <w:jc w:val="both"/>
        <w:rPr>
          <w:color w:val="auto"/>
        </w:rPr>
      </w:pPr>
      <w:r w:rsidRPr="00FC2A41">
        <w:rPr>
          <w:color w:val="auto"/>
        </w:rPr>
        <w:t>Transportar os resíduos acondicionados por meios manuais ou mecânicos, obedecidos os requisitos de segurança de forma a não proporcionar o rompimento do acondicionamento e evitando-se o trânsito por locais de maior potencial de risco.</w:t>
      </w:r>
    </w:p>
    <w:p w:rsidR="00671620" w:rsidRPr="00FC2A41" w:rsidRDefault="00671620" w:rsidP="0066661F">
      <w:pPr>
        <w:pStyle w:val="Default"/>
        <w:numPr>
          <w:ilvl w:val="0"/>
          <w:numId w:val="65"/>
        </w:numPr>
        <w:spacing w:line="360" w:lineRule="auto"/>
        <w:jc w:val="both"/>
        <w:rPr>
          <w:color w:val="auto"/>
        </w:rPr>
      </w:pPr>
      <w:r w:rsidRPr="00FC2A41">
        <w:rPr>
          <w:color w:val="auto"/>
        </w:rPr>
        <w:t>Providenciar nos tambores a inscrição “LIXO HOSPITALAR”, para que não sejam utilizados para outros fins.</w:t>
      </w:r>
    </w:p>
    <w:p w:rsidR="00671620" w:rsidRPr="00FC2A41" w:rsidRDefault="00671620" w:rsidP="0066661F">
      <w:pPr>
        <w:pStyle w:val="Default"/>
        <w:numPr>
          <w:ilvl w:val="0"/>
          <w:numId w:val="65"/>
        </w:numPr>
        <w:spacing w:line="360" w:lineRule="auto"/>
        <w:jc w:val="both"/>
        <w:rPr>
          <w:color w:val="auto"/>
        </w:rPr>
      </w:pPr>
      <w:r w:rsidRPr="00FC2A41">
        <w:rPr>
          <w:color w:val="auto"/>
        </w:rPr>
        <w:t>Fornecer luvas ao pessoal da coleta.</w:t>
      </w:r>
    </w:p>
    <w:p w:rsidR="00671620" w:rsidRPr="00FC2A41" w:rsidRDefault="00671620" w:rsidP="0066661F">
      <w:pPr>
        <w:pStyle w:val="Default"/>
        <w:numPr>
          <w:ilvl w:val="0"/>
          <w:numId w:val="65"/>
        </w:numPr>
        <w:spacing w:line="360" w:lineRule="auto"/>
        <w:jc w:val="both"/>
        <w:rPr>
          <w:color w:val="auto"/>
        </w:rPr>
      </w:pPr>
      <w:r w:rsidRPr="00FC2A41">
        <w:rPr>
          <w:color w:val="auto"/>
        </w:rPr>
        <w:lastRenderedPageBreak/>
        <w:t>Transferir os sacos plásticos com lixo para tambores de 200 litros (por exemplo), providos de tampa fixa por presilhas e alças, a serem colocados na área externa para a coleta.</w:t>
      </w:r>
    </w:p>
    <w:p w:rsidR="00671620" w:rsidRPr="00FC2A41" w:rsidRDefault="00671620" w:rsidP="0066661F">
      <w:pPr>
        <w:pStyle w:val="Default"/>
        <w:numPr>
          <w:ilvl w:val="0"/>
          <w:numId w:val="65"/>
        </w:numPr>
        <w:spacing w:line="360" w:lineRule="auto"/>
        <w:jc w:val="both"/>
        <w:rPr>
          <w:color w:val="auto"/>
        </w:rPr>
      </w:pPr>
      <w:r w:rsidRPr="00FC2A41">
        <w:rPr>
          <w:color w:val="auto"/>
        </w:rPr>
        <w:t>Transportar e remover e o lixo acondicionado nos sacos plásticos em veículo coletor específico, fechado e sem compactação, até o local de tratamento ou disposição final.</w:t>
      </w:r>
    </w:p>
    <w:p w:rsidR="00671620" w:rsidRPr="00FC2A41" w:rsidRDefault="00671620" w:rsidP="0066661F">
      <w:pPr>
        <w:pStyle w:val="Default"/>
        <w:numPr>
          <w:ilvl w:val="0"/>
          <w:numId w:val="65"/>
        </w:numPr>
        <w:spacing w:line="360" w:lineRule="auto"/>
        <w:jc w:val="both"/>
        <w:rPr>
          <w:color w:val="auto"/>
        </w:rPr>
      </w:pPr>
      <w:r w:rsidRPr="00FC2A41">
        <w:rPr>
          <w:color w:val="auto"/>
        </w:rPr>
        <w:t>Dispor de recipientes de reserva, para troca pelo recipiente cheio por ocasião da coleta, procedimento similar ao adotado na comercialização de gás de botijões.</w:t>
      </w:r>
    </w:p>
    <w:p w:rsidR="00671620" w:rsidRPr="00FC2A41" w:rsidRDefault="00671620" w:rsidP="00671620">
      <w:pPr>
        <w:pStyle w:val="Default"/>
        <w:spacing w:line="360" w:lineRule="auto"/>
        <w:ind w:firstLine="709"/>
        <w:jc w:val="both"/>
        <w:rPr>
          <w:color w:val="auto"/>
        </w:rPr>
      </w:pPr>
      <w:r w:rsidRPr="00FC2A41">
        <w:rPr>
          <w:color w:val="auto"/>
        </w:rPr>
        <w:t xml:space="preserve">É importante ressaltar que para o manuseio dos resíduos infectantes é obrigatório o uso de Equipamentos de </w:t>
      </w:r>
      <w:r w:rsidRPr="00841358">
        <w:rPr>
          <w:color w:val="auto"/>
        </w:rPr>
        <w:t>Proteção Individual (EPIs): avental</w:t>
      </w:r>
      <w:r w:rsidRPr="00FC2A41">
        <w:rPr>
          <w:color w:val="auto"/>
        </w:rPr>
        <w:t xml:space="preserve"> e luvas plásticas, botas de PVC ou sapatos fechados, óculos e máscara. Os locais para transbordo desses resíduos devem possuir cantos arredondados para possibilitar uma lavagem mais eficiente do piso e das paredes.</w:t>
      </w:r>
    </w:p>
    <w:p w:rsidR="00671620" w:rsidRPr="00FC2A41" w:rsidRDefault="00671620" w:rsidP="00BC01B1">
      <w:pPr>
        <w:pStyle w:val="Ttulo4"/>
      </w:pPr>
      <w:bookmarkStart w:id="481" w:name="_Toc493151504"/>
      <w:bookmarkStart w:id="482" w:name="_Toc498593482"/>
      <w:bookmarkStart w:id="483" w:name="_Toc504404454"/>
      <w:bookmarkStart w:id="484" w:name="_Toc509935493"/>
      <w:r w:rsidRPr="00FC2A41">
        <w:t>Controle de Planos de Gerenciamento de Resíduos Sólidos (PGRS</w:t>
      </w:r>
      <w:r>
        <w:t>s</w:t>
      </w:r>
      <w:r w:rsidRPr="00FC2A41">
        <w:t>)</w:t>
      </w:r>
      <w:bookmarkEnd w:id="481"/>
      <w:bookmarkEnd w:id="482"/>
      <w:bookmarkEnd w:id="483"/>
      <w:bookmarkEnd w:id="484"/>
    </w:p>
    <w:p w:rsidR="00671620" w:rsidRPr="00FC2A41" w:rsidRDefault="00671620" w:rsidP="00671620">
      <w:pPr>
        <w:pStyle w:val="Default"/>
        <w:spacing w:line="360" w:lineRule="auto"/>
        <w:ind w:firstLine="709"/>
        <w:jc w:val="both"/>
        <w:rPr>
          <w:rFonts w:eastAsia="Times New Roman"/>
          <w:color w:val="auto"/>
        </w:rPr>
      </w:pPr>
      <w:r w:rsidRPr="00FC2A41">
        <w:rPr>
          <w:color w:val="auto"/>
        </w:rPr>
        <w:t xml:space="preserve">Além do controle dos resíduos mencionados, a Prefeitura Municipal deverá manter controle do manejo efetuado por outros geradores dos resíduos sólidos. Esse controle deverá ser efetuado através dos </w:t>
      </w:r>
      <w:r w:rsidRPr="00FC2A41">
        <w:rPr>
          <w:rFonts w:eastAsia="Times New Roman"/>
          <w:color w:val="auto"/>
        </w:rPr>
        <w:t xml:space="preserve">Planos de Gerenciamento de Resíduos Sólidos (PGRS) </w:t>
      </w:r>
      <w:r w:rsidRPr="00FC2A41">
        <w:rPr>
          <w:color w:val="auto"/>
        </w:rPr>
        <w:t xml:space="preserve">a serem elaborados pelos próprios geradores. </w:t>
      </w:r>
      <w:r w:rsidRPr="00FC2A41">
        <w:rPr>
          <w:rFonts w:eastAsia="Times New Roman"/>
          <w:color w:val="auto"/>
        </w:rPr>
        <w:t>Segundo a Lei nº 12.305/10, estão sujeitos à elaboração de PGRS os responsáveis pela geração dos seguintes tipos de resíduos:</w:t>
      </w:r>
    </w:p>
    <w:p w:rsidR="00671620" w:rsidRPr="00FC2A41" w:rsidRDefault="00671620" w:rsidP="0066661F">
      <w:pPr>
        <w:pStyle w:val="PargrafodaLista"/>
        <w:numPr>
          <w:ilvl w:val="0"/>
          <w:numId w:val="77"/>
        </w:numPr>
        <w:ind w:hanging="357"/>
        <w:jc w:val="left"/>
      </w:pPr>
      <w:r w:rsidRPr="00FC2A41">
        <w:t>Resíduos dos serviços públicos de saneamento básico;</w:t>
      </w:r>
    </w:p>
    <w:p w:rsidR="00671620" w:rsidRPr="00FC2A41" w:rsidRDefault="00671620" w:rsidP="0066661F">
      <w:pPr>
        <w:pStyle w:val="PargrafodaLista"/>
        <w:numPr>
          <w:ilvl w:val="0"/>
          <w:numId w:val="77"/>
        </w:numPr>
        <w:ind w:hanging="357"/>
        <w:jc w:val="left"/>
      </w:pPr>
      <w:r w:rsidRPr="00FC2A41">
        <w:t>Resíduos industriais;</w:t>
      </w:r>
    </w:p>
    <w:p w:rsidR="00671620" w:rsidRPr="00FC2A41" w:rsidRDefault="00671620" w:rsidP="0066661F">
      <w:pPr>
        <w:pStyle w:val="PargrafodaLista"/>
        <w:numPr>
          <w:ilvl w:val="0"/>
          <w:numId w:val="77"/>
        </w:numPr>
        <w:ind w:hanging="357"/>
        <w:jc w:val="left"/>
      </w:pPr>
      <w:r w:rsidRPr="00FC2A41">
        <w:t>Resíduos de serviços de saúde;</w:t>
      </w:r>
    </w:p>
    <w:p w:rsidR="00671620" w:rsidRPr="00FC2A41" w:rsidRDefault="00671620" w:rsidP="0066661F">
      <w:pPr>
        <w:pStyle w:val="PargrafodaLista"/>
        <w:numPr>
          <w:ilvl w:val="0"/>
          <w:numId w:val="77"/>
        </w:numPr>
        <w:ind w:hanging="357"/>
        <w:jc w:val="left"/>
        <w:rPr>
          <w:szCs w:val="24"/>
        </w:rPr>
      </w:pPr>
      <w:r w:rsidRPr="00FC2A41">
        <w:t>Resíduos de mineração;</w:t>
      </w:r>
    </w:p>
    <w:p w:rsidR="00671620" w:rsidRPr="00FC2A41" w:rsidRDefault="00671620" w:rsidP="0066661F">
      <w:pPr>
        <w:pStyle w:val="PargrafodaLista"/>
        <w:numPr>
          <w:ilvl w:val="0"/>
          <w:numId w:val="77"/>
        </w:numPr>
        <w:ind w:hanging="357"/>
        <w:jc w:val="left"/>
      </w:pPr>
      <w:r w:rsidRPr="00FC2A41">
        <w:t>Resíduos perigosos;</w:t>
      </w:r>
    </w:p>
    <w:p w:rsidR="00671620" w:rsidRPr="00FC2A41" w:rsidRDefault="00671620" w:rsidP="0066661F">
      <w:pPr>
        <w:pStyle w:val="PargrafodaLista"/>
        <w:numPr>
          <w:ilvl w:val="0"/>
          <w:numId w:val="77"/>
        </w:numPr>
        <w:ind w:hanging="357"/>
        <w:jc w:val="left"/>
      </w:pPr>
      <w:r w:rsidRPr="00FC2A41">
        <w:t>Resíduos que, mesmo caracterizados como não perigosos, por sua natureza, composição ou volume, não sejam equiparados aos resíduos domiciliares pelo Poder Público Municipal;</w:t>
      </w:r>
    </w:p>
    <w:p w:rsidR="00671620" w:rsidRPr="00FC2A41" w:rsidRDefault="00671620" w:rsidP="0066661F">
      <w:pPr>
        <w:pStyle w:val="PargrafodaLista"/>
        <w:numPr>
          <w:ilvl w:val="0"/>
          <w:numId w:val="78"/>
        </w:numPr>
        <w:ind w:hanging="357"/>
        <w:jc w:val="left"/>
        <w:rPr>
          <w:szCs w:val="24"/>
        </w:rPr>
      </w:pPr>
      <w:r w:rsidRPr="00FC2A41">
        <w:rPr>
          <w:szCs w:val="24"/>
        </w:rPr>
        <w:t>Resíduos da construção civil;</w:t>
      </w:r>
    </w:p>
    <w:p w:rsidR="00671620" w:rsidRPr="00FC2A41" w:rsidRDefault="00671620" w:rsidP="0066661F">
      <w:pPr>
        <w:pStyle w:val="PargrafodaLista"/>
        <w:numPr>
          <w:ilvl w:val="0"/>
          <w:numId w:val="78"/>
        </w:numPr>
        <w:ind w:hanging="357"/>
        <w:jc w:val="left"/>
      </w:pPr>
      <w:r w:rsidRPr="00FC2A41">
        <w:t>Resíduos de serviços de transportes;</w:t>
      </w:r>
    </w:p>
    <w:p w:rsidR="00671620" w:rsidRPr="00EA5C8F" w:rsidRDefault="00671620" w:rsidP="0066661F">
      <w:pPr>
        <w:pStyle w:val="PargrafodaLista"/>
        <w:numPr>
          <w:ilvl w:val="0"/>
          <w:numId w:val="78"/>
        </w:numPr>
        <w:ind w:hanging="357"/>
        <w:jc w:val="left"/>
        <w:rPr>
          <w:szCs w:val="24"/>
        </w:rPr>
      </w:pPr>
      <w:r w:rsidRPr="00FC2A41">
        <w:rPr>
          <w:szCs w:val="24"/>
        </w:rPr>
        <w:lastRenderedPageBreak/>
        <w:t xml:space="preserve">Resíduos </w:t>
      </w:r>
      <w:r w:rsidRPr="00EA5C8F">
        <w:rPr>
          <w:szCs w:val="24"/>
        </w:rPr>
        <w:t>agro</w:t>
      </w:r>
      <w:r w:rsidR="00EA5C8F" w:rsidRPr="00EA5C8F">
        <w:rPr>
          <w:szCs w:val="24"/>
          <w:lang w:val="pt-BR"/>
        </w:rPr>
        <w:t>ssilvo</w:t>
      </w:r>
      <w:r w:rsidRPr="00EA5C8F">
        <w:rPr>
          <w:szCs w:val="24"/>
        </w:rPr>
        <w:t>pastoris,</w:t>
      </w:r>
      <w:r w:rsidRPr="00FC2A41">
        <w:rPr>
          <w:szCs w:val="24"/>
        </w:rPr>
        <w:t xml:space="preserve"> se exigido pelo órgão </w:t>
      </w:r>
      <w:r w:rsidRPr="00841358">
        <w:rPr>
          <w:szCs w:val="24"/>
        </w:rPr>
        <w:t>competente do SISNAMA, do</w:t>
      </w:r>
      <w:r w:rsidRPr="00FC2A41">
        <w:rPr>
          <w:szCs w:val="24"/>
        </w:rPr>
        <w:t xml:space="preserve"> SNVS ou do </w:t>
      </w:r>
      <w:r w:rsidRPr="00EA5C8F">
        <w:rPr>
          <w:szCs w:val="24"/>
        </w:rPr>
        <w:t>SUASA. </w:t>
      </w:r>
    </w:p>
    <w:p w:rsidR="00671620" w:rsidRPr="00EA5C8F" w:rsidRDefault="00671620" w:rsidP="00671620">
      <w:pPr>
        <w:pStyle w:val="Default"/>
        <w:spacing w:line="360" w:lineRule="auto"/>
        <w:ind w:firstLine="709"/>
        <w:jc w:val="both"/>
        <w:rPr>
          <w:color w:val="auto"/>
        </w:rPr>
      </w:pPr>
      <w:r w:rsidRPr="00EA5C8F">
        <w:rPr>
          <w:color w:val="auto"/>
        </w:rPr>
        <w:t>Para esses casos, cabe ao Poder Público:</w:t>
      </w:r>
    </w:p>
    <w:p w:rsidR="00671620" w:rsidRPr="00EA5C8F" w:rsidRDefault="00671620" w:rsidP="0066661F">
      <w:pPr>
        <w:pStyle w:val="PargrafodaLista"/>
        <w:numPr>
          <w:ilvl w:val="0"/>
          <w:numId w:val="76"/>
        </w:numPr>
        <w:ind w:left="2127" w:hanging="284"/>
      </w:pPr>
      <w:r w:rsidRPr="00EA5C8F">
        <w:t>Providenciar, no âmbito municipal, um instrumento legal que exija a entrega anual, à Prefeitura Municipal, do Plano de Gerenciamento de Resíduos Sólidos (PGRS) em conformidade com o art. 21 da Lei Federal nº 12.305/10, que deve ser elaborado pelos geradores dos resíduos acima mencionados.</w:t>
      </w:r>
    </w:p>
    <w:p w:rsidR="00671620" w:rsidRPr="00EA5C8F" w:rsidRDefault="00671620" w:rsidP="0066661F">
      <w:pPr>
        <w:pStyle w:val="PargrafodaLista"/>
        <w:numPr>
          <w:ilvl w:val="0"/>
          <w:numId w:val="76"/>
        </w:numPr>
        <w:ind w:left="2127" w:hanging="284"/>
      </w:pPr>
      <w:r w:rsidRPr="00EA5C8F">
        <w:t>Controlar as entregas de PGRS referentes às Unidades de Saúde existentes no Município, obedecendo a critérios técnicos, legislação ambiental e outras orientações regulamentares.</w:t>
      </w:r>
    </w:p>
    <w:p w:rsidR="00671620" w:rsidRPr="00EA5C8F" w:rsidRDefault="00671620" w:rsidP="0066661F">
      <w:pPr>
        <w:pStyle w:val="PargrafodaLista"/>
        <w:numPr>
          <w:ilvl w:val="0"/>
          <w:numId w:val="76"/>
        </w:numPr>
        <w:ind w:left="2127" w:hanging="284"/>
      </w:pPr>
      <w:r w:rsidRPr="00EA5C8F">
        <w:t>Providenciar fiscalização periódica nos estabelecimentos sujeitos ao PGRS buscando evidências de comprovação dos procedimentos declarados no PGRS.</w:t>
      </w:r>
    </w:p>
    <w:p w:rsidR="00671620" w:rsidRPr="00354861" w:rsidRDefault="00671620" w:rsidP="0066661F">
      <w:pPr>
        <w:pStyle w:val="PargrafodaLista"/>
        <w:numPr>
          <w:ilvl w:val="0"/>
          <w:numId w:val="76"/>
        </w:numPr>
        <w:ind w:left="2127" w:hanging="284"/>
      </w:pPr>
      <w:r w:rsidRPr="00D22570">
        <w:t>Exigir dos detentores de registro de produto que gerem resíduos classificados como Classe I – Perigosos, o fornecimento de informações documentadas referentes aos riscos de disposição final do resíduo.</w:t>
      </w:r>
    </w:p>
    <w:p w:rsidR="00671620" w:rsidRPr="00D22570" w:rsidRDefault="00671620" w:rsidP="00BC01B1">
      <w:pPr>
        <w:pStyle w:val="Ttulo3"/>
      </w:pPr>
      <w:bookmarkStart w:id="485" w:name="_Toc488825339"/>
      <w:bookmarkStart w:id="486" w:name="_Toc493151505"/>
      <w:bookmarkStart w:id="487" w:name="_Toc498593483"/>
      <w:bookmarkStart w:id="488" w:name="_Toc504404455"/>
      <w:bookmarkStart w:id="489" w:name="_Toc509935494"/>
      <w:r w:rsidRPr="00D22570">
        <w:t>Responsabilidades quanto à implementação e operacionalização do PMGIRS</w:t>
      </w:r>
      <w:bookmarkEnd w:id="485"/>
      <w:bookmarkEnd w:id="486"/>
      <w:bookmarkEnd w:id="487"/>
      <w:bookmarkEnd w:id="488"/>
      <w:bookmarkEnd w:id="489"/>
    </w:p>
    <w:p w:rsidR="00671620" w:rsidRPr="00D22570" w:rsidRDefault="00671620" w:rsidP="00671620">
      <w:pPr>
        <w:pStyle w:val="Default"/>
        <w:spacing w:line="360" w:lineRule="auto"/>
        <w:ind w:firstLine="709"/>
        <w:jc w:val="both"/>
        <w:rPr>
          <w:color w:val="auto"/>
        </w:rPr>
      </w:pPr>
      <w:r w:rsidRPr="00D22570">
        <w:rPr>
          <w:color w:val="auto"/>
        </w:rPr>
        <w:t>A Política Nacional dos Resíduos Sólidos – PNRS (Lei nº 12.305 de 2010) estabelece que “o poder público, o setor empresarial e a coletividade são responsáveis pela efetividade das ações voltadas para assegurar a observância da PNRS e de suas diretrizes e demais determinações”.</w:t>
      </w:r>
    </w:p>
    <w:p w:rsidR="00671620" w:rsidRPr="00D22570" w:rsidRDefault="00671620" w:rsidP="00671620">
      <w:pPr>
        <w:pStyle w:val="Default"/>
        <w:spacing w:line="360" w:lineRule="auto"/>
        <w:ind w:firstLine="709"/>
        <w:jc w:val="both"/>
        <w:rPr>
          <w:color w:val="auto"/>
        </w:rPr>
      </w:pPr>
      <w:r w:rsidRPr="00D22570">
        <w:rPr>
          <w:color w:val="auto"/>
        </w:rPr>
        <w:t>A Política institui, ainda, a responsabilidade compartilhada pelo ciclo de vida dos produtos, “abrangendo os fabricantes, importadores, distribuidores e comerciantes, os consumidores e os titulares dos serviços públicos de limpeza urbana e manejo de resíduos sólidos”.</w:t>
      </w:r>
    </w:p>
    <w:p w:rsidR="00671620" w:rsidRDefault="00671620" w:rsidP="00671620">
      <w:pPr>
        <w:pStyle w:val="Default"/>
        <w:spacing w:line="360" w:lineRule="auto"/>
        <w:ind w:firstLine="709"/>
        <w:jc w:val="both"/>
        <w:rPr>
          <w:color w:val="auto"/>
        </w:rPr>
      </w:pPr>
      <w:r w:rsidRPr="00D22570">
        <w:rPr>
          <w:color w:val="auto"/>
        </w:rPr>
        <w:t xml:space="preserve">A seguir, no </w:t>
      </w:r>
      <w:r w:rsidRPr="00D22570">
        <w:rPr>
          <w:color w:val="auto"/>
        </w:rPr>
        <w:fldChar w:fldCharType="begin"/>
      </w:r>
      <w:r w:rsidRPr="00D22570">
        <w:rPr>
          <w:color w:val="auto"/>
        </w:rPr>
        <w:instrText xml:space="preserve"> REF _Ref487710091 \h </w:instrText>
      </w:r>
      <w:r w:rsidRPr="00D22570">
        <w:rPr>
          <w:color w:val="auto"/>
        </w:rPr>
      </w:r>
      <w:r w:rsidRPr="00D22570">
        <w:rPr>
          <w:color w:val="auto"/>
        </w:rPr>
        <w:fldChar w:fldCharType="separate"/>
      </w:r>
      <w:r w:rsidR="001B481B" w:rsidRPr="00D22570">
        <w:t xml:space="preserve">Quadro </w:t>
      </w:r>
      <w:r w:rsidR="001B481B">
        <w:rPr>
          <w:noProof/>
        </w:rPr>
        <w:t>40</w:t>
      </w:r>
      <w:r w:rsidRPr="00D22570">
        <w:rPr>
          <w:color w:val="auto"/>
        </w:rPr>
        <w:fldChar w:fldCharType="end"/>
      </w:r>
      <w:r w:rsidRPr="00D22570">
        <w:rPr>
          <w:color w:val="auto"/>
        </w:rPr>
        <w:t>, indica-se as responsabilidades pela gestão dos diversos tipos de resíduos gerados no município.</w:t>
      </w:r>
      <w:r w:rsidR="00EA5C8F">
        <w:rPr>
          <w:color w:val="auto"/>
        </w:rPr>
        <w:t xml:space="preserve"> </w:t>
      </w:r>
    </w:p>
    <w:p w:rsidR="00671620" w:rsidRPr="00D22570" w:rsidRDefault="00671620" w:rsidP="00E95583">
      <w:pPr>
        <w:pStyle w:val="Legenda"/>
      </w:pPr>
      <w:bookmarkStart w:id="490" w:name="_Ref487710091"/>
      <w:bookmarkStart w:id="491" w:name="_Toc488825083"/>
      <w:bookmarkStart w:id="492" w:name="_Toc493151620"/>
      <w:bookmarkStart w:id="493" w:name="_Toc498593677"/>
      <w:bookmarkStart w:id="494" w:name="_Toc503949468"/>
      <w:bookmarkStart w:id="495" w:name="_Toc509935817"/>
      <w:r w:rsidRPr="00D22570">
        <w:lastRenderedPageBreak/>
        <w:t xml:space="preserve">Quadro </w:t>
      </w:r>
      <w:r w:rsidR="000A1C78">
        <w:fldChar w:fldCharType="begin"/>
      </w:r>
      <w:r w:rsidR="000A1C78">
        <w:instrText xml:space="preserve"> SEQ Quadro \* ARABIC \s 1 </w:instrText>
      </w:r>
      <w:r w:rsidR="000A1C78">
        <w:fldChar w:fldCharType="separate"/>
      </w:r>
      <w:r w:rsidR="001B481B">
        <w:rPr>
          <w:noProof/>
        </w:rPr>
        <w:t>40</w:t>
      </w:r>
      <w:r w:rsidR="000A1C78">
        <w:rPr>
          <w:noProof/>
        </w:rPr>
        <w:fldChar w:fldCharType="end"/>
      </w:r>
      <w:bookmarkEnd w:id="490"/>
      <w:r w:rsidRPr="00D22570">
        <w:rPr>
          <w:lang w:val="pt-BR"/>
        </w:rPr>
        <w:t xml:space="preserve"> -</w:t>
      </w:r>
      <w:r w:rsidRPr="00D22570">
        <w:t xml:space="preserve"> Resumo das responsabilidades na gestão dos resíduos sólidos</w:t>
      </w:r>
      <w:bookmarkEnd w:id="491"/>
      <w:bookmarkEnd w:id="492"/>
      <w:bookmarkEnd w:id="493"/>
      <w:bookmarkEnd w:id="494"/>
      <w:bookmarkEnd w:id="495"/>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4219"/>
        <w:gridCol w:w="5351"/>
      </w:tblGrid>
      <w:tr w:rsidR="00671620" w:rsidRPr="00AC47A2" w:rsidTr="00D5039A">
        <w:trPr>
          <w:cantSplit/>
          <w:trHeight w:val="20"/>
          <w:tblHeader/>
          <w:jc w:val="center"/>
        </w:trPr>
        <w:tc>
          <w:tcPr>
            <w:tcW w:w="4219" w:type="dxa"/>
            <w:tcBorders>
              <w:top w:val="single" w:sz="8" w:space="0" w:color="000000"/>
              <w:left w:val="single" w:sz="8" w:space="0" w:color="000000"/>
              <w:bottom w:val="single" w:sz="18" w:space="0" w:color="000000"/>
              <w:right w:val="single" w:sz="8" w:space="0" w:color="000000"/>
            </w:tcBorders>
            <w:shd w:val="clear" w:color="auto" w:fill="auto"/>
            <w:vAlign w:val="center"/>
          </w:tcPr>
          <w:p w:rsidR="00671620" w:rsidRPr="00AC47A2" w:rsidRDefault="00671620" w:rsidP="00AC47A2">
            <w:pPr>
              <w:spacing w:before="120" w:after="120" w:line="240" w:lineRule="auto"/>
              <w:jc w:val="center"/>
              <w:rPr>
                <w:rFonts w:cs="Arial"/>
                <w:b/>
                <w:bCs/>
                <w:sz w:val="22"/>
                <w:lang w:eastAsia="pt-BR"/>
              </w:rPr>
            </w:pPr>
            <w:r w:rsidRPr="00AC47A2">
              <w:rPr>
                <w:rFonts w:cs="Arial"/>
                <w:b/>
                <w:bCs/>
                <w:sz w:val="22"/>
                <w:lang w:eastAsia="pt-BR"/>
              </w:rPr>
              <w:t>PROCEDIMENTOS (para implantação e/ou operacionalização)</w:t>
            </w:r>
          </w:p>
        </w:tc>
        <w:tc>
          <w:tcPr>
            <w:tcW w:w="5351" w:type="dxa"/>
            <w:tcBorders>
              <w:top w:val="single" w:sz="8" w:space="0" w:color="000000"/>
              <w:left w:val="single" w:sz="8" w:space="0" w:color="000000"/>
              <w:bottom w:val="single" w:sz="18" w:space="0" w:color="000000"/>
              <w:right w:val="single" w:sz="8" w:space="0" w:color="000000"/>
            </w:tcBorders>
            <w:shd w:val="clear" w:color="auto" w:fill="auto"/>
            <w:vAlign w:val="center"/>
          </w:tcPr>
          <w:p w:rsidR="00671620" w:rsidRPr="00AC47A2" w:rsidRDefault="00671620" w:rsidP="00AC47A2">
            <w:pPr>
              <w:spacing w:before="120" w:after="120" w:line="240" w:lineRule="auto"/>
              <w:jc w:val="center"/>
              <w:rPr>
                <w:rFonts w:cs="Arial"/>
                <w:b/>
                <w:bCs/>
                <w:sz w:val="22"/>
                <w:lang w:eastAsia="pt-BR"/>
              </w:rPr>
            </w:pPr>
            <w:r w:rsidRPr="00AC47A2">
              <w:rPr>
                <w:rFonts w:cs="Arial"/>
                <w:b/>
                <w:bCs/>
                <w:sz w:val="22"/>
                <w:lang w:eastAsia="pt-BR"/>
              </w:rPr>
              <w:t>DETENTORES DA RESPONSABILIDADE</w:t>
            </w:r>
          </w:p>
        </w:tc>
      </w:tr>
      <w:tr w:rsidR="00671620" w:rsidRPr="00AC47A2" w:rsidTr="00D5039A">
        <w:trPr>
          <w:cantSplit/>
          <w:trHeight w:val="20"/>
          <w:jc w:val="center"/>
        </w:trPr>
        <w:tc>
          <w:tcPr>
            <w:tcW w:w="4219" w:type="dxa"/>
            <w:tcBorders>
              <w:top w:val="single" w:sz="8" w:space="0" w:color="000000"/>
              <w:left w:val="single" w:sz="8" w:space="0" w:color="000000"/>
              <w:bottom w:val="single" w:sz="8" w:space="0" w:color="000000"/>
              <w:right w:val="single" w:sz="8" w:space="0" w:color="000000"/>
            </w:tcBorders>
            <w:shd w:val="clear" w:color="auto" w:fill="D9D9D9"/>
            <w:vAlign w:val="center"/>
          </w:tcPr>
          <w:p w:rsidR="00671620" w:rsidRPr="00AC47A2" w:rsidRDefault="00671620" w:rsidP="00AC47A2">
            <w:pPr>
              <w:spacing w:before="120" w:after="120" w:line="240" w:lineRule="auto"/>
              <w:jc w:val="center"/>
              <w:rPr>
                <w:rFonts w:cs="Arial"/>
                <w:bCs/>
                <w:sz w:val="22"/>
                <w:lang w:eastAsia="pt-BR"/>
              </w:rPr>
            </w:pPr>
            <w:r w:rsidRPr="00AC47A2">
              <w:rPr>
                <w:rFonts w:cs="Arial"/>
                <w:bCs/>
                <w:sz w:val="22"/>
                <w:lang w:eastAsia="pt-BR"/>
              </w:rPr>
              <w:t>Gestão integrada de resíduos sólidos gerados no território municipal.</w:t>
            </w:r>
          </w:p>
        </w:tc>
        <w:tc>
          <w:tcPr>
            <w:tcW w:w="5351" w:type="dxa"/>
            <w:tcBorders>
              <w:top w:val="single" w:sz="8" w:space="0" w:color="000000"/>
              <w:left w:val="single" w:sz="8" w:space="0" w:color="000000"/>
              <w:bottom w:val="single" w:sz="8" w:space="0" w:color="000000"/>
              <w:right w:val="single" w:sz="8" w:space="0" w:color="000000"/>
            </w:tcBorders>
            <w:shd w:val="clear" w:color="auto" w:fill="D9D9D9"/>
            <w:vAlign w:val="center"/>
          </w:tcPr>
          <w:p w:rsidR="00671620" w:rsidRPr="00AC47A2" w:rsidRDefault="00671620" w:rsidP="00AC47A2">
            <w:pPr>
              <w:spacing w:before="120" w:after="120" w:line="240" w:lineRule="auto"/>
              <w:jc w:val="center"/>
              <w:rPr>
                <w:rFonts w:cs="Arial"/>
                <w:sz w:val="22"/>
                <w:lang w:eastAsia="pt-BR"/>
              </w:rPr>
            </w:pPr>
            <w:r w:rsidRPr="00AC47A2">
              <w:rPr>
                <w:rFonts w:cs="Arial"/>
                <w:sz w:val="22"/>
                <w:lang w:eastAsia="pt-BR"/>
              </w:rPr>
              <w:t>O Poder Público Municipal é o Titular dos serviços de gestão integrada de resíduos sólidos gerados no território municipal (podendo outorgar parcial ou integralmente a prestação</w:t>
            </w:r>
            <w:r w:rsidR="00224656" w:rsidRPr="00AC47A2">
              <w:rPr>
                <w:rFonts w:cs="Arial"/>
                <w:sz w:val="22"/>
                <w:lang w:eastAsia="pt-BR"/>
              </w:rPr>
              <w:t xml:space="preserve"> e a regulação</w:t>
            </w:r>
            <w:r w:rsidRPr="00AC47A2">
              <w:rPr>
                <w:rFonts w:cs="Arial"/>
                <w:sz w:val="22"/>
                <w:lang w:eastAsia="pt-BR"/>
              </w:rPr>
              <w:t xml:space="preserve"> de serviços através de diversas formas previstas por lei).</w:t>
            </w:r>
          </w:p>
          <w:p w:rsidR="00671620" w:rsidRPr="00AC47A2" w:rsidRDefault="00671620" w:rsidP="00AC47A2">
            <w:pPr>
              <w:spacing w:before="120" w:after="120" w:line="240" w:lineRule="auto"/>
              <w:jc w:val="center"/>
              <w:rPr>
                <w:rFonts w:cs="Arial"/>
                <w:sz w:val="22"/>
                <w:lang w:eastAsia="pt-BR"/>
              </w:rPr>
            </w:pPr>
            <w:r w:rsidRPr="00AC47A2">
              <w:rPr>
                <w:rFonts w:cs="Arial"/>
                <w:sz w:val="22"/>
                <w:lang w:eastAsia="pt-BR"/>
              </w:rPr>
              <w:t>Os prestadores passam a compartilhar com o Titular a responsabilidade pelas implicações sociais e ambientais dos serviços que prestam (art. 10 da Lei nº 11.305/10).</w:t>
            </w:r>
          </w:p>
        </w:tc>
      </w:tr>
      <w:tr w:rsidR="00671620" w:rsidRPr="00AC47A2" w:rsidTr="00D5039A">
        <w:trPr>
          <w:cantSplit/>
          <w:trHeight w:val="20"/>
          <w:jc w:val="center"/>
        </w:trPr>
        <w:tc>
          <w:tcPr>
            <w:tcW w:w="4219" w:type="dxa"/>
            <w:tcBorders>
              <w:top w:val="single" w:sz="8" w:space="0" w:color="000000"/>
              <w:left w:val="single" w:sz="8" w:space="0" w:color="000000"/>
              <w:bottom w:val="single" w:sz="8" w:space="0" w:color="000000"/>
              <w:right w:val="single" w:sz="8" w:space="0" w:color="000000"/>
            </w:tcBorders>
            <w:shd w:val="clear" w:color="auto" w:fill="auto"/>
            <w:vAlign w:val="center"/>
          </w:tcPr>
          <w:p w:rsidR="00671620" w:rsidRPr="00AC47A2" w:rsidRDefault="00671620" w:rsidP="00AC47A2">
            <w:pPr>
              <w:spacing w:before="120" w:after="120" w:line="240" w:lineRule="auto"/>
              <w:jc w:val="center"/>
              <w:rPr>
                <w:rFonts w:cs="Arial"/>
                <w:bCs/>
                <w:sz w:val="22"/>
                <w:lang w:eastAsia="pt-BR"/>
              </w:rPr>
            </w:pPr>
            <w:r w:rsidRPr="00AC47A2">
              <w:rPr>
                <w:rFonts w:cs="Arial"/>
                <w:bCs/>
                <w:sz w:val="22"/>
                <w:lang w:eastAsia="pt-BR"/>
              </w:rPr>
              <w:t>Ações voltadas para assegurar a observância da Política Nacional de Resíduos Sólidos (incluindo ações relativas à responsabilidade compartilhada pelo ciclo de vida dos produtos).</w:t>
            </w:r>
          </w:p>
        </w:tc>
        <w:tc>
          <w:tcPr>
            <w:tcW w:w="5351" w:type="dxa"/>
            <w:tcBorders>
              <w:top w:val="single" w:sz="8" w:space="0" w:color="000000"/>
              <w:left w:val="single" w:sz="8" w:space="0" w:color="000000"/>
              <w:bottom w:val="single" w:sz="8" w:space="0" w:color="000000"/>
              <w:right w:val="single" w:sz="8" w:space="0" w:color="000000"/>
            </w:tcBorders>
            <w:shd w:val="clear" w:color="auto" w:fill="auto"/>
            <w:vAlign w:val="center"/>
          </w:tcPr>
          <w:p w:rsidR="00671620" w:rsidRPr="00AC47A2" w:rsidRDefault="00671620" w:rsidP="00AC47A2">
            <w:pPr>
              <w:spacing w:before="120" w:after="120" w:line="240" w:lineRule="auto"/>
              <w:jc w:val="center"/>
              <w:rPr>
                <w:rFonts w:cs="Arial"/>
                <w:sz w:val="22"/>
                <w:lang w:eastAsia="pt-BR"/>
              </w:rPr>
            </w:pPr>
            <w:r w:rsidRPr="00AC47A2">
              <w:rPr>
                <w:rFonts w:cs="Arial"/>
                <w:sz w:val="22"/>
                <w:lang w:eastAsia="pt-BR"/>
              </w:rPr>
              <w:t>Poder Público / setor empresarial / coletividade (art. 25 da Lei nº 11.305/10).</w:t>
            </w:r>
          </w:p>
        </w:tc>
      </w:tr>
      <w:tr w:rsidR="00671620" w:rsidRPr="00AC47A2" w:rsidTr="00D5039A">
        <w:trPr>
          <w:cantSplit/>
          <w:trHeight w:val="20"/>
          <w:jc w:val="center"/>
        </w:trPr>
        <w:tc>
          <w:tcPr>
            <w:tcW w:w="4219" w:type="dxa"/>
            <w:tcBorders>
              <w:top w:val="single" w:sz="8" w:space="0" w:color="000000"/>
              <w:left w:val="single" w:sz="8" w:space="0" w:color="000000"/>
              <w:right w:val="single" w:sz="8" w:space="0" w:color="000000"/>
            </w:tcBorders>
            <w:shd w:val="clear" w:color="auto" w:fill="D9D9D9"/>
            <w:vAlign w:val="center"/>
          </w:tcPr>
          <w:p w:rsidR="00671620" w:rsidRPr="00AC47A2" w:rsidRDefault="00671620" w:rsidP="00AC47A2">
            <w:pPr>
              <w:spacing w:before="120" w:after="120" w:line="240" w:lineRule="auto"/>
              <w:jc w:val="center"/>
              <w:rPr>
                <w:rFonts w:cs="Arial"/>
                <w:bCs/>
                <w:sz w:val="22"/>
                <w:lang w:eastAsia="pt-BR"/>
              </w:rPr>
            </w:pPr>
            <w:r w:rsidRPr="00AC47A2">
              <w:rPr>
                <w:rFonts w:cs="Arial"/>
                <w:bCs/>
                <w:sz w:val="22"/>
                <w:lang w:eastAsia="pt-BR"/>
              </w:rPr>
              <w:t>Gerenciamento dos resíduos:</w:t>
            </w:r>
          </w:p>
          <w:p w:rsidR="00671620" w:rsidRPr="00AC47A2" w:rsidRDefault="00671620" w:rsidP="00AC47A2">
            <w:pPr>
              <w:spacing w:before="120" w:after="120" w:line="240" w:lineRule="auto"/>
              <w:jc w:val="center"/>
              <w:rPr>
                <w:rFonts w:cs="Arial"/>
                <w:bCs/>
                <w:sz w:val="22"/>
                <w:lang w:eastAsia="pt-BR"/>
              </w:rPr>
            </w:pPr>
          </w:p>
          <w:p w:rsidR="00671620" w:rsidRPr="00AC47A2" w:rsidRDefault="00671620" w:rsidP="00AC47A2">
            <w:pPr>
              <w:spacing w:before="120" w:after="120" w:line="240" w:lineRule="auto"/>
              <w:jc w:val="center"/>
              <w:rPr>
                <w:rFonts w:cs="Arial"/>
                <w:bCs/>
                <w:sz w:val="22"/>
                <w:lang w:eastAsia="pt-BR"/>
              </w:rPr>
            </w:pPr>
            <w:r w:rsidRPr="00AC47A2">
              <w:rPr>
                <w:rFonts w:cs="Arial"/>
                <w:bCs/>
                <w:sz w:val="22"/>
                <w:lang w:eastAsia="pt-BR"/>
              </w:rPr>
              <w:t>Resíduos sólidos domésticos, comerciais e institucionais (RSUs).</w:t>
            </w:r>
          </w:p>
          <w:p w:rsidR="00671620" w:rsidRPr="00AC47A2" w:rsidRDefault="00671620" w:rsidP="00AC47A2">
            <w:pPr>
              <w:spacing w:before="120" w:after="120" w:line="240" w:lineRule="auto"/>
              <w:jc w:val="center"/>
              <w:rPr>
                <w:rFonts w:cs="Arial"/>
                <w:bCs/>
                <w:sz w:val="22"/>
                <w:lang w:eastAsia="pt-BR"/>
              </w:rPr>
            </w:pPr>
          </w:p>
          <w:p w:rsidR="00671620" w:rsidRPr="00AC47A2" w:rsidRDefault="00671620" w:rsidP="00AC47A2">
            <w:pPr>
              <w:spacing w:before="120" w:after="120" w:line="240" w:lineRule="auto"/>
              <w:jc w:val="center"/>
              <w:rPr>
                <w:rFonts w:cs="Arial"/>
                <w:bCs/>
                <w:sz w:val="22"/>
                <w:lang w:eastAsia="pt-BR"/>
              </w:rPr>
            </w:pPr>
            <w:r w:rsidRPr="00AC47A2">
              <w:rPr>
                <w:rFonts w:cs="Arial"/>
                <w:bCs/>
                <w:sz w:val="22"/>
                <w:lang w:eastAsia="pt-BR"/>
              </w:rPr>
              <w:t>Resíduos de Serviços de Saúde (RSSs) gerados em estabelecimentos públicos.</w:t>
            </w:r>
          </w:p>
          <w:p w:rsidR="00671620" w:rsidRPr="00AC47A2" w:rsidRDefault="00671620" w:rsidP="00AC47A2">
            <w:pPr>
              <w:spacing w:before="120" w:after="120" w:line="240" w:lineRule="auto"/>
              <w:jc w:val="center"/>
              <w:rPr>
                <w:rFonts w:cs="Arial"/>
                <w:bCs/>
                <w:sz w:val="22"/>
                <w:lang w:eastAsia="pt-BR"/>
              </w:rPr>
            </w:pPr>
          </w:p>
          <w:p w:rsidR="00671620" w:rsidRPr="00AC47A2" w:rsidRDefault="00671620" w:rsidP="00AC47A2">
            <w:pPr>
              <w:spacing w:before="120" w:after="120" w:line="240" w:lineRule="auto"/>
              <w:jc w:val="center"/>
              <w:rPr>
                <w:rFonts w:cs="Arial"/>
                <w:bCs/>
                <w:sz w:val="22"/>
                <w:lang w:eastAsia="pt-BR"/>
              </w:rPr>
            </w:pPr>
            <w:r w:rsidRPr="00AC47A2">
              <w:rPr>
                <w:rFonts w:cs="Arial"/>
                <w:bCs/>
                <w:sz w:val="22"/>
                <w:lang w:eastAsia="pt-BR"/>
              </w:rPr>
              <w:t>Resíduos da Construção Civil (RCCs) gerados em obras públicas.</w:t>
            </w:r>
          </w:p>
          <w:p w:rsidR="00671620" w:rsidRPr="00AC47A2" w:rsidRDefault="00671620" w:rsidP="00AC47A2">
            <w:pPr>
              <w:spacing w:before="120" w:after="120" w:line="240" w:lineRule="auto"/>
              <w:jc w:val="center"/>
              <w:rPr>
                <w:rFonts w:cs="Arial"/>
                <w:bCs/>
                <w:sz w:val="22"/>
                <w:lang w:eastAsia="pt-BR"/>
              </w:rPr>
            </w:pPr>
          </w:p>
          <w:p w:rsidR="00671620" w:rsidRPr="00AC47A2" w:rsidRDefault="00671620" w:rsidP="00AC47A2">
            <w:pPr>
              <w:spacing w:before="120" w:after="120" w:line="240" w:lineRule="auto"/>
              <w:jc w:val="center"/>
              <w:rPr>
                <w:rFonts w:cs="Arial"/>
                <w:bCs/>
                <w:sz w:val="22"/>
                <w:lang w:eastAsia="pt-BR"/>
              </w:rPr>
            </w:pPr>
            <w:r w:rsidRPr="00AC47A2">
              <w:rPr>
                <w:rFonts w:cs="Arial"/>
                <w:bCs/>
                <w:iCs/>
                <w:sz w:val="22"/>
                <w:lang w:eastAsia="pt-BR"/>
              </w:rPr>
              <w:t>Resíduos dos serviços públicos de Saneamento Básico.</w:t>
            </w:r>
          </w:p>
        </w:tc>
        <w:tc>
          <w:tcPr>
            <w:tcW w:w="5351" w:type="dxa"/>
            <w:tcBorders>
              <w:top w:val="single" w:sz="8" w:space="0" w:color="000000"/>
              <w:left w:val="single" w:sz="8" w:space="0" w:color="000000"/>
              <w:bottom w:val="single" w:sz="8" w:space="0" w:color="000000"/>
              <w:right w:val="single" w:sz="8" w:space="0" w:color="000000"/>
            </w:tcBorders>
            <w:shd w:val="clear" w:color="auto" w:fill="D9D9D9"/>
            <w:vAlign w:val="center"/>
          </w:tcPr>
          <w:p w:rsidR="00671620" w:rsidRPr="00AC47A2" w:rsidRDefault="00671620" w:rsidP="00AC47A2">
            <w:pPr>
              <w:spacing w:before="120" w:after="120" w:line="240" w:lineRule="auto"/>
              <w:jc w:val="center"/>
              <w:rPr>
                <w:rFonts w:cs="Arial"/>
                <w:sz w:val="22"/>
                <w:lang w:eastAsia="pt-BR"/>
              </w:rPr>
            </w:pPr>
            <w:r w:rsidRPr="00AC47A2">
              <w:rPr>
                <w:rFonts w:cs="Arial"/>
                <w:sz w:val="22"/>
                <w:u w:val="single"/>
                <w:lang w:eastAsia="pt-BR"/>
              </w:rPr>
              <w:t>Para RSU</w:t>
            </w:r>
            <w:r w:rsidRPr="00AC47A2">
              <w:rPr>
                <w:rFonts w:cs="Arial"/>
                <w:sz w:val="22"/>
                <w:lang w:eastAsia="pt-BR"/>
              </w:rPr>
              <w:t>: Administração Municipal através de suas secretarias/prestadores de serviços/cooperativas.</w:t>
            </w:r>
          </w:p>
          <w:p w:rsidR="00671620" w:rsidRPr="00AC47A2" w:rsidRDefault="00671620" w:rsidP="00AC47A2">
            <w:pPr>
              <w:spacing w:before="120" w:after="120" w:line="240" w:lineRule="auto"/>
              <w:jc w:val="center"/>
              <w:rPr>
                <w:rFonts w:cs="Arial"/>
                <w:sz w:val="22"/>
                <w:lang w:eastAsia="pt-BR"/>
              </w:rPr>
            </w:pPr>
            <w:r w:rsidRPr="00AC47A2">
              <w:rPr>
                <w:rFonts w:cs="Arial"/>
                <w:sz w:val="22"/>
                <w:u w:val="single"/>
                <w:lang w:eastAsia="pt-BR"/>
              </w:rPr>
              <w:t>Para RSS</w:t>
            </w:r>
            <w:r w:rsidRPr="00AC47A2">
              <w:rPr>
                <w:rFonts w:cs="Arial"/>
                <w:sz w:val="22"/>
                <w:lang w:eastAsia="pt-BR"/>
              </w:rPr>
              <w:t>: estabelecimentos públicos de saúde devem elaborar PGRS e submetê-lo à Prefeitura Municipal anualmente / Prefeitura encarrega-se de exigir os PGRS.</w:t>
            </w:r>
          </w:p>
          <w:p w:rsidR="00671620" w:rsidRPr="00AC47A2" w:rsidRDefault="00671620" w:rsidP="00AC47A2">
            <w:pPr>
              <w:spacing w:before="120" w:after="120" w:line="240" w:lineRule="auto"/>
              <w:jc w:val="center"/>
              <w:rPr>
                <w:rFonts w:cs="Arial"/>
                <w:sz w:val="22"/>
                <w:lang w:eastAsia="pt-BR"/>
              </w:rPr>
            </w:pPr>
            <w:r w:rsidRPr="00AC47A2">
              <w:rPr>
                <w:rFonts w:cs="Arial"/>
                <w:sz w:val="22"/>
                <w:u w:val="single"/>
                <w:lang w:eastAsia="pt-BR"/>
              </w:rPr>
              <w:t>Para RCC</w:t>
            </w:r>
            <w:r w:rsidRPr="00AC47A2">
              <w:rPr>
                <w:rFonts w:cs="Arial"/>
                <w:sz w:val="22"/>
                <w:lang w:eastAsia="pt-BR"/>
              </w:rPr>
              <w:t>: os geradores, mesmo que públicos, devem atender aos dispositivos da Resolução CONAMA 307/02.</w:t>
            </w:r>
          </w:p>
          <w:p w:rsidR="00671620" w:rsidRPr="00AC47A2" w:rsidRDefault="00671620" w:rsidP="00AC47A2">
            <w:pPr>
              <w:spacing w:before="120" w:after="120" w:line="240" w:lineRule="auto"/>
              <w:ind w:left="34"/>
              <w:jc w:val="center"/>
              <w:rPr>
                <w:rFonts w:cs="Arial"/>
                <w:iCs/>
                <w:sz w:val="22"/>
                <w:lang w:eastAsia="pt-BR"/>
              </w:rPr>
            </w:pPr>
            <w:r w:rsidRPr="00AC47A2">
              <w:rPr>
                <w:rFonts w:cs="Arial"/>
                <w:iCs/>
                <w:sz w:val="22"/>
                <w:lang w:eastAsia="pt-BR"/>
              </w:rPr>
              <w:t>O Poder Público Municipal deve fazer o cadastramento de áreas, públicas ou privadas, aptas para recebimento, triagem e armazenamento temporário de pequenos volumes, em conformidade com o porte da área urbana municipal, possibilitando a destinação posterior dos resíduos oriundos de pequenos geradores às áreas de beneficiamento de RCCs.</w:t>
            </w:r>
          </w:p>
          <w:p w:rsidR="00671620" w:rsidRPr="00AC47A2" w:rsidRDefault="00671620" w:rsidP="00AC47A2">
            <w:pPr>
              <w:spacing w:before="120" w:after="120" w:line="240" w:lineRule="auto"/>
              <w:ind w:left="34"/>
              <w:jc w:val="center"/>
              <w:rPr>
                <w:rFonts w:cs="Arial"/>
                <w:sz w:val="22"/>
                <w:lang w:eastAsia="pt-BR"/>
              </w:rPr>
            </w:pPr>
            <w:r w:rsidRPr="00AC47A2">
              <w:rPr>
                <w:rFonts w:cs="Arial"/>
                <w:iCs/>
                <w:sz w:val="22"/>
                <w:u w:val="single"/>
                <w:lang w:eastAsia="pt-BR"/>
              </w:rPr>
              <w:t>Para resíduos de ETA e ETE</w:t>
            </w:r>
            <w:r w:rsidRPr="00AC47A2">
              <w:rPr>
                <w:rFonts w:cs="Arial"/>
                <w:iCs/>
                <w:sz w:val="22"/>
                <w:lang w:eastAsia="pt-BR"/>
              </w:rPr>
              <w:t>: o Poder Público deve encaminhar os resíduos para aterros sanitários licenciados ou providenciar outra destinação em conformidade com a legislação ambiental.</w:t>
            </w:r>
          </w:p>
        </w:tc>
      </w:tr>
      <w:tr w:rsidR="00671620" w:rsidRPr="00AC47A2" w:rsidTr="00D5039A">
        <w:trPr>
          <w:cantSplit/>
          <w:trHeight w:val="20"/>
          <w:jc w:val="center"/>
        </w:trPr>
        <w:tc>
          <w:tcPr>
            <w:tcW w:w="4219" w:type="dxa"/>
            <w:tcBorders>
              <w:top w:val="single" w:sz="8" w:space="0" w:color="000000"/>
              <w:left w:val="single" w:sz="8" w:space="0" w:color="000000"/>
              <w:bottom w:val="single" w:sz="8" w:space="0" w:color="000000"/>
              <w:right w:val="single" w:sz="8" w:space="0" w:color="000000"/>
            </w:tcBorders>
            <w:shd w:val="clear" w:color="auto" w:fill="auto"/>
            <w:vAlign w:val="center"/>
          </w:tcPr>
          <w:p w:rsidR="00671620" w:rsidRPr="00AC47A2" w:rsidRDefault="00671620" w:rsidP="00AC47A2">
            <w:pPr>
              <w:spacing w:before="120" w:after="120" w:line="240" w:lineRule="auto"/>
              <w:jc w:val="center"/>
              <w:rPr>
                <w:rFonts w:cs="Arial"/>
                <w:bCs/>
                <w:sz w:val="22"/>
                <w:lang w:eastAsia="pt-BR"/>
              </w:rPr>
            </w:pPr>
            <w:r w:rsidRPr="00AC47A2">
              <w:rPr>
                <w:rFonts w:cs="Arial"/>
                <w:bCs/>
                <w:sz w:val="22"/>
                <w:lang w:eastAsia="pt-BR"/>
              </w:rPr>
              <w:lastRenderedPageBreak/>
              <w:t>Gerenciamento de resíduos particulares:</w:t>
            </w:r>
          </w:p>
          <w:p w:rsidR="00671620" w:rsidRPr="00AC47A2" w:rsidRDefault="00671620" w:rsidP="0066661F">
            <w:pPr>
              <w:numPr>
                <w:ilvl w:val="0"/>
                <w:numId w:val="61"/>
              </w:numPr>
              <w:spacing w:before="120" w:after="120" w:line="240" w:lineRule="auto"/>
              <w:ind w:left="284" w:hanging="142"/>
              <w:jc w:val="center"/>
              <w:rPr>
                <w:rFonts w:cs="Arial"/>
                <w:bCs/>
                <w:iCs/>
                <w:sz w:val="22"/>
                <w:lang w:eastAsia="pt-BR"/>
              </w:rPr>
            </w:pPr>
            <w:r w:rsidRPr="00AC47A2">
              <w:rPr>
                <w:rFonts w:cs="Arial"/>
                <w:bCs/>
                <w:iCs/>
                <w:sz w:val="22"/>
                <w:lang w:eastAsia="pt-BR"/>
              </w:rPr>
              <w:t>Resíduos industriais.</w:t>
            </w:r>
          </w:p>
          <w:p w:rsidR="00671620" w:rsidRPr="00AC47A2" w:rsidRDefault="00671620" w:rsidP="0066661F">
            <w:pPr>
              <w:numPr>
                <w:ilvl w:val="0"/>
                <w:numId w:val="61"/>
              </w:numPr>
              <w:spacing w:before="120" w:after="120" w:line="240" w:lineRule="auto"/>
              <w:ind w:left="284" w:hanging="142"/>
              <w:jc w:val="center"/>
              <w:rPr>
                <w:rFonts w:cs="Arial"/>
                <w:bCs/>
                <w:iCs/>
                <w:sz w:val="22"/>
                <w:lang w:eastAsia="pt-BR"/>
              </w:rPr>
            </w:pPr>
            <w:r w:rsidRPr="00AC47A2">
              <w:rPr>
                <w:rFonts w:cs="Arial"/>
                <w:bCs/>
                <w:iCs/>
                <w:sz w:val="22"/>
                <w:lang w:eastAsia="pt-BR"/>
              </w:rPr>
              <w:t>Resíduos de serviços de saúde.</w:t>
            </w:r>
          </w:p>
          <w:p w:rsidR="00671620" w:rsidRPr="00AC47A2" w:rsidRDefault="00671620" w:rsidP="0066661F">
            <w:pPr>
              <w:numPr>
                <w:ilvl w:val="0"/>
                <w:numId w:val="61"/>
              </w:numPr>
              <w:spacing w:before="120" w:after="120" w:line="240" w:lineRule="auto"/>
              <w:ind w:left="284" w:hanging="142"/>
              <w:jc w:val="center"/>
              <w:rPr>
                <w:rFonts w:cs="Arial"/>
                <w:bCs/>
                <w:iCs/>
                <w:sz w:val="22"/>
                <w:lang w:eastAsia="pt-BR"/>
              </w:rPr>
            </w:pPr>
            <w:r w:rsidRPr="00AC47A2">
              <w:rPr>
                <w:rFonts w:cs="Arial"/>
                <w:bCs/>
                <w:iCs/>
                <w:sz w:val="22"/>
                <w:lang w:eastAsia="pt-BR"/>
              </w:rPr>
              <w:t>Resíduos de mineração.</w:t>
            </w:r>
          </w:p>
          <w:p w:rsidR="00671620" w:rsidRPr="00AC47A2" w:rsidRDefault="00671620" w:rsidP="0066661F">
            <w:pPr>
              <w:numPr>
                <w:ilvl w:val="0"/>
                <w:numId w:val="61"/>
              </w:numPr>
              <w:spacing w:before="120" w:after="120" w:line="240" w:lineRule="auto"/>
              <w:ind w:left="284" w:hanging="142"/>
              <w:jc w:val="center"/>
              <w:rPr>
                <w:rFonts w:cs="Arial"/>
                <w:bCs/>
                <w:iCs/>
                <w:sz w:val="22"/>
                <w:lang w:eastAsia="pt-BR"/>
              </w:rPr>
            </w:pPr>
            <w:r w:rsidRPr="00AC47A2">
              <w:rPr>
                <w:rFonts w:cs="Arial"/>
                <w:bCs/>
                <w:iCs/>
                <w:sz w:val="22"/>
                <w:lang w:eastAsia="pt-BR"/>
              </w:rPr>
              <w:t>Resíduos perigosos.</w:t>
            </w:r>
          </w:p>
          <w:p w:rsidR="00671620" w:rsidRPr="00AC47A2" w:rsidRDefault="00671620" w:rsidP="0066661F">
            <w:pPr>
              <w:numPr>
                <w:ilvl w:val="0"/>
                <w:numId w:val="61"/>
              </w:numPr>
              <w:spacing w:before="120" w:after="120" w:line="240" w:lineRule="auto"/>
              <w:ind w:left="284" w:hanging="142"/>
              <w:jc w:val="center"/>
              <w:rPr>
                <w:rFonts w:cs="Arial"/>
                <w:bCs/>
                <w:iCs/>
                <w:sz w:val="22"/>
                <w:lang w:eastAsia="pt-BR"/>
              </w:rPr>
            </w:pPr>
            <w:r w:rsidRPr="00AC47A2">
              <w:rPr>
                <w:rFonts w:cs="Arial"/>
                <w:bCs/>
                <w:iCs/>
                <w:sz w:val="22"/>
                <w:lang w:eastAsia="pt-BR"/>
              </w:rPr>
              <w:t>Resíduos que não sejam compatíveis com as coletas sob responsabilidade do Poder Público Municipal (por seu volume, natureza ou composição).</w:t>
            </w:r>
          </w:p>
          <w:p w:rsidR="00671620" w:rsidRPr="00AC47A2" w:rsidRDefault="00671620" w:rsidP="0066661F">
            <w:pPr>
              <w:numPr>
                <w:ilvl w:val="0"/>
                <w:numId w:val="61"/>
              </w:numPr>
              <w:spacing w:before="120" w:after="120" w:line="240" w:lineRule="auto"/>
              <w:ind w:left="284" w:hanging="142"/>
              <w:jc w:val="center"/>
              <w:rPr>
                <w:rFonts w:cs="Arial"/>
                <w:bCs/>
                <w:sz w:val="22"/>
                <w:lang w:eastAsia="pt-BR"/>
              </w:rPr>
            </w:pPr>
            <w:r w:rsidRPr="00AC47A2">
              <w:rPr>
                <w:rFonts w:cs="Arial"/>
                <w:bCs/>
                <w:iCs/>
                <w:sz w:val="22"/>
                <w:lang w:eastAsia="pt-BR"/>
              </w:rPr>
              <w:t>Resíduos de construção civil.</w:t>
            </w:r>
          </w:p>
          <w:p w:rsidR="00671620" w:rsidRPr="00AC47A2" w:rsidRDefault="00671620" w:rsidP="0066661F">
            <w:pPr>
              <w:numPr>
                <w:ilvl w:val="0"/>
                <w:numId w:val="61"/>
              </w:numPr>
              <w:spacing w:before="120" w:after="120" w:line="240" w:lineRule="auto"/>
              <w:ind w:left="284" w:hanging="142"/>
              <w:jc w:val="center"/>
              <w:rPr>
                <w:rFonts w:cs="Arial"/>
                <w:bCs/>
                <w:sz w:val="22"/>
                <w:lang w:eastAsia="pt-BR"/>
              </w:rPr>
            </w:pPr>
            <w:r w:rsidRPr="00AC47A2">
              <w:rPr>
                <w:rFonts w:cs="Arial"/>
                <w:bCs/>
                <w:sz w:val="22"/>
                <w:lang w:eastAsia="pt-BR"/>
              </w:rPr>
              <w:t>Resíduos de serviços de transporte.</w:t>
            </w:r>
          </w:p>
        </w:tc>
        <w:tc>
          <w:tcPr>
            <w:tcW w:w="5351" w:type="dxa"/>
            <w:tcBorders>
              <w:top w:val="single" w:sz="8" w:space="0" w:color="000000"/>
              <w:left w:val="single" w:sz="8" w:space="0" w:color="000000"/>
              <w:bottom w:val="single" w:sz="8" w:space="0" w:color="000000"/>
              <w:right w:val="single" w:sz="8" w:space="0" w:color="000000"/>
            </w:tcBorders>
            <w:shd w:val="clear" w:color="auto" w:fill="auto"/>
            <w:vAlign w:val="center"/>
          </w:tcPr>
          <w:p w:rsidR="00671620" w:rsidRPr="00AC47A2" w:rsidRDefault="00671620" w:rsidP="00AC47A2">
            <w:pPr>
              <w:spacing w:before="120" w:after="120" w:line="240" w:lineRule="auto"/>
              <w:jc w:val="center"/>
              <w:rPr>
                <w:rFonts w:cs="Arial"/>
                <w:sz w:val="22"/>
                <w:lang w:eastAsia="pt-BR"/>
              </w:rPr>
            </w:pPr>
          </w:p>
          <w:p w:rsidR="00671620" w:rsidRPr="00AC47A2" w:rsidRDefault="00671620" w:rsidP="00AC47A2">
            <w:pPr>
              <w:spacing w:before="120" w:after="120" w:line="240" w:lineRule="auto"/>
              <w:jc w:val="center"/>
              <w:rPr>
                <w:rFonts w:cs="Arial"/>
                <w:sz w:val="22"/>
                <w:lang w:eastAsia="pt-BR"/>
              </w:rPr>
            </w:pPr>
            <w:r w:rsidRPr="00AC47A2">
              <w:rPr>
                <w:rFonts w:cs="Arial"/>
                <w:sz w:val="22"/>
                <w:lang w:eastAsia="pt-BR"/>
              </w:rPr>
              <w:t>O gerador privado deve:</w:t>
            </w:r>
          </w:p>
          <w:p w:rsidR="00671620" w:rsidRPr="00AC47A2" w:rsidRDefault="00671620" w:rsidP="00AC47A2">
            <w:pPr>
              <w:spacing w:before="120" w:after="120" w:line="240" w:lineRule="auto"/>
              <w:jc w:val="center"/>
              <w:rPr>
                <w:rFonts w:cs="Arial"/>
                <w:sz w:val="22"/>
                <w:lang w:eastAsia="pt-BR"/>
              </w:rPr>
            </w:pPr>
            <w:r w:rsidRPr="00AC47A2">
              <w:rPr>
                <w:rFonts w:cs="Arial"/>
                <w:sz w:val="22"/>
                <w:lang w:eastAsia="pt-BR"/>
              </w:rPr>
              <w:t>Responsabilizar-se pela gestão de seus resíduos (acondicionamento, transporte, processamento ou tratamento e disposição final).</w:t>
            </w:r>
          </w:p>
          <w:p w:rsidR="00671620" w:rsidRPr="00AC47A2" w:rsidRDefault="00671620" w:rsidP="00AC47A2">
            <w:pPr>
              <w:spacing w:before="120" w:after="120" w:line="240" w:lineRule="auto"/>
              <w:jc w:val="center"/>
              <w:rPr>
                <w:rFonts w:cs="Arial"/>
                <w:sz w:val="22"/>
                <w:lang w:eastAsia="pt-BR"/>
              </w:rPr>
            </w:pPr>
            <w:r w:rsidRPr="00AC47A2">
              <w:rPr>
                <w:rFonts w:cs="Arial"/>
                <w:sz w:val="22"/>
                <w:lang w:eastAsia="pt-BR"/>
              </w:rPr>
              <w:t>Elaborar o PGRS (com designação de um responsável técnico devidamente habilitado) e submeter à Prefeitura Municipal anualmente.</w:t>
            </w:r>
          </w:p>
          <w:p w:rsidR="00671620" w:rsidRPr="00AC47A2" w:rsidRDefault="00671620" w:rsidP="00AC47A2">
            <w:pPr>
              <w:spacing w:before="120" w:after="120" w:line="240" w:lineRule="auto"/>
              <w:jc w:val="center"/>
              <w:rPr>
                <w:rFonts w:cs="Arial"/>
                <w:sz w:val="22"/>
                <w:lang w:eastAsia="pt-BR"/>
              </w:rPr>
            </w:pPr>
            <w:r w:rsidRPr="00AC47A2">
              <w:rPr>
                <w:rFonts w:cs="Arial"/>
                <w:sz w:val="22"/>
                <w:lang w:eastAsia="pt-BR"/>
              </w:rPr>
              <w:t>Apresentar aos órgãos licenciadores do SISNAMA o seu PGRS a cada oportunidade de renovação das licenças ambientais e à Prefeitura em conformidade com a legislação municipal.</w:t>
            </w:r>
          </w:p>
          <w:p w:rsidR="00671620" w:rsidRPr="00AC47A2" w:rsidRDefault="00671620" w:rsidP="00AC47A2">
            <w:pPr>
              <w:spacing w:before="120" w:after="120" w:line="240" w:lineRule="auto"/>
              <w:jc w:val="center"/>
              <w:rPr>
                <w:rFonts w:cs="Arial"/>
                <w:sz w:val="22"/>
                <w:lang w:eastAsia="pt-BR"/>
              </w:rPr>
            </w:pPr>
          </w:p>
          <w:p w:rsidR="00671620" w:rsidRPr="00AC47A2" w:rsidRDefault="00671620" w:rsidP="00AC47A2">
            <w:pPr>
              <w:spacing w:before="120" w:after="120" w:line="240" w:lineRule="auto"/>
              <w:jc w:val="center"/>
              <w:rPr>
                <w:rFonts w:cs="Arial"/>
                <w:sz w:val="22"/>
                <w:lang w:eastAsia="pt-BR"/>
              </w:rPr>
            </w:pPr>
          </w:p>
        </w:tc>
      </w:tr>
      <w:tr w:rsidR="00671620" w:rsidRPr="00AC47A2" w:rsidTr="00D5039A">
        <w:trPr>
          <w:cantSplit/>
          <w:trHeight w:val="20"/>
          <w:jc w:val="center"/>
        </w:trPr>
        <w:tc>
          <w:tcPr>
            <w:tcW w:w="4219"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rsidR="00671620" w:rsidRPr="00AC47A2" w:rsidRDefault="00671620" w:rsidP="00AC47A2">
            <w:pPr>
              <w:spacing w:before="120" w:after="120" w:line="240" w:lineRule="auto"/>
              <w:jc w:val="center"/>
              <w:rPr>
                <w:rFonts w:cs="Arial"/>
                <w:bCs/>
                <w:sz w:val="22"/>
                <w:lang w:eastAsia="pt-BR"/>
              </w:rPr>
            </w:pPr>
          </w:p>
          <w:p w:rsidR="00671620" w:rsidRPr="00AC47A2" w:rsidRDefault="00C53910" w:rsidP="00AC47A2">
            <w:pPr>
              <w:spacing w:before="120" w:after="120" w:line="240" w:lineRule="auto"/>
              <w:jc w:val="center"/>
              <w:rPr>
                <w:rFonts w:cs="Arial"/>
                <w:bCs/>
                <w:sz w:val="22"/>
                <w:lang w:eastAsia="pt-BR"/>
              </w:rPr>
            </w:pPr>
            <w:r w:rsidRPr="00AC47A2">
              <w:rPr>
                <w:rFonts w:cs="Arial"/>
                <w:bCs/>
                <w:sz w:val="22"/>
                <w:lang w:eastAsia="pt-BR"/>
              </w:rPr>
              <w:t>Exigir</w:t>
            </w:r>
            <w:r w:rsidR="00E854AA" w:rsidRPr="00AC47A2">
              <w:rPr>
                <w:rFonts w:cs="Arial"/>
                <w:bCs/>
                <w:sz w:val="22"/>
                <w:lang w:eastAsia="pt-BR"/>
              </w:rPr>
              <w:t xml:space="preserve"> legalmente</w:t>
            </w:r>
            <w:r w:rsidRPr="00AC47A2">
              <w:rPr>
                <w:rFonts w:cs="Arial"/>
                <w:bCs/>
                <w:sz w:val="22"/>
                <w:lang w:eastAsia="pt-BR"/>
              </w:rPr>
              <w:t xml:space="preserve"> a entrega de PGRSs pelos geradores, controlar </w:t>
            </w:r>
            <w:r w:rsidR="00671620" w:rsidRPr="00AC47A2">
              <w:rPr>
                <w:rFonts w:cs="Arial"/>
                <w:bCs/>
                <w:sz w:val="22"/>
                <w:lang w:eastAsia="pt-BR"/>
              </w:rPr>
              <w:t>o</w:t>
            </w:r>
            <w:r w:rsidRPr="00AC47A2">
              <w:rPr>
                <w:rFonts w:cs="Arial"/>
                <w:bCs/>
                <w:sz w:val="22"/>
                <w:lang w:eastAsia="pt-BR"/>
              </w:rPr>
              <w:t>s</w:t>
            </w:r>
            <w:r w:rsidR="00671620" w:rsidRPr="00AC47A2">
              <w:rPr>
                <w:rFonts w:cs="Arial"/>
                <w:bCs/>
                <w:sz w:val="22"/>
                <w:lang w:eastAsia="pt-BR"/>
              </w:rPr>
              <w:t xml:space="preserve"> recebimento</w:t>
            </w:r>
            <w:r w:rsidRPr="00AC47A2">
              <w:rPr>
                <w:rFonts w:cs="Arial"/>
                <w:bCs/>
                <w:sz w:val="22"/>
                <w:lang w:eastAsia="pt-BR"/>
              </w:rPr>
              <w:t>s</w:t>
            </w:r>
            <w:r w:rsidR="00671620" w:rsidRPr="00AC47A2">
              <w:rPr>
                <w:rFonts w:cs="Arial"/>
                <w:bCs/>
                <w:sz w:val="22"/>
                <w:lang w:eastAsia="pt-BR"/>
              </w:rPr>
              <w:t xml:space="preserve"> dos </w:t>
            </w:r>
            <w:r w:rsidRPr="00AC47A2">
              <w:rPr>
                <w:rFonts w:cs="Arial"/>
                <w:bCs/>
                <w:sz w:val="22"/>
                <w:lang w:eastAsia="pt-BR"/>
              </w:rPr>
              <w:t>desses documentos</w:t>
            </w:r>
            <w:r w:rsidR="00671620" w:rsidRPr="00AC47A2">
              <w:rPr>
                <w:rFonts w:cs="Arial"/>
                <w:bCs/>
                <w:sz w:val="22"/>
                <w:lang w:eastAsia="pt-BR"/>
              </w:rPr>
              <w:t xml:space="preserve"> e </w:t>
            </w:r>
            <w:r w:rsidRPr="00AC47A2">
              <w:rPr>
                <w:rFonts w:cs="Arial"/>
                <w:bCs/>
                <w:sz w:val="22"/>
                <w:lang w:eastAsia="pt-BR"/>
              </w:rPr>
              <w:t xml:space="preserve">fiscalizar </w:t>
            </w:r>
            <w:r w:rsidR="00671620" w:rsidRPr="00AC47A2">
              <w:rPr>
                <w:rFonts w:cs="Arial"/>
                <w:bCs/>
                <w:sz w:val="22"/>
                <w:lang w:eastAsia="pt-BR"/>
              </w:rPr>
              <w:t>os procedimentos nos respectivos estabelecimentos.</w:t>
            </w:r>
          </w:p>
          <w:p w:rsidR="00671620" w:rsidRPr="00AC47A2" w:rsidRDefault="00671620" w:rsidP="00AC47A2">
            <w:pPr>
              <w:spacing w:before="120" w:after="120" w:line="240" w:lineRule="auto"/>
              <w:jc w:val="center"/>
              <w:rPr>
                <w:rFonts w:cs="Arial"/>
                <w:bCs/>
                <w:sz w:val="22"/>
                <w:lang w:eastAsia="pt-BR"/>
              </w:rPr>
            </w:pPr>
          </w:p>
        </w:tc>
        <w:tc>
          <w:tcPr>
            <w:tcW w:w="5351"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rsidR="00671620" w:rsidRPr="00AC47A2" w:rsidRDefault="00E854AA" w:rsidP="00AC47A2">
            <w:pPr>
              <w:spacing w:before="120" w:after="120" w:line="240" w:lineRule="auto"/>
              <w:jc w:val="center"/>
              <w:rPr>
                <w:rFonts w:cs="Arial"/>
                <w:sz w:val="22"/>
                <w:lang w:eastAsia="pt-BR"/>
              </w:rPr>
            </w:pPr>
            <w:r w:rsidRPr="00AC47A2">
              <w:rPr>
                <w:rFonts w:cs="Arial"/>
                <w:sz w:val="22"/>
                <w:lang w:eastAsia="pt-BR"/>
              </w:rPr>
              <w:t>Poder Público Municipal (Executivo e Legislativo).</w:t>
            </w:r>
          </w:p>
        </w:tc>
      </w:tr>
      <w:tr w:rsidR="00671620" w:rsidRPr="00AC47A2" w:rsidTr="00D5039A">
        <w:trPr>
          <w:cantSplit/>
          <w:trHeight w:val="20"/>
          <w:jc w:val="center"/>
        </w:trPr>
        <w:tc>
          <w:tcPr>
            <w:tcW w:w="4219" w:type="dxa"/>
            <w:tcBorders>
              <w:top w:val="single" w:sz="8" w:space="0" w:color="000000"/>
              <w:left w:val="single" w:sz="8" w:space="0" w:color="000000"/>
              <w:bottom w:val="single" w:sz="8" w:space="0" w:color="000000"/>
              <w:right w:val="single" w:sz="8" w:space="0" w:color="000000"/>
            </w:tcBorders>
            <w:shd w:val="clear" w:color="auto" w:fill="auto"/>
            <w:vAlign w:val="center"/>
          </w:tcPr>
          <w:p w:rsidR="00671620" w:rsidRPr="00AC47A2" w:rsidRDefault="00671620" w:rsidP="00AC47A2">
            <w:pPr>
              <w:spacing w:before="120" w:after="120" w:line="240" w:lineRule="auto"/>
              <w:jc w:val="center"/>
              <w:rPr>
                <w:rFonts w:cs="Arial"/>
                <w:bCs/>
                <w:sz w:val="22"/>
                <w:lang w:eastAsia="pt-BR"/>
              </w:rPr>
            </w:pPr>
            <w:r w:rsidRPr="00AC47A2">
              <w:rPr>
                <w:rFonts w:cs="Arial"/>
                <w:bCs/>
                <w:sz w:val="22"/>
                <w:lang w:eastAsia="pt-BR"/>
              </w:rPr>
              <w:t>Gestão de resíduos definidos como de logística reversa por meio de acordos setoriais e termos de compromisso para atribuição de responsabilidades.</w:t>
            </w:r>
          </w:p>
        </w:tc>
        <w:tc>
          <w:tcPr>
            <w:tcW w:w="5351" w:type="dxa"/>
            <w:tcBorders>
              <w:top w:val="single" w:sz="8" w:space="0" w:color="000000"/>
              <w:left w:val="single" w:sz="8" w:space="0" w:color="000000"/>
              <w:bottom w:val="single" w:sz="8" w:space="0" w:color="000000"/>
              <w:right w:val="single" w:sz="8" w:space="0" w:color="000000"/>
            </w:tcBorders>
            <w:shd w:val="clear" w:color="auto" w:fill="auto"/>
            <w:vAlign w:val="center"/>
          </w:tcPr>
          <w:p w:rsidR="00671620" w:rsidRPr="00AC47A2" w:rsidRDefault="00671620" w:rsidP="00AC47A2">
            <w:pPr>
              <w:spacing w:before="120" w:after="120" w:line="240" w:lineRule="auto"/>
              <w:jc w:val="center"/>
              <w:rPr>
                <w:rFonts w:cs="Arial"/>
                <w:sz w:val="22"/>
                <w:lang w:eastAsia="pt-BR"/>
              </w:rPr>
            </w:pPr>
            <w:r w:rsidRPr="00AC47A2">
              <w:rPr>
                <w:rFonts w:cs="Arial"/>
                <w:sz w:val="22"/>
                <w:lang w:eastAsia="pt-BR"/>
              </w:rPr>
              <w:t>Fabricantes, importadores, distribuidores ou comerciantes.</w:t>
            </w:r>
          </w:p>
          <w:p w:rsidR="00671620" w:rsidRPr="00AC47A2" w:rsidRDefault="00671620" w:rsidP="00AC47A2">
            <w:pPr>
              <w:spacing w:before="120" w:after="120" w:line="240" w:lineRule="auto"/>
              <w:jc w:val="center"/>
              <w:rPr>
                <w:rFonts w:cs="Arial"/>
                <w:sz w:val="22"/>
                <w:lang w:eastAsia="pt-BR"/>
              </w:rPr>
            </w:pPr>
            <w:r w:rsidRPr="00AC47A2">
              <w:rPr>
                <w:rFonts w:cs="Arial"/>
                <w:sz w:val="22"/>
                <w:lang w:eastAsia="pt-BR"/>
              </w:rPr>
              <w:t>Poder Público, caso acordado.</w:t>
            </w:r>
          </w:p>
        </w:tc>
      </w:tr>
      <w:tr w:rsidR="00671620" w:rsidRPr="00AC47A2" w:rsidTr="00D5039A">
        <w:trPr>
          <w:cantSplit/>
          <w:trHeight w:val="20"/>
          <w:jc w:val="center"/>
        </w:trPr>
        <w:tc>
          <w:tcPr>
            <w:tcW w:w="4219"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rsidR="00671620" w:rsidRPr="00AC47A2" w:rsidRDefault="00671620" w:rsidP="00AC47A2">
            <w:pPr>
              <w:spacing w:before="120" w:after="120" w:line="240" w:lineRule="auto"/>
              <w:jc w:val="center"/>
              <w:rPr>
                <w:rFonts w:cs="Arial"/>
                <w:bCs/>
                <w:sz w:val="22"/>
                <w:lang w:eastAsia="pt-BR"/>
              </w:rPr>
            </w:pPr>
          </w:p>
          <w:p w:rsidR="00671620" w:rsidRPr="00AC47A2" w:rsidRDefault="00671620" w:rsidP="00AC47A2">
            <w:pPr>
              <w:spacing w:before="120" w:after="120" w:line="240" w:lineRule="auto"/>
              <w:jc w:val="center"/>
              <w:rPr>
                <w:rFonts w:cs="Arial"/>
                <w:bCs/>
                <w:sz w:val="22"/>
                <w:lang w:eastAsia="pt-BR"/>
              </w:rPr>
            </w:pPr>
            <w:r w:rsidRPr="00AC47A2">
              <w:rPr>
                <w:rFonts w:cs="Arial"/>
                <w:bCs/>
                <w:sz w:val="22"/>
                <w:lang w:eastAsia="pt-BR"/>
              </w:rPr>
              <w:t>Regulamentação de procedimentos através da sanção de leis municipais.</w:t>
            </w:r>
          </w:p>
          <w:p w:rsidR="00671620" w:rsidRPr="00AC47A2" w:rsidRDefault="00671620" w:rsidP="00AC47A2">
            <w:pPr>
              <w:spacing w:before="120" w:after="120" w:line="240" w:lineRule="auto"/>
              <w:jc w:val="center"/>
              <w:rPr>
                <w:rFonts w:cs="Arial"/>
                <w:bCs/>
                <w:sz w:val="22"/>
                <w:lang w:eastAsia="pt-BR"/>
              </w:rPr>
            </w:pPr>
          </w:p>
        </w:tc>
        <w:tc>
          <w:tcPr>
            <w:tcW w:w="5351"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rsidR="00671620" w:rsidRPr="00AC47A2" w:rsidRDefault="00671620" w:rsidP="00AC47A2">
            <w:pPr>
              <w:spacing w:before="120" w:after="120" w:line="240" w:lineRule="auto"/>
              <w:jc w:val="center"/>
              <w:rPr>
                <w:rFonts w:cs="Arial"/>
                <w:sz w:val="22"/>
                <w:lang w:eastAsia="pt-BR"/>
              </w:rPr>
            </w:pPr>
            <w:r w:rsidRPr="00AC47A2">
              <w:rPr>
                <w:rFonts w:cs="Arial"/>
                <w:sz w:val="22"/>
                <w:lang w:eastAsia="pt-BR"/>
              </w:rPr>
              <w:t>Poder Público Municipal (Executivo e Legislativo).</w:t>
            </w:r>
          </w:p>
        </w:tc>
      </w:tr>
      <w:tr w:rsidR="00671620" w:rsidRPr="00AC47A2" w:rsidTr="00D5039A">
        <w:trPr>
          <w:cantSplit/>
          <w:trHeight w:val="20"/>
          <w:jc w:val="center"/>
        </w:trPr>
        <w:tc>
          <w:tcPr>
            <w:tcW w:w="4219"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671620" w:rsidRPr="00AC47A2" w:rsidRDefault="00671620" w:rsidP="00AC47A2">
            <w:pPr>
              <w:spacing w:before="120" w:after="120" w:line="240" w:lineRule="auto"/>
              <w:jc w:val="center"/>
              <w:rPr>
                <w:rFonts w:cs="Arial"/>
                <w:bCs/>
                <w:sz w:val="22"/>
                <w:lang w:eastAsia="pt-BR"/>
              </w:rPr>
            </w:pPr>
            <w:r w:rsidRPr="00AC47A2">
              <w:rPr>
                <w:rFonts w:cs="Arial"/>
                <w:bCs/>
                <w:sz w:val="22"/>
                <w:lang w:eastAsia="pt-BR"/>
              </w:rPr>
              <w:t>Acondicionamento adequado e diferenciado para resíduos recicláveis e rejeitos e disponibilização adequada para coleta ou devolução.</w:t>
            </w:r>
          </w:p>
        </w:tc>
        <w:tc>
          <w:tcPr>
            <w:tcW w:w="5351"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671620" w:rsidRPr="00AC47A2" w:rsidRDefault="00671620" w:rsidP="00AC47A2">
            <w:pPr>
              <w:spacing w:before="120" w:after="120" w:line="240" w:lineRule="auto"/>
              <w:jc w:val="center"/>
              <w:rPr>
                <w:rFonts w:cs="Arial"/>
                <w:sz w:val="22"/>
                <w:lang w:eastAsia="pt-BR"/>
              </w:rPr>
            </w:pPr>
            <w:r w:rsidRPr="00AC47A2">
              <w:rPr>
                <w:rFonts w:cs="Arial"/>
                <w:sz w:val="22"/>
                <w:lang w:eastAsia="pt-BR"/>
              </w:rPr>
              <w:t>Cidadão / gerador domiciliar.</w:t>
            </w:r>
          </w:p>
        </w:tc>
      </w:tr>
    </w:tbl>
    <w:p w:rsidR="00671620" w:rsidRDefault="00671620" w:rsidP="00AC47A2">
      <w:pPr>
        <w:pStyle w:val="Fonte"/>
      </w:pPr>
      <w:r w:rsidRPr="007D26EA">
        <w:t>Fonte: SHS, 2017.</w:t>
      </w:r>
    </w:p>
    <w:p w:rsidR="00AC47A2" w:rsidRDefault="00AC47A2" w:rsidP="00AC47A2">
      <w:pPr>
        <w:pStyle w:val="Fonte"/>
      </w:pPr>
    </w:p>
    <w:p w:rsidR="00AC47A2" w:rsidRDefault="00AC47A2" w:rsidP="00AC47A2">
      <w:pPr>
        <w:pStyle w:val="Fonte"/>
      </w:pPr>
    </w:p>
    <w:p w:rsidR="00671620" w:rsidRPr="00D22570" w:rsidRDefault="00671620" w:rsidP="00BC01B1">
      <w:pPr>
        <w:pStyle w:val="Ttulo3"/>
      </w:pPr>
      <w:bookmarkStart w:id="496" w:name="_Toc493151506"/>
      <w:bookmarkStart w:id="497" w:name="_Toc498593484"/>
      <w:bookmarkStart w:id="498" w:name="_Toc504404456"/>
      <w:bookmarkStart w:id="499" w:name="_Toc509935495"/>
      <w:r w:rsidRPr="00D22570">
        <w:lastRenderedPageBreak/>
        <w:t>Formas e limites da participação do Poder Público local na coleta seletiva e na logística reversa</w:t>
      </w:r>
      <w:bookmarkEnd w:id="413"/>
      <w:bookmarkEnd w:id="496"/>
      <w:bookmarkEnd w:id="497"/>
      <w:bookmarkEnd w:id="498"/>
      <w:bookmarkEnd w:id="499"/>
    </w:p>
    <w:p w:rsidR="00E854AA" w:rsidRDefault="00671620" w:rsidP="00671620">
      <w:pPr>
        <w:pStyle w:val="Default"/>
        <w:spacing w:line="360" w:lineRule="auto"/>
        <w:ind w:firstLine="709"/>
        <w:jc w:val="both"/>
        <w:rPr>
          <w:color w:val="auto"/>
        </w:rPr>
      </w:pPr>
      <w:r w:rsidRPr="00D22570">
        <w:rPr>
          <w:color w:val="auto"/>
        </w:rPr>
        <w:t xml:space="preserve">A coleta seletiva </w:t>
      </w:r>
      <w:r>
        <w:rPr>
          <w:color w:val="auto"/>
        </w:rPr>
        <w:t xml:space="preserve">e a </w:t>
      </w:r>
      <w:r w:rsidRPr="00D22570">
        <w:rPr>
          <w:color w:val="auto"/>
        </w:rPr>
        <w:t xml:space="preserve">logística reversa são instrumentos da Política Nacional dos Resíduos Sólidos (PNRS) que têm como objetivo aperfeiçoar o sistema de manejo de resíduos visando à prevenção de impactos ambientais, basicamente aqueles causados pela destinação de resíduos impróprios para o aterramento sanitário, e recuperar o valor agregado dos resíduos. Os procedimentos inseridos nos processos de logística reversa e coleta seletiva, além de estabelecerem a possibilidade de reduzir e reciclar resíduos, possuem um caráter de educação ambiental contínuo, uma vez que a responsabilidade de manejo desses resíduos é compartilhada entre diversos atores do cenário local/regional. </w:t>
      </w:r>
    </w:p>
    <w:p w:rsidR="00E854AA" w:rsidRDefault="00E854AA" w:rsidP="00671620">
      <w:pPr>
        <w:pStyle w:val="Default"/>
        <w:spacing w:line="360" w:lineRule="auto"/>
        <w:ind w:firstLine="709"/>
        <w:jc w:val="both"/>
        <w:rPr>
          <w:color w:val="auto"/>
        </w:rPr>
      </w:pPr>
      <w:r>
        <w:rPr>
          <w:color w:val="auto"/>
        </w:rPr>
        <w:t xml:space="preserve">Considerando que são diversos os atores na geração de resíduos passíveis de coleta seletiva e de logística reversa, </w:t>
      </w:r>
      <w:r w:rsidR="00E36D09">
        <w:rPr>
          <w:color w:val="auto"/>
        </w:rPr>
        <w:t>também são diversos os responsáveis pelo encaminhamento correto desses resíduos. O Poder Público deve atuar como disciplinador, facilitador e articulador dos procedimentos a serem empreendidos pelos vários responsáveis.</w:t>
      </w:r>
    </w:p>
    <w:p w:rsidR="00671620" w:rsidRPr="00D22570" w:rsidRDefault="00671620" w:rsidP="00BC01B1">
      <w:pPr>
        <w:pStyle w:val="Ttulo4"/>
      </w:pPr>
      <w:bookmarkStart w:id="500" w:name="_Toc493151508"/>
      <w:bookmarkStart w:id="501" w:name="_Toc498593485"/>
      <w:bookmarkStart w:id="502" w:name="_Toc504404457"/>
      <w:bookmarkStart w:id="503" w:name="_Toc509935496"/>
      <w:bookmarkStart w:id="504" w:name="_Toc493151507"/>
      <w:r>
        <w:t>Coleta s</w:t>
      </w:r>
      <w:r w:rsidRPr="00D22570">
        <w:t>eletiva</w:t>
      </w:r>
      <w:bookmarkEnd w:id="500"/>
      <w:bookmarkEnd w:id="501"/>
      <w:bookmarkEnd w:id="502"/>
      <w:bookmarkEnd w:id="503"/>
      <w:r w:rsidRPr="00D22570">
        <w:t xml:space="preserve"> </w:t>
      </w:r>
    </w:p>
    <w:p w:rsidR="00671620" w:rsidRPr="00D22570" w:rsidRDefault="00671620" w:rsidP="00671620">
      <w:pPr>
        <w:pStyle w:val="Default"/>
        <w:spacing w:line="360" w:lineRule="auto"/>
        <w:ind w:firstLine="709"/>
        <w:jc w:val="both"/>
        <w:rPr>
          <w:color w:val="auto"/>
        </w:rPr>
      </w:pPr>
      <w:r w:rsidRPr="00D22570">
        <w:rPr>
          <w:color w:val="auto"/>
        </w:rPr>
        <w:t xml:space="preserve">Coleta seletiva é um processo definido pela Lei nº 12.305/07 como “a coleta de resíduos sólidos previamente segregados conforme sua constituição ou composição”. </w:t>
      </w:r>
    </w:p>
    <w:p w:rsidR="00671620" w:rsidRPr="004F144D" w:rsidRDefault="00671620" w:rsidP="00671620">
      <w:pPr>
        <w:pStyle w:val="Default"/>
        <w:spacing w:line="360" w:lineRule="auto"/>
        <w:ind w:firstLine="709"/>
        <w:jc w:val="both"/>
        <w:rPr>
          <w:color w:val="auto"/>
        </w:rPr>
      </w:pPr>
      <w:r w:rsidRPr="004F144D">
        <w:rPr>
          <w:color w:val="auto"/>
        </w:rPr>
        <w:t xml:space="preserve">O Programa Cidades Sustentáveis (2013) destaca a importância da participação do Poder Público no contexto da coleta seletiva do município, por meio dos gestores municipais, pela instituição de programas e ações de capacitação técnica e de educação ambiental. Aponta, também, que esse processo deve garantir a participação dos grupos interessados, em especial das cooperativas e demais associações de catadores de materiais reutilizáveis e recicláveis, visando ao aprendizado de mecanismos para a criação de fontes de negócios, emprego e renda. </w:t>
      </w:r>
    </w:p>
    <w:p w:rsidR="00671620" w:rsidRPr="00D22570" w:rsidRDefault="00671620" w:rsidP="00671620">
      <w:pPr>
        <w:pStyle w:val="Default"/>
        <w:spacing w:line="360" w:lineRule="auto"/>
        <w:ind w:firstLine="709"/>
        <w:jc w:val="both"/>
        <w:rPr>
          <w:color w:val="auto"/>
        </w:rPr>
      </w:pPr>
      <w:r w:rsidRPr="00D22570">
        <w:rPr>
          <w:color w:val="auto"/>
        </w:rPr>
        <w:t xml:space="preserve">Assim como na logística reversa, as ações do Poder Público na gestão da coleta seletiva não bastam, por si só, para que sejam bem-sucedidas na limpeza do espaço público e no correto encaminhamento dos resíduos gerados no município, razão pela qual há que se indicar o papel dos demais atores envolvidos no processo, entre os </w:t>
      </w:r>
      <w:r w:rsidRPr="00D22570">
        <w:rPr>
          <w:color w:val="auto"/>
        </w:rPr>
        <w:lastRenderedPageBreak/>
        <w:t>quais se destacam: as cooperativas ou associações de catadores, as empresas privadas (estabelecimentos comerciais, distribuidores e fabricantes) e a sociedade civil.</w:t>
      </w:r>
    </w:p>
    <w:p w:rsidR="00671620" w:rsidRPr="00D22570" w:rsidRDefault="00671620" w:rsidP="00671620">
      <w:pPr>
        <w:pStyle w:val="Default"/>
        <w:spacing w:line="360" w:lineRule="auto"/>
        <w:ind w:firstLine="709"/>
        <w:jc w:val="both"/>
        <w:rPr>
          <w:color w:val="auto"/>
        </w:rPr>
      </w:pPr>
      <w:r w:rsidRPr="00D22570">
        <w:rPr>
          <w:color w:val="auto"/>
        </w:rPr>
        <w:t xml:space="preserve">É importante salientar que, segundo a legislação aplicável, as cooperativas e associações devem: </w:t>
      </w:r>
    </w:p>
    <w:p w:rsidR="00671620" w:rsidRPr="00D22570" w:rsidRDefault="00671620" w:rsidP="0066661F">
      <w:pPr>
        <w:numPr>
          <w:ilvl w:val="0"/>
          <w:numId w:val="72"/>
        </w:numPr>
        <w:shd w:val="clear" w:color="auto" w:fill="FFFFFF"/>
        <w:tabs>
          <w:tab w:val="clear" w:pos="720"/>
          <w:tab w:val="num" w:pos="1276"/>
        </w:tabs>
        <w:ind w:left="1418" w:right="301" w:hanging="142"/>
        <w:jc w:val="both"/>
        <w:textAlignment w:val="baseline"/>
        <w:rPr>
          <w:rFonts w:eastAsia="Times New Roman"/>
          <w:lang w:eastAsia="pt-BR"/>
        </w:rPr>
      </w:pPr>
      <w:r w:rsidRPr="00D22570">
        <w:rPr>
          <w:rFonts w:eastAsia="Times New Roman"/>
          <w:lang w:eastAsia="pt-BR"/>
        </w:rPr>
        <w:t>Estar formal e exclusivamente constituída por catadores de materiais recicláveis que tenham a catação como forma única de renda.</w:t>
      </w:r>
    </w:p>
    <w:p w:rsidR="00671620" w:rsidRPr="00D22570" w:rsidRDefault="00671620" w:rsidP="0066661F">
      <w:pPr>
        <w:numPr>
          <w:ilvl w:val="0"/>
          <w:numId w:val="72"/>
        </w:numPr>
        <w:shd w:val="clear" w:color="auto" w:fill="FFFFFF"/>
        <w:tabs>
          <w:tab w:val="clear" w:pos="720"/>
          <w:tab w:val="num" w:pos="1276"/>
        </w:tabs>
        <w:ind w:left="1418" w:right="301" w:hanging="142"/>
        <w:jc w:val="both"/>
        <w:textAlignment w:val="baseline"/>
        <w:rPr>
          <w:rFonts w:eastAsia="Times New Roman"/>
          <w:lang w:eastAsia="pt-BR"/>
        </w:rPr>
      </w:pPr>
      <w:r w:rsidRPr="00D22570">
        <w:rPr>
          <w:rFonts w:eastAsia="Times New Roman"/>
          <w:lang w:eastAsia="pt-BR"/>
        </w:rPr>
        <w:t>Não possuir fins lucrativos.</w:t>
      </w:r>
    </w:p>
    <w:p w:rsidR="00671620" w:rsidRPr="00D22570" w:rsidRDefault="00671620" w:rsidP="0066661F">
      <w:pPr>
        <w:numPr>
          <w:ilvl w:val="0"/>
          <w:numId w:val="72"/>
        </w:numPr>
        <w:shd w:val="clear" w:color="auto" w:fill="FFFFFF"/>
        <w:tabs>
          <w:tab w:val="clear" w:pos="720"/>
          <w:tab w:val="num" w:pos="1276"/>
        </w:tabs>
        <w:ind w:left="1418" w:right="301" w:hanging="142"/>
        <w:jc w:val="both"/>
        <w:textAlignment w:val="baseline"/>
        <w:rPr>
          <w:rFonts w:eastAsia="Times New Roman"/>
          <w:lang w:eastAsia="pt-BR"/>
        </w:rPr>
      </w:pPr>
      <w:r w:rsidRPr="00D22570">
        <w:rPr>
          <w:rFonts w:eastAsia="Times New Roman"/>
          <w:lang w:eastAsia="pt-BR"/>
        </w:rPr>
        <w:t>Possuir infraestrutura para realizar a triagem e a classificação dos resíduos recicláveis descartados.</w:t>
      </w:r>
    </w:p>
    <w:p w:rsidR="00671620" w:rsidRPr="00D22570" w:rsidRDefault="00671620" w:rsidP="0066661F">
      <w:pPr>
        <w:numPr>
          <w:ilvl w:val="0"/>
          <w:numId w:val="72"/>
        </w:numPr>
        <w:shd w:val="clear" w:color="auto" w:fill="FFFFFF"/>
        <w:tabs>
          <w:tab w:val="clear" w:pos="720"/>
          <w:tab w:val="num" w:pos="1276"/>
        </w:tabs>
        <w:ind w:left="1418" w:right="301" w:hanging="142"/>
        <w:jc w:val="both"/>
        <w:textAlignment w:val="baseline"/>
        <w:rPr>
          <w:rFonts w:eastAsia="Times New Roman"/>
          <w:lang w:eastAsia="pt-BR"/>
        </w:rPr>
      </w:pPr>
      <w:r w:rsidRPr="00D22570">
        <w:rPr>
          <w:rFonts w:eastAsia="Times New Roman"/>
          <w:lang w:eastAsia="pt-BR"/>
        </w:rPr>
        <w:t>Possuir sistema de rateio entre os associados e cooperados.</w:t>
      </w:r>
    </w:p>
    <w:p w:rsidR="00671620" w:rsidRPr="00D22570" w:rsidRDefault="00671620" w:rsidP="00671620">
      <w:pPr>
        <w:pStyle w:val="Default"/>
        <w:spacing w:line="360" w:lineRule="auto"/>
        <w:ind w:firstLine="709"/>
        <w:jc w:val="both"/>
        <w:rPr>
          <w:color w:val="auto"/>
        </w:rPr>
      </w:pPr>
      <w:r w:rsidRPr="00D22570">
        <w:rPr>
          <w:color w:val="auto"/>
        </w:rPr>
        <w:t xml:space="preserve">Caso não haja associação ou cooperativa de catadores que preencham essas condições, recomenda-se que o Poder Público incentive a criação dessa entidade através do cadastramento de catadores autônomos pelo CRAS e do fornecimento de recursos técnicos, patrimoniais e/ou financeiros para um grupamento cadastrado de catadores autônomos que se apresente capaz de recolher os resíduos gerados nos domicílios urbanos e estabelecimentos comerciais do município. Esse grupamento, caso preencha os requisitos mencionados, pode vir a ser uma cooperativa. </w:t>
      </w:r>
    </w:p>
    <w:p w:rsidR="00671620" w:rsidRPr="00D22570" w:rsidRDefault="00671620" w:rsidP="00671620">
      <w:pPr>
        <w:pStyle w:val="Default"/>
        <w:spacing w:line="360" w:lineRule="auto"/>
        <w:ind w:firstLine="709"/>
        <w:jc w:val="both"/>
        <w:rPr>
          <w:color w:val="auto"/>
        </w:rPr>
      </w:pPr>
      <w:r w:rsidRPr="00D22570">
        <w:rPr>
          <w:color w:val="auto"/>
        </w:rPr>
        <w:t>Cabe ao Poder Público, em conjunto com a cooperativa, fazer o planejamento e a implementação de um processo de coleta seletiva que seja compatível com a realidade municipal, sem deixar de incluir os seguintes procedimentos:</w:t>
      </w:r>
    </w:p>
    <w:p w:rsidR="00671620" w:rsidRPr="00D22570" w:rsidRDefault="00671620" w:rsidP="0066661F">
      <w:pPr>
        <w:pStyle w:val="Default"/>
        <w:numPr>
          <w:ilvl w:val="0"/>
          <w:numId w:val="74"/>
        </w:numPr>
        <w:spacing w:line="360" w:lineRule="auto"/>
        <w:ind w:left="993" w:hanging="284"/>
        <w:jc w:val="both"/>
        <w:rPr>
          <w:color w:val="auto"/>
        </w:rPr>
      </w:pPr>
      <w:r w:rsidRPr="00D22570">
        <w:rPr>
          <w:color w:val="auto"/>
        </w:rPr>
        <w:t xml:space="preserve">Estabelecer a forma de pagamento da taxa de resíduos, considerando a necessária sustentabilidade financeira do setor, indicada na Lei nº 12.305/07. </w:t>
      </w:r>
    </w:p>
    <w:p w:rsidR="00671620" w:rsidRPr="00D22570" w:rsidRDefault="00671620" w:rsidP="0066661F">
      <w:pPr>
        <w:pStyle w:val="Default"/>
        <w:numPr>
          <w:ilvl w:val="0"/>
          <w:numId w:val="74"/>
        </w:numPr>
        <w:spacing w:line="360" w:lineRule="auto"/>
        <w:ind w:left="993" w:hanging="284"/>
        <w:jc w:val="both"/>
        <w:rPr>
          <w:color w:val="auto"/>
        </w:rPr>
      </w:pPr>
      <w:r w:rsidRPr="00D22570">
        <w:rPr>
          <w:color w:val="auto"/>
        </w:rPr>
        <w:t>Estabelecer um fluxo de processos a ser seguido pelos resíduos. Um exemplo bastante comum desse fluxo é dado pela sequência a seguir:</w:t>
      </w:r>
    </w:p>
    <w:p w:rsidR="00671620" w:rsidRPr="00D22570" w:rsidRDefault="00671620" w:rsidP="00671620">
      <w:pPr>
        <w:pStyle w:val="Default"/>
        <w:spacing w:line="360" w:lineRule="auto"/>
        <w:ind w:left="1560" w:hanging="426"/>
        <w:jc w:val="both"/>
        <w:rPr>
          <w:color w:val="auto"/>
        </w:rPr>
      </w:pPr>
      <w:r w:rsidRPr="00D22570">
        <w:rPr>
          <w:color w:val="auto"/>
        </w:rPr>
        <w:t xml:space="preserve">1º) segregação na origem ou separação em casa; </w:t>
      </w:r>
    </w:p>
    <w:p w:rsidR="00671620" w:rsidRPr="00D22570" w:rsidRDefault="00671620" w:rsidP="00671620">
      <w:pPr>
        <w:pStyle w:val="Default"/>
        <w:spacing w:line="360" w:lineRule="auto"/>
        <w:ind w:left="1560" w:hanging="426"/>
        <w:jc w:val="both"/>
        <w:rPr>
          <w:color w:val="auto"/>
        </w:rPr>
      </w:pPr>
      <w:r w:rsidRPr="00D22570">
        <w:rPr>
          <w:color w:val="auto"/>
        </w:rPr>
        <w:t xml:space="preserve">2º) acondicionamento em </w:t>
      </w:r>
      <w:r w:rsidRPr="00D22570">
        <w:rPr>
          <w:i/>
          <w:color w:val="auto"/>
        </w:rPr>
        <w:t>containers</w:t>
      </w:r>
      <w:r w:rsidRPr="00D22570">
        <w:rPr>
          <w:color w:val="auto"/>
        </w:rPr>
        <w:t xml:space="preserve"> adequados para coleta na rua; </w:t>
      </w:r>
    </w:p>
    <w:p w:rsidR="00671620" w:rsidRPr="00D22570" w:rsidRDefault="00671620" w:rsidP="00671620">
      <w:pPr>
        <w:pStyle w:val="Default"/>
        <w:spacing w:line="360" w:lineRule="auto"/>
        <w:ind w:left="1560" w:hanging="426"/>
        <w:jc w:val="both"/>
        <w:rPr>
          <w:color w:val="auto"/>
        </w:rPr>
      </w:pPr>
      <w:r w:rsidRPr="00D22570">
        <w:rPr>
          <w:color w:val="auto"/>
        </w:rPr>
        <w:t xml:space="preserve">3º) coleta e transporte para o local de triagem e processamento (prensagem, enfardamento, etc.) dos resíduos; </w:t>
      </w:r>
    </w:p>
    <w:p w:rsidR="00671620" w:rsidRPr="00D22570" w:rsidRDefault="00671620" w:rsidP="00671620">
      <w:pPr>
        <w:pStyle w:val="Default"/>
        <w:spacing w:line="360" w:lineRule="auto"/>
        <w:ind w:left="1560" w:hanging="426"/>
        <w:jc w:val="both"/>
        <w:rPr>
          <w:color w:val="auto"/>
        </w:rPr>
      </w:pPr>
      <w:r w:rsidRPr="00D22570">
        <w:rPr>
          <w:color w:val="auto"/>
        </w:rPr>
        <w:t xml:space="preserve">4º) envio ou entrega dos resíduos para as empresas recicladoras; e </w:t>
      </w:r>
    </w:p>
    <w:p w:rsidR="00671620" w:rsidRPr="00D22570" w:rsidRDefault="00671620" w:rsidP="00671620">
      <w:pPr>
        <w:pStyle w:val="Default"/>
        <w:spacing w:line="360" w:lineRule="auto"/>
        <w:ind w:left="1560" w:hanging="426"/>
        <w:jc w:val="both"/>
        <w:rPr>
          <w:color w:val="auto"/>
        </w:rPr>
      </w:pPr>
      <w:r w:rsidRPr="00D22570">
        <w:rPr>
          <w:color w:val="auto"/>
        </w:rPr>
        <w:t>5º) envio de rejeitos para disposição final.</w:t>
      </w:r>
    </w:p>
    <w:p w:rsidR="00671620" w:rsidRPr="00D22570" w:rsidRDefault="00671620" w:rsidP="0066661F">
      <w:pPr>
        <w:pStyle w:val="Default"/>
        <w:numPr>
          <w:ilvl w:val="0"/>
          <w:numId w:val="74"/>
        </w:numPr>
        <w:spacing w:line="360" w:lineRule="auto"/>
        <w:ind w:left="993" w:hanging="284"/>
        <w:jc w:val="both"/>
        <w:rPr>
          <w:color w:val="auto"/>
        </w:rPr>
      </w:pPr>
      <w:r w:rsidRPr="00D22570">
        <w:rPr>
          <w:color w:val="auto"/>
        </w:rPr>
        <w:lastRenderedPageBreak/>
        <w:t>Estabelecer as atribuições de cada parte atuante no processo, considerando, num primeiro momento, o Poder Público, a cooperativa ou associação de catadores, a população e as empresas recicladoras convidadas a participar.</w:t>
      </w:r>
    </w:p>
    <w:p w:rsidR="00671620" w:rsidRPr="00D22570" w:rsidRDefault="00671620" w:rsidP="0066661F">
      <w:pPr>
        <w:pStyle w:val="Default"/>
        <w:numPr>
          <w:ilvl w:val="0"/>
          <w:numId w:val="74"/>
        </w:numPr>
        <w:spacing w:line="360" w:lineRule="auto"/>
        <w:ind w:left="993" w:hanging="284"/>
        <w:jc w:val="both"/>
        <w:rPr>
          <w:color w:val="auto"/>
        </w:rPr>
      </w:pPr>
      <w:r w:rsidRPr="00D22570">
        <w:rPr>
          <w:color w:val="auto"/>
        </w:rPr>
        <w:t>Estabelecer a periodicidade das coletas, por região do município.</w:t>
      </w:r>
    </w:p>
    <w:p w:rsidR="00671620" w:rsidRDefault="00671620" w:rsidP="0066661F">
      <w:pPr>
        <w:pStyle w:val="Default"/>
        <w:numPr>
          <w:ilvl w:val="0"/>
          <w:numId w:val="74"/>
        </w:numPr>
        <w:spacing w:line="360" w:lineRule="auto"/>
        <w:ind w:left="993" w:hanging="284"/>
        <w:jc w:val="both"/>
        <w:rPr>
          <w:color w:val="auto"/>
        </w:rPr>
      </w:pPr>
      <w:r w:rsidRPr="00D22570">
        <w:rPr>
          <w:color w:val="auto"/>
        </w:rPr>
        <w:t xml:space="preserve">Criar campanha de sensibilização e conscientização da população para assumir seu papel na nova política de resíduos do município, a começar com orientações para sua participação no programa de coleta seletiva. </w:t>
      </w:r>
    </w:p>
    <w:p w:rsidR="00671620" w:rsidRPr="00D22570" w:rsidRDefault="00671620" w:rsidP="00671620">
      <w:pPr>
        <w:pStyle w:val="Default"/>
        <w:spacing w:line="360" w:lineRule="auto"/>
        <w:ind w:firstLine="709"/>
        <w:jc w:val="both"/>
        <w:rPr>
          <w:color w:val="auto"/>
        </w:rPr>
      </w:pPr>
      <w:r w:rsidRPr="00D22570">
        <w:rPr>
          <w:color w:val="auto"/>
        </w:rPr>
        <w:t>Feitos os planejamentos, deve-se partir para a fase de operacionalização:</w:t>
      </w:r>
    </w:p>
    <w:p w:rsidR="00671620" w:rsidRPr="00D22570" w:rsidRDefault="00671620" w:rsidP="0066661F">
      <w:pPr>
        <w:pStyle w:val="Default"/>
        <w:numPr>
          <w:ilvl w:val="0"/>
          <w:numId w:val="74"/>
        </w:numPr>
        <w:spacing w:line="360" w:lineRule="auto"/>
        <w:ind w:left="993" w:hanging="284"/>
        <w:jc w:val="both"/>
        <w:rPr>
          <w:color w:val="auto"/>
        </w:rPr>
      </w:pPr>
      <w:r w:rsidRPr="00D22570">
        <w:rPr>
          <w:color w:val="auto"/>
        </w:rPr>
        <w:t>Iniciar a coleta em um bairro-piloto, utilizando-se: de veículo apropriado (caminhão não compactador dotado de sinal sonoro para alertar sua aproximação); e de pelo menos dois catadores, por caminhão, devidamente protegidos com EPIs.</w:t>
      </w:r>
    </w:p>
    <w:p w:rsidR="00671620" w:rsidRPr="00D22570" w:rsidRDefault="00671620" w:rsidP="0066661F">
      <w:pPr>
        <w:pStyle w:val="Default"/>
        <w:numPr>
          <w:ilvl w:val="0"/>
          <w:numId w:val="74"/>
        </w:numPr>
        <w:spacing w:line="360" w:lineRule="auto"/>
        <w:ind w:left="993" w:hanging="284"/>
        <w:jc w:val="both"/>
        <w:rPr>
          <w:color w:val="auto"/>
        </w:rPr>
      </w:pPr>
      <w:r w:rsidRPr="00D22570">
        <w:rPr>
          <w:color w:val="auto"/>
        </w:rPr>
        <w:t>Encaminhar diariamente toda a carga coletada a um Centro de Triagem de Resíduos (CTR).</w:t>
      </w:r>
    </w:p>
    <w:p w:rsidR="00671620" w:rsidRPr="00D22570" w:rsidRDefault="00671620" w:rsidP="0066661F">
      <w:pPr>
        <w:pStyle w:val="Default"/>
        <w:numPr>
          <w:ilvl w:val="0"/>
          <w:numId w:val="74"/>
        </w:numPr>
        <w:spacing w:line="360" w:lineRule="auto"/>
        <w:ind w:left="993" w:hanging="284"/>
        <w:jc w:val="both"/>
        <w:rPr>
          <w:color w:val="auto"/>
        </w:rPr>
      </w:pPr>
      <w:r w:rsidRPr="00D22570">
        <w:rPr>
          <w:color w:val="auto"/>
        </w:rPr>
        <w:t>Subsidiar a cooperativa com recursos necessários, sempre mediante termos de compromisso negociados entre as partes, levando-se em consideração dois aspectos fundamentais:</w:t>
      </w:r>
    </w:p>
    <w:p w:rsidR="00671620" w:rsidRPr="00D22570" w:rsidRDefault="00671620" w:rsidP="0066661F">
      <w:pPr>
        <w:pStyle w:val="Default"/>
        <w:numPr>
          <w:ilvl w:val="0"/>
          <w:numId w:val="73"/>
        </w:numPr>
        <w:spacing w:line="360" w:lineRule="auto"/>
        <w:jc w:val="both"/>
        <w:rPr>
          <w:color w:val="auto"/>
        </w:rPr>
      </w:pPr>
      <w:r w:rsidRPr="00D22570">
        <w:rPr>
          <w:color w:val="auto"/>
        </w:rPr>
        <w:t>Os subsídios públicos serão disponibilizados por períodos previamente determinados através de acordos oficiais.</w:t>
      </w:r>
    </w:p>
    <w:p w:rsidR="00671620" w:rsidRPr="00D22570" w:rsidRDefault="00671620" w:rsidP="0066661F">
      <w:pPr>
        <w:pStyle w:val="Default"/>
        <w:numPr>
          <w:ilvl w:val="0"/>
          <w:numId w:val="73"/>
        </w:numPr>
        <w:spacing w:line="360" w:lineRule="auto"/>
        <w:jc w:val="both"/>
        <w:rPr>
          <w:color w:val="auto"/>
        </w:rPr>
      </w:pPr>
      <w:r w:rsidRPr="00D22570">
        <w:rPr>
          <w:color w:val="auto"/>
        </w:rPr>
        <w:t>As cooperativas deverão evoluir para serem entidades autônomas.</w:t>
      </w:r>
    </w:p>
    <w:p w:rsidR="00671620" w:rsidRPr="00D22570" w:rsidRDefault="00671620" w:rsidP="0066661F">
      <w:pPr>
        <w:pStyle w:val="Default"/>
        <w:numPr>
          <w:ilvl w:val="0"/>
          <w:numId w:val="74"/>
        </w:numPr>
        <w:spacing w:line="360" w:lineRule="auto"/>
        <w:ind w:left="993" w:hanging="284"/>
        <w:jc w:val="both"/>
        <w:rPr>
          <w:color w:val="auto"/>
        </w:rPr>
      </w:pPr>
      <w:r w:rsidRPr="00D22570">
        <w:rPr>
          <w:color w:val="auto"/>
        </w:rPr>
        <w:t>Fazer plano de ação para ampliação dos serviços até alcançar todos os bairros da cidade.</w:t>
      </w:r>
    </w:p>
    <w:p w:rsidR="00671620" w:rsidRPr="00D22570" w:rsidRDefault="00671620" w:rsidP="0066661F">
      <w:pPr>
        <w:pStyle w:val="Default"/>
        <w:numPr>
          <w:ilvl w:val="0"/>
          <w:numId w:val="74"/>
        </w:numPr>
        <w:spacing w:line="360" w:lineRule="auto"/>
        <w:ind w:left="993" w:hanging="284"/>
        <w:jc w:val="both"/>
        <w:rPr>
          <w:color w:val="auto"/>
        </w:rPr>
      </w:pPr>
      <w:r w:rsidRPr="00D22570">
        <w:rPr>
          <w:color w:val="auto"/>
        </w:rPr>
        <w:t xml:space="preserve">Definir locais </w:t>
      </w:r>
      <w:r w:rsidRPr="00841358">
        <w:rPr>
          <w:color w:val="auto"/>
        </w:rPr>
        <w:t>estratégicos na área rural do município para o estabelecimento de PEVs de resíduos sólidos recicláveis</w:t>
      </w:r>
      <w:r w:rsidRPr="00D22570">
        <w:rPr>
          <w:color w:val="auto"/>
        </w:rPr>
        <w:t>, de forma que os moradores possam descartar seus resíduos pelo menos duas vezes por semana.</w:t>
      </w:r>
    </w:p>
    <w:p w:rsidR="00671620" w:rsidRPr="00D22570" w:rsidRDefault="00671620" w:rsidP="0066661F">
      <w:pPr>
        <w:pStyle w:val="Default"/>
        <w:numPr>
          <w:ilvl w:val="0"/>
          <w:numId w:val="74"/>
        </w:numPr>
        <w:spacing w:line="360" w:lineRule="auto"/>
        <w:ind w:left="993" w:hanging="284"/>
        <w:jc w:val="both"/>
        <w:rPr>
          <w:color w:val="auto"/>
        </w:rPr>
      </w:pPr>
      <w:r w:rsidRPr="00D22570">
        <w:rPr>
          <w:color w:val="auto"/>
        </w:rPr>
        <w:t xml:space="preserve">Estabelecer rotinas necessárias e tarefas específicas para serem implementadas em diversas etapas da operacionalização visando documentar os processos como, por exemplo, manter registros de: quantidade de resíduos recebidos no CTR; número de fardos por tipo de resíduo, empresas recicladoras que sejam potenciais clientes da CTR/Cooperativa/Associação; vendas efetuadas; doações efetuadas; quantidade de rejeitos enviados à </w:t>
      </w:r>
      <w:r w:rsidRPr="00D22570">
        <w:rPr>
          <w:color w:val="auto"/>
        </w:rPr>
        <w:lastRenderedPageBreak/>
        <w:t>disposição final (nesse documento, identificar o local de disposição final em todos os despachos); entre outros controles.</w:t>
      </w:r>
    </w:p>
    <w:p w:rsidR="00671620" w:rsidRPr="00D22570" w:rsidRDefault="00671620" w:rsidP="00BC01B1">
      <w:pPr>
        <w:pStyle w:val="Ttulo4"/>
      </w:pPr>
      <w:bookmarkStart w:id="505" w:name="_Toc498593486"/>
      <w:bookmarkStart w:id="506" w:name="_Toc504404458"/>
      <w:bookmarkStart w:id="507" w:name="_Toc509935497"/>
      <w:r w:rsidRPr="00D22570">
        <w:t>Logística reversa</w:t>
      </w:r>
      <w:bookmarkEnd w:id="504"/>
      <w:bookmarkEnd w:id="505"/>
      <w:bookmarkEnd w:id="506"/>
      <w:bookmarkEnd w:id="507"/>
    </w:p>
    <w:p w:rsidR="00671620" w:rsidRPr="004F144D" w:rsidRDefault="00671620" w:rsidP="00671620">
      <w:pPr>
        <w:pStyle w:val="Default"/>
        <w:spacing w:line="360" w:lineRule="auto"/>
        <w:ind w:firstLine="709"/>
        <w:jc w:val="both"/>
        <w:rPr>
          <w:color w:val="auto"/>
        </w:rPr>
      </w:pPr>
      <w:r w:rsidRPr="004F144D">
        <w:rPr>
          <w:color w:val="auto"/>
        </w:rPr>
        <w:t>Segundo a PNRS, a logística reversa é um instrumento de desenvolvimento econômico e social caracterizado por um conjunto de ações, procedimentos e meios destinados a viabilizar a coleta e a restituição dos resíduos sólidos ao setor empresarial, para reaproveitamento, em seu ciclo ou em outros ciclos produtivos, ou para destinação final ambientalmente adequada.</w:t>
      </w:r>
    </w:p>
    <w:p w:rsidR="00671620" w:rsidRPr="004F144D" w:rsidRDefault="00671620" w:rsidP="00671620">
      <w:pPr>
        <w:pStyle w:val="Default"/>
        <w:spacing w:line="360" w:lineRule="auto"/>
        <w:ind w:firstLine="709"/>
        <w:jc w:val="both"/>
        <w:rPr>
          <w:color w:val="auto"/>
        </w:rPr>
      </w:pPr>
      <w:r w:rsidRPr="004F144D">
        <w:rPr>
          <w:color w:val="auto"/>
        </w:rPr>
        <w:t>O conceito de responsabilidade compartilhada pelo ciclo da vida dos produtos, intrínseco no fundamento da logística reversa, abre a perspectiva ampla da gestão dos impactos pós-consumo dos produtos e suas embalagens, incluindo não apenas o reúso e a reciclagem dos materiais, mas também ações preventivas na etapa da geração dos produtos, considerando prioritariamente, o grau e a extensão do impacto à saúde pública e ao meio ambiente dos resíduos gerados.</w:t>
      </w:r>
    </w:p>
    <w:p w:rsidR="00671620" w:rsidRPr="00D22570" w:rsidRDefault="00671620" w:rsidP="00671620">
      <w:pPr>
        <w:pStyle w:val="Default"/>
        <w:spacing w:line="360" w:lineRule="auto"/>
        <w:ind w:firstLine="709"/>
        <w:jc w:val="both"/>
        <w:rPr>
          <w:color w:val="auto"/>
        </w:rPr>
      </w:pPr>
      <w:r w:rsidRPr="00D22570">
        <w:rPr>
          <w:color w:val="auto"/>
        </w:rPr>
        <w:t>Para a operacionalização da logística reversa, a PNRS criou dois instrumentos: os Acordos Setoriais e os Termos de Compromisso, sendo que os primeiros são “atos de natureza contratual, firmados entre o Poder Público e os fabricantes, importadores, distribuidores ou comerciantes, visando à implantação da responsabilidade compartilhada pelo ciclo de vida do produto” (art. 19, Decreto Federal n° 7.404/2010), sobre os quais são necessárias consultas públicas, estudos de viabilidade, entre outras providências.</w:t>
      </w:r>
    </w:p>
    <w:p w:rsidR="00671620" w:rsidRPr="00D22570" w:rsidRDefault="00671620" w:rsidP="00671620">
      <w:pPr>
        <w:pStyle w:val="Default"/>
        <w:spacing w:line="360" w:lineRule="auto"/>
        <w:ind w:firstLine="709"/>
        <w:jc w:val="both"/>
        <w:rPr>
          <w:color w:val="auto"/>
        </w:rPr>
      </w:pPr>
      <w:r w:rsidRPr="00D22570">
        <w:rPr>
          <w:color w:val="auto"/>
        </w:rPr>
        <w:t>Já o Termo de Compromisso não é definido em norma, porém é uma possibilidade de atuação, na inexistência de Acordo Setorial, para o estabelecimento de compromissos, devendo ser homologado pelo órgão ambiental competente.</w:t>
      </w:r>
    </w:p>
    <w:p w:rsidR="00671620" w:rsidRPr="00D22570" w:rsidRDefault="00671620" w:rsidP="00671620">
      <w:pPr>
        <w:pStyle w:val="Default"/>
        <w:spacing w:line="360" w:lineRule="auto"/>
        <w:ind w:firstLine="709"/>
        <w:jc w:val="both"/>
        <w:rPr>
          <w:color w:val="auto"/>
        </w:rPr>
      </w:pPr>
      <w:r w:rsidRPr="00D22570">
        <w:rPr>
          <w:color w:val="auto"/>
        </w:rPr>
        <w:t>Esses instrumentos definirão os responsáveis pelas ações (implementação de infraestruturas ou de procedimentos) tidas como necessárias ao bom termo do processo.</w:t>
      </w:r>
    </w:p>
    <w:p w:rsidR="00671620" w:rsidRPr="00EF5CC9" w:rsidRDefault="00671620" w:rsidP="00671620">
      <w:pPr>
        <w:pStyle w:val="Default"/>
        <w:spacing w:line="360" w:lineRule="auto"/>
        <w:ind w:firstLine="709"/>
        <w:jc w:val="both"/>
        <w:rPr>
          <w:color w:val="auto"/>
        </w:rPr>
      </w:pPr>
      <w:r w:rsidRPr="00EF5CC9">
        <w:rPr>
          <w:color w:val="auto"/>
        </w:rPr>
        <w:t xml:space="preserve">Segundo o artigo 33 da Lei Federal nº 12.305/10, são obrigados a estruturar e implementar sistemas de logística reversa, mediante retorno dos produtos após o uso pelo consumidor, </w:t>
      </w:r>
      <w:r w:rsidRPr="00EF5CC9">
        <w:rPr>
          <w:b/>
          <w:color w:val="auto"/>
        </w:rPr>
        <w:t xml:space="preserve">de forma independente do serviço público de limpeza urbana e </w:t>
      </w:r>
      <w:r w:rsidRPr="00EF5CC9">
        <w:rPr>
          <w:b/>
          <w:color w:val="auto"/>
        </w:rPr>
        <w:lastRenderedPageBreak/>
        <w:t>de manejo dos resíduos sólidos</w:t>
      </w:r>
      <w:r w:rsidRPr="00EF5CC9">
        <w:rPr>
          <w:color w:val="auto"/>
        </w:rPr>
        <w:t xml:space="preserve"> (grifo nosso), os fabricantes, importadores, distribuidores e comerciantes de: </w:t>
      </w:r>
    </w:p>
    <w:p w:rsidR="00671620" w:rsidRPr="00D22570" w:rsidRDefault="00671620" w:rsidP="0066661F">
      <w:pPr>
        <w:pStyle w:val="PargrafodaLista"/>
        <w:numPr>
          <w:ilvl w:val="0"/>
          <w:numId w:val="75"/>
        </w:numPr>
        <w:rPr>
          <w:szCs w:val="24"/>
        </w:rPr>
      </w:pPr>
      <w:r w:rsidRPr="00D22570">
        <w:rPr>
          <w:szCs w:val="24"/>
        </w:rPr>
        <w:t>Agrotóxicos, seus resíduos e embalagens, assim como outros produtos cuja embalagem, após o uso, constitua resíduo perigoso, segundo a legislação vigente.</w:t>
      </w:r>
    </w:p>
    <w:p w:rsidR="00671620" w:rsidRPr="00D22570" w:rsidRDefault="00671620" w:rsidP="0066661F">
      <w:pPr>
        <w:pStyle w:val="PargrafodaLista"/>
        <w:numPr>
          <w:ilvl w:val="0"/>
          <w:numId w:val="75"/>
        </w:numPr>
        <w:rPr>
          <w:szCs w:val="24"/>
        </w:rPr>
      </w:pPr>
      <w:r w:rsidRPr="00D22570">
        <w:rPr>
          <w:szCs w:val="24"/>
        </w:rPr>
        <w:t xml:space="preserve">Pilhas e baterias. </w:t>
      </w:r>
    </w:p>
    <w:p w:rsidR="00671620" w:rsidRPr="00D22570" w:rsidRDefault="00671620" w:rsidP="0066661F">
      <w:pPr>
        <w:pStyle w:val="PargrafodaLista"/>
        <w:numPr>
          <w:ilvl w:val="0"/>
          <w:numId w:val="75"/>
        </w:numPr>
        <w:rPr>
          <w:szCs w:val="24"/>
        </w:rPr>
      </w:pPr>
      <w:r w:rsidRPr="00D22570">
        <w:rPr>
          <w:szCs w:val="24"/>
        </w:rPr>
        <w:t>Pneus.</w:t>
      </w:r>
    </w:p>
    <w:p w:rsidR="00671620" w:rsidRPr="00D22570" w:rsidRDefault="00671620" w:rsidP="0066661F">
      <w:pPr>
        <w:pStyle w:val="PargrafodaLista"/>
        <w:numPr>
          <w:ilvl w:val="0"/>
          <w:numId w:val="75"/>
        </w:numPr>
        <w:rPr>
          <w:szCs w:val="24"/>
        </w:rPr>
      </w:pPr>
      <w:r w:rsidRPr="00D22570">
        <w:rPr>
          <w:szCs w:val="24"/>
        </w:rPr>
        <w:t xml:space="preserve">Óleos lubrificantes, seus resíduos e embalagens. </w:t>
      </w:r>
    </w:p>
    <w:p w:rsidR="00671620" w:rsidRPr="00D22570" w:rsidRDefault="00671620" w:rsidP="0066661F">
      <w:pPr>
        <w:pStyle w:val="PargrafodaLista"/>
        <w:numPr>
          <w:ilvl w:val="0"/>
          <w:numId w:val="75"/>
        </w:numPr>
        <w:rPr>
          <w:szCs w:val="24"/>
        </w:rPr>
      </w:pPr>
      <w:r w:rsidRPr="00D22570">
        <w:rPr>
          <w:szCs w:val="24"/>
        </w:rPr>
        <w:t>Lâmpadas fluorescentes, de vapor de sódio e mercúrio e de luz mista.</w:t>
      </w:r>
    </w:p>
    <w:p w:rsidR="00671620" w:rsidRPr="00D22570" w:rsidRDefault="00671620" w:rsidP="0066661F">
      <w:pPr>
        <w:pStyle w:val="PargrafodaLista"/>
        <w:numPr>
          <w:ilvl w:val="0"/>
          <w:numId w:val="75"/>
        </w:numPr>
        <w:rPr>
          <w:szCs w:val="24"/>
        </w:rPr>
      </w:pPr>
      <w:r w:rsidRPr="00D22570">
        <w:rPr>
          <w:szCs w:val="24"/>
        </w:rPr>
        <w:t>Produtos eletroeletrônicos e seus componentes.</w:t>
      </w:r>
    </w:p>
    <w:p w:rsidR="00671620" w:rsidRPr="00D22570" w:rsidRDefault="00671620" w:rsidP="0066661F">
      <w:pPr>
        <w:pStyle w:val="PargrafodaLista"/>
        <w:numPr>
          <w:ilvl w:val="0"/>
          <w:numId w:val="75"/>
        </w:numPr>
        <w:rPr>
          <w:szCs w:val="24"/>
        </w:rPr>
      </w:pPr>
      <w:r w:rsidRPr="00D22570">
        <w:rPr>
          <w:szCs w:val="24"/>
        </w:rPr>
        <w:t>Produtos comercializados em embalagens plásticas, metálicas ou de vidro</w:t>
      </w:r>
      <w:r w:rsidRPr="00D22570">
        <w:t>.</w:t>
      </w:r>
    </w:p>
    <w:p w:rsidR="00671620" w:rsidRPr="00841358" w:rsidRDefault="00671620" w:rsidP="00671620">
      <w:pPr>
        <w:pStyle w:val="Default"/>
        <w:spacing w:line="360" w:lineRule="auto"/>
        <w:ind w:firstLine="709"/>
        <w:jc w:val="both"/>
      </w:pPr>
      <w:r w:rsidRPr="002D5DBC">
        <w:rPr>
          <w:color w:val="auto"/>
        </w:rPr>
        <w:t xml:space="preserve">A PNRS também dispõe que cabe aos fabricantes, importadores, distribuidores e comerciantes desses produtos, “tomar todas as medidas necessárias para assegurar a implementação e </w:t>
      </w:r>
      <w:r w:rsidRPr="00841358">
        <w:rPr>
          <w:color w:val="auto"/>
        </w:rPr>
        <w:t>operacionalização do sistema de logística reversa sob seu encargo, podendo, entre outras providências: </w:t>
      </w:r>
      <w:r w:rsidRPr="00841358">
        <w:t>I - implantar procedimentos de compra de produtos ou embalagens usados; II - disponibilizar postos de entrega de resíduos reutilizáveis e recicláveis; III - atuar em parceria com cooperativas ou outras formas de associação de catadores de materiais reutilizáveis e recicláveis”.  </w:t>
      </w:r>
    </w:p>
    <w:p w:rsidR="00671620" w:rsidRPr="002D5DBC" w:rsidRDefault="00671620" w:rsidP="00671620">
      <w:pPr>
        <w:pStyle w:val="Default"/>
        <w:spacing w:line="360" w:lineRule="auto"/>
        <w:ind w:firstLine="709"/>
        <w:jc w:val="both"/>
        <w:rPr>
          <w:color w:val="auto"/>
        </w:rPr>
      </w:pPr>
      <w:r w:rsidRPr="00841358">
        <w:rPr>
          <w:color w:val="auto"/>
        </w:rPr>
        <w:t>A PNRS também determina que “se o titular do serviço público de limpeza urbana e de manejo de resíduos sólidos (Administração Pública), por Acordo Setorial ou Termo de Compromisso firmado com o setor empresarial, encarregar-se de atividades de responsabilidade dos fabricantes</w:t>
      </w:r>
      <w:r w:rsidRPr="002D5DBC">
        <w:rPr>
          <w:color w:val="auto"/>
        </w:rPr>
        <w:t xml:space="preserve">, importadores, distribuidores e comerciantes nos sistemas de logística reversa desses resíduos, </w:t>
      </w:r>
      <w:r w:rsidRPr="002D5DBC">
        <w:rPr>
          <w:b/>
          <w:color w:val="auto"/>
        </w:rPr>
        <w:t>as ações do Poder Público serão devidamente remuneradas, na forma previamente acordada entre as partes</w:t>
      </w:r>
      <w:r w:rsidRPr="002D5DBC">
        <w:rPr>
          <w:color w:val="auto"/>
        </w:rPr>
        <w:t>” (grifo nosso). </w:t>
      </w:r>
    </w:p>
    <w:p w:rsidR="00671620" w:rsidRPr="004C4C86" w:rsidRDefault="00671620" w:rsidP="00671620">
      <w:pPr>
        <w:pStyle w:val="Default"/>
        <w:spacing w:line="360" w:lineRule="auto"/>
        <w:ind w:firstLine="709"/>
        <w:jc w:val="both"/>
        <w:rPr>
          <w:color w:val="auto"/>
        </w:rPr>
      </w:pPr>
      <w:bookmarkStart w:id="508" w:name="_Toc372038723"/>
      <w:r w:rsidRPr="004C4C86">
        <w:rPr>
          <w:color w:val="auto"/>
        </w:rPr>
        <w:t xml:space="preserve">Assim, vê-se que o processo de logística reversa é estabelecido em função do tipo de resíduo gerado e de seu ciclo de vida ao longo da cadeia produtiva. </w:t>
      </w:r>
    </w:p>
    <w:p w:rsidR="00671620" w:rsidRPr="004C4C86" w:rsidRDefault="00671620" w:rsidP="00671620">
      <w:pPr>
        <w:pStyle w:val="Default"/>
        <w:spacing w:line="360" w:lineRule="auto"/>
        <w:ind w:firstLine="709"/>
        <w:jc w:val="both"/>
        <w:rPr>
          <w:color w:val="auto"/>
        </w:rPr>
      </w:pPr>
      <w:r w:rsidRPr="004C4C86">
        <w:rPr>
          <w:color w:val="auto"/>
        </w:rPr>
        <w:t>Apesar de ser importante a parcela de responsabilidade das empresas privadas na gestão dos resíduos sujeitos à logística reversa, o Poder Público também precisa comprometer-se com atividades de suma importância, uma vez que cabe a ele:</w:t>
      </w:r>
    </w:p>
    <w:bookmarkEnd w:id="508"/>
    <w:p w:rsidR="00671620" w:rsidRPr="00D22570" w:rsidRDefault="00671620" w:rsidP="0066661F">
      <w:pPr>
        <w:pStyle w:val="PargrafodaLista"/>
        <w:numPr>
          <w:ilvl w:val="0"/>
          <w:numId w:val="60"/>
        </w:numPr>
        <w:ind w:left="1276" w:hanging="425"/>
      </w:pPr>
      <w:r w:rsidRPr="00D22570">
        <w:lastRenderedPageBreak/>
        <w:t>Cadastrar os produtos passíveis de logística reversa gerados no município (usar como referência os resíduos indicados na Lei nº 12.305/07).</w:t>
      </w:r>
    </w:p>
    <w:p w:rsidR="00671620" w:rsidRPr="00D22570" w:rsidRDefault="00671620" w:rsidP="0066661F">
      <w:pPr>
        <w:pStyle w:val="PargrafodaLista"/>
        <w:numPr>
          <w:ilvl w:val="0"/>
          <w:numId w:val="60"/>
        </w:numPr>
        <w:ind w:left="1276" w:hanging="425"/>
      </w:pPr>
      <w:r w:rsidRPr="00D22570">
        <w:t>Para os resíduos passíveis de logística reversa, planejar o caminhamento invertido na cadeia produtiva, buscando seu reaproveitamento ou uma forma de disposição final ambientalmente adequada. Uma vez firmados os acordos ou termos de compromisso, passar para a implementação de ações, buscando o cumprimento das metas conforme planejadas.</w:t>
      </w:r>
    </w:p>
    <w:p w:rsidR="00671620" w:rsidRPr="00D22570" w:rsidRDefault="00671620" w:rsidP="0066661F">
      <w:pPr>
        <w:pStyle w:val="PargrafodaLista"/>
        <w:numPr>
          <w:ilvl w:val="0"/>
          <w:numId w:val="60"/>
        </w:numPr>
        <w:ind w:left="1276" w:hanging="425"/>
      </w:pPr>
      <w:r w:rsidRPr="00D22570">
        <w:t>Fiscalizar o processo e o andamento das ações de logística reversa implementadas no município.</w:t>
      </w:r>
    </w:p>
    <w:p w:rsidR="00671620" w:rsidRPr="00B519C1" w:rsidRDefault="00671620" w:rsidP="0066661F">
      <w:pPr>
        <w:pStyle w:val="PargrafodaLista"/>
        <w:numPr>
          <w:ilvl w:val="0"/>
          <w:numId w:val="60"/>
        </w:numPr>
        <w:ind w:left="1276" w:hanging="425"/>
      </w:pPr>
      <w:r w:rsidRPr="00D22570">
        <w:t xml:space="preserve">Fiscalizar se os comerciantes e distribuidores efetuam a devolução aos fabricantes ou aos </w:t>
      </w:r>
      <w:r w:rsidRPr="00841358">
        <w:t xml:space="preserve">importadores, bem como se estes encaminham a uma destinação final ambientalmente adequada os referidos materiais </w:t>
      </w:r>
      <w:r w:rsidRPr="00B519C1">
        <w:t>descartados e os rejeitos provenientes desses materiais.</w:t>
      </w:r>
    </w:p>
    <w:p w:rsidR="00671620" w:rsidRPr="00B519C1" w:rsidRDefault="00671620" w:rsidP="0066661F">
      <w:pPr>
        <w:pStyle w:val="PargrafodaLista"/>
        <w:numPr>
          <w:ilvl w:val="0"/>
          <w:numId w:val="60"/>
        </w:numPr>
        <w:ind w:left="1276" w:hanging="425"/>
      </w:pPr>
      <w:r w:rsidRPr="00B519C1">
        <w:t>Exigir que todos os participantes dos sistemas de logística reversa disponibilizem ao órgão municipal informações completas e periódicas sobre a realização de suas ações relacionadas a essa prática.</w:t>
      </w:r>
    </w:p>
    <w:p w:rsidR="00671620" w:rsidRPr="00D22570" w:rsidRDefault="00671620" w:rsidP="0066661F">
      <w:pPr>
        <w:pStyle w:val="PargrafodaLista"/>
        <w:numPr>
          <w:ilvl w:val="0"/>
          <w:numId w:val="60"/>
        </w:numPr>
        <w:ind w:left="1276" w:hanging="425"/>
      </w:pPr>
      <w:r w:rsidRPr="00B519C1">
        <w:t>Incentivar o setor</w:t>
      </w:r>
      <w:r w:rsidRPr="00D22570">
        <w:t xml:space="preserve"> empresarial a contemplar os agentes ambientais (catadores de materiais recicláveis) na articulação da logística reversa.</w:t>
      </w:r>
      <w:bookmarkStart w:id="509" w:name="_Toc372038880"/>
      <w:bookmarkStart w:id="510" w:name="_Toc392169875"/>
    </w:p>
    <w:p w:rsidR="00671620" w:rsidRPr="00D22570" w:rsidRDefault="00671620" w:rsidP="0066661F">
      <w:pPr>
        <w:pStyle w:val="PargrafodaLista"/>
        <w:numPr>
          <w:ilvl w:val="0"/>
          <w:numId w:val="60"/>
        </w:numPr>
        <w:ind w:left="1276" w:hanging="425"/>
      </w:pPr>
      <w:r w:rsidRPr="00D22570">
        <w:t>Instituir legislação municipal regulando cada um dos acordos setoriais, especificando os compromissos em termos de atribuições, fiscalização e prazos para cumprimento.</w:t>
      </w:r>
    </w:p>
    <w:p w:rsidR="00671620" w:rsidRDefault="00671620" w:rsidP="00671620">
      <w:pPr>
        <w:pStyle w:val="Default"/>
        <w:spacing w:line="360" w:lineRule="auto"/>
        <w:ind w:firstLine="709"/>
        <w:jc w:val="both"/>
        <w:rPr>
          <w:color w:val="auto"/>
        </w:rPr>
      </w:pPr>
      <w:r w:rsidRPr="00B519C1">
        <w:rPr>
          <w:color w:val="auto"/>
        </w:rPr>
        <w:t xml:space="preserve">O </w:t>
      </w:r>
      <w:r w:rsidRPr="00B519C1">
        <w:rPr>
          <w:color w:val="auto"/>
        </w:rPr>
        <w:fldChar w:fldCharType="begin"/>
      </w:r>
      <w:r w:rsidRPr="00B519C1">
        <w:rPr>
          <w:color w:val="auto"/>
        </w:rPr>
        <w:instrText xml:space="preserve"> REF _Ref492306781 \h  \* MERGEFORMAT </w:instrText>
      </w:r>
      <w:r w:rsidRPr="00B519C1">
        <w:rPr>
          <w:color w:val="auto"/>
        </w:rPr>
      </w:r>
      <w:r w:rsidRPr="00B519C1">
        <w:rPr>
          <w:color w:val="auto"/>
        </w:rPr>
        <w:fldChar w:fldCharType="separate"/>
      </w:r>
      <w:r w:rsidR="001B481B" w:rsidRPr="001B481B">
        <w:rPr>
          <w:color w:val="auto"/>
        </w:rPr>
        <w:t>Quadro 41</w:t>
      </w:r>
      <w:r w:rsidRPr="00B519C1">
        <w:rPr>
          <w:color w:val="auto"/>
        </w:rPr>
        <w:fldChar w:fldCharType="end"/>
      </w:r>
      <w:r w:rsidRPr="00B519C1">
        <w:rPr>
          <w:color w:val="auto"/>
        </w:rPr>
        <w:t xml:space="preserve"> ilustra as etapas do gerenciamento de resíduos sujeitos à logística reversa,</w:t>
      </w:r>
      <w:r w:rsidR="00B805DB" w:rsidRPr="00B519C1">
        <w:rPr>
          <w:color w:val="auto"/>
        </w:rPr>
        <w:t xml:space="preserve"> que pode ser configurada por meio de Acordo Setorial e/ou Termo de Compromisso firmado</w:t>
      </w:r>
      <w:r w:rsidRPr="00B519C1">
        <w:rPr>
          <w:color w:val="auto"/>
        </w:rPr>
        <w:t xml:space="preserve"> entre o Poder Público e o setor privado</w:t>
      </w:r>
      <w:r w:rsidR="00B805DB" w:rsidRPr="00B519C1">
        <w:rPr>
          <w:color w:val="auto"/>
        </w:rPr>
        <w:t xml:space="preserve">, dando </w:t>
      </w:r>
      <w:r w:rsidRPr="00B519C1">
        <w:rPr>
          <w:color w:val="auto"/>
        </w:rPr>
        <w:t>alguns exemplos de cuidados a serem tomados em cada etapa</w:t>
      </w:r>
      <w:r w:rsidR="005E21DE" w:rsidRPr="00B519C1">
        <w:rPr>
          <w:color w:val="auto"/>
        </w:rPr>
        <w:t xml:space="preserve">. </w:t>
      </w:r>
      <w:r w:rsidRPr="00B519C1">
        <w:rPr>
          <w:color w:val="auto"/>
        </w:rPr>
        <w:t xml:space="preserve"> </w:t>
      </w:r>
      <w:r w:rsidR="005E21DE" w:rsidRPr="00B519C1">
        <w:rPr>
          <w:color w:val="auto"/>
        </w:rPr>
        <w:t>Ressalta-se que as responsabilidades serão definidas nos dispositivos mencionados.</w:t>
      </w:r>
    </w:p>
    <w:p w:rsidR="00671620" w:rsidRPr="00B519C1" w:rsidRDefault="00671620" w:rsidP="00E95583">
      <w:pPr>
        <w:pStyle w:val="Legenda"/>
        <w:rPr>
          <w:lang w:val="pt-BR"/>
        </w:rPr>
      </w:pPr>
      <w:bookmarkStart w:id="511" w:name="_Ref492306781"/>
      <w:bookmarkStart w:id="512" w:name="_Toc399257207"/>
      <w:bookmarkStart w:id="513" w:name="_Ref492306748"/>
      <w:bookmarkStart w:id="514" w:name="_Toc493151621"/>
      <w:bookmarkStart w:id="515" w:name="_Toc498593678"/>
      <w:bookmarkStart w:id="516" w:name="_Toc503949469"/>
      <w:bookmarkStart w:id="517" w:name="_Toc509935818"/>
      <w:r w:rsidRPr="00B519C1">
        <w:t xml:space="preserve">Quadro </w:t>
      </w:r>
      <w:r w:rsidR="000A1C78">
        <w:fldChar w:fldCharType="begin"/>
      </w:r>
      <w:r w:rsidR="000A1C78">
        <w:instrText xml:space="preserve"> SEQ Quadro \* ARABIC </w:instrText>
      </w:r>
      <w:r w:rsidR="000A1C78">
        <w:fldChar w:fldCharType="separate"/>
      </w:r>
      <w:r w:rsidR="001B481B">
        <w:rPr>
          <w:noProof/>
        </w:rPr>
        <w:t>41</w:t>
      </w:r>
      <w:r w:rsidR="000A1C78">
        <w:rPr>
          <w:noProof/>
        </w:rPr>
        <w:fldChar w:fldCharType="end"/>
      </w:r>
      <w:bookmarkEnd w:id="511"/>
      <w:r w:rsidRPr="00B519C1">
        <w:t xml:space="preserve"> - Resumo geral das etapas da logística reversa e </w:t>
      </w:r>
      <w:r w:rsidRPr="00B519C1">
        <w:rPr>
          <w:lang w:val="pt-BR"/>
        </w:rPr>
        <w:t xml:space="preserve">das </w:t>
      </w:r>
      <w:r w:rsidRPr="00B519C1">
        <w:t>responsabilidades</w:t>
      </w:r>
      <w:bookmarkEnd w:id="509"/>
      <w:bookmarkEnd w:id="510"/>
      <w:bookmarkEnd w:id="512"/>
      <w:bookmarkEnd w:id="513"/>
      <w:bookmarkEnd w:id="514"/>
      <w:bookmarkEnd w:id="515"/>
      <w:bookmarkEnd w:id="516"/>
      <w:bookmarkEnd w:id="5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7642"/>
      </w:tblGrid>
      <w:tr w:rsidR="005E21DE" w:rsidRPr="00B519C1" w:rsidTr="00D5039A">
        <w:trPr>
          <w:trHeight w:val="20"/>
          <w:tblHeader/>
        </w:trPr>
        <w:tc>
          <w:tcPr>
            <w:tcW w:w="0" w:type="auto"/>
            <w:shd w:val="clear" w:color="auto" w:fill="auto"/>
            <w:vAlign w:val="center"/>
          </w:tcPr>
          <w:p w:rsidR="005E21DE" w:rsidRPr="00B519C1" w:rsidRDefault="005E21DE" w:rsidP="00810C89">
            <w:pPr>
              <w:spacing w:before="120" w:after="120" w:line="240" w:lineRule="auto"/>
              <w:jc w:val="center"/>
              <w:rPr>
                <w:b/>
                <w:bCs/>
                <w:sz w:val="22"/>
              </w:rPr>
            </w:pPr>
            <w:r w:rsidRPr="00B519C1">
              <w:rPr>
                <w:b/>
                <w:bCs/>
                <w:sz w:val="22"/>
              </w:rPr>
              <w:t>Etapa</w:t>
            </w:r>
          </w:p>
        </w:tc>
        <w:tc>
          <w:tcPr>
            <w:tcW w:w="0" w:type="auto"/>
            <w:vAlign w:val="center"/>
          </w:tcPr>
          <w:p w:rsidR="005E21DE" w:rsidRPr="00B519C1" w:rsidRDefault="005E21DE" w:rsidP="00810C89">
            <w:pPr>
              <w:spacing w:before="120" w:after="120" w:line="240" w:lineRule="auto"/>
              <w:jc w:val="center"/>
              <w:rPr>
                <w:b/>
                <w:bCs/>
                <w:sz w:val="22"/>
              </w:rPr>
            </w:pPr>
            <w:r w:rsidRPr="00B519C1">
              <w:rPr>
                <w:b/>
                <w:bCs/>
                <w:sz w:val="22"/>
              </w:rPr>
              <w:t>Ação</w:t>
            </w:r>
          </w:p>
        </w:tc>
      </w:tr>
      <w:tr w:rsidR="005E21DE" w:rsidRPr="00B519C1" w:rsidTr="00D5039A">
        <w:trPr>
          <w:trHeight w:val="20"/>
        </w:trPr>
        <w:tc>
          <w:tcPr>
            <w:tcW w:w="0" w:type="auto"/>
            <w:shd w:val="clear" w:color="auto" w:fill="D3DFEE"/>
            <w:vAlign w:val="center"/>
          </w:tcPr>
          <w:p w:rsidR="005E21DE" w:rsidRPr="00B519C1" w:rsidRDefault="005E21DE" w:rsidP="00810C89">
            <w:pPr>
              <w:spacing w:before="120" w:after="120" w:line="240" w:lineRule="auto"/>
              <w:jc w:val="center"/>
              <w:rPr>
                <w:b/>
                <w:bCs/>
                <w:sz w:val="22"/>
              </w:rPr>
            </w:pPr>
            <w:r w:rsidRPr="00B519C1">
              <w:rPr>
                <w:b/>
                <w:bCs/>
                <w:sz w:val="22"/>
              </w:rPr>
              <w:t>Coleta / Entrega</w:t>
            </w:r>
          </w:p>
        </w:tc>
        <w:tc>
          <w:tcPr>
            <w:tcW w:w="0" w:type="auto"/>
            <w:shd w:val="clear" w:color="auto" w:fill="D3DFEE"/>
            <w:vAlign w:val="center"/>
          </w:tcPr>
          <w:p w:rsidR="005E21DE" w:rsidRPr="00B519C1" w:rsidRDefault="005E21DE" w:rsidP="00810C89">
            <w:pPr>
              <w:autoSpaceDE w:val="0"/>
              <w:autoSpaceDN w:val="0"/>
              <w:adjustRightInd w:val="0"/>
              <w:spacing w:before="120" w:after="120" w:line="240" w:lineRule="auto"/>
              <w:jc w:val="center"/>
              <w:rPr>
                <w:sz w:val="22"/>
              </w:rPr>
            </w:pPr>
            <w:r w:rsidRPr="00B519C1">
              <w:rPr>
                <w:sz w:val="22"/>
              </w:rPr>
              <w:t>Coletar os resíduos nos locais de origem, separada ou conjuntamente com a coleta seletiva, ou viabilizar pontos de devolução em estabelecimentos definidos e amplamente divulgados.</w:t>
            </w:r>
          </w:p>
        </w:tc>
      </w:tr>
      <w:tr w:rsidR="005E21DE" w:rsidRPr="00B519C1" w:rsidTr="00615E6E">
        <w:trPr>
          <w:trHeight w:val="680"/>
        </w:trPr>
        <w:tc>
          <w:tcPr>
            <w:tcW w:w="0" w:type="auto"/>
            <w:shd w:val="clear" w:color="auto" w:fill="auto"/>
            <w:vAlign w:val="center"/>
          </w:tcPr>
          <w:p w:rsidR="005E21DE" w:rsidRPr="00B519C1" w:rsidRDefault="005E21DE" w:rsidP="00810C89">
            <w:pPr>
              <w:spacing w:before="120" w:after="120" w:line="240" w:lineRule="auto"/>
              <w:jc w:val="center"/>
              <w:rPr>
                <w:b/>
                <w:bCs/>
                <w:sz w:val="22"/>
              </w:rPr>
            </w:pPr>
            <w:r w:rsidRPr="00B519C1">
              <w:rPr>
                <w:b/>
                <w:bCs/>
                <w:sz w:val="22"/>
              </w:rPr>
              <w:lastRenderedPageBreak/>
              <w:t>Armazenamento</w:t>
            </w:r>
          </w:p>
        </w:tc>
        <w:tc>
          <w:tcPr>
            <w:tcW w:w="0" w:type="auto"/>
            <w:vAlign w:val="center"/>
          </w:tcPr>
          <w:p w:rsidR="005E21DE" w:rsidRPr="00B519C1" w:rsidRDefault="005E21DE" w:rsidP="00810C89">
            <w:pPr>
              <w:autoSpaceDE w:val="0"/>
              <w:autoSpaceDN w:val="0"/>
              <w:adjustRightInd w:val="0"/>
              <w:spacing w:before="120" w:after="120" w:line="240" w:lineRule="auto"/>
              <w:jc w:val="center"/>
              <w:rPr>
                <w:sz w:val="22"/>
              </w:rPr>
            </w:pPr>
            <w:r w:rsidRPr="00B519C1">
              <w:rPr>
                <w:sz w:val="22"/>
              </w:rPr>
              <w:t>Armazenar os resíduos em locais compatíveis com o volume dos resíduos, com periodicidades programadas para coleta até que estes sejam reintroduzidos na cadeia produtiva ou descartados de forma ambientalmente adequada (para eletroeletrônicos um programa de coleta pode ser viabilizado através de redes autorizadas de assistência técnica).</w:t>
            </w:r>
          </w:p>
        </w:tc>
      </w:tr>
      <w:tr w:rsidR="005E21DE" w:rsidRPr="00B519C1" w:rsidTr="00D5039A">
        <w:trPr>
          <w:trHeight w:val="20"/>
        </w:trPr>
        <w:tc>
          <w:tcPr>
            <w:tcW w:w="0" w:type="auto"/>
            <w:shd w:val="clear" w:color="auto" w:fill="D3DFEE"/>
            <w:vAlign w:val="center"/>
          </w:tcPr>
          <w:p w:rsidR="005E21DE" w:rsidRPr="00B519C1" w:rsidRDefault="005E21DE" w:rsidP="00810C89">
            <w:pPr>
              <w:spacing w:before="120" w:after="120" w:line="240" w:lineRule="auto"/>
              <w:jc w:val="center"/>
              <w:rPr>
                <w:b/>
                <w:bCs/>
                <w:sz w:val="22"/>
              </w:rPr>
            </w:pPr>
            <w:r w:rsidRPr="00B519C1">
              <w:rPr>
                <w:b/>
                <w:bCs/>
                <w:sz w:val="22"/>
              </w:rPr>
              <w:t>Transporte</w:t>
            </w:r>
          </w:p>
        </w:tc>
        <w:tc>
          <w:tcPr>
            <w:tcW w:w="0" w:type="auto"/>
            <w:shd w:val="clear" w:color="auto" w:fill="D3DFEE"/>
            <w:vAlign w:val="center"/>
          </w:tcPr>
          <w:p w:rsidR="005E21DE" w:rsidRPr="00B519C1" w:rsidRDefault="005E21DE" w:rsidP="00810C89">
            <w:pPr>
              <w:autoSpaceDE w:val="0"/>
              <w:autoSpaceDN w:val="0"/>
              <w:adjustRightInd w:val="0"/>
              <w:spacing w:before="120" w:after="120" w:line="240" w:lineRule="auto"/>
              <w:jc w:val="center"/>
              <w:rPr>
                <w:sz w:val="22"/>
              </w:rPr>
            </w:pPr>
            <w:r w:rsidRPr="00B519C1">
              <w:rPr>
                <w:sz w:val="22"/>
              </w:rPr>
              <w:t>Transportar os resíduos através de veículos compatíveis com a natureza dos resíduos, de forma a garantir a segurança das pessoas, a preservação ambiental e, na medida do possível, a integridade dos resíduos.</w:t>
            </w:r>
          </w:p>
        </w:tc>
      </w:tr>
      <w:tr w:rsidR="005E21DE" w:rsidRPr="00B519C1" w:rsidTr="00D5039A">
        <w:trPr>
          <w:trHeight w:val="20"/>
        </w:trPr>
        <w:tc>
          <w:tcPr>
            <w:tcW w:w="0" w:type="auto"/>
            <w:shd w:val="clear" w:color="auto" w:fill="auto"/>
            <w:vAlign w:val="center"/>
          </w:tcPr>
          <w:p w:rsidR="005E21DE" w:rsidRPr="00B519C1" w:rsidRDefault="005E21DE" w:rsidP="00810C89">
            <w:pPr>
              <w:spacing w:before="120" w:after="120" w:line="240" w:lineRule="auto"/>
              <w:jc w:val="center"/>
              <w:rPr>
                <w:b/>
                <w:bCs/>
                <w:sz w:val="22"/>
              </w:rPr>
            </w:pPr>
            <w:r w:rsidRPr="00B519C1">
              <w:rPr>
                <w:b/>
                <w:bCs/>
                <w:sz w:val="22"/>
              </w:rPr>
              <w:t>Disposição final</w:t>
            </w:r>
          </w:p>
        </w:tc>
        <w:tc>
          <w:tcPr>
            <w:tcW w:w="0" w:type="auto"/>
            <w:vAlign w:val="center"/>
          </w:tcPr>
          <w:p w:rsidR="005E21DE" w:rsidRPr="00B519C1" w:rsidRDefault="005E21DE" w:rsidP="00810C89">
            <w:pPr>
              <w:spacing w:before="120" w:after="120" w:line="240" w:lineRule="auto"/>
              <w:jc w:val="center"/>
              <w:rPr>
                <w:sz w:val="22"/>
              </w:rPr>
            </w:pPr>
            <w:r w:rsidRPr="00B519C1">
              <w:rPr>
                <w:sz w:val="22"/>
              </w:rPr>
              <w:t>Empreender a disposição final através de tecnologias ambientalmente adequadas (aterro sanitário com licenças ambientais válidas).</w:t>
            </w:r>
          </w:p>
        </w:tc>
      </w:tr>
    </w:tbl>
    <w:p w:rsidR="00671620" w:rsidRDefault="00671620" w:rsidP="00AC47A2">
      <w:pPr>
        <w:pStyle w:val="Fonte"/>
      </w:pPr>
      <w:r w:rsidRPr="00B519C1">
        <w:t>Fonte: SHS, 2017.</w:t>
      </w:r>
    </w:p>
    <w:p w:rsidR="00AB2513" w:rsidRDefault="00EB3609" w:rsidP="00BC01B1">
      <w:pPr>
        <w:pStyle w:val="SHS-Ttulo01"/>
      </w:pPr>
      <w:bookmarkStart w:id="518" w:name="_Toc452552290"/>
      <w:bookmarkStart w:id="519" w:name="_Toc505333917"/>
      <w:bookmarkStart w:id="520" w:name="_Toc509935498"/>
      <w:r>
        <w:t>Resumo do diagnóstico</w:t>
      </w:r>
      <w:r w:rsidR="00AB2513" w:rsidRPr="001D1D0A">
        <w:t xml:space="preserve"> do saneamento básico municipal</w:t>
      </w:r>
      <w:bookmarkEnd w:id="518"/>
      <w:bookmarkEnd w:id="519"/>
      <w:bookmarkEnd w:id="520"/>
      <w:r w:rsidR="00AB2513" w:rsidRPr="001D1D0A">
        <w:t xml:space="preserve"> </w:t>
      </w:r>
    </w:p>
    <w:p w:rsidR="00EB3609" w:rsidRDefault="00EB3609" w:rsidP="00AB2513">
      <w:pPr>
        <w:ind w:firstLine="708"/>
        <w:jc w:val="both"/>
      </w:pPr>
      <w:r>
        <w:t>O diagnóstico detalhado dos setores do saneamento básico municipal consta do Volume 1 deste PMSB.</w:t>
      </w:r>
    </w:p>
    <w:p w:rsidR="00EB3609" w:rsidRDefault="00B519C1" w:rsidP="00AB2513">
      <w:pPr>
        <w:ind w:firstLine="708"/>
        <w:jc w:val="both"/>
      </w:pPr>
      <w:r>
        <w:t xml:space="preserve">O presente </w:t>
      </w:r>
      <w:r w:rsidR="00EB3609">
        <w:t xml:space="preserve">Volume </w:t>
      </w:r>
      <w:r>
        <w:t>(V</w:t>
      </w:r>
      <w:r w:rsidR="00EB3609">
        <w:t>2</w:t>
      </w:r>
      <w:r>
        <w:t>)</w:t>
      </w:r>
      <w:r w:rsidR="00EB3609">
        <w:t xml:space="preserve">  apresenta alguns parâmetros relevantes de cada setor </w:t>
      </w:r>
      <w:r w:rsidR="00EB3609" w:rsidRPr="00755EF2">
        <w:t>(</w:t>
      </w:r>
      <w:r w:rsidR="00755EF2" w:rsidRPr="00755EF2">
        <w:fldChar w:fldCharType="begin"/>
      </w:r>
      <w:r w:rsidR="00755EF2" w:rsidRPr="00755EF2">
        <w:instrText xml:space="preserve"> REF _Ref507600485 \h </w:instrText>
      </w:r>
      <w:r w:rsidR="00755EF2">
        <w:instrText xml:space="preserve"> \* MERGEFORMAT </w:instrText>
      </w:r>
      <w:r w:rsidR="00755EF2" w:rsidRPr="00755EF2">
        <w:fldChar w:fldCharType="separate"/>
      </w:r>
      <w:r w:rsidR="001B481B">
        <w:t xml:space="preserve">Quadro </w:t>
      </w:r>
      <w:r w:rsidR="001B481B">
        <w:rPr>
          <w:noProof/>
        </w:rPr>
        <w:t>42</w:t>
      </w:r>
      <w:r w:rsidR="00755EF2" w:rsidRPr="00755EF2">
        <w:fldChar w:fldCharType="end"/>
      </w:r>
      <w:r w:rsidR="00EB3609" w:rsidRPr="00755EF2">
        <w:t xml:space="preserve"> a </w:t>
      </w:r>
      <w:r w:rsidR="00755EF2" w:rsidRPr="00755EF2">
        <w:fldChar w:fldCharType="begin"/>
      </w:r>
      <w:r w:rsidR="00755EF2" w:rsidRPr="00755EF2">
        <w:instrText xml:space="preserve"> REF _Ref480794839 \h </w:instrText>
      </w:r>
      <w:r w:rsidR="00755EF2">
        <w:instrText xml:space="preserve"> \* MERGEFORMAT </w:instrText>
      </w:r>
      <w:r w:rsidR="00755EF2" w:rsidRPr="00755EF2">
        <w:fldChar w:fldCharType="separate"/>
      </w:r>
      <w:r w:rsidR="001B481B" w:rsidRPr="00865243">
        <w:t xml:space="preserve">Quadro </w:t>
      </w:r>
      <w:r w:rsidR="001B481B">
        <w:rPr>
          <w:noProof/>
        </w:rPr>
        <w:t>45</w:t>
      </w:r>
      <w:r w:rsidR="00755EF2" w:rsidRPr="00755EF2">
        <w:fldChar w:fldCharType="end"/>
      </w:r>
      <w:r w:rsidR="00465EA1" w:rsidRPr="00755EF2">
        <w:t xml:space="preserve"> </w:t>
      </w:r>
      <w:r w:rsidR="00EB3609" w:rsidRPr="00755EF2">
        <w:t>)</w:t>
      </w:r>
      <w:r w:rsidR="00EB3609">
        <w:t xml:space="preserve"> que podem ser usados como referência para o entendimento do planejamento estratégico dos serviços públicos, </w:t>
      </w:r>
      <w:r w:rsidR="00DE7A0D">
        <w:t xml:space="preserve">que </w:t>
      </w:r>
      <w:r w:rsidR="004E3853">
        <w:t xml:space="preserve">se </w:t>
      </w:r>
      <w:r w:rsidR="00DE7A0D">
        <w:t xml:space="preserve">encontra </w:t>
      </w:r>
      <w:r w:rsidR="00EB3609" w:rsidRPr="00465EA1">
        <w:t>descrito no</w:t>
      </w:r>
      <w:r w:rsidR="00D8615B" w:rsidRPr="00465EA1">
        <w:t xml:space="preserve"> item</w:t>
      </w:r>
      <w:r w:rsidR="00EB3609" w:rsidRPr="00465EA1">
        <w:t xml:space="preserve"> </w:t>
      </w:r>
      <w:r w:rsidR="00D8615B" w:rsidRPr="00465EA1">
        <w:fldChar w:fldCharType="begin"/>
      </w:r>
      <w:r w:rsidR="00D8615B" w:rsidRPr="00465EA1">
        <w:instrText xml:space="preserve"> REF _Ref505867979 \r \h </w:instrText>
      </w:r>
      <w:r w:rsidR="002A4F90" w:rsidRPr="00465EA1">
        <w:instrText xml:space="preserve"> \* MERGEFORMAT </w:instrText>
      </w:r>
      <w:r w:rsidR="00D8615B" w:rsidRPr="00465EA1">
        <w:fldChar w:fldCharType="separate"/>
      </w:r>
      <w:r w:rsidR="001B481B">
        <w:t>0</w:t>
      </w:r>
      <w:r w:rsidR="00D8615B" w:rsidRPr="00465EA1">
        <w:fldChar w:fldCharType="end"/>
      </w:r>
      <w:r w:rsidR="00D8615B" w:rsidRPr="00465EA1">
        <w:t>.</w:t>
      </w:r>
    </w:p>
    <w:p w:rsidR="00AB2513" w:rsidRDefault="00AB2513" w:rsidP="00BC01B1">
      <w:pPr>
        <w:pStyle w:val="SHS-Ttulo02"/>
      </w:pPr>
      <w:bookmarkStart w:id="521" w:name="_Toc486840153"/>
      <w:bookmarkStart w:id="522" w:name="_Toc490572527"/>
      <w:bookmarkStart w:id="523" w:name="_Toc505333918"/>
      <w:bookmarkStart w:id="524" w:name="_Toc509935499"/>
      <w:r w:rsidRPr="001D1D0A">
        <w:t>Quadros-resumo da situação do setor de água</w:t>
      </w:r>
      <w:bookmarkEnd w:id="521"/>
      <w:bookmarkEnd w:id="522"/>
      <w:bookmarkEnd w:id="523"/>
      <w:bookmarkEnd w:id="524"/>
    </w:p>
    <w:p w:rsidR="00755EF2" w:rsidRPr="00B32C8A" w:rsidRDefault="00755EF2" w:rsidP="00755EF2">
      <w:pPr>
        <w:pStyle w:val="Legenda"/>
        <w:rPr>
          <w:lang w:val="pt-BR"/>
        </w:rPr>
      </w:pPr>
      <w:bookmarkStart w:id="525" w:name="_Ref507600485"/>
      <w:bookmarkStart w:id="526" w:name="_Toc479242194"/>
      <w:bookmarkStart w:id="527" w:name="_Toc492480404"/>
      <w:bookmarkStart w:id="528" w:name="_Toc509935819"/>
      <w:r>
        <w:t xml:space="preserve">Quadro </w:t>
      </w:r>
      <w:r w:rsidR="000A1C78">
        <w:fldChar w:fldCharType="begin"/>
      </w:r>
      <w:r w:rsidR="000A1C78">
        <w:instrText xml:space="preserve"> SEQ Quadro \* ARABIC </w:instrText>
      </w:r>
      <w:r w:rsidR="000A1C78">
        <w:fldChar w:fldCharType="separate"/>
      </w:r>
      <w:r w:rsidR="001B481B">
        <w:rPr>
          <w:noProof/>
        </w:rPr>
        <w:t>42</w:t>
      </w:r>
      <w:r w:rsidR="000A1C78">
        <w:rPr>
          <w:noProof/>
        </w:rPr>
        <w:fldChar w:fldCharType="end"/>
      </w:r>
      <w:bookmarkEnd w:id="525"/>
      <w:r w:rsidRPr="00B32C8A">
        <w:rPr>
          <w:lang w:val="pt-BR"/>
        </w:rPr>
        <w:t xml:space="preserve"> - </w:t>
      </w:r>
      <w:r w:rsidRPr="00B32C8A">
        <w:t>Resumo d</w:t>
      </w:r>
      <w:r w:rsidRPr="00B32C8A">
        <w:rPr>
          <w:lang w:val="pt-BR"/>
        </w:rPr>
        <w:t>o diagnóstico d</w:t>
      </w:r>
      <w:r w:rsidRPr="00B32C8A">
        <w:t xml:space="preserve">os serviços de </w:t>
      </w:r>
      <w:r w:rsidRPr="00B32C8A">
        <w:rPr>
          <w:lang w:val="pt-BR"/>
        </w:rPr>
        <w:t>água na sede</w:t>
      </w:r>
      <w:bookmarkEnd w:id="526"/>
      <w:bookmarkEnd w:id="527"/>
      <w:bookmarkEnd w:id="528"/>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5"/>
        <w:gridCol w:w="6125"/>
      </w:tblGrid>
      <w:tr w:rsidR="00755EF2" w:rsidRPr="00810C89" w:rsidTr="00755EF2">
        <w:tc>
          <w:tcPr>
            <w:tcW w:w="3485" w:type="dxa"/>
            <w:shd w:val="clear" w:color="auto" w:fill="auto"/>
            <w:vAlign w:val="center"/>
          </w:tcPr>
          <w:p w:rsidR="00755EF2" w:rsidRPr="00810C89" w:rsidRDefault="00755EF2" w:rsidP="00810C89">
            <w:pPr>
              <w:spacing w:before="120" w:after="120" w:line="240" w:lineRule="auto"/>
              <w:jc w:val="center"/>
              <w:rPr>
                <w:b/>
                <w:sz w:val="22"/>
              </w:rPr>
            </w:pPr>
            <w:r w:rsidRPr="00810C89">
              <w:rPr>
                <w:b/>
                <w:sz w:val="22"/>
              </w:rPr>
              <w:t>ATIVIDADE</w:t>
            </w:r>
          </w:p>
        </w:tc>
        <w:tc>
          <w:tcPr>
            <w:tcW w:w="6125" w:type="dxa"/>
            <w:shd w:val="clear" w:color="auto" w:fill="auto"/>
            <w:vAlign w:val="center"/>
          </w:tcPr>
          <w:p w:rsidR="00755EF2" w:rsidRPr="00810C89" w:rsidRDefault="00755EF2" w:rsidP="00810C89">
            <w:pPr>
              <w:spacing w:before="120" w:after="120" w:line="240" w:lineRule="auto"/>
              <w:jc w:val="center"/>
              <w:rPr>
                <w:b/>
                <w:sz w:val="22"/>
              </w:rPr>
            </w:pPr>
            <w:r w:rsidRPr="00810C89">
              <w:rPr>
                <w:b/>
                <w:sz w:val="22"/>
              </w:rPr>
              <w:t>DIAGNÓSTICO</w:t>
            </w:r>
          </w:p>
        </w:tc>
      </w:tr>
      <w:tr w:rsidR="00755EF2" w:rsidRPr="00810C89" w:rsidTr="00755EF2">
        <w:tc>
          <w:tcPr>
            <w:tcW w:w="3485" w:type="dxa"/>
            <w:shd w:val="clear" w:color="auto" w:fill="auto"/>
            <w:vAlign w:val="center"/>
          </w:tcPr>
          <w:p w:rsidR="00755EF2" w:rsidRPr="00810C89" w:rsidRDefault="00755EF2" w:rsidP="00810C89">
            <w:pPr>
              <w:spacing w:before="120" w:after="120" w:line="240" w:lineRule="auto"/>
              <w:jc w:val="center"/>
              <w:rPr>
                <w:rFonts w:eastAsia="Times New Roman" w:cs="Arial"/>
                <w:sz w:val="22"/>
                <w:lang w:eastAsia="pt-BR"/>
              </w:rPr>
            </w:pPr>
            <w:r w:rsidRPr="00810C89">
              <w:rPr>
                <w:rFonts w:eastAsia="Times New Roman" w:cs="Arial"/>
                <w:sz w:val="22"/>
                <w:lang w:eastAsia="pt-BR"/>
              </w:rPr>
              <w:t>Gestão dos serviços (Responsável)</w:t>
            </w:r>
          </w:p>
        </w:tc>
        <w:tc>
          <w:tcPr>
            <w:tcW w:w="6125" w:type="dxa"/>
            <w:shd w:val="clear" w:color="auto" w:fill="auto"/>
          </w:tcPr>
          <w:p w:rsidR="00755EF2" w:rsidRPr="00810C89" w:rsidRDefault="00755EF2" w:rsidP="00810C89">
            <w:pPr>
              <w:spacing w:before="120" w:after="120" w:line="240" w:lineRule="auto"/>
              <w:jc w:val="both"/>
              <w:rPr>
                <w:rFonts w:eastAsia="Times New Roman" w:cs="Arial"/>
                <w:sz w:val="22"/>
                <w:lang w:eastAsia="pt-BR"/>
              </w:rPr>
            </w:pPr>
            <w:r w:rsidRPr="00810C89">
              <w:rPr>
                <w:rFonts w:eastAsia="Times New Roman" w:cs="Arial"/>
                <w:sz w:val="22"/>
                <w:lang w:eastAsia="pt-BR"/>
              </w:rPr>
              <w:t>COPASA</w:t>
            </w:r>
          </w:p>
        </w:tc>
      </w:tr>
      <w:tr w:rsidR="00755EF2" w:rsidRPr="00810C89" w:rsidTr="00755EF2">
        <w:tc>
          <w:tcPr>
            <w:tcW w:w="3485" w:type="dxa"/>
            <w:shd w:val="clear" w:color="auto" w:fill="auto"/>
            <w:vAlign w:val="center"/>
          </w:tcPr>
          <w:p w:rsidR="00755EF2" w:rsidRPr="00810C89" w:rsidRDefault="00755EF2" w:rsidP="00810C89">
            <w:pPr>
              <w:spacing w:before="120" w:after="120" w:line="240" w:lineRule="auto"/>
              <w:jc w:val="center"/>
              <w:rPr>
                <w:sz w:val="22"/>
              </w:rPr>
            </w:pPr>
            <w:r w:rsidRPr="00810C89">
              <w:rPr>
                <w:rFonts w:eastAsia="Times New Roman" w:cs="Arial"/>
                <w:sz w:val="22"/>
                <w:lang w:eastAsia="pt-BR"/>
              </w:rPr>
              <w:t>Captação e adução</w:t>
            </w:r>
          </w:p>
        </w:tc>
        <w:tc>
          <w:tcPr>
            <w:tcW w:w="6125" w:type="dxa"/>
            <w:shd w:val="clear" w:color="auto" w:fill="auto"/>
          </w:tcPr>
          <w:p w:rsidR="00755EF2" w:rsidRPr="00810C89" w:rsidRDefault="00755EF2" w:rsidP="00810C89">
            <w:pPr>
              <w:spacing w:before="120" w:after="120" w:line="240" w:lineRule="auto"/>
              <w:jc w:val="both"/>
              <w:rPr>
                <w:rFonts w:eastAsia="Times New Roman" w:cs="Arial"/>
                <w:sz w:val="22"/>
                <w:lang w:eastAsia="pt-BR"/>
              </w:rPr>
            </w:pPr>
            <w:r w:rsidRPr="00810C89">
              <w:rPr>
                <w:rFonts w:eastAsia="Times New Roman" w:cs="Arial"/>
                <w:sz w:val="22"/>
                <w:lang w:eastAsia="pt-BR"/>
              </w:rPr>
              <w:t>Captação superficial em três poços:</w:t>
            </w:r>
          </w:p>
          <w:p w:rsidR="00755EF2" w:rsidRPr="00810C89" w:rsidRDefault="00755EF2" w:rsidP="00810C89">
            <w:pPr>
              <w:spacing w:before="120" w:after="120" w:line="240" w:lineRule="auto"/>
              <w:jc w:val="both"/>
              <w:rPr>
                <w:rFonts w:eastAsia="Times New Roman" w:cs="Arial"/>
                <w:sz w:val="22"/>
                <w:lang w:eastAsia="pt-BR"/>
              </w:rPr>
            </w:pPr>
            <w:r w:rsidRPr="00810C89">
              <w:rPr>
                <w:rFonts w:eastAsia="Times New Roman" w:cs="Arial"/>
                <w:sz w:val="22"/>
                <w:lang w:eastAsia="pt-BR"/>
              </w:rPr>
              <w:t>1.</w:t>
            </w:r>
            <w:r w:rsidRPr="00810C89">
              <w:rPr>
                <w:rFonts w:eastAsia="Times New Roman" w:cs="Arial"/>
                <w:sz w:val="22"/>
                <w:lang w:eastAsia="pt-BR"/>
              </w:rPr>
              <w:tab/>
              <w:t>C06</w:t>
            </w:r>
          </w:p>
          <w:p w:rsidR="00755EF2" w:rsidRPr="00810C89" w:rsidRDefault="00755EF2" w:rsidP="00810C89">
            <w:pPr>
              <w:spacing w:before="120" w:after="120" w:line="240" w:lineRule="auto"/>
              <w:jc w:val="both"/>
              <w:rPr>
                <w:rFonts w:eastAsia="Times New Roman" w:cs="Arial"/>
                <w:sz w:val="22"/>
                <w:lang w:eastAsia="pt-BR"/>
              </w:rPr>
            </w:pPr>
            <w:r w:rsidRPr="00810C89">
              <w:rPr>
                <w:rFonts w:eastAsia="Times New Roman" w:cs="Arial"/>
                <w:sz w:val="22"/>
                <w:lang w:eastAsia="pt-BR"/>
              </w:rPr>
              <w:t>UTM 23K 772.843,26m E; 7.804.799,01m S</w:t>
            </w:r>
          </w:p>
          <w:p w:rsidR="00755EF2" w:rsidRPr="00810C89" w:rsidRDefault="00755EF2" w:rsidP="00810C89">
            <w:pPr>
              <w:spacing w:before="120" w:after="120" w:line="240" w:lineRule="auto"/>
              <w:jc w:val="both"/>
              <w:rPr>
                <w:rFonts w:eastAsia="Times New Roman" w:cs="Arial"/>
                <w:sz w:val="22"/>
                <w:lang w:eastAsia="pt-BR"/>
              </w:rPr>
            </w:pPr>
            <w:r w:rsidRPr="00810C89">
              <w:rPr>
                <w:rFonts w:eastAsia="Times New Roman" w:cs="Arial"/>
                <w:sz w:val="22"/>
                <w:lang w:eastAsia="pt-BR"/>
              </w:rPr>
              <w:t>Vazão captada = 5L/s (9L/s - Outorgada)</w:t>
            </w:r>
          </w:p>
          <w:p w:rsidR="00755EF2" w:rsidRPr="00810C89" w:rsidRDefault="00755EF2" w:rsidP="00810C89">
            <w:pPr>
              <w:spacing w:before="120" w:after="120" w:line="240" w:lineRule="auto"/>
              <w:jc w:val="both"/>
              <w:rPr>
                <w:rFonts w:eastAsia="Times New Roman" w:cs="Arial"/>
                <w:sz w:val="22"/>
                <w:lang w:eastAsia="pt-BR"/>
              </w:rPr>
            </w:pPr>
            <w:r w:rsidRPr="00810C89">
              <w:rPr>
                <w:rFonts w:eastAsia="Times New Roman" w:cs="Arial"/>
                <w:sz w:val="22"/>
                <w:lang w:eastAsia="pt-BR"/>
              </w:rPr>
              <w:t>Bomba de 15cv;</w:t>
            </w:r>
          </w:p>
          <w:p w:rsidR="00755EF2" w:rsidRPr="00810C89" w:rsidRDefault="00755EF2" w:rsidP="00810C89">
            <w:pPr>
              <w:spacing w:before="120" w:after="120" w:line="240" w:lineRule="auto"/>
              <w:jc w:val="both"/>
              <w:rPr>
                <w:rFonts w:eastAsia="Times New Roman" w:cs="Arial"/>
                <w:sz w:val="22"/>
                <w:lang w:eastAsia="pt-BR"/>
              </w:rPr>
            </w:pPr>
            <w:r w:rsidRPr="00810C89">
              <w:rPr>
                <w:rFonts w:eastAsia="Times New Roman" w:cs="Arial"/>
                <w:sz w:val="22"/>
                <w:lang w:eastAsia="pt-BR"/>
              </w:rPr>
              <w:t>2.</w:t>
            </w:r>
            <w:r w:rsidRPr="00810C89">
              <w:rPr>
                <w:rFonts w:eastAsia="Times New Roman" w:cs="Arial"/>
                <w:sz w:val="22"/>
                <w:lang w:eastAsia="pt-BR"/>
              </w:rPr>
              <w:tab/>
              <w:t>C05 (Reserva)</w:t>
            </w:r>
          </w:p>
          <w:p w:rsidR="00755EF2" w:rsidRPr="00810C89" w:rsidRDefault="00755EF2" w:rsidP="00810C89">
            <w:pPr>
              <w:spacing w:before="120" w:after="120" w:line="240" w:lineRule="auto"/>
              <w:jc w:val="both"/>
              <w:rPr>
                <w:rFonts w:eastAsia="Times New Roman" w:cs="Arial"/>
                <w:sz w:val="22"/>
                <w:lang w:eastAsia="pt-BR"/>
              </w:rPr>
            </w:pPr>
            <w:r w:rsidRPr="00810C89">
              <w:rPr>
                <w:rFonts w:eastAsia="Times New Roman" w:cs="Arial"/>
                <w:sz w:val="22"/>
                <w:lang w:eastAsia="pt-BR"/>
              </w:rPr>
              <w:t xml:space="preserve">UTM 23K 772.058,00m E; 7.805.092,00 m S </w:t>
            </w:r>
          </w:p>
          <w:p w:rsidR="00755EF2" w:rsidRPr="00810C89" w:rsidRDefault="00755EF2" w:rsidP="00810C89">
            <w:pPr>
              <w:spacing w:before="120" w:after="120" w:line="240" w:lineRule="auto"/>
              <w:jc w:val="both"/>
              <w:rPr>
                <w:rFonts w:eastAsia="Times New Roman" w:cs="Arial"/>
                <w:sz w:val="22"/>
                <w:lang w:eastAsia="pt-BR"/>
              </w:rPr>
            </w:pPr>
            <w:r w:rsidRPr="00810C89">
              <w:rPr>
                <w:rFonts w:eastAsia="Times New Roman" w:cs="Arial"/>
                <w:sz w:val="22"/>
                <w:lang w:eastAsia="pt-BR"/>
              </w:rPr>
              <w:t>Vazão captada = 2L/s</w:t>
            </w:r>
            <w:r w:rsidR="000A1C78">
              <w:rPr>
                <w:rFonts w:eastAsia="Times New Roman" w:cs="Arial"/>
                <w:sz w:val="22"/>
                <w:lang w:eastAsia="pt-BR"/>
              </w:rPr>
              <w:t xml:space="preserve"> (5,8L/s - Outorgada)</w:t>
            </w:r>
          </w:p>
          <w:p w:rsidR="00755EF2" w:rsidRPr="00810C89" w:rsidRDefault="00755EF2" w:rsidP="00810C89">
            <w:pPr>
              <w:spacing w:before="120" w:after="120" w:line="240" w:lineRule="auto"/>
              <w:jc w:val="both"/>
              <w:rPr>
                <w:rFonts w:eastAsia="Times New Roman" w:cs="Arial"/>
                <w:sz w:val="22"/>
                <w:lang w:eastAsia="pt-BR"/>
              </w:rPr>
            </w:pPr>
            <w:r w:rsidRPr="00810C89">
              <w:rPr>
                <w:rFonts w:eastAsia="Times New Roman" w:cs="Arial"/>
                <w:sz w:val="22"/>
                <w:lang w:eastAsia="pt-BR"/>
              </w:rPr>
              <w:t>Bomba de 5cv;</w:t>
            </w:r>
          </w:p>
          <w:p w:rsidR="00755EF2" w:rsidRPr="00810C89" w:rsidRDefault="00755EF2" w:rsidP="00810C89">
            <w:pPr>
              <w:spacing w:before="120" w:after="120" w:line="240" w:lineRule="auto"/>
              <w:jc w:val="both"/>
              <w:rPr>
                <w:rFonts w:eastAsia="Times New Roman" w:cs="Arial"/>
                <w:sz w:val="22"/>
                <w:lang w:eastAsia="pt-BR"/>
              </w:rPr>
            </w:pPr>
            <w:r w:rsidRPr="00810C89">
              <w:rPr>
                <w:rFonts w:eastAsia="Times New Roman" w:cs="Arial"/>
                <w:sz w:val="22"/>
                <w:lang w:eastAsia="pt-BR"/>
              </w:rPr>
              <w:lastRenderedPageBreak/>
              <w:t>3.  C03</w:t>
            </w:r>
          </w:p>
          <w:p w:rsidR="00755EF2" w:rsidRPr="00810C89" w:rsidRDefault="00755EF2" w:rsidP="00810C89">
            <w:pPr>
              <w:spacing w:before="120" w:after="120" w:line="240" w:lineRule="auto"/>
              <w:jc w:val="both"/>
              <w:rPr>
                <w:rFonts w:eastAsia="Times New Roman" w:cs="Arial"/>
                <w:sz w:val="22"/>
                <w:lang w:eastAsia="pt-BR"/>
              </w:rPr>
            </w:pPr>
            <w:r w:rsidRPr="00810C89">
              <w:rPr>
                <w:rFonts w:eastAsia="Times New Roman" w:cs="Arial"/>
                <w:sz w:val="22"/>
                <w:lang w:eastAsia="pt-BR"/>
              </w:rPr>
              <w:t>UTM 23K 771.961,00m E; 7.805.230,00 m S</w:t>
            </w:r>
          </w:p>
          <w:p w:rsidR="00755EF2" w:rsidRPr="00810C89" w:rsidRDefault="00755EF2" w:rsidP="00810C89">
            <w:pPr>
              <w:spacing w:before="120" w:after="120" w:line="240" w:lineRule="auto"/>
              <w:jc w:val="both"/>
              <w:rPr>
                <w:rFonts w:eastAsia="Times New Roman" w:cs="Arial"/>
                <w:sz w:val="22"/>
                <w:lang w:eastAsia="pt-BR"/>
              </w:rPr>
            </w:pPr>
            <w:r w:rsidRPr="00810C89">
              <w:rPr>
                <w:rFonts w:eastAsia="Times New Roman" w:cs="Arial"/>
                <w:sz w:val="22"/>
                <w:lang w:eastAsia="pt-BR"/>
              </w:rPr>
              <w:t>Vazão captada = 2L/s</w:t>
            </w:r>
            <w:r w:rsidR="000A1C78">
              <w:rPr>
                <w:rFonts w:eastAsia="Times New Roman" w:cs="Arial"/>
                <w:sz w:val="22"/>
                <w:lang w:eastAsia="pt-BR"/>
              </w:rPr>
              <w:t xml:space="preserve"> (11L/s - Outorgada)</w:t>
            </w:r>
          </w:p>
          <w:p w:rsidR="00755EF2" w:rsidRPr="00810C89" w:rsidRDefault="00755EF2" w:rsidP="00810C89">
            <w:pPr>
              <w:spacing w:before="120" w:after="120" w:line="240" w:lineRule="auto"/>
              <w:jc w:val="both"/>
              <w:rPr>
                <w:sz w:val="22"/>
              </w:rPr>
            </w:pPr>
            <w:r w:rsidRPr="00810C89">
              <w:rPr>
                <w:rFonts w:eastAsia="Times New Roman" w:cs="Arial"/>
                <w:sz w:val="22"/>
                <w:lang w:eastAsia="pt-BR"/>
              </w:rPr>
              <w:t>Bomba de 5cv.</w:t>
            </w:r>
          </w:p>
        </w:tc>
      </w:tr>
      <w:tr w:rsidR="00755EF2" w:rsidRPr="00810C89" w:rsidTr="00755EF2">
        <w:tc>
          <w:tcPr>
            <w:tcW w:w="3485" w:type="dxa"/>
            <w:shd w:val="clear" w:color="auto" w:fill="auto"/>
            <w:vAlign w:val="center"/>
          </w:tcPr>
          <w:p w:rsidR="00755EF2" w:rsidRPr="00810C89" w:rsidRDefault="00755EF2" w:rsidP="00810C89">
            <w:pPr>
              <w:spacing w:before="120" w:after="120" w:line="240" w:lineRule="auto"/>
              <w:jc w:val="center"/>
              <w:rPr>
                <w:sz w:val="22"/>
              </w:rPr>
            </w:pPr>
            <w:r w:rsidRPr="00810C89">
              <w:rPr>
                <w:rFonts w:eastAsia="Times New Roman" w:cs="Arial"/>
                <w:sz w:val="22"/>
                <w:lang w:eastAsia="pt-BR"/>
              </w:rPr>
              <w:lastRenderedPageBreak/>
              <w:t>Tratamento</w:t>
            </w:r>
          </w:p>
        </w:tc>
        <w:tc>
          <w:tcPr>
            <w:tcW w:w="6125" w:type="dxa"/>
            <w:shd w:val="clear" w:color="auto" w:fill="auto"/>
          </w:tcPr>
          <w:p w:rsidR="00755EF2" w:rsidRPr="00810C89" w:rsidRDefault="00755EF2" w:rsidP="00810C89">
            <w:pPr>
              <w:spacing w:before="120" w:after="120" w:line="240" w:lineRule="auto"/>
              <w:jc w:val="both"/>
              <w:rPr>
                <w:sz w:val="22"/>
              </w:rPr>
            </w:pPr>
            <w:r w:rsidRPr="00810C89">
              <w:rPr>
                <w:rFonts w:eastAsia="Times New Roman" w:cs="Arial"/>
                <w:sz w:val="22"/>
                <w:lang w:eastAsia="pt-BR"/>
              </w:rPr>
              <w:t>Estação de Tratamento de Água de Córrego Novo (UTM 23K 771.744,00m E; 7.805.062,00m S) é do tipo simplificado, apenas cloração e fluoretação, mas que está em fase de ampliação para adição de filtração. O lodo resultante dos processos é descartado diretamente na drenagem da ETA.</w:t>
            </w:r>
          </w:p>
        </w:tc>
      </w:tr>
      <w:tr w:rsidR="00755EF2" w:rsidRPr="00810C89" w:rsidTr="00755EF2">
        <w:tc>
          <w:tcPr>
            <w:tcW w:w="3485" w:type="dxa"/>
            <w:shd w:val="clear" w:color="auto" w:fill="auto"/>
            <w:vAlign w:val="center"/>
          </w:tcPr>
          <w:p w:rsidR="00755EF2" w:rsidRPr="00810C89" w:rsidRDefault="00755EF2" w:rsidP="00810C89">
            <w:pPr>
              <w:spacing w:before="120" w:after="120" w:line="240" w:lineRule="auto"/>
              <w:jc w:val="center"/>
              <w:rPr>
                <w:sz w:val="22"/>
              </w:rPr>
            </w:pPr>
            <w:r w:rsidRPr="00810C89">
              <w:rPr>
                <w:rFonts w:eastAsia="Times New Roman" w:cs="Arial"/>
                <w:sz w:val="22"/>
                <w:lang w:eastAsia="pt-BR"/>
              </w:rPr>
              <w:t>Reservação e distribuição</w:t>
            </w:r>
          </w:p>
        </w:tc>
        <w:tc>
          <w:tcPr>
            <w:tcW w:w="6125" w:type="dxa"/>
            <w:shd w:val="clear" w:color="auto" w:fill="auto"/>
          </w:tcPr>
          <w:p w:rsidR="00755EF2" w:rsidRPr="00810C89" w:rsidRDefault="00755EF2" w:rsidP="00810C89">
            <w:pPr>
              <w:spacing w:before="120" w:after="120" w:line="240" w:lineRule="auto"/>
              <w:jc w:val="both"/>
              <w:rPr>
                <w:sz w:val="22"/>
              </w:rPr>
            </w:pPr>
            <w:r w:rsidRPr="00810C89">
              <w:rPr>
                <w:rFonts w:eastAsia="Times New Roman" w:cs="Arial"/>
                <w:sz w:val="22"/>
                <w:lang w:eastAsia="pt-BR"/>
              </w:rPr>
              <w:t xml:space="preserve">Três reservatórios totalizando 80m³ (45m³ e 30m³ na ETA e 5m³ loteamento novo); atendimento de 100% da população da sede (1.976 habitantes). 10,44km de redes de distribuição. Perdas chegam a 22,06%. Consumo </w:t>
            </w:r>
            <w:r w:rsidRPr="00810C89">
              <w:rPr>
                <w:rFonts w:eastAsia="Times New Roman" w:cs="Arial"/>
                <w:i/>
                <w:sz w:val="22"/>
                <w:lang w:eastAsia="pt-BR"/>
              </w:rPr>
              <w:t>per capita</w:t>
            </w:r>
            <w:r w:rsidRPr="00810C89">
              <w:rPr>
                <w:rFonts w:eastAsia="Times New Roman" w:cs="Arial"/>
                <w:sz w:val="22"/>
                <w:lang w:eastAsia="pt-BR"/>
              </w:rPr>
              <w:t xml:space="preserve"> de 137 L.hab/dia. 100% de micromedição.</w:t>
            </w:r>
          </w:p>
        </w:tc>
      </w:tr>
      <w:tr w:rsidR="00755EF2" w:rsidRPr="00810C89" w:rsidTr="00755EF2">
        <w:tc>
          <w:tcPr>
            <w:tcW w:w="3485" w:type="dxa"/>
            <w:shd w:val="clear" w:color="auto" w:fill="auto"/>
            <w:vAlign w:val="center"/>
          </w:tcPr>
          <w:p w:rsidR="00755EF2" w:rsidRPr="00810C89" w:rsidRDefault="00755EF2" w:rsidP="00810C89">
            <w:pPr>
              <w:spacing w:before="120" w:after="120" w:line="240" w:lineRule="auto"/>
              <w:jc w:val="center"/>
              <w:rPr>
                <w:rFonts w:eastAsia="Times New Roman" w:cs="Arial"/>
                <w:sz w:val="22"/>
                <w:lang w:eastAsia="pt-BR"/>
              </w:rPr>
            </w:pPr>
            <w:r w:rsidRPr="00810C89">
              <w:rPr>
                <w:rFonts w:eastAsia="Times New Roman" w:cs="Arial"/>
                <w:sz w:val="22"/>
                <w:lang w:eastAsia="pt-BR"/>
              </w:rPr>
              <w:t>Análise da qualidade da água</w:t>
            </w:r>
          </w:p>
        </w:tc>
        <w:tc>
          <w:tcPr>
            <w:tcW w:w="6125" w:type="dxa"/>
            <w:shd w:val="clear" w:color="auto" w:fill="auto"/>
          </w:tcPr>
          <w:p w:rsidR="00755EF2" w:rsidRPr="00810C89" w:rsidRDefault="00755EF2" w:rsidP="00810C89">
            <w:pPr>
              <w:spacing w:before="120" w:after="120" w:line="240" w:lineRule="auto"/>
              <w:jc w:val="both"/>
              <w:rPr>
                <w:sz w:val="22"/>
              </w:rPr>
            </w:pPr>
            <w:r w:rsidRPr="00810C89">
              <w:rPr>
                <w:rFonts w:eastAsia="Times New Roman" w:cs="Arial"/>
                <w:sz w:val="22"/>
                <w:lang w:eastAsia="pt-BR"/>
              </w:rPr>
              <w:t>Dentro dos padrões fixados pela Portaria n° 2.914/11 do Ministério da Saúde; são gerados relatórios anuais; e existem procedimentos para informar os usuários.</w:t>
            </w:r>
          </w:p>
        </w:tc>
      </w:tr>
      <w:tr w:rsidR="00755EF2" w:rsidRPr="00810C89" w:rsidTr="00755EF2">
        <w:tc>
          <w:tcPr>
            <w:tcW w:w="3485" w:type="dxa"/>
            <w:shd w:val="clear" w:color="auto" w:fill="auto"/>
            <w:vAlign w:val="center"/>
          </w:tcPr>
          <w:p w:rsidR="00755EF2" w:rsidRPr="00810C89" w:rsidRDefault="00755EF2" w:rsidP="00810C89">
            <w:pPr>
              <w:spacing w:before="120" w:after="120" w:line="240" w:lineRule="auto"/>
              <w:jc w:val="center"/>
              <w:rPr>
                <w:rFonts w:eastAsia="Times New Roman" w:cs="Arial"/>
                <w:sz w:val="22"/>
                <w:lang w:eastAsia="pt-BR"/>
              </w:rPr>
            </w:pPr>
            <w:r w:rsidRPr="00810C89">
              <w:rPr>
                <w:rFonts w:eastAsia="Times New Roman" w:cs="Arial"/>
                <w:sz w:val="22"/>
                <w:lang w:eastAsia="pt-BR"/>
              </w:rPr>
              <w:t>Gestão econômica</w:t>
            </w:r>
          </w:p>
        </w:tc>
        <w:tc>
          <w:tcPr>
            <w:tcW w:w="6125" w:type="dxa"/>
            <w:shd w:val="clear" w:color="auto" w:fill="auto"/>
          </w:tcPr>
          <w:p w:rsidR="00755EF2" w:rsidRPr="00810C89" w:rsidRDefault="00755EF2" w:rsidP="00810C89">
            <w:pPr>
              <w:spacing w:before="120" w:after="120" w:line="240" w:lineRule="auto"/>
              <w:jc w:val="both"/>
              <w:rPr>
                <w:rFonts w:eastAsia="Times New Roman" w:cs="Arial"/>
                <w:sz w:val="22"/>
                <w:lang w:eastAsia="pt-BR"/>
              </w:rPr>
            </w:pPr>
            <w:r w:rsidRPr="00810C89">
              <w:rPr>
                <w:rFonts w:eastAsia="Times New Roman" w:cs="Arial"/>
                <w:sz w:val="22"/>
                <w:lang w:eastAsia="pt-BR"/>
              </w:rPr>
              <w:t>Tarifa média de R$ 3,14/m³. Não atingiu autossuficiência. As despesas estão maiores que as receitas.</w:t>
            </w:r>
          </w:p>
        </w:tc>
      </w:tr>
      <w:tr w:rsidR="00755EF2" w:rsidRPr="00810C89" w:rsidTr="00755EF2">
        <w:tc>
          <w:tcPr>
            <w:tcW w:w="3485" w:type="dxa"/>
            <w:shd w:val="clear" w:color="auto" w:fill="auto"/>
            <w:vAlign w:val="center"/>
          </w:tcPr>
          <w:p w:rsidR="00755EF2" w:rsidRPr="00810C89" w:rsidRDefault="00755EF2" w:rsidP="00810C89">
            <w:pPr>
              <w:spacing w:before="120" w:after="120" w:line="240" w:lineRule="auto"/>
              <w:jc w:val="center"/>
              <w:rPr>
                <w:rFonts w:eastAsia="Times New Roman" w:cs="Arial"/>
                <w:sz w:val="22"/>
                <w:lang w:eastAsia="pt-BR"/>
              </w:rPr>
            </w:pPr>
            <w:r w:rsidRPr="00810C89">
              <w:rPr>
                <w:rFonts w:eastAsia="Times New Roman" w:cs="Arial"/>
                <w:sz w:val="22"/>
                <w:lang w:eastAsia="pt-BR"/>
              </w:rPr>
              <w:t>Atendimento à área rural</w:t>
            </w:r>
          </w:p>
        </w:tc>
        <w:tc>
          <w:tcPr>
            <w:tcW w:w="6125" w:type="dxa"/>
            <w:shd w:val="clear" w:color="auto" w:fill="auto"/>
          </w:tcPr>
          <w:p w:rsidR="00755EF2" w:rsidRPr="00810C89" w:rsidRDefault="00755EF2" w:rsidP="00810C89">
            <w:pPr>
              <w:spacing w:before="120" w:after="120" w:line="240" w:lineRule="auto"/>
              <w:jc w:val="both"/>
              <w:rPr>
                <w:rFonts w:eastAsia="Times New Roman" w:cs="Arial"/>
                <w:sz w:val="22"/>
                <w:lang w:eastAsia="pt-BR"/>
              </w:rPr>
            </w:pPr>
            <w:r w:rsidRPr="00810C89">
              <w:rPr>
                <w:rFonts w:eastAsia="Times New Roman" w:cs="Arial"/>
                <w:sz w:val="22"/>
                <w:lang w:eastAsia="pt-BR"/>
              </w:rPr>
              <w:t>População total é de 3.032 habitantes, sendo 1.056 habitantes na área rural. Não há atendimento</w:t>
            </w:r>
            <w:r w:rsidR="000A1C78">
              <w:rPr>
                <w:rFonts w:eastAsia="Times New Roman" w:cs="Arial"/>
                <w:sz w:val="22"/>
                <w:lang w:eastAsia="pt-BR"/>
              </w:rPr>
              <w:t xml:space="preserve"> pelo sistema</w:t>
            </w:r>
            <w:r w:rsidRPr="00810C89">
              <w:rPr>
                <w:rFonts w:eastAsia="Times New Roman" w:cs="Arial"/>
                <w:sz w:val="22"/>
                <w:lang w:eastAsia="pt-BR"/>
              </w:rPr>
              <w:t xml:space="preserve"> na área rural (0%)</w:t>
            </w:r>
            <w:r w:rsidR="000A1C78">
              <w:rPr>
                <w:rFonts w:eastAsia="Times New Roman" w:cs="Arial"/>
                <w:sz w:val="22"/>
                <w:lang w:eastAsia="pt-BR"/>
              </w:rPr>
              <w:t>, mas existem redes distribuidoras instaladas pelos próprios moradores em sistemas isolados</w:t>
            </w:r>
            <w:r w:rsidRPr="00810C89">
              <w:rPr>
                <w:rFonts w:eastAsia="Times New Roman" w:cs="Arial"/>
                <w:sz w:val="22"/>
                <w:lang w:eastAsia="pt-BR"/>
              </w:rPr>
              <w:t>. Tem-se atendimento de 65% da população total (urbana e rural).</w:t>
            </w:r>
          </w:p>
        </w:tc>
      </w:tr>
    </w:tbl>
    <w:p w:rsidR="00755EF2" w:rsidRDefault="00755EF2" w:rsidP="00810C89">
      <w:pPr>
        <w:pStyle w:val="Fonte"/>
      </w:pPr>
    </w:p>
    <w:p w:rsidR="00AB2513" w:rsidRDefault="00AB2513" w:rsidP="00BC01B1">
      <w:pPr>
        <w:pStyle w:val="SHS-Ttulo02"/>
      </w:pPr>
      <w:bookmarkStart w:id="529" w:name="_Ref479581915"/>
      <w:bookmarkStart w:id="530" w:name="_Toc490572553"/>
      <w:bookmarkStart w:id="531" w:name="_Toc505333919"/>
      <w:bookmarkStart w:id="532" w:name="_Toc509935500"/>
      <w:r w:rsidRPr="001D1D0A">
        <w:t>Quadro-resumo da situação do setor de esgotamento sanitário</w:t>
      </w:r>
      <w:bookmarkEnd w:id="529"/>
      <w:bookmarkEnd w:id="530"/>
      <w:bookmarkEnd w:id="531"/>
      <w:bookmarkEnd w:id="532"/>
    </w:p>
    <w:p w:rsidR="00755EF2" w:rsidRDefault="00755EF2" w:rsidP="00755EF2">
      <w:pPr>
        <w:pStyle w:val="LegendaBaixo"/>
        <w:rPr>
          <w:lang w:val="pt-BR"/>
        </w:rPr>
      </w:pPr>
      <w:bookmarkStart w:id="533" w:name="_Ref474771288"/>
      <w:bookmarkStart w:id="534" w:name="_Toc474163062"/>
      <w:bookmarkStart w:id="535" w:name="_Toc486860208"/>
      <w:bookmarkStart w:id="536" w:name="_Toc481507517"/>
      <w:bookmarkStart w:id="537" w:name="_Toc492480415"/>
      <w:bookmarkStart w:id="538" w:name="_Toc509935820"/>
      <w:r>
        <w:t xml:space="preserve">Quadro </w:t>
      </w:r>
      <w:r w:rsidR="000A1C78">
        <w:fldChar w:fldCharType="begin"/>
      </w:r>
      <w:r w:rsidR="000A1C78">
        <w:instrText xml:space="preserve"> SEQ Quadro \* ARABIC </w:instrText>
      </w:r>
      <w:r w:rsidR="000A1C78">
        <w:fldChar w:fldCharType="separate"/>
      </w:r>
      <w:r w:rsidR="001B481B">
        <w:rPr>
          <w:noProof/>
        </w:rPr>
        <w:t>43</w:t>
      </w:r>
      <w:r w:rsidR="000A1C78">
        <w:rPr>
          <w:noProof/>
        </w:rPr>
        <w:fldChar w:fldCharType="end"/>
      </w:r>
      <w:bookmarkEnd w:id="533"/>
      <w:r>
        <w:rPr>
          <w:lang w:val="pt-BR"/>
        </w:rPr>
        <w:t xml:space="preserve"> - </w:t>
      </w:r>
      <w:r>
        <w:t>Resumo d</w:t>
      </w:r>
      <w:r>
        <w:rPr>
          <w:lang w:val="pt-BR"/>
        </w:rPr>
        <w:t>o diagnóstico d</w:t>
      </w:r>
      <w:r>
        <w:t xml:space="preserve">os serviços de </w:t>
      </w:r>
      <w:r>
        <w:rPr>
          <w:lang w:val="pt-BR"/>
        </w:rPr>
        <w:t xml:space="preserve">esgotamento sanitário </w:t>
      </w:r>
      <w:bookmarkEnd w:id="534"/>
      <w:r>
        <w:rPr>
          <w:lang w:val="pt-BR"/>
        </w:rPr>
        <w:t>em Córrego Novo</w:t>
      </w:r>
      <w:bookmarkEnd w:id="535"/>
      <w:bookmarkEnd w:id="536"/>
      <w:bookmarkEnd w:id="537"/>
      <w:bookmarkEnd w:id="5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2"/>
        <w:gridCol w:w="6148"/>
      </w:tblGrid>
      <w:tr w:rsidR="00755EF2" w:rsidRPr="00810C89" w:rsidTr="00810C89">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jc w:val="center"/>
              <w:rPr>
                <w:rFonts w:cs="Arial"/>
                <w:b/>
                <w:sz w:val="22"/>
              </w:rPr>
            </w:pPr>
            <w:r w:rsidRPr="00810C89">
              <w:rPr>
                <w:rFonts w:cs="Arial"/>
                <w:b/>
                <w:sz w:val="22"/>
              </w:rPr>
              <w:t>Prestador do serviço</w:t>
            </w:r>
          </w:p>
        </w:tc>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sz w:val="22"/>
              </w:rPr>
            </w:pPr>
            <w:r w:rsidRPr="00810C89">
              <w:rPr>
                <w:rFonts w:cs="Arial"/>
                <w:sz w:val="22"/>
              </w:rPr>
              <w:t>Prefeitura Municipal de Córrego Novo</w:t>
            </w:r>
          </w:p>
          <w:p w:rsidR="00755EF2" w:rsidRPr="00810C89" w:rsidRDefault="00755EF2" w:rsidP="00810C89">
            <w:pPr>
              <w:spacing w:before="120" w:after="120" w:line="240" w:lineRule="auto"/>
              <w:rPr>
                <w:rFonts w:cs="Arial"/>
                <w:sz w:val="22"/>
              </w:rPr>
            </w:pPr>
            <w:r w:rsidRPr="00810C89">
              <w:rPr>
                <w:rFonts w:cs="Arial"/>
                <w:sz w:val="22"/>
              </w:rPr>
              <w:t xml:space="preserve">Departamento de Obras </w:t>
            </w:r>
          </w:p>
        </w:tc>
      </w:tr>
      <w:tr w:rsidR="00755EF2" w:rsidRPr="00810C89" w:rsidTr="00810C89">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jc w:val="center"/>
              <w:rPr>
                <w:rFonts w:cs="Arial"/>
                <w:b/>
                <w:sz w:val="22"/>
              </w:rPr>
            </w:pPr>
            <w:r w:rsidRPr="00810C89">
              <w:rPr>
                <w:rFonts w:cs="Arial"/>
                <w:b/>
                <w:sz w:val="22"/>
              </w:rPr>
              <w:t>Nome do principal corpo d’água receptor de esgotos</w:t>
            </w:r>
          </w:p>
        </w:tc>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sz w:val="22"/>
              </w:rPr>
            </w:pPr>
            <w:r w:rsidRPr="00810C89">
              <w:rPr>
                <w:rFonts w:cs="Arial"/>
                <w:sz w:val="22"/>
              </w:rPr>
              <w:t>Córrego Novo, córrego dos Lima e córrego sem nome.</w:t>
            </w:r>
          </w:p>
        </w:tc>
      </w:tr>
      <w:tr w:rsidR="00755EF2" w:rsidRPr="00810C89" w:rsidTr="00810C89">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b/>
                <w:sz w:val="22"/>
              </w:rPr>
            </w:pPr>
            <w:r w:rsidRPr="00810C89">
              <w:rPr>
                <w:rFonts w:cs="Arial"/>
                <w:b/>
                <w:sz w:val="22"/>
              </w:rPr>
              <w:t>Vazão de lançamento de esgotos (m³/s)</w:t>
            </w:r>
          </w:p>
        </w:tc>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sz w:val="22"/>
              </w:rPr>
            </w:pPr>
            <w:r w:rsidRPr="00810C89">
              <w:rPr>
                <w:rFonts w:cs="Arial"/>
                <w:sz w:val="22"/>
              </w:rPr>
              <w:t>Não informado</w:t>
            </w:r>
          </w:p>
        </w:tc>
      </w:tr>
      <w:tr w:rsidR="00755EF2" w:rsidRPr="00810C89" w:rsidTr="00810C89">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b/>
                <w:sz w:val="22"/>
              </w:rPr>
            </w:pPr>
            <w:r w:rsidRPr="00810C89">
              <w:rPr>
                <w:rFonts w:cs="Arial"/>
                <w:b/>
                <w:sz w:val="22"/>
              </w:rPr>
              <w:t xml:space="preserve">Capacidade de tratamento do </w:t>
            </w:r>
            <w:r w:rsidRPr="00810C89">
              <w:rPr>
                <w:rFonts w:cs="Arial"/>
                <w:b/>
                <w:sz w:val="22"/>
              </w:rPr>
              <w:lastRenderedPageBreak/>
              <w:t>município (L/s)</w:t>
            </w:r>
          </w:p>
        </w:tc>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sz w:val="22"/>
              </w:rPr>
            </w:pPr>
            <w:r w:rsidRPr="00810C89">
              <w:rPr>
                <w:rFonts w:cs="Arial"/>
                <w:sz w:val="22"/>
              </w:rPr>
              <w:lastRenderedPageBreak/>
              <w:t xml:space="preserve">Não há tratamento de esgotos no município, porém, segundo o projeto existente, a capacidade de tratamento </w:t>
            </w:r>
            <w:r w:rsidRPr="00810C89">
              <w:rPr>
                <w:rFonts w:cs="Arial"/>
                <w:sz w:val="22"/>
              </w:rPr>
              <w:lastRenderedPageBreak/>
              <w:t xml:space="preserve">será de 8 L/s. </w:t>
            </w:r>
          </w:p>
        </w:tc>
      </w:tr>
      <w:tr w:rsidR="00755EF2" w:rsidRPr="00810C89" w:rsidTr="00810C89">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b/>
                <w:sz w:val="22"/>
              </w:rPr>
            </w:pPr>
            <w:r w:rsidRPr="00810C89">
              <w:rPr>
                <w:rFonts w:cs="Arial"/>
                <w:b/>
                <w:sz w:val="22"/>
              </w:rPr>
              <w:lastRenderedPageBreak/>
              <w:t>População total</w:t>
            </w:r>
          </w:p>
        </w:tc>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sz w:val="22"/>
              </w:rPr>
            </w:pPr>
            <w:r w:rsidRPr="00810C89">
              <w:rPr>
                <w:rFonts w:cs="Arial"/>
                <w:sz w:val="22"/>
              </w:rPr>
              <w:t>3.000 habitantes (IBGE, 2016)</w:t>
            </w:r>
          </w:p>
        </w:tc>
      </w:tr>
      <w:tr w:rsidR="00755EF2" w:rsidRPr="00810C89" w:rsidTr="00810C89">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b/>
                <w:sz w:val="22"/>
              </w:rPr>
            </w:pPr>
            <w:r w:rsidRPr="00810C89">
              <w:rPr>
                <w:rFonts w:cs="Arial"/>
                <w:b/>
                <w:sz w:val="22"/>
              </w:rPr>
              <w:t>População urbana atendida por coleta (habitantes)</w:t>
            </w:r>
          </w:p>
        </w:tc>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0A1C78" w:rsidP="00810C89">
            <w:pPr>
              <w:spacing w:before="120" w:after="120" w:line="240" w:lineRule="auto"/>
              <w:rPr>
                <w:rFonts w:cs="Arial"/>
                <w:sz w:val="22"/>
              </w:rPr>
            </w:pPr>
            <w:r>
              <w:rPr>
                <w:rFonts w:cs="Arial"/>
                <w:sz w:val="22"/>
              </w:rPr>
              <w:t>2.497</w:t>
            </w:r>
            <w:r w:rsidR="00755EF2" w:rsidRPr="00810C89">
              <w:rPr>
                <w:rFonts w:cs="Arial"/>
                <w:sz w:val="22"/>
              </w:rPr>
              <w:t xml:space="preserve"> habitantes (SNIS, 2015)</w:t>
            </w:r>
          </w:p>
        </w:tc>
      </w:tr>
      <w:tr w:rsidR="00755EF2" w:rsidRPr="00810C89" w:rsidTr="00810C89">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b/>
                <w:sz w:val="22"/>
              </w:rPr>
            </w:pPr>
            <w:r w:rsidRPr="00810C89">
              <w:rPr>
                <w:rFonts w:cs="Arial"/>
                <w:b/>
                <w:sz w:val="22"/>
              </w:rPr>
              <w:t>População rural atendida por coleta (habitantes)</w:t>
            </w:r>
          </w:p>
        </w:tc>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sz w:val="22"/>
              </w:rPr>
            </w:pPr>
            <w:r w:rsidRPr="00810C89">
              <w:rPr>
                <w:rFonts w:cs="Arial"/>
                <w:sz w:val="22"/>
              </w:rPr>
              <w:t>Não há coleta de esgoto na área rural (SNIS, 2015)</w:t>
            </w:r>
          </w:p>
        </w:tc>
      </w:tr>
      <w:tr w:rsidR="00755EF2" w:rsidRPr="00810C89" w:rsidTr="00810C89">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b/>
                <w:sz w:val="22"/>
              </w:rPr>
            </w:pPr>
            <w:r w:rsidRPr="00810C89">
              <w:rPr>
                <w:rFonts w:cs="Arial"/>
                <w:b/>
                <w:sz w:val="22"/>
              </w:rPr>
              <w:t>População urbana atendida por coleta (%)</w:t>
            </w:r>
          </w:p>
        </w:tc>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sz w:val="22"/>
              </w:rPr>
            </w:pPr>
            <w:r w:rsidRPr="00810C89">
              <w:rPr>
                <w:rFonts w:cs="Arial"/>
                <w:sz w:val="22"/>
              </w:rPr>
              <w:t>88,56 % (SNIS, 2015)</w:t>
            </w:r>
          </w:p>
          <w:p w:rsidR="00755EF2" w:rsidRPr="00810C89" w:rsidRDefault="0066661F" w:rsidP="00810C89">
            <w:pPr>
              <w:spacing w:before="120" w:after="120" w:line="240" w:lineRule="auto"/>
              <w:rPr>
                <w:rFonts w:cs="Arial"/>
                <w:sz w:val="22"/>
              </w:rPr>
            </w:pPr>
            <w:r w:rsidRPr="00810C89">
              <w:rPr>
                <w:rFonts w:cs="Arial"/>
                <w:sz w:val="22"/>
              </w:rPr>
              <w:t>75 % (SHS, 2017</w:t>
            </w:r>
            <w:r w:rsidR="00755EF2" w:rsidRPr="00810C89">
              <w:rPr>
                <w:rFonts w:cs="Arial"/>
                <w:sz w:val="22"/>
              </w:rPr>
              <w:t>)</w:t>
            </w:r>
          </w:p>
        </w:tc>
      </w:tr>
      <w:tr w:rsidR="00755EF2" w:rsidRPr="00810C89" w:rsidTr="00810C89">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b/>
                <w:sz w:val="22"/>
              </w:rPr>
            </w:pPr>
            <w:r w:rsidRPr="00810C89">
              <w:rPr>
                <w:rFonts w:cs="Arial"/>
                <w:b/>
                <w:sz w:val="22"/>
              </w:rPr>
              <w:t>População rural atendida por coleta (%)</w:t>
            </w:r>
          </w:p>
        </w:tc>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sz w:val="22"/>
              </w:rPr>
            </w:pPr>
            <w:r w:rsidRPr="00810C89">
              <w:rPr>
                <w:rFonts w:cs="Arial"/>
                <w:sz w:val="22"/>
              </w:rPr>
              <w:t>Não há coleta de esgoto na área rural (SNIS, 2015)</w:t>
            </w:r>
          </w:p>
        </w:tc>
      </w:tr>
      <w:tr w:rsidR="00755EF2" w:rsidRPr="00810C89" w:rsidTr="00810C89">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b/>
                <w:sz w:val="22"/>
              </w:rPr>
            </w:pPr>
            <w:r w:rsidRPr="00810C89">
              <w:rPr>
                <w:rFonts w:cs="Arial"/>
                <w:b/>
                <w:sz w:val="22"/>
              </w:rPr>
              <w:t>População urbana atendida por tratamento (habitantes)</w:t>
            </w:r>
          </w:p>
        </w:tc>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sz w:val="22"/>
              </w:rPr>
            </w:pPr>
            <w:r w:rsidRPr="00810C89">
              <w:rPr>
                <w:rFonts w:cs="Arial"/>
                <w:sz w:val="22"/>
              </w:rPr>
              <w:t>Não há tratamento de esgotos no município</w:t>
            </w:r>
          </w:p>
        </w:tc>
      </w:tr>
      <w:tr w:rsidR="00755EF2" w:rsidRPr="00810C89" w:rsidTr="00810C89">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b/>
                <w:sz w:val="22"/>
              </w:rPr>
            </w:pPr>
            <w:r w:rsidRPr="00810C89">
              <w:rPr>
                <w:rFonts w:cs="Arial"/>
                <w:b/>
                <w:sz w:val="22"/>
              </w:rPr>
              <w:t>População rural atendida por tratamento (habitantes)</w:t>
            </w:r>
          </w:p>
        </w:tc>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sz w:val="22"/>
              </w:rPr>
            </w:pPr>
            <w:r w:rsidRPr="00810C89">
              <w:rPr>
                <w:rFonts w:cs="Arial"/>
                <w:sz w:val="22"/>
              </w:rPr>
              <w:t>Não há tratamento de esgotos no município</w:t>
            </w:r>
          </w:p>
        </w:tc>
      </w:tr>
      <w:tr w:rsidR="00755EF2" w:rsidRPr="00810C89" w:rsidTr="00810C89">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b/>
                <w:sz w:val="22"/>
              </w:rPr>
            </w:pPr>
            <w:r w:rsidRPr="00810C89">
              <w:rPr>
                <w:rFonts w:cs="Arial"/>
                <w:b/>
                <w:sz w:val="22"/>
              </w:rPr>
              <w:t>População urbana atendida por tratamento (%)</w:t>
            </w:r>
          </w:p>
        </w:tc>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sz w:val="22"/>
              </w:rPr>
            </w:pPr>
            <w:r w:rsidRPr="00810C89">
              <w:rPr>
                <w:rFonts w:cs="Arial"/>
                <w:sz w:val="22"/>
              </w:rPr>
              <w:t>Não há tratamento de esgotos no município</w:t>
            </w:r>
          </w:p>
        </w:tc>
      </w:tr>
      <w:tr w:rsidR="00755EF2" w:rsidRPr="00810C89" w:rsidTr="00810C89">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b/>
                <w:sz w:val="22"/>
              </w:rPr>
            </w:pPr>
            <w:r w:rsidRPr="00810C89">
              <w:rPr>
                <w:rFonts w:cs="Arial"/>
                <w:b/>
                <w:sz w:val="22"/>
              </w:rPr>
              <w:t>População rural atendida por tratamento (%)</w:t>
            </w:r>
          </w:p>
        </w:tc>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sz w:val="22"/>
              </w:rPr>
            </w:pPr>
            <w:r w:rsidRPr="00810C89">
              <w:rPr>
                <w:rFonts w:cs="Arial"/>
                <w:sz w:val="22"/>
              </w:rPr>
              <w:t>Não há tratamento de esgotos no município</w:t>
            </w:r>
          </w:p>
        </w:tc>
      </w:tr>
      <w:tr w:rsidR="00755EF2" w:rsidRPr="00810C89" w:rsidTr="00810C89">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b/>
                <w:sz w:val="22"/>
              </w:rPr>
            </w:pPr>
            <w:r w:rsidRPr="00810C89">
              <w:rPr>
                <w:rFonts w:cs="Arial"/>
                <w:b/>
                <w:sz w:val="22"/>
              </w:rPr>
              <w:t>Soluções alternativas empregadas nas áreas rurais</w:t>
            </w:r>
          </w:p>
        </w:tc>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66661F" w:rsidP="00810C89">
            <w:pPr>
              <w:spacing w:before="120" w:after="120" w:line="240" w:lineRule="auto"/>
              <w:ind w:firstLine="35"/>
              <w:rPr>
                <w:rFonts w:cs="Arial"/>
                <w:sz w:val="22"/>
              </w:rPr>
            </w:pPr>
            <w:r w:rsidRPr="00810C89">
              <w:rPr>
                <w:rFonts w:cs="Arial"/>
                <w:sz w:val="22"/>
              </w:rPr>
              <w:t>Fossas sépticas (SHS, 2017</w:t>
            </w:r>
            <w:r w:rsidR="00755EF2" w:rsidRPr="00810C89">
              <w:rPr>
                <w:rFonts w:cs="Arial"/>
                <w:sz w:val="22"/>
              </w:rPr>
              <w:t>)</w:t>
            </w:r>
          </w:p>
        </w:tc>
      </w:tr>
      <w:tr w:rsidR="00755EF2" w:rsidRPr="00810C89" w:rsidTr="00810C89">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b/>
                <w:sz w:val="22"/>
              </w:rPr>
            </w:pPr>
            <w:r w:rsidRPr="00810C89">
              <w:rPr>
                <w:rFonts w:cs="Arial"/>
                <w:b/>
                <w:sz w:val="22"/>
              </w:rPr>
              <w:t>Extensão de rede (km)</w:t>
            </w:r>
          </w:p>
        </w:tc>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sz w:val="22"/>
                <w:lang w:val="en-US"/>
              </w:rPr>
            </w:pPr>
            <w:r w:rsidRPr="00810C89">
              <w:rPr>
                <w:rFonts w:cs="Arial"/>
                <w:sz w:val="22"/>
                <w:lang w:val="en-US"/>
              </w:rPr>
              <w:t>15 km (SNIS, 2015)</w:t>
            </w:r>
          </w:p>
          <w:p w:rsidR="00755EF2" w:rsidRPr="00810C89" w:rsidRDefault="0066661F" w:rsidP="00810C89">
            <w:pPr>
              <w:spacing w:before="120" w:after="120" w:line="240" w:lineRule="auto"/>
              <w:rPr>
                <w:rFonts w:cs="Arial"/>
                <w:sz w:val="22"/>
                <w:lang w:val="en-US"/>
              </w:rPr>
            </w:pPr>
            <w:r w:rsidRPr="00810C89">
              <w:rPr>
                <w:rFonts w:cs="Arial"/>
                <w:sz w:val="22"/>
                <w:lang w:val="en-US"/>
              </w:rPr>
              <w:t>17 km (SHS, 2017</w:t>
            </w:r>
            <w:r w:rsidR="00755EF2" w:rsidRPr="00810C89">
              <w:rPr>
                <w:rFonts w:cs="Arial"/>
                <w:sz w:val="22"/>
                <w:lang w:val="en-US"/>
              </w:rPr>
              <w:t>)</w:t>
            </w:r>
          </w:p>
        </w:tc>
      </w:tr>
      <w:tr w:rsidR="00755EF2" w:rsidRPr="00810C89" w:rsidTr="00810C89">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b/>
                <w:sz w:val="22"/>
              </w:rPr>
            </w:pPr>
            <w:r w:rsidRPr="00810C89">
              <w:rPr>
                <w:rFonts w:cs="Arial"/>
                <w:b/>
                <w:sz w:val="22"/>
              </w:rPr>
              <w:t>Tarifa/taxa média cobrada (R$)</w:t>
            </w:r>
          </w:p>
        </w:tc>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sz w:val="22"/>
              </w:rPr>
            </w:pPr>
            <w:r w:rsidRPr="00810C89">
              <w:rPr>
                <w:rFonts w:cs="Arial"/>
                <w:sz w:val="22"/>
              </w:rPr>
              <w:t>Não existe tarifa</w:t>
            </w:r>
          </w:p>
        </w:tc>
      </w:tr>
      <w:tr w:rsidR="00755EF2" w:rsidRPr="00810C89" w:rsidTr="00810C89">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b/>
                <w:sz w:val="22"/>
              </w:rPr>
            </w:pPr>
            <w:r w:rsidRPr="00810C89">
              <w:rPr>
                <w:rFonts w:cs="Arial"/>
                <w:b/>
                <w:sz w:val="22"/>
              </w:rPr>
              <w:t>Projetos existentes</w:t>
            </w:r>
          </w:p>
        </w:tc>
        <w:tc>
          <w:tcPr>
            <w:tcW w:w="0" w:type="auto"/>
            <w:tcBorders>
              <w:top w:val="single" w:sz="4" w:space="0" w:color="auto"/>
              <w:left w:val="single" w:sz="4" w:space="0" w:color="auto"/>
              <w:bottom w:val="single" w:sz="4" w:space="0" w:color="auto"/>
              <w:right w:val="single" w:sz="4" w:space="0" w:color="auto"/>
            </w:tcBorders>
            <w:vAlign w:val="center"/>
            <w:hideMark/>
          </w:tcPr>
          <w:p w:rsidR="00755EF2" w:rsidRPr="00810C89" w:rsidRDefault="00755EF2" w:rsidP="00810C89">
            <w:pPr>
              <w:spacing w:before="120" w:after="120" w:line="240" w:lineRule="auto"/>
              <w:rPr>
                <w:rFonts w:cs="Arial"/>
                <w:sz w:val="22"/>
              </w:rPr>
            </w:pPr>
            <w:r w:rsidRPr="00810C89">
              <w:rPr>
                <w:rFonts w:cs="Arial"/>
                <w:sz w:val="22"/>
              </w:rPr>
              <w:t>ETE Córrego Novo (ainda não implantada)</w:t>
            </w:r>
          </w:p>
        </w:tc>
      </w:tr>
    </w:tbl>
    <w:p w:rsidR="0066661F" w:rsidRDefault="0066661F" w:rsidP="00810C89">
      <w:pPr>
        <w:pStyle w:val="Fonte"/>
      </w:pPr>
      <w:bookmarkStart w:id="539" w:name="_Toc480784956"/>
      <w:bookmarkStart w:id="540" w:name="_Toc481660096"/>
      <w:bookmarkStart w:id="541" w:name="_Toc490572626"/>
      <w:bookmarkStart w:id="542" w:name="_Toc505333920"/>
    </w:p>
    <w:p w:rsidR="00AB2513" w:rsidRDefault="00AB2513" w:rsidP="00BC01B1">
      <w:pPr>
        <w:pStyle w:val="SHS-Ttulo02"/>
      </w:pPr>
      <w:bookmarkStart w:id="543" w:name="_Toc509935501"/>
      <w:r w:rsidRPr="001D1D0A">
        <w:t>Quadro-resumo da situação do setor de drenagem urbana</w:t>
      </w:r>
      <w:bookmarkEnd w:id="539"/>
      <w:bookmarkEnd w:id="540"/>
      <w:bookmarkEnd w:id="541"/>
      <w:bookmarkEnd w:id="542"/>
      <w:bookmarkEnd w:id="543"/>
    </w:p>
    <w:p w:rsidR="00755EF2" w:rsidRPr="001D405F" w:rsidRDefault="00755EF2" w:rsidP="00755EF2">
      <w:pPr>
        <w:pStyle w:val="LegendaBaixo"/>
      </w:pPr>
      <w:bookmarkStart w:id="544" w:name="_Toc474163066"/>
      <w:bookmarkStart w:id="545" w:name="_Toc492480418"/>
      <w:bookmarkStart w:id="546" w:name="_Toc509935821"/>
      <w:r w:rsidRPr="001D405F">
        <w:t xml:space="preserve">Quadro </w:t>
      </w:r>
      <w:r w:rsidR="000A1C78">
        <w:fldChar w:fldCharType="begin"/>
      </w:r>
      <w:r w:rsidR="000A1C78">
        <w:instrText xml:space="preserve"> SEQ Quadro \* ARABIC </w:instrText>
      </w:r>
      <w:r w:rsidR="000A1C78">
        <w:fldChar w:fldCharType="separate"/>
      </w:r>
      <w:r w:rsidR="001B481B">
        <w:rPr>
          <w:noProof/>
        </w:rPr>
        <w:t>44</w:t>
      </w:r>
      <w:r w:rsidR="000A1C78">
        <w:rPr>
          <w:noProof/>
        </w:rPr>
        <w:fldChar w:fldCharType="end"/>
      </w:r>
      <w:r w:rsidRPr="001D405F">
        <w:rPr>
          <w:lang w:val="pt-BR"/>
        </w:rPr>
        <w:t xml:space="preserve"> - </w:t>
      </w:r>
      <w:r w:rsidRPr="001D405F">
        <w:t>Resumo d</w:t>
      </w:r>
      <w:r w:rsidRPr="001D405F">
        <w:rPr>
          <w:lang w:val="pt-BR"/>
        </w:rPr>
        <w:t>o diagnóstico d</w:t>
      </w:r>
      <w:r w:rsidRPr="001D405F">
        <w:t xml:space="preserve">os serviços de </w:t>
      </w:r>
      <w:r w:rsidRPr="001D405F">
        <w:rPr>
          <w:lang w:val="pt-BR"/>
        </w:rPr>
        <w:t xml:space="preserve">drenagem </w:t>
      </w:r>
      <w:bookmarkEnd w:id="544"/>
      <w:r w:rsidRPr="001D405F">
        <w:rPr>
          <w:lang w:val="pt-BR"/>
        </w:rPr>
        <w:t>do município de Córrego Novo</w:t>
      </w:r>
      <w:bookmarkEnd w:id="545"/>
      <w:bookmarkEnd w:id="5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7"/>
        <w:gridCol w:w="4747"/>
      </w:tblGrid>
      <w:tr w:rsidR="00755EF2" w:rsidRPr="003C773E" w:rsidTr="00755EF2">
        <w:trPr>
          <w:tblHeader/>
        </w:trPr>
        <w:tc>
          <w:tcPr>
            <w:tcW w:w="4747" w:type="dxa"/>
            <w:shd w:val="clear" w:color="auto" w:fill="auto"/>
            <w:vAlign w:val="center"/>
          </w:tcPr>
          <w:p w:rsidR="00755EF2" w:rsidRPr="003C773E" w:rsidRDefault="00755EF2" w:rsidP="00810C89">
            <w:pPr>
              <w:spacing w:before="120" w:after="120" w:line="240" w:lineRule="auto"/>
              <w:jc w:val="center"/>
              <w:rPr>
                <w:b/>
                <w:sz w:val="22"/>
              </w:rPr>
            </w:pPr>
            <w:r w:rsidRPr="003C773E">
              <w:rPr>
                <w:b/>
                <w:sz w:val="22"/>
              </w:rPr>
              <w:t>INFORMAÇÕES APRESENTADAS</w:t>
            </w:r>
          </w:p>
        </w:tc>
        <w:tc>
          <w:tcPr>
            <w:tcW w:w="4747" w:type="dxa"/>
            <w:shd w:val="clear" w:color="auto" w:fill="auto"/>
            <w:vAlign w:val="center"/>
          </w:tcPr>
          <w:p w:rsidR="00755EF2" w:rsidRPr="003C773E" w:rsidRDefault="00755EF2" w:rsidP="00810C89">
            <w:pPr>
              <w:spacing w:before="120" w:after="120" w:line="240" w:lineRule="auto"/>
              <w:jc w:val="center"/>
              <w:rPr>
                <w:b/>
                <w:sz w:val="22"/>
              </w:rPr>
            </w:pPr>
            <w:r w:rsidRPr="003C773E">
              <w:rPr>
                <w:b/>
                <w:sz w:val="22"/>
              </w:rPr>
              <w:t>DIAGNÓSTICO</w:t>
            </w:r>
          </w:p>
        </w:tc>
      </w:tr>
      <w:tr w:rsidR="00755EF2" w:rsidRPr="003C773E" w:rsidTr="00755EF2">
        <w:tc>
          <w:tcPr>
            <w:tcW w:w="4747" w:type="dxa"/>
            <w:shd w:val="clear" w:color="auto" w:fill="auto"/>
            <w:vAlign w:val="center"/>
          </w:tcPr>
          <w:p w:rsidR="00755EF2" w:rsidRPr="003C773E" w:rsidRDefault="00755EF2" w:rsidP="00810C89">
            <w:pPr>
              <w:spacing w:before="120" w:after="120" w:line="240" w:lineRule="auto"/>
              <w:rPr>
                <w:rFonts w:eastAsia="Times New Roman" w:cs="Arial"/>
                <w:sz w:val="22"/>
                <w:lang w:eastAsia="pt-BR"/>
              </w:rPr>
            </w:pPr>
            <w:r w:rsidRPr="003C773E">
              <w:rPr>
                <w:rFonts w:eastAsia="Times New Roman" w:cs="Arial"/>
                <w:sz w:val="22"/>
                <w:lang w:eastAsia="pt-BR"/>
              </w:rPr>
              <w:t>Prestador de serviço</w:t>
            </w:r>
          </w:p>
        </w:tc>
        <w:tc>
          <w:tcPr>
            <w:tcW w:w="4747" w:type="dxa"/>
            <w:shd w:val="clear" w:color="auto" w:fill="auto"/>
            <w:vAlign w:val="center"/>
          </w:tcPr>
          <w:p w:rsidR="00755EF2" w:rsidRPr="003C773E" w:rsidRDefault="00755EF2" w:rsidP="00810C89">
            <w:pPr>
              <w:spacing w:before="120" w:after="120" w:line="240" w:lineRule="auto"/>
              <w:jc w:val="both"/>
              <w:rPr>
                <w:rFonts w:eastAsia="Times New Roman" w:cs="Arial"/>
                <w:sz w:val="22"/>
                <w:lang w:eastAsia="pt-BR"/>
              </w:rPr>
            </w:pPr>
            <w:r w:rsidRPr="003C773E">
              <w:rPr>
                <w:rFonts w:eastAsia="Times New Roman" w:cs="Arial"/>
                <w:sz w:val="22"/>
                <w:lang w:eastAsia="pt-BR"/>
              </w:rPr>
              <w:t>Prefeitura Municipal</w:t>
            </w:r>
            <w:r w:rsidRPr="003C773E">
              <w:rPr>
                <w:sz w:val="22"/>
              </w:rPr>
              <w:t xml:space="preserve"> </w:t>
            </w:r>
            <w:r w:rsidRPr="003C773E">
              <w:rPr>
                <w:rFonts w:eastAsia="Times New Roman" w:cs="Arial"/>
                <w:sz w:val="22"/>
                <w:lang w:eastAsia="pt-BR"/>
              </w:rPr>
              <w:t>de Córreg</w:t>
            </w:r>
            <w:r>
              <w:rPr>
                <w:rFonts w:eastAsia="Times New Roman" w:cs="Arial"/>
                <w:sz w:val="22"/>
                <w:lang w:eastAsia="pt-BR"/>
              </w:rPr>
              <w:t>o Novo</w:t>
            </w:r>
          </w:p>
        </w:tc>
      </w:tr>
      <w:tr w:rsidR="00755EF2" w:rsidRPr="003C773E" w:rsidTr="00810C89">
        <w:trPr>
          <w:trHeight w:val="3288"/>
        </w:trPr>
        <w:tc>
          <w:tcPr>
            <w:tcW w:w="4747" w:type="dxa"/>
            <w:shd w:val="clear" w:color="auto" w:fill="auto"/>
            <w:vAlign w:val="center"/>
          </w:tcPr>
          <w:p w:rsidR="00755EF2" w:rsidRPr="003C773E" w:rsidRDefault="00755EF2" w:rsidP="00810C89">
            <w:pPr>
              <w:spacing w:before="120" w:after="120" w:line="240" w:lineRule="auto"/>
              <w:rPr>
                <w:rFonts w:eastAsia="Times New Roman" w:cs="Arial"/>
                <w:sz w:val="22"/>
                <w:lang w:eastAsia="pt-BR"/>
              </w:rPr>
            </w:pPr>
            <w:r w:rsidRPr="003C773E">
              <w:rPr>
                <w:rFonts w:eastAsia="Times New Roman" w:cs="Arial"/>
                <w:sz w:val="22"/>
                <w:lang w:eastAsia="pt-BR"/>
              </w:rPr>
              <w:lastRenderedPageBreak/>
              <w:t>Principal curso d’água da macrodrenagem</w:t>
            </w:r>
          </w:p>
        </w:tc>
        <w:tc>
          <w:tcPr>
            <w:tcW w:w="4747" w:type="dxa"/>
            <w:shd w:val="clear" w:color="auto" w:fill="auto"/>
            <w:vAlign w:val="center"/>
          </w:tcPr>
          <w:p w:rsidR="00755EF2" w:rsidRPr="003C773E" w:rsidRDefault="00755EF2" w:rsidP="00810C89">
            <w:pPr>
              <w:spacing w:before="120" w:after="120" w:line="240" w:lineRule="auto"/>
              <w:jc w:val="both"/>
              <w:rPr>
                <w:rFonts w:eastAsia="Times New Roman" w:cs="Arial"/>
                <w:sz w:val="22"/>
                <w:lang w:eastAsia="pt-BR"/>
              </w:rPr>
            </w:pPr>
            <w:r w:rsidRPr="003C773E">
              <w:rPr>
                <w:rFonts w:eastAsia="Times New Roman" w:cs="Arial"/>
                <w:sz w:val="22"/>
                <w:lang w:eastAsia="pt-BR"/>
              </w:rPr>
              <w:t>Na zona urbana o principal curso hídrico é o córrego Novo, porém o município é entrecortado na zona rural pelo córrego do Mantimento, que juntamente com o córrego Novo é afluente do ribeirão dos Óculos. Este por sua vez é afluente do rio Doce, que limita o município a Oeste, fronteira com Dionísio-MG.</w:t>
            </w:r>
          </w:p>
        </w:tc>
      </w:tr>
      <w:tr w:rsidR="00755EF2" w:rsidRPr="003C773E" w:rsidTr="00755EF2">
        <w:tc>
          <w:tcPr>
            <w:tcW w:w="4747" w:type="dxa"/>
            <w:shd w:val="clear" w:color="auto" w:fill="auto"/>
            <w:vAlign w:val="center"/>
          </w:tcPr>
          <w:p w:rsidR="00755EF2" w:rsidRPr="003C773E" w:rsidRDefault="00755EF2" w:rsidP="00810C89">
            <w:pPr>
              <w:spacing w:before="120" w:after="120" w:line="240" w:lineRule="auto"/>
              <w:rPr>
                <w:rFonts w:eastAsia="Times New Roman" w:cs="Arial"/>
                <w:sz w:val="22"/>
                <w:lang w:eastAsia="pt-BR"/>
              </w:rPr>
            </w:pPr>
            <w:r w:rsidRPr="003C773E">
              <w:rPr>
                <w:rFonts w:eastAsia="Times New Roman" w:cs="Arial"/>
                <w:sz w:val="22"/>
                <w:lang w:eastAsia="pt-BR"/>
              </w:rPr>
              <w:t>Alto grau de pavimentação impermeável?</w:t>
            </w:r>
          </w:p>
        </w:tc>
        <w:tc>
          <w:tcPr>
            <w:tcW w:w="4747" w:type="dxa"/>
            <w:shd w:val="clear" w:color="auto" w:fill="auto"/>
            <w:vAlign w:val="center"/>
          </w:tcPr>
          <w:p w:rsidR="00755EF2" w:rsidRPr="003C773E" w:rsidRDefault="00755EF2" w:rsidP="00810C89">
            <w:pPr>
              <w:spacing w:before="120" w:after="120" w:line="240" w:lineRule="auto"/>
              <w:jc w:val="both"/>
              <w:rPr>
                <w:rFonts w:eastAsia="Times New Roman" w:cs="Arial"/>
                <w:sz w:val="22"/>
                <w:lang w:eastAsia="pt-BR"/>
              </w:rPr>
            </w:pPr>
            <w:r w:rsidRPr="003C773E">
              <w:rPr>
                <w:rFonts w:eastAsia="Times New Roman" w:cs="Arial"/>
                <w:sz w:val="22"/>
                <w:lang w:eastAsia="pt-BR"/>
              </w:rPr>
              <w:t>Não. Há pavimentação dos tipos bloquete sextavado, asfalto e ruas sem pavimentação.</w:t>
            </w:r>
          </w:p>
        </w:tc>
      </w:tr>
      <w:tr w:rsidR="00755EF2" w:rsidRPr="003C773E" w:rsidTr="00755EF2">
        <w:trPr>
          <w:trHeight w:val="2572"/>
        </w:trPr>
        <w:tc>
          <w:tcPr>
            <w:tcW w:w="4747" w:type="dxa"/>
            <w:shd w:val="clear" w:color="auto" w:fill="auto"/>
            <w:vAlign w:val="center"/>
          </w:tcPr>
          <w:p w:rsidR="00755EF2" w:rsidRPr="003C773E" w:rsidRDefault="00755EF2" w:rsidP="00810C89">
            <w:pPr>
              <w:spacing w:before="120" w:after="120" w:line="240" w:lineRule="auto"/>
              <w:rPr>
                <w:rFonts w:eastAsia="Times New Roman" w:cs="Arial"/>
                <w:sz w:val="22"/>
                <w:lang w:eastAsia="pt-BR"/>
              </w:rPr>
            </w:pPr>
            <w:r w:rsidRPr="003C773E">
              <w:rPr>
                <w:rFonts w:eastAsia="Times New Roman" w:cs="Arial"/>
                <w:sz w:val="22"/>
                <w:lang w:eastAsia="pt-BR"/>
              </w:rPr>
              <w:t>APPs altamente antropizadas?</w:t>
            </w:r>
          </w:p>
        </w:tc>
        <w:tc>
          <w:tcPr>
            <w:tcW w:w="4747" w:type="dxa"/>
            <w:shd w:val="clear" w:color="auto" w:fill="auto"/>
            <w:vAlign w:val="center"/>
          </w:tcPr>
          <w:p w:rsidR="00755EF2" w:rsidRPr="003C773E" w:rsidRDefault="00755EF2" w:rsidP="00810C89">
            <w:pPr>
              <w:spacing w:before="120" w:after="120" w:line="240" w:lineRule="auto"/>
              <w:jc w:val="both"/>
              <w:rPr>
                <w:rFonts w:cs="Arial"/>
                <w:sz w:val="22"/>
              </w:rPr>
            </w:pPr>
            <w:r w:rsidRPr="003C773E">
              <w:rPr>
                <w:rFonts w:cs="Arial"/>
                <w:sz w:val="22"/>
              </w:rPr>
              <w:t>Na área urbana: a maior parte das APPs dos cursos d’água e de suas nascentes encontra-se degradada.</w:t>
            </w:r>
          </w:p>
          <w:p w:rsidR="00755EF2" w:rsidRPr="003C773E" w:rsidRDefault="00755EF2" w:rsidP="00810C89">
            <w:pPr>
              <w:spacing w:before="120" w:after="120" w:line="240" w:lineRule="auto"/>
              <w:jc w:val="both"/>
              <w:rPr>
                <w:rFonts w:eastAsia="Times New Roman" w:cs="Arial"/>
                <w:sz w:val="22"/>
                <w:lang w:eastAsia="pt-BR"/>
              </w:rPr>
            </w:pPr>
            <w:r w:rsidRPr="003C773E">
              <w:rPr>
                <w:rFonts w:cs="Arial"/>
                <w:sz w:val="22"/>
              </w:rPr>
              <w:t>Na área rural: fora do território da APA, as APPs estão bastante degradadas. Dentro do território da APA, as APPs apresentam-se mais conservadas, porém há APPs degradadas.</w:t>
            </w:r>
          </w:p>
        </w:tc>
      </w:tr>
      <w:tr w:rsidR="00755EF2" w:rsidRPr="003C773E" w:rsidTr="00755EF2">
        <w:tc>
          <w:tcPr>
            <w:tcW w:w="4747" w:type="dxa"/>
            <w:shd w:val="clear" w:color="auto" w:fill="auto"/>
            <w:vAlign w:val="center"/>
          </w:tcPr>
          <w:p w:rsidR="00755EF2" w:rsidRPr="003C773E" w:rsidRDefault="00755EF2" w:rsidP="00810C89">
            <w:pPr>
              <w:spacing w:before="120" w:after="120" w:line="240" w:lineRule="auto"/>
              <w:rPr>
                <w:sz w:val="22"/>
              </w:rPr>
            </w:pPr>
            <w:r w:rsidRPr="003C773E">
              <w:rPr>
                <w:rFonts w:eastAsia="Times New Roman" w:cs="Arial"/>
                <w:sz w:val="22"/>
                <w:lang w:eastAsia="pt-BR"/>
              </w:rPr>
              <w:t>Há rede de drenagem?</w:t>
            </w:r>
          </w:p>
        </w:tc>
        <w:tc>
          <w:tcPr>
            <w:tcW w:w="4747" w:type="dxa"/>
            <w:shd w:val="clear" w:color="auto" w:fill="auto"/>
            <w:vAlign w:val="center"/>
          </w:tcPr>
          <w:p w:rsidR="00755EF2" w:rsidRPr="003C773E" w:rsidRDefault="00755EF2" w:rsidP="00810C89">
            <w:pPr>
              <w:spacing w:before="120" w:after="120" w:line="240" w:lineRule="auto"/>
              <w:jc w:val="both"/>
              <w:rPr>
                <w:sz w:val="22"/>
              </w:rPr>
            </w:pPr>
            <w:r w:rsidRPr="003C773E">
              <w:rPr>
                <w:rFonts w:eastAsia="Times New Roman" w:cs="Arial"/>
                <w:sz w:val="22"/>
                <w:lang w:eastAsia="pt-BR"/>
              </w:rPr>
              <w:t>Há rede de drenagem, mas não há cadastro.</w:t>
            </w:r>
          </w:p>
        </w:tc>
      </w:tr>
      <w:tr w:rsidR="00755EF2" w:rsidRPr="003C773E" w:rsidTr="00755EF2">
        <w:tc>
          <w:tcPr>
            <w:tcW w:w="4747" w:type="dxa"/>
            <w:shd w:val="clear" w:color="auto" w:fill="auto"/>
            <w:vAlign w:val="center"/>
          </w:tcPr>
          <w:p w:rsidR="00755EF2" w:rsidRPr="003C773E" w:rsidRDefault="00755EF2" w:rsidP="00810C89">
            <w:pPr>
              <w:spacing w:before="120" w:after="120" w:line="240" w:lineRule="auto"/>
              <w:rPr>
                <w:rFonts w:eastAsia="Times New Roman" w:cs="Arial"/>
                <w:sz w:val="22"/>
                <w:lang w:eastAsia="pt-BR"/>
              </w:rPr>
            </w:pPr>
            <w:r w:rsidRPr="003C773E">
              <w:rPr>
                <w:rFonts w:eastAsia="Times New Roman" w:cs="Arial"/>
                <w:sz w:val="22"/>
                <w:lang w:eastAsia="pt-BR"/>
              </w:rPr>
              <w:t>Equipamentos de microdrenagem suficientes?</w:t>
            </w:r>
          </w:p>
        </w:tc>
        <w:tc>
          <w:tcPr>
            <w:tcW w:w="4747" w:type="dxa"/>
            <w:shd w:val="clear" w:color="auto" w:fill="auto"/>
            <w:vAlign w:val="center"/>
          </w:tcPr>
          <w:p w:rsidR="00755EF2" w:rsidRPr="003C773E" w:rsidRDefault="000A1C78" w:rsidP="000A1C78">
            <w:pPr>
              <w:spacing w:before="120" w:after="120" w:line="240" w:lineRule="auto"/>
              <w:jc w:val="both"/>
              <w:rPr>
                <w:rFonts w:eastAsia="Times New Roman" w:cs="Arial"/>
                <w:sz w:val="22"/>
                <w:lang w:eastAsia="pt-BR"/>
              </w:rPr>
            </w:pPr>
            <w:r w:rsidRPr="000A1C78">
              <w:rPr>
                <w:rFonts w:eastAsia="Times New Roman" w:cs="Arial"/>
                <w:sz w:val="22"/>
                <w:lang w:eastAsia="pt-BR"/>
              </w:rPr>
              <w:t>A princípio, o município não sofre com alagamentos na área urbana, porém este fato só será possível ser confirmado após a solução dos problemas de inundações, que ocorrem na Rua Nova (próximo à Praça do Pronaf), na Neca Lima, na Monsenhor Horta e na Padre Dionísio. Ressalta-se que nas vias citadas anteriormente não há presença de microdrenagem adequada. Este fato sugere que após a solução dos problemas relacionados à inundação, poderá ocorrer também problemas relacionados a alagamento.  Nos períodos de chuva ocorrem alagamentos e cortes de estradas na área rural</w:t>
            </w:r>
            <w:r>
              <w:rPr>
                <w:rFonts w:eastAsia="Times New Roman" w:cs="Arial"/>
                <w:sz w:val="22"/>
                <w:lang w:eastAsia="pt-BR"/>
              </w:rPr>
              <w:t>.</w:t>
            </w:r>
          </w:p>
        </w:tc>
      </w:tr>
      <w:tr w:rsidR="00755EF2" w:rsidRPr="003C773E" w:rsidTr="00755EF2">
        <w:tc>
          <w:tcPr>
            <w:tcW w:w="4747" w:type="dxa"/>
            <w:shd w:val="clear" w:color="auto" w:fill="auto"/>
            <w:vAlign w:val="center"/>
          </w:tcPr>
          <w:p w:rsidR="00755EF2" w:rsidRPr="003C773E" w:rsidRDefault="00755EF2" w:rsidP="00810C89">
            <w:pPr>
              <w:spacing w:before="120" w:after="120" w:line="240" w:lineRule="auto"/>
              <w:rPr>
                <w:rFonts w:eastAsia="Times New Roman" w:cs="Arial"/>
                <w:sz w:val="22"/>
                <w:lang w:eastAsia="pt-BR"/>
              </w:rPr>
            </w:pPr>
            <w:r w:rsidRPr="003C773E">
              <w:rPr>
                <w:rFonts w:eastAsia="Times New Roman" w:cs="Arial"/>
                <w:sz w:val="22"/>
                <w:lang w:eastAsia="pt-BR"/>
              </w:rPr>
              <w:t>Ocorrência de inundação nos últimos cinco anos?</w:t>
            </w:r>
          </w:p>
        </w:tc>
        <w:tc>
          <w:tcPr>
            <w:tcW w:w="4747" w:type="dxa"/>
            <w:shd w:val="clear" w:color="auto" w:fill="auto"/>
            <w:vAlign w:val="center"/>
          </w:tcPr>
          <w:p w:rsidR="00755EF2" w:rsidRPr="003C773E" w:rsidRDefault="00755EF2" w:rsidP="00810C89">
            <w:pPr>
              <w:spacing w:before="120" w:after="120" w:line="240" w:lineRule="auto"/>
              <w:jc w:val="both"/>
              <w:rPr>
                <w:rFonts w:eastAsia="Times New Roman" w:cs="Arial"/>
                <w:sz w:val="22"/>
                <w:lang w:eastAsia="pt-BR"/>
              </w:rPr>
            </w:pPr>
            <w:r w:rsidRPr="003C773E">
              <w:rPr>
                <w:rFonts w:eastAsia="Times New Roman" w:cs="Arial"/>
                <w:sz w:val="22"/>
                <w:lang w:eastAsia="pt-BR"/>
              </w:rPr>
              <w:t>Sim.</w:t>
            </w:r>
          </w:p>
        </w:tc>
      </w:tr>
      <w:tr w:rsidR="00755EF2" w:rsidRPr="003C773E" w:rsidTr="00755EF2">
        <w:tc>
          <w:tcPr>
            <w:tcW w:w="4747" w:type="dxa"/>
            <w:shd w:val="clear" w:color="auto" w:fill="auto"/>
            <w:vAlign w:val="center"/>
          </w:tcPr>
          <w:p w:rsidR="00755EF2" w:rsidRPr="003C773E" w:rsidRDefault="00755EF2" w:rsidP="00810C89">
            <w:pPr>
              <w:spacing w:before="120" w:after="120" w:line="240" w:lineRule="auto"/>
              <w:rPr>
                <w:rFonts w:eastAsia="Times New Roman" w:cs="Arial"/>
                <w:sz w:val="22"/>
                <w:lang w:eastAsia="pt-BR"/>
              </w:rPr>
            </w:pPr>
            <w:r w:rsidRPr="003C773E">
              <w:rPr>
                <w:rFonts w:eastAsia="Times New Roman" w:cs="Arial"/>
                <w:sz w:val="22"/>
                <w:lang w:eastAsia="pt-BR"/>
              </w:rPr>
              <w:t>Ocorrem alagamentos?</w:t>
            </w:r>
          </w:p>
        </w:tc>
        <w:tc>
          <w:tcPr>
            <w:tcW w:w="4747" w:type="dxa"/>
            <w:shd w:val="clear" w:color="auto" w:fill="auto"/>
            <w:vAlign w:val="center"/>
          </w:tcPr>
          <w:p w:rsidR="00755EF2" w:rsidRPr="003C773E" w:rsidRDefault="00755EF2" w:rsidP="00810C89">
            <w:pPr>
              <w:spacing w:before="120" w:after="120" w:line="240" w:lineRule="auto"/>
              <w:jc w:val="both"/>
              <w:rPr>
                <w:rFonts w:eastAsia="Times New Roman" w:cs="Arial"/>
                <w:sz w:val="22"/>
                <w:lang w:eastAsia="pt-BR"/>
              </w:rPr>
            </w:pPr>
            <w:r w:rsidRPr="003C773E">
              <w:rPr>
                <w:rFonts w:eastAsia="Times New Roman" w:cs="Arial"/>
                <w:sz w:val="22"/>
                <w:lang w:eastAsia="pt-BR"/>
              </w:rPr>
              <w:t>Não.</w:t>
            </w:r>
          </w:p>
        </w:tc>
      </w:tr>
      <w:tr w:rsidR="00755EF2" w:rsidRPr="003C773E" w:rsidTr="00755EF2">
        <w:tc>
          <w:tcPr>
            <w:tcW w:w="4747" w:type="dxa"/>
            <w:shd w:val="clear" w:color="auto" w:fill="auto"/>
            <w:vAlign w:val="center"/>
          </w:tcPr>
          <w:p w:rsidR="00755EF2" w:rsidRPr="003C773E" w:rsidRDefault="00755EF2" w:rsidP="00810C89">
            <w:pPr>
              <w:spacing w:before="120" w:after="120" w:line="240" w:lineRule="auto"/>
              <w:rPr>
                <w:sz w:val="22"/>
              </w:rPr>
            </w:pPr>
            <w:r w:rsidRPr="003C773E">
              <w:rPr>
                <w:rFonts w:eastAsia="Times New Roman" w:cs="Arial"/>
                <w:sz w:val="22"/>
                <w:lang w:eastAsia="pt-BR"/>
              </w:rPr>
              <w:lastRenderedPageBreak/>
              <w:t>Suscetível à erosão?</w:t>
            </w:r>
          </w:p>
        </w:tc>
        <w:tc>
          <w:tcPr>
            <w:tcW w:w="4747" w:type="dxa"/>
            <w:shd w:val="clear" w:color="auto" w:fill="auto"/>
            <w:vAlign w:val="center"/>
          </w:tcPr>
          <w:p w:rsidR="00755EF2" w:rsidRPr="003C773E" w:rsidRDefault="00755EF2" w:rsidP="00810C89">
            <w:pPr>
              <w:spacing w:before="120" w:after="120" w:line="240" w:lineRule="auto"/>
              <w:jc w:val="both"/>
              <w:rPr>
                <w:sz w:val="22"/>
              </w:rPr>
            </w:pPr>
            <w:r w:rsidRPr="003C773E">
              <w:rPr>
                <w:rFonts w:eastAsia="Times New Roman" w:cs="Arial"/>
                <w:sz w:val="22"/>
                <w:lang w:eastAsia="pt-BR"/>
              </w:rPr>
              <w:t>Sim.</w:t>
            </w:r>
          </w:p>
        </w:tc>
      </w:tr>
      <w:tr w:rsidR="00755EF2" w:rsidRPr="003C773E" w:rsidTr="00755EF2">
        <w:tc>
          <w:tcPr>
            <w:tcW w:w="4747" w:type="dxa"/>
            <w:shd w:val="clear" w:color="auto" w:fill="auto"/>
            <w:vAlign w:val="center"/>
          </w:tcPr>
          <w:p w:rsidR="00755EF2" w:rsidRPr="003C773E" w:rsidRDefault="00755EF2" w:rsidP="00810C89">
            <w:pPr>
              <w:spacing w:before="120" w:after="120" w:line="240" w:lineRule="auto"/>
              <w:rPr>
                <w:rFonts w:eastAsia="Times New Roman" w:cs="Arial"/>
                <w:sz w:val="22"/>
                <w:lang w:eastAsia="pt-BR"/>
              </w:rPr>
            </w:pPr>
            <w:r w:rsidRPr="003C773E">
              <w:rPr>
                <w:rFonts w:eastAsia="Times New Roman" w:cs="Arial"/>
                <w:sz w:val="22"/>
                <w:lang w:eastAsia="pt-BR"/>
              </w:rPr>
              <w:t>Erosão</w:t>
            </w:r>
          </w:p>
        </w:tc>
        <w:tc>
          <w:tcPr>
            <w:tcW w:w="4747" w:type="dxa"/>
            <w:shd w:val="clear" w:color="auto" w:fill="auto"/>
            <w:vAlign w:val="center"/>
          </w:tcPr>
          <w:p w:rsidR="00755EF2" w:rsidRPr="003C773E" w:rsidRDefault="000A1C78" w:rsidP="00810C89">
            <w:pPr>
              <w:spacing w:before="120" w:after="120" w:line="240" w:lineRule="auto"/>
              <w:jc w:val="both"/>
              <w:rPr>
                <w:rFonts w:eastAsia="Times New Roman" w:cs="Arial"/>
                <w:sz w:val="22"/>
                <w:lang w:eastAsia="pt-BR"/>
              </w:rPr>
            </w:pPr>
            <w:r>
              <w:rPr>
                <w:rFonts w:eastAsia="Times New Roman" w:cs="Arial"/>
                <w:sz w:val="22"/>
                <w:lang w:eastAsia="pt-BR"/>
              </w:rPr>
              <w:t>Há uma erosão na área urbana na rua Geraldo de Souza Neto</w:t>
            </w:r>
            <w:r w:rsidR="00755EF2" w:rsidRPr="003C773E">
              <w:rPr>
                <w:rFonts w:eastAsia="Times New Roman" w:cs="Arial"/>
                <w:sz w:val="22"/>
                <w:lang w:eastAsia="pt-BR"/>
              </w:rPr>
              <w:t>.</w:t>
            </w:r>
          </w:p>
          <w:p w:rsidR="00755EF2" w:rsidRPr="003C773E" w:rsidRDefault="00755EF2" w:rsidP="00810C89">
            <w:pPr>
              <w:spacing w:before="120" w:after="120" w:line="240" w:lineRule="auto"/>
              <w:jc w:val="both"/>
              <w:rPr>
                <w:rFonts w:eastAsia="Times New Roman" w:cs="Arial"/>
                <w:sz w:val="22"/>
                <w:lang w:eastAsia="pt-BR"/>
              </w:rPr>
            </w:pPr>
            <w:r w:rsidRPr="003C773E">
              <w:rPr>
                <w:rFonts w:eastAsia="Times New Roman" w:cs="Arial"/>
                <w:sz w:val="22"/>
                <w:lang w:eastAsia="pt-BR"/>
              </w:rPr>
              <w:t>Na área rural, há cinco pontos de erosão.</w:t>
            </w:r>
          </w:p>
        </w:tc>
      </w:tr>
      <w:tr w:rsidR="00755EF2" w:rsidRPr="003C773E" w:rsidTr="00755EF2">
        <w:tc>
          <w:tcPr>
            <w:tcW w:w="4747" w:type="dxa"/>
            <w:shd w:val="clear" w:color="auto" w:fill="auto"/>
            <w:vAlign w:val="center"/>
          </w:tcPr>
          <w:p w:rsidR="00755EF2" w:rsidRPr="003C773E" w:rsidRDefault="00755EF2" w:rsidP="00810C89">
            <w:pPr>
              <w:spacing w:before="120" w:after="120" w:line="240" w:lineRule="auto"/>
              <w:rPr>
                <w:rFonts w:eastAsia="Times New Roman" w:cs="Arial"/>
                <w:sz w:val="22"/>
                <w:lang w:eastAsia="pt-BR"/>
              </w:rPr>
            </w:pPr>
            <w:r w:rsidRPr="003C773E">
              <w:rPr>
                <w:rFonts w:eastAsia="Times New Roman" w:cs="Arial"/>
                <w:sz w:val="22"/>
                <w:lang w:eastAsia="pt-BR"/>
              </w:rPr>
              <w:t>Escorregamentos</w:t>
            </w:r>
          </w:p>
        </w:tc>
        <w:tc>
          <w:tcPr>
            <w:tcW w:w="4747" w:type="dxa"/>
            <w:shd w:val="clear" w:color="auto" w:fill="auto"/>
            <w:vAlign w:val="center"/>
          </w:tcPr>
          <w:p w:rsidR="00755EF2" w:rsidRPr="003C773E" w:rsidRDefault="00755EF2" w:rsidP="00810C89">
            <w:pPr>
              <w:spacing w:before="120" w:after="120" w:line="240" w:lineRule="auto"/>
              <w:jc w:val="both"/>
              <w:rPr>
                <w:rFonts w:eastAsia="Times New Roman" w:cs="Arial"/>
                <w:sz w:val="22"/>
                <w:lang w:eastAsia="pt-BR"/>
              </w:rPr>
            </w:pPr>
            <w:r w:rsidRPr="003C773E">
              <w:rPr>
                <w:rFonts w:eastAsia="Times New Roman" w:cs="Arial"/>
                <w:sz w:val="22"/>
                <w:lang w:eastAsia="pt-BR"/>
              </w:rPr>
              <w:t>Há um ponto de escorregamento no município.</w:t>
            </w:r>
          </w:p>
        </w:tc>
      </w:tr>
      <w:tr w:rsidR="00755EF2" w:rsidRPr="003C773E" w:rsidTr="00810C89">
        <w:trPr>
          <w:trHeight w:val="2041"/>
        </w:trPr>
        <w:tc>
          <w:tcPr>
            <w:tcW w:w="4747" w:type="dxa"/>
            <w:shd w:val="clear" w:color="auto" w:fill="auto"/>
            <w:vAlign w:val="center"/>
          </w:tcPr>
          <w:p w:rsidR="00755EF2" w:rsidRPr="003C773E" w:rsidRDefault="00755EF2" w:rsidP="00810C89">
            <w:pPr>
              <w:spacing w:before="120" w:after="120" w:line="240" w:lineRule="auto"/>
              <w:rPr>
                <w:rFonts w:eastAsia="Times New Roman" w:cs="Arial"/>
                <w:sz w:val="22"/>
                <w:lang w:eastAsia="pt-BR"/>
              </w:rPr>
            </w:pPr>
            <w:r w:rsidRPr="003C773E">
              <w:rPr>
                <w:rFonts w:eastAsia="Times New Roman" w:cs="Arial"/>
                <w:sz w:val="22"/>
                <w:lang w:eastAsia="pt-BR"/>
              </w:rPr>
              <w:t>Canais e assoreamento</w:t>
            </w:r>
          </w:p>
        </w:tc>
        <w:tc>
          <w:tcPr>
            <w:tcW w:w="4747" w:type="dxa"/>
            <w:shd w:val="clear" w:color="auto" w:fill="auto"/>
            <w:vAlign w:val="center"/>
          </w:tcPr>
          <w:p w:rsidR="00755EF2" w:rsidRPr="003C773E" w:rsidRDefault="00755EF2" w:rsidP="00810C89">
            <w:pPr>
              <w:spacing w:before="120" w:after="120" w:line="240" w:lineRule="auto"/>
              <w:jc w:val="both"/>
              <w:rPr>
                <w:rFonts w:eastAsia="Times New Roman" w:cs="Arial"/>
                <w:sz w:val="22"/>
                <w:lang w:eastAsia="pt-BR"/>
              </w:rPr>
            </w:pPr>
            <w:r w:rsidRPr="003C773E">
              <w:rPr>
                <w:rFonts w:eastAsia="Times New Roman" w:cs="Arial"/>
                <w:sz w:val="22"/>
                <w:lang w:eastAsia="pt-BR"/>
              </w:rPr>
              <w:t xml:space="preserve">As águas pluviais e os esgotos </w:t>
            </w:r>
            <w:r w:rsidRPr="003C773E">
              <w:rPr>
                <w:rFonts w:eastAsia="Times New Roman" w:cs="Arial"/>
                <w:i/>
                <w:sz w:val="22"/>
                <w:lang w:eastAsia="pt-BR"/>
              </w:rPr>
              <w:t>in natura</w:t>
            </w:r>
            <w:r w:rsidRPr="003C773E">
              <w:rPr>
                <w:rFonts w:eastAsia="Times New Roman" w:cs="Arial"/>
                <w:sz w:val="22"/>
                <w:lang w:eastAsia="pt-BR"/>
              </w:rPr>
              <w:t xml:space="preserve"> são lançados no Córrego Novo e seus afluentes.</w:t>
            </w:r>
          </w:p>
          <w:p w:rsidR="00755EF2" w:rsidRPr="003C773E" w:rsidRDefault="00755EF2" w:rsidP="00810C89">
            <w:pPr>
              <w:spacing w:before="120" w:after="120" w:line="240" w:lineRule="auto"/>
              <w:jc w:val="both"/>
              <w:rPr>
                <w:sz w:val="22"/>
              </w:rPr>
            </w:pPr>
            <w:r w:rsidRPr="003C773E">
              <w:rPr>
                <w:rFonts w:eastAsia="Times New Roman" w:cs="Arial"/>
                <w:sz w:val="22"/>
                <w:lang w:eastAsia="pt-BR"/>
              </w:rPr>
              <w:t>O córrego Novo possui trechos assoreados na área rural.</w:t>
            </w:r>
          </w:p>
        </w:tc>
      </w:tr>
      <w:tr w:rsidR="00755EF2" w:rsidRPr="003C773E" w:rsidTr="00755EF2">
        <w:tc>
          <w:tcPr>
            <w:tcW w:w="4747" w:type="dxa"/>
            <w:shd w:val="clear" w:color="auto" w:fill="auto"/>
            <w:vAlign w:val="center"/>
          </w:tcPr>
          <w:p w:rsidR="00755EF2" w:rsidRPr="003C773E" w:rsidRDefault="00755EF2" w:rsidP="00810C89">
            <w:pPr>
              <w:spacing w:before="120" w:after="120" w:line="240" w:lineRule="auto"/>
              <w:rPr>
                <w:rFonts w:eastAsia="Times New Roman" w:cs="Arial"/>
                <w:sz w:val="22"/>
                <w:lang w:eastAsia="pt-BR"/>
              </w:rPr>
            </w:pPr>
            <w:r w:rsidRPr="003C773E">
              <w:rPr>
                <w:rFonts w:eastAsia="Times New Roman" w:cs="Arial"/>
                <w:sz w:val="22"/>
                <w:lang w:eastAsia="pt-BR"/>
              </w:rPr>
              <w:t>Projetos existentes</w:t>
            </w:r>
          </w:p>
        </w:tc>
        <w:tc>
          <w:tcPr>
            <w:tcW w:w="4747" w:type="dxa"/>
            <w:shd w:val="clear" w:color="auto" w:fill="auto"/>
            <w:vAlign w:val="center"/>
          </w:tcPr>
          <w:p w:rsidR="00755EF2" w:rsidRPr="003C773E" w:rsidRDefault="00755EF2" w:rsidP="00810C89">
            <w:pPr>
              <w:spacing w:before="120" w:after="120" w:line="240" w:lineRule="auto"/>
              <w:jc w:val="both"/>
              <w:rPr>
                <w:sz w:val="22"/>
              </w:rPr>
            </w:pPr>
            <w:r w:rsidRPr="003C773E">
              <w:rPr>
                <w:rFonts w:eastAsia="Times New Roman" w:cs="Arial"/>
                <w:sz w:val="22"/>
                <w:lang w:eastAsia="pt-BR"/>
              </w:rPr>
              <w:t>Não há.</w:t>
            </w:r>
          </w:p>
        </w:tc>
      </w:tr>
    </w:tbl>
    <w:p w:rsidR="00755EF2" w:rsidRPr="00755EF2" w:rsidRDefault="00755EF2" w:rsidP="00810C89">
      <w:pPr>
        <w:pStyle w:val="Fonte"/>
      </w:pPr>
    </w:p>
    <w:p w:rsidR="00AB2513" w:rsidRDefault="00AB2513" w:rsidP="00BC01B1">
      <w:pPr>
        <w:pStyle w:val="SHS-Ttulo02"/>
      </w:pPr>
      <w:bookmarkStart w:id="547" w:name="_Toc490572654"/>
      <w:bookmarkStart w:id="548" w:name="_Toc505333921"/>
      <w:bookmarkStart w:id="549" w:name="_Toc509935502"/>
      <w:r w:rsidRPr="001D1D0A">
        <w:t>Quadros-resumo da situação do setor de resíduos sólidos</w:t>
      </w:r>
      <w:bookmarkEnd w:id="547"/>
      <w:bookmarkEnd w:id="548"/>
      <w:bookmarkEnd w:id="549"/>
    </w:p>
    <w:p w:rsidR="00755EF2" w:rsidRPr="00865243" w:rsidRDefault="00755EF2" w:rsidP="00755EF2">
      <w:pPr>
        <w:pStyle w:val="LegendaBaixo"/>
      </w:pPr>
      <w:bookmarkStart w:id="550" w:name="_Ref480794839"/>
      <w:bookmarkStart w:id="551" w:name="_Toc492480423"/>
      <w:bookmarkStart w:id="552" w:name="_Toc509935822"/>
      <w:r w:rsidRPr="00865243">
        <w:t xml:space="preserve">Quadro </w:t>
      </w:r>
      <w:r w:rsidR="000A1C78">
        <w:fldChar w:fldCharType="begin"/>
      </w:r>
      <w:r w:rsidR="000A1C78">
        <w:instrText xml:space="preserve"> SEQ Quadro \* ARABIC </w:instrText>
      </w:r>
      <w:r w:rsidR="000A1C78">
        <w:fldChar w:fldCharType="separate"/>
      </w:r>
      <w:r w:rsidR="001B481B">
        <w:rPr>
          <w:noProof/>
        </w:rPr>
        <w:t>45</w:t>
      </w:r>
      <w:r w:rsidR="000A1C78">
        <w:rPr>
          <w:noProof/>
        </w:rPr>
        <w:fldChar w:fldCharType="end"/>
      </w:r>
      <w:bookmarkEnd w:id="550"/>
      <w:r w:rsidRPr="00865243">
        <w:rPr>
          <w:lang w:val="pt-BR"/>
        </w:rPr>
        <w:t xml:space="preserve"> - </w:t>
      </w:r>
      <w:r w:rsidRPr="00865243">
        <w:t>Resumo d</w:t>
      </w:r>
      <w:r w:rsidRPr="00865243">
        <w:rPr>
          <w:lang w:val="pt-BR"/>
        </w:rPr>
        <w:t>o diagnóstico d</w:t>
      </w:r>
      <w:r w:rsidRPr="00865243">
        <w:t xml:space="preserve">os serviços de </w:t>
      </w:r>
      <w:r w:rsidRPr="00865243">
        <w:rPr>
          <w:lang w:val="pt-BR"/>
        </w:rPr>
        <w:t>resíduos sólidos na sede</w:t>
      </w:r>
      <w:bookmarkEnd w:id="551"/>
      <w:bookmarkEnd w:id="5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7"/>
        <w:gridCol w:w="4747"/>
      </w:tblGrid>
      <w:tr w:rsidR="00755EF2" w:rsidRPr="00581846" w:rsidTr="00755EF2">
        <w:trPr>
          <w:tblHeader/>
        </w:trPr>
        <w:tc>
          <w:tcPr>
            <w:tcW w:w="4747" w:type="dxa"/>
            <w:shd w:val="clear" w:color="auto" w:fill="auto"/>
            <w:vAlign w:val="center"/>
          </w:tcPr>
          <w:p w:rsidR="00755EF2" w:rsidRPr="00581846" w:rsidRDefault="00755EF2" w:rsidP="00810C89">
            <w:pPr>
              <w:spacing w:before="120" w:after="120" w:line="240" w:lineRule="auto"/>
              <w:jc w:val="center"/>
              <w:rPr>
                <w:b/>
                <w:sz w:val="22"/>
              </w:rPr>
            </w:pPr>
            <w:r w:rsidRPr="00581846">
              <w:rPr>
                <w:b/>
                <w:sz w:val="22"/>
              </w:rPr>
              <w:t>ATIVIDADE</w:t>
            </w:r>
          </w:p>
        </w:tc>
        <w:tc>
          <w:tcPr>
            <w:tcW w:w="4747" w:type="dxa"/>
            <w:shd w:val="clear" w:color="auto" w:fill="auto"/>
            <w:vAlign w:val="center"/>
          </w:tcPr>
          <w:p w:rsidR="00755EF2" w:rsidRPr="00581846" w:rsidRDefault="00755EF2" w:rsidP="00810C89">
            <w:pPr>
              <w:spacing w:before="120" w:after="120" w:line="240" w:lineRule="auto"/>
              <w:jc w:val="center"/>
              <w:rPr>
                <w:b/>
                <w:sz w:val="22"/>
              </w:rPr>
            </w:pPr>
            <w:r w:rsidRPr="00581846">
              <w:rPr>
                <w:b/>
                <w:sz w:val="22"/>
              </w:rPr>
              <w:t>DIAGNÓSTICO</w:t>
            </w:r>
          </w:p>
        </w:tc>
      </w:tr>
      <w:tr w:rsidR="00755EF2" w:rsidRPr="00581846" w:rsidTr="00755EF2">
        <w:tc>
          <w:tcPr>
            <w:tcW w:w="4747" w:type="dxa"/>
            <w:shd w:val="clear" w:color="auto" w:fill="auto"/>
            <w:vAlign w:val="center"/>
          </w:tcPr>
          <w:p w:rsidR="00755EF2" w:rsidRPr="00581846" w:rsidRDefault="00755EF2" w:rsidP="000A1C78">
            <w:pPr>
              <w:spacing w:before="100" w:after="100" w:line="240" w:lineRule="auto"/>
              <w:jc w:val="center"/>
              <w:rPr>
                <w:sz w:val="22"/>
              </w:rPr>
            </w:pPr>
            <w:r w:rsidRPr="00581846">
              <w:rPr>
                <w:rFonts w:eastAsia="Times New Roman" w:cs="Arial"/>
                <w:sz w:val="22"/>
                <w:lang w:eastAsia="pt-BR"/>
              </w:rPr>
              <w:t>Coleta</w:t>
            </w:r>
          </w:p>
        </w:tc>
        <w:tc>
          <w:tcPr>
            <w:tcW w:w="4747" w:type="dxa"/>
            <w:shd w:val="clear" w:color="auto" w:fill="auto"/>
          </w:tcPr>
          <w:p w:rsidR="00755EF2" w:rsidRPr="00581846" w:rsidRDefault="00755EF2" w:rsidP="000A1C78">
            <w:pPr>
              <w:spacing w:before="100" w:after="100" w:line="240" w:lineRule="auto"/>
              <w:jc w:val="both"/>
              <w:rPr>
                <w:sz w:val="22"/>
              </w:rPr>
            </w:pPr>
            <w:r w:rsidRPr="00581846">
              <w:rPr>
                <w:rFonts w:eastAsia="Times New Roman" w:cs="Arial"/>
                <w:sz w:val="22"/>
                <w:lang w:eastAsia="pt-BR"/>
              </w:rPr>
              <w:t xml:space="preserve">A coleta regular ocorre com frequência diária na sede do município e semanal na área rural. Coleta convencional atinge 100% da população urbana, ou seja, 1.976 habitantes, mas não se sabe a quantidade de habitantes com coleta na área rural. </w:t>
            </w:r>
            <w:r w:rsidR="000A1C78">
              <w:rPr>
                <w:rFonts w:eastAsia="Times New Roman" w:cs="Arial"/>
                <w:sz w:val="22"/>
                <w:lang w:eastAsia="pt-BR"/>
              </w:rPr>
              <w:t>Iniciou-se um</w:t>
            </w:r>
            <w:r w:rsidRPr="00581846">
              <w:rPr>
                <w:rFonts w:eastAsia="Times New Roman" w:cs="Arial"/>
                <w:sz w:val="22"/>
                <w:lang w:eastAsia="pt-BR"/>
              </w:rPr>
              <w:t xml:space="preserve"> programa municipal de coleta seletiva</w:t>
            </w:r>
            <w:r w:rsidR="000A1C78">
              <w:rPr>
                <w:rFonts w:eastAsia="Times New Roman" w:cs="Arial"/>
                <w:sz w:val="22"/>
                <w:lang w:eastAsia="pt-BR"/>
              </w:rPr>
              <w:t>, mas não está funcionando de maneira ideal, visto que a população ainda não está realizando adequadamente a segregação na fonte</w:t>
            </w:r>
            <w:r w:rsidRPr="00581846">
              <w:rPr>
                <w:rFonts w:eastAsia="Times New Roman" w:cs="Arial"/>
                <w:sz w:val="22"/>
                <w:lang w:eastAsia="pt-BR"/>
              </w:rPr>
              <w:t>.</w:t>
            </w:r>
          </w:p>
        </w:tc>
      </w:tr>
      <w:tr w:rsidR="00755EF2" w:rsidRPr="00581846" w:rsidTr="00755EF2">
        <w:tc>
          <w:tcPr>
            <w:tcW w:w="4747" w:type="dxa"/>
            <w:shd w:val="clear" w:color="auto" w:fill="auto"/>
            <w:vAlign w:val="center"/>
          </w:tcPr>
          <w:p w:rsidR="00755EF2" w:rsidRPr="00581846" w:rsidRDefault="00755EF2" w:rsidP="000A1C78">
            <w:pPr>
              <w:spacing w:before="100" w:after="100" w:line="240" w:lineRule="auto"/>
              <w:jc w:val="center"/>
              <w:rPr>
                <w:sz w:val="22"/>
              </w:rPr>
            </w:pPr>
            <w:r w:rsidRPr="00581846">
              <w:rPr>
                <w:rFonts w:eastAsia="Times New Roman" w:cs="Arial"/>
                <w:sz w:val="22"/>
                <w:lang w:eastAsia="pt-BR"/>
              </w:rPr>
              <w:t>Tratamento e disposição final</w:t>
            </w:r>
          </w:p>
        </w:tc>
        <w:tc>
          <w:tcPr>
            <w:tcW w:w="4747" w:type="dxa"/>
            <w:shd w:val="clear" w:color="auto" w:fill="auto"/>
          </w:tcPr>
          <w:p w:rsidR="00755EF2" w:rsidRPr="00581846" w:rsidRDefault="00755EF2" w:rsidP="000A1C78">
            <w:pPr>
              <w:spacing w:before="100" w:after="100" w:line="240" w:lineRule="auto"/>
              <w:jc w:val="both"/>
              <w:rPr>
                <w:rFonts w:eastAsia="Times New Roman" w:cs="Arial"/>
                <w:sz w:val="22"/>
                <w:lang w:eastAsia="pt-BR"/>
              </w:rPr>
            </w:pPr>
            <w:r w:rsidRPr="00581846">
              <w:rPr>
                <w:rFonts w:eastAsia="Times New Roman" w:cs="Arial"/>
                <w:sz w:val="22"/>
                <w:lang w:eastAsia="pt-BR"/>
              </w:rPr>
              <w:t>O equipamento urbano de tratamento é uma Usina de Triagem em Compostagem e as destinações finais dos resíduos são:</w:t>
            </w:r>
          </w:p>
          <w:p w:rsidR="00755EF2" w:rsidRPr="00581846" w:rsidRDefault="00755EF2" w:rsidP="000A1C78">
            <w:pPr>
              <w:spacing w:before="100" w:after="100" w:line="240" w:lineRule="auto"/>
              <w:jc w:val="both"/>
              <w:rPr>
                <w:rFonts w:eastAsia="Times New Roman" w:cs="Arial"/>
                <w:sz w:val="22"/>
                <w:lang w:eastAsia="pt-BR"/>
              </w:rPr>
            </w:pPr>
            <w:r w:rsidRPr="00581846">
              <w:rPr>
                <w:rFonts w:eastAsia="Times New Roman" w:cs="Arial"/>
                <w:sz w:val="22"/>
                <w:lang w:eastAsia="pt-BR"/>
              </w:rPr>
              <w:t>- Recicláveis são vendidos.</w:t>
            </w:r>
          </w:p>
          <w:p w:rsidR="00755EF2" w:rsidRPr="00581846" w:rsidRDefault="00755EF2" w:rsidP="000A1C78">
            <w:pPr>
              <w:spacing w:before="100" w:after="100" w:line="240" w:lineRule="auto"/>
              <w:jc w:val="both"/>
              <w:rPr>
                <w:rFonts w:eastAsia="Times New Roman" w:cs="Arial"/>
                <w:sz w:val="22"/>
                <w:lang w:eastAsia="pt-BR"/>
              </w:rPr>
            </w:pPr>
            <w:r w:rsidRPr="00581846">
              <w:rPr>
                <w:rFonts w:eastAsia="Times New Roman" w:cs="Arial"/>
                <w:sz w:val="22"/>
                <w:lang w:eastAsia="pt-BR"/>
              </w:rPr>
              <w:t>- Orgânicos transformados em compostos orgânicos.</w:t>
            </w:r>
          </w:p>
          <w:p w:rsidR="00755EF2" w:rsidRPr="00581846" w:rsidRDefault="00755EF2" w:rsidP="000A1C78">
            <w:pPr>
              <w:spacing w:before="100" w:after="100" w:line="240" w:lineRule="auto"/>
              <w:jc w:val="both"/>
              <w:rPr>
                <w:rFonts w:eastAsia="Times New Roman" w:cs="Arial"/>
                <w:sz w:val="22"/>
                <w:lang w:eastAsia="pt-BR"/>
              </w:rPr>
            </w:pPr>
            <w:r w:rsidRPr="00581846">
              <w:rPr>
                <w:rFonts w:eastAsia="Times New Roman" w:cs="Arial"/>
                <w:sz w:val="22"/>
                <w:lang w:eastAsia="pt-BR"/>
              </w:rPr>
              <w:t>- Rejeitos são dispostos em aterro controlado.</w:t>
            </w:r>
          </w:p>
          <w:p w:rsidR="00755EF2" w:rsidRPr="00581846" w:rsidRDefault="00755EF2" w:rsidP="000A1C78">
            <w:pPr>
              <w:spacing w:before="100" w:after="100" w:line="240" w:lineRule="auto"/>
              <w:jc w:val="both"/>
              <w:rPr>
                <w:sz w:val="22"/>
              </w:rPr>
            </w:pPr>
            <w:r w:rsidRPr="00581846">
              <w:rPr>
                <w:rFonts w:eastAsia="Times New Roman" w:cs="Arial"/>
                <w:sz w:val="22"/>
                <w:lang w:eastAsia="pt-BR"/>
              </w:rPr>
              <w:t>- A porcentagem de resíduos sólidos domiciliares reciclados é de 94,44%.</w:t>
            </w:r>
          </w:p>
        </w:tc>
      </w:tr>
      <w:tr w:rsidR="00755EF2" w:rsidRPr="00581846" w:rsidTr="00755EF2">
        <w:tc>
          <w:tcPr>
            <w:tcW w:w="4747" w:type="dxa"/>
            <w:shd w:val="clear" w:color="auto" w:fill="auto"/>
            <w:vAlign w:val="center"/>
          </w:tcPr>
          <w:p w:rsidR="00755EF2" w:rsidRPr="00581846" w:rsidRDefault="00755EF2" w:rsidP="00810C89">
            <w:pPr>
              <w:spacing w:before="120" w:after="120" w:line="240" w:lineRule="auto"/>
              <w:jc w:val="center"/>
              <w:rPr>
                <w:sz w:val="22"/>
              </w:rPr>
            </w:pPr>
            <w:r w:rsidRPr="00581846">
              <w:rPr>
                <w:rFonts w:eastAsia="Times New Roman" w:cs="Arial"/>
                <w:sz w:val="22"/>
                <w:lang w:eastAsia="pt-BR"/>
              </w:rPr>
              <w:lastRenderedPageBreak/>
              <w:t>Limpeza urbana</w:t>
            </w:r>
          </w:p>
        </w:tc>
        <w:tc>
          <w:tcPr>
            <w:tcW w:w="4747" w:type="dxa"/>
            <w:shd w:val="clear" w:color="auto" w:fill="auto"/>
          </w:tcPr>
          <w:p w:rsidR="00755EF2" w:rsidRPr="00581846" w:rsidRDefault="00755EF2" w:rsidP="00810C89">
            <w:pPr>
              <w:spacing w:before="120" w:after="120" w:line="240" w:lineRule="auto"/>
              <w:jc w:val="both"/>
              <w:rPr>
                <w:sz w:val="22"/>
              </w:rPr>
            </w:pPr>
            <w:r w:rsidRPr="00581846">
              <w:rPr>
                <w:rFonts w:eastAsia="Times New Roman" w:cs="Arial"/>
                <w:sz w:val="22"/>
                <w:lang w:eastAsia="pt-BR"/>
              </w:rPr>
              <w:t>A varrição de logradouros públicos é realizada diariamente na sede.</w:t>
            </w:r>
          </w:p>
        </w:tc>
      </w:tr>
      <w:tr w:rsidR="00755EF2" w:rsidRPr="00581846" w:rsidTr="00755EF2">
        <w:tc>
          <w:tcPr>
            <w:tcW w:w="4747" w:type="dxa"/>
            <w:shd w:val="clear" w:color="auto" w:fill="auto"/>
            <w:vAlign w:val="center"/>
          </w:tcPr>
          <w:p w:rsidR="00755EF2" w:rsidRPr="00581846" w:rsidRDefault="00755EF2" w:rsidP="00810C89">
            <w:pPr>
              <w:spacing w:before="120" w:after="120" w:line="240" w:lineRule="auto"/>
              <w:jc w:val="center"/>
              <w:rPr>
                <w:rFonts w:eastAsia="Times New Roman" w:cs="Arial"/>
                <w:sz w:val="22"/>
                <w:lang w:eastAsia="pt-BR"/>
              </w:rPr>
            </w:pPr>
            <w:r w:rsidRPr="00581846">
              <w:rPr>
                <w:rFonts w:eastAsia="Times New Roman" w:cs="Arial"/>
                <w:sz w:val="22"/>
                <w:lang w:eastAsia="pt-BR"/>
              </w:rPr>
              <w:t>Gestão dos resíduos de responsabilidade do gerador</w:t>
            </w:r>
          </w:p>
        </w:tc>
        <w:tc>
          <w:tcPr>
            <w:tcW w:w="4747" w:type="dxa"/>
            <w:shd w:val="clear" w:color="auto" w:fill="auto"/>
          </w:tcPr>
          <w:p w:rsidR="00755EF2" w:rsidRPr="00581846" w:rsidRDefault="00755EF2" w:rsidP="00810C89">
            <w:pPr>
              <w:spacing w:before="120" w:after="120" w:line="240" w:lineRule="auto"/>
              <w:jc w:val="both"/>
              <w:rPr>
                <w:sz w:val="22"/>
              </w:rPr>
            </w:pPr>
            <w:r w:rsidRPr="00581846">
              <w:rPr>
                <w:rFonts w:eastAsia="Times New Roman" w:cs="Arial"/>
                <w:sz w:val="22"/>
                <w:lang w:eastAsia="pt-BR"/>
              </w:rPr>
              <w:t>Não há geração de lodo de ETA e ETE. Não há indústrias cadastradas no município. Os resíduos sólidos dos serviços de saúde têm geração de 1,2t/ano e são destinados corretamente por empresa terceirizada, responsável também pela coleta. Os demais geradores não se reportam à Prefeitura quanto ao gerenciamento de seus resíduos.</w:t>
            </w:r>
          </w:p>
        </w:tc>
      </w:tr>
      <w:tr w:rsidR="00755EF2" w:rsidRPr="00581846" w:rsidTr="00755EF2">
        <w:tc>
          <w:tcPr>
            <w:tcW w:w="4747" w:type="dxa"/>
            <w:shd w:val="clear" w:color="auto" w:fill="auto"/>
            <w:vAlign w:val="center"/>
          </w:tcPr>
          <w:p w:rsidR="00755EF2" w:rsidRPr="00581846" w:rsidRDefault="00755EF2" w:rsidP="00810C89">
            <w:pPr>
              <w:spacing w:before="120" w:after="120" w:line="240" w:lineRule="auto"/>
              <w:jc w:val="center"/>
              <w:rPr>
                <w:rFonts w:eastAsia="Times New Roman" w:cs="Arial"/>
                <w:sz w:val="22"/>
                <w:lang w:eastAsia="pt-BR"/>
              </w:rPr>
            </w:pPr>
            <w:r w:rsidRPr="00581846">
              <w:rPr>
                <w:rFonts w:eastAsia="Times New Roman" w:cs="Arial"/>
                <w:sz w:val="22"/>
                <w:lang w:eastAsia="pt-BR"/>
              </w:rPr>
              <w:t>Gestão econômica</w:t>
            </w:r>
          </w:p>
        </w:tc>
        <w:tc>
          <w:tcPr>
            <w:tcW w:w="4747" w:type="dxa"/>
            <w:shd w:val="clear" w:color="auto" w:fill="auto"/>
          </w:tcPr>
          <w:p w:rsidR="00755EF2" w:rsidRPr="00581846" w:rsidRDefault="00755EF2" w:rsidP="00810C89">
            <w:pPr>
              <w:spacing w:before="120" w:after="120" w:line="240" w:lineRule="auto"/>
              <w:jc w:val="both"/>
              <w:rPr>
                <w:rFonts w:eastAsia="Times New Roman" w:cs="Arial"/>
                <w:sz w:val="22"/>
                <w:lang w:eastAsia="pt-BR"/>
              </w:rPr>
            </w:pPr>
            <w:r w:rsidRPr="00581846">
              <w:rPr>
                <w:rFonts w:eastAsia="Times New Roman" w:cs="Arial"/>
                <w:sz w:val="22"/>
                <w:lang w:eastAsia="pt-BR"/>
              </w:rPr>
              <w:t>Não há tarifas para este serviço e, apesar da venda de materiais pela UTC, não há sustentabilidade econômica.</w:t>
            </w:r>
          </w:p>
        </w:tc>
      </w:tr>
    </w:tbl>
    <w:p w:rsidR="003068A5" w:rsidRPr="00810C89" w:rsidRDefault="003068A5" w:rsidP="00810C89">
      <w:pPr>
        <w:pStyle w:val="Fonte"/>
      </w:pPr>
      <w:bookmarkStart w:id="553" w:name="_Ref505867979"/>
    </w:p>
    <w:p w:rsidR="0081570C" w:rsidRPr="003068A5" w:rsidRDefault="0081570C" w:rsidP="00BC01B1">
      <w:pPr>
        <w:pStyle w:val="SHS-Ttulo01"/>
        <w:rPr>
          <w:rStyle w:val="Forte"/>
          <w:b/>
        </w:rPr>
      </w:pPr>
      <w:bookmarkStart w:id="554" w:name="_Toc509935503"/>
      <w:r w:rsidRPr="003068A5">
        <w:rPr>
          <w:rStyle w:val="Forte"/>
          <w:b/>
        </w:rPr>
        <w:t>Planejamento estratégico dos serviços públicos em saneamento básico</w:t>
      </w:r>
      <w:bookmarkEnd w:id="553"/>
      <w:bookmarkEnd w:id="554"/>
      <w:r w:rsidRPr="003068A5">
        <w:rPr>
          <w:rStyle w:val="Forte"/>
          <w:b/>
        </w:rPr>
        <w:t xml:space="preserve"> </w:t>
      </w:r>
    </w:p>
    <w:p w:rsidR="00E05C4F" w:rsidRPr="00810C89" w:rsidRDefault="00E05C4F" w:rsidP="00810C89">
      <w:pPr>
        <w:pStyle w:val="Default"/>
        <w:spacing w:line="360" w:lineRule="auto"/>
        <w:ind w:firstLine="709"/>
        <w:jc w:val="both"/>
        <w:rPr>
          <w:color w:val="auto"/>
        </w:rPr>
      </w:pPr>
      <w:r w:rsidRPr="00810C89">
        <w:rPr>
          <w:color w:val="auto"/>
        </w:rPr>
        <w:t>O ato de planejar consiste em se partir de um estado presente para definir estados futuros, desejados ou possíveis. É sob essa perspectiva que são apresentados, neste PMSB, os programas, projetos e ações traçados para cada setor do saneamento básico.</w:t>
      </w:r>
    </w:p>
    <w:p w:rsidR="0081570C" w:rsidRPr="00783939" w:rsidRDefault="0081570C" w:rsidP="00783939">
      <w:pPr>
        <w:pStyle w:val="Default"/>
        <w:spacing w:line="360" w:lineRule="auto"/>
        <w:ind w:firstLine="709"/>
        <w:jc w:val="both"/>
        <w:rPr>
          <w:color w:val="auto"/>
        </w:rPr>
      </w:pPr>
      <w:r w:rsidRPr="00783939">
        <w:rPr>
          <w:color w:val="auto"/>
        </w:rPr>
        <w:t>A construção de cenários para o planejamento estratégico da política de saneamento básico dos municípios é realizada com um intuito principal: o de se obter uma ferramenta eficiente para que os processos de tomada de decisão considerem condições realísticas em relação aos ambientes institucional, gerencial, operacional econômico e dos serviços prestados que permeiam o município no momento atual e que poderiam influenciá-lo no futuro.</w:t>
      </w:r>
    </w:p>
    <w:p w:rsidR="0081570C" w:rsidRPr="00783939" w:rsidRDefault="0081570C" w:rsidP="00783939">
      <w:pPr>
        <w:pStyle w:val="Default"/>
        <w:spacing w:line="360" w:lineRule="auto"/>
        <w:ind w:firstLine="709"/>
        <w:jc w:val="both"/>
        <w:rPr>
          <w:color w:val="auto"/>
        </w:rPr>
      </w:pPr>
      <w:r w:rsidRPr="00783939">
        <w:rPr>
          <w:color w:val="auto"/>
        </w:rPr>
        <w:t>A formulação dos cenários possibilita, ainda, a integração das ações de diferentes agentes e instituições envolvidas no processo, o que facilitará o atendimento de demandas financeiras, ambientais, sociais e tecnológicas.</w:t>
      </w:r>
    </w:p>
    <w:p w:rsidR="0081570C" w:rsidRPr="00783939" w:rsidRDefault="0081570C" w:rsidP="00783939">
      <w:pPr>
        <w:pStyle w:val="Default"/>
        <w:spacing w:line="360" w:lineRule="auto"/>
        <w:ind w:firstLine="709"/>
        <w:jc w:val="both"/>
        <w:rPr>
          <w:color w:val="auto"/>
        </w:rPr>
      </w:pPr>
      <w:r w:rsidRPr="00783939">
        <w:rPr>
          <w:color w:val="auto"/>
        </w:rPr>
        <w:t xml:space="preserve">A adoção de cenários serve também ao delineamento de percepções sobre como poderia se dar a evolução de uma situação presente até uma situação futura, o que permite levantar a possibilidade de crises assim como apontar as principais </w:t>
      </w:r>
      <w:r w:rsidRPr="00783939">
        <w:rPr>
          <w:color w:val="auto"/>
        </w:rPr>
        <w:lastRenderedPageBreak/>
        <w:t>oportunidades a um desenvolvimento mais consensual dos fatores avaliados. Os cenários subsidiarão assim, a configuração de um planejamento mais realista para a constituição de um sistema de saneamento básico que caminhe em direção à sustentabilidade em suas diferentes esferas – social, ambiental e econômica.</w:t>
      </w:r>
    </w:p>
    <w:p w:rsidR="0081570C" w:rsidRPr="00783939" w:rsidRDefault="0081570C" w:rsidP="00783939">
      <w:pPr>
        <w:pStyle w:val="Default"/>
        <w:spacing w:line="360" w:lineRule="auto"/>
        <w:ind w:firstLine="709"/>
        <w:jc w:val="both"/>
        <w:rPr>
          <w:color w:val="auto"/>
        </w:rPr>
      </w:pPr>
      <w:r w:rsidRPr="00783939">
        <w:rPr>
          <w:color w:val="auto"/>
        </w:rPr>
        <w:t>Para evitar erros de interpretação esclarece-se que os cenários não devem ser vistos como previsões, mas como imagens alternativas do futuro, subsidiadas com parâmetros técnicos, avaliações de campo, estudos existentes, contribuições da comunidade e direcionamentos permeados pela legislação vigente.</w:t>
      </w:r>
    </w:p>
    <w:p w:rsidR="0081570C" w:rsidRPr="00783939" w:rsidRDefault="0081570C" w:rsidP="00783939">
      <w:pPr>
        <w:pStyle w:val="Default"/>
        <w:spacing w:line="360" w:lineRule="auto"/>
        <w:ind w:firstLine="709"/>
        <w:jc w:val="both"/>
        <w:rPr>
          <w:color w:val="auto"/>
        </w:rPr>
      </w:pPr>
      <w:r w:rsidRPr="00783939">
        <w:rPr>
          <w:color w:val="auto"/>
        </w:rPr>
        <w:t>Essa ferramenta composta por elementos que, combinados, propiciam uma base teórica capaz de configurar cenários futuros temáticos, foi concebida para subsidiar o planejamento estratégico de corporações ou empresas, mas, devido à sua simplicidade, passou a ser utilizada também para a configuração de cenários relacionados a instituições públicas.</w:t>
      </w:r>
    </w:p>
    <w:p w:rsidR="0081570C" w:rsidRPr="00783939" w:rsidRDefault="0081570C" w:rsidP="00783939">
      <w:pPr>
        <w:pStyle w:val="Default"/>
        <w:spacing w:line="360" w:lineRule="auto"/>
        <w:ind w:firstLine="709"/>
        <w:jc w:val="both"/>
        <w:rPr>
          <w:color w:val="auto"/>
        </w:rPr>
      </w:pPr>
      <w:r w:rsidRPr="00783939">
        <w:rPr>
          <w:color w:val="auto"/>
        </w:rPr>
        <w:t>Trata-se de um sistema que busca posicionar estrategicamente um setor (nesse caso, setor de saneamento básico) num ambiente social, institucional, administrativo e operacional (nesse caso, o município).</w:t>
      </w:r>
    </w:p>
    <w:p w:rsidR="0081570C" w:rsidRPr="00783939" w:rsidRDefault="0081570C" w:rsidP="00783939">
      <w:pPr>
        <w:pStyle w:val="Default"/>
        <w:spacing w:line="360" w:lineRule="auto"/>
        <w:ind w:firstLine="709"/>
        <w:jc w:val="both"/>
        <w:rPr>
          <w:color w:val="auto"/>
        </w:rPr>
      </w:pPr>
      <w:r w:rsidRPr="00783939">
        <w:rPr>
          <w:color w:val="auto"/>
        </w:rPr>
        <w:t>O método SWOT (Strengths, Weaknesses, Opportunities e Threats) ou Análise FFOA (Forças, Fraquezas, Oportunidades e Ameaças) apresenta as seguintes definições:</w:t>
      </w:r>
    </w:p>
    <w:p w:rsidR="0081570C" w:rsidRPr="008044FA" w:rsidRDefault="0081570C" w:rsidP="0066661F">
      <w:pPr>
        <w:numPr>
          <w:ilvl w:val="0"/>
          <w:numId w:val="28"/>
        </w:numPr>
        <w:spacing w:before="120" w:after="120"/>
        <w:contextualSpacing/>
        <w:jc w:val="both"/>
        <w:rPr>
          <w:rFonts w:cs="Arial"/>
          <w:szCs w:val="24"/>
          <w:lang w:eastAsia="pt-BR"/>
        </w:rPr>
      </w:pPr>
      <w:r w:rsidRPr="00125786">
        <w:rPr>
          <w:rFonts w:cs="Arial"/>
          <w:szCs w:val="24"/>
          <w:lang w:eastAsia="pt-BR"/>
        </w:rPr>
        <w:t>Forças:</w:t>
      </w:r>
      <w:r w:rsidRPr="008044FA">
        <w:rPr>
          <w:rFonts w:cs="Arial"/>
          <w:szCs w:val="24"/>
          <w:lang w:eastAsia="pt-BR"/>
        </w:rPr>
        <w:t xml:space="preserve"> são as variáveis internas e controláveis que propiciam condições favoráveis aos setores de saneamento em relação ao seu ambiente. São características ou qualidades que podem colaborar positivamente no desempenho do setor.</w:t>
      </w:r>
    </w:p>
    <w:p w:rsidR="0081570C" w:rsidRPr="008044FA" w:rsidRDefault="0081570C" w:rsidP="0066661F">
      <w:pPr>
        <w:numPr>
          <w:ilvl w:val="0"/>
          <w:numId w:val="28"/>
        </w:numPr>
        <w:spacing w:before="120" w:after="120"/>
        <w:contextualSpacing/>
        <w:jc w:val="both"/>
        <w:rPr>
          <w:rFonts w:cs="Arial"/>
          <w:szCs w:val="24"/>
          <w:lang w:eastAsia="pt-BR"/>
        </w:rPr>
      </w:pPr>
      <w:r w:rsidRPr="008044FA">
        <w:rPr>
          <w:rFonts w:cs="Arial"/>
          <w:szCs w:val="24"/>
          <w:lang w:eastAsia="pt-BR"/>
        </w:rPr>
        <w:t>Fraquezas: são consideradas deficiências internas aos setores de saneamento que inibem a capacidade de desempenho dos mesmos. As fraquezas devem ser superadas para evitar a ineficiência do sistema.</w:t>
      </w:r>
    </w:p>
    <w:p w:rsidR="0081570C" w:rsidRPr="008044FA" w:rsidRDefault="0081570C" w:rsidP="0066661F">
      <w:pPr>
        <w:numPr>
          <w:ilvl w:val="0"/>
          <w:numId w:val="28"/>
        </w:numPr>
        <w:spacing w:before="120" w:after="120"/>
        <w:contextualSpacing/>
        <w:jc w:val="both"/>
        <w:rPr>
          <w:rFonts w:cs="Arial"/>
          <w:szCs w:val="24"/>
          <w:lang w:eastAsia="pt-BR"/>
        </w:rPr>
      </w:pPr>
      <w:r w:rsidRPr="008044FA">
        <w:rPr>
          <w:rFonts w:cs="Arial"/>
          <w:szCs w:val="24"/>
          <w:lang w:eastAsia="pt-BR"/>
        </w:rPr>
        <w:t>Oportunidades: são variáveis contextuais ou circunstâncias e características do ambiente externo que possam ter impacto sobre os setores de saneamento de forma que proporcionem certa facilitação para a concretização dos objetivos estratégicos estabelecidos.</w:t>
      </w:r>
    </w:p>
    <w:p w:rsidR="0081570C" w:rsidRPr="008044FA" w:rsidRDefault="0081570C" w:rsidP="0066661F">
      <w:pPr>
        <w:numPr>
          <w:ilvl w:val="0"/>
          <w:numId w:val="28"/>
        </w:numPr>
        <w:spacing w:before="120" w:after="120"/>
        <w:contextualSpacing/>
        <w:jc w:val="both"/>
        <w:rPr>
          <w:rFonts w:cs="Arial"/>
          <w:szCs w:val="24"/>
          <w:lang w:eastAsia="pt-BR"/>
        </w:rPr>
      </w:pPr>
      <w:r w:rsidRPr="008044FA">
        <w:rPr>
          <w:rFonts w:cs="Arial"/>
          <w:szCs w:val="24"/>
          <w:lang w:eastAsia="pt-BR"/>
        </w:rPr>
        <w:lastRenderedPageBreak/>
        <w:t>Ameaças: são variáveis, circunstâncias ou características do ambiente externo que possam ter impactos negativos sobre o desenvolvimento das metas e objetivos estabelecidos.</w:t>
      </w:r>
    </w:p>
    <w:p w:rsidR="0081570C" w:rsidRPr="00783939" w:rsidRDefault="0081570C" w:rsidP="00783939">
      <w:pPr>
        <w:pStyle w:val="Default"/>
        <w:spacing w:line="360" w:lineRule="auto"/>
        <w:ind w:firstLine="709"/>
        <w:jc w:val="both"/>
        <w:rPr>
          <w:color w:val="auto"/>
        </w:rPr>
      </w:pPr>
      <w:r w:rsidRPr="00783939">
        <w:rPr>
          <w:color w:val="auto"/>
        </w:rPr>
        <w:t>As constatações efetuadas a partir da Análise SWOT possibilitam a elaboração de cenários alternativos, sugeridos pelo “Guia para Elaboração de Planos Municipais de Saneamento” do Governo Federal (Secretaria Nacional de Saneamento Ambiental – SNSA/Ministério das Cidades, Fundação Nacional de Saúde – FUNASA/Ministério da Saúde, 2006). O guia sugere, de uma maneira resumida, a adoção de dois cenários alternativos:</w:t>
      </w:r>
    </w:p>
    <w:p w:rsidR="0081570C" w:rsidRPr="008044FA" w:rsidRDefault="0081570C" w:rsidP="0066661F">
      <w:pPr>
        <w:numPr>
          <w:ilvl w:val="0"/>
          <w:numId w:val="29"/>
        </w:numPr>
        <w:spacing w:before="120" w:after="120"/>
        <w:contextualSpacing/>
        <w:jc w:val="both"/>
        <w:rPr>
          <w:rFonts w:cs="Arial"/>
          <w:szCs w:val="24"/>
          <w:lang w:eastAsia="pt-BR"/>
        </w:rPr>
      </w:pPr>
      <w:r w:rsidRPr="008044FA">
        <w:rPr>
          <w:rFonts w:cs="Arial"/>
          <w:szCs w:val="24"/>
          <w:lang w:eastAsia="pt-BR"/>
        </w:rPr>
        <w:t xml:space="preserve">Um cenário a partir das tendências de desenvolvimento do passado recente, considerando para o futuro uma moderada influência dos vetores estratégicos, associados a algumas capacidades de modernização; e </w:t>
      </w:r>
    </w:p>
    <w:p w:rsidR="0081570C" w:rsidRPr="008044FA" w:rsidRDefault="0081570C" w:rsidP="0066661F">
      <w:pPr>
        <w:numPr>
          <w:ilvl w:val="0"/>
          <w:numId w:val="29"/>
        </w:numPr>
        <w:spacing w:before="120" w:after="120"/>
        <w:contextualSpacing/>
        <w:jc w:val="both"/>
        <w:rPr>
          <w:rFonts w:cs="Arial"/>
          <w:szCs w:val="24"/>
          <w:lang w:eastAsia="pt-BR"/>
        </w:rPr>
      </w:pPr>
      <w:r w:rsidRPr="008044FA">
        <w:rPr>
          <w:rFonts w:cs="Arial"/>
          <w:szCs w:val="24"/>
          <w:lang w:eastAsia="pt-BR"/>
        </w:rPr>
        <w:t xml:space="preserve">Um cenário a partir das tendências de desenvolvimento do passado recente, considerando para o futuro os principais vetores estratégicos, associados </w:t>
      </w:r>
      <w:r>
        <w:rPr>
          <w:rFonts w:cs="Arial"/>
          <w:szCs w:val="24"/>
          <w:lang w:eastAsia="pt-BR"/>
        </w:rPr>
        <w:t>a</w:t>
      </w:r>
      <w:r w:rsidRPr="008044FA">
        <w:rPr>
          <w:rFonts w:cs="Arial"/>
          <w:szCs w:val="24"/>
          <w:lang w:eastAsia="pt-BR"/>
        </w:rPr>
        <w:t xml:space="preserve"> uma mobilização ampla da capacidade de modernização.</w:t>
      </w:r>
    </w:p>
    <w:p w:rsidR="0081570C" w:rsidRPr="00783939" w:rsidRDefault="0081570C" w:rsidP="00783939">
      <w:pPr>
        <w:pStyle w:val="Default"/>
        <w:spacing w:line="360" w:lineRule="auto"/>
        <w:ind w:firstLine="709"/>
        <w:jc w:val="both"/>
        <w:rPr>
          <w:color w:val="auto"/>
        </w:rPr>
      </w:pPr>
      <w:r w:rsidRPr="00783939">
        <w:rPr>
          <w:color w:val="auto"/>
        </w:rPr>
        <w:t>Buarque (2003) interpreta os cenários alternativos propostos no “Guia para Elaboração de Planos Municipais de Saneamento” da seguinte forma:</w:t>
      </w:r>
    </w:p>
    <w:p w:rsidR="0081570C" w:rsidRPr="008044FA" w:rsidRDefault="0081570C" w:rsidP="0066661F">
      <w:pPr>
        <w:numPr>
          <w:ilvl w:val="0"/>
          <w:numId w:val="30"/>
        </w:numPr>
        <w:spacing w:before="120" w:after="120"/>
        <w:contextualSpacing/>
        <w:jc w:val="both"/>
        <w:rPr>
          <w:rFonts w:cs="Arial"/>
          <w:szCs w:val="24"/>
          <w:lang w:eastAsia="pt-BR"/>
        </w:rPr>
      </w:pPr>
      <w:r w:rsidRPr="008044FA">
        <w:rPr>
          <w:rFonts w:cs="Arial"/>
          <w:szCs w:val="24"/>
          <w:lang w:eastAsia="pt-BR"/>
        </w:rPr>
        <w:t xml:space="preserve">Um </w:t>
      </w:r>
      <w:r w:rsidRPr="008044FA">
        <w:rPr>
          <w:rFonts w:cs="Arial"/>
          <w:b/>
          <w:szCs w:val="24"/>
          <w:lang w:eastAsia="pt-BR"/>
        </w:rPr>
        <w:t>cenário previsível</w:t>
      </w:r>
      <w:r w:rsidRPr="008044FA">
        <w:rPr>
          <w:rFonts w:cs="Arial"/>
          <w:szCs w:val="24"/>
          <w:lang w:eastAsia="pt-BR"/>
        </w:rPr>
        <w:t xml:space="preserve"> constituído a partir de diversos atores setoriais agindo isoladamente, sem considerar a implantação do </w:t>
      </w:r>
      <w:r>
        <w:rPr>
          <w:rFonts w:cs="Arial"/>
          <w:szCs w:val="24"/>
          <w:lang w:eastAsia="pt-BR"/>
        </w:rPr>
        <w:t>P</w:t>
      </w:r>
      <w:r w:rsidRPr="008044FA">
        <w:rPr>
          <w:rFonts w:cs="Arial"/>
          <w:szCs w:val="24"/>
          <w:lang w:eastAsia="pt-BR"/>
        </w:rPr>
        <w:t xml:space="preserve">lano </w:t>
      </w:r>
      <w:r>
        <w:rPr>
          <w:rFonts w:cs="Arial"/>
          <w:szCs w:val="24"/>
          <w:lang w:eastAsia="pt-BR"/>
        </w:rPr>
        <w:t xml:space="preserve">Municipal </w:t>
      </w:r>
      <w:r w:rsidRPr="008044FA">
        <w:rPr>
          <w:rFonts w:cs="Arial"/>
          <w:szCs w:val="24"/>
          <w:lang w:eastAsia="pt-BR"/>
        </w:rPr>
        <w:t xml:space="preserve">de </w:t>
      </w:r>
      <w:r>
        <w:rPr>
          <w:rFonts w:cs="Arial"/>
          <w:szCs w:val="24"/>
          <w:lang w:eastAsia="pt-BR"/>
        </w:rPr>
        <w:t>S</w:t>
      </w:r>
      <w:r w:rsidRPr="008044FA">
        <w:rPr>
          <w:rFonts w:cs="Arial"/>
          <w:szCs w:val="24"/>
          <w:lang w:eastAsia="pt-BR"/>
        </w:rPr>
        <w:t>aneamento</w:t>
      </w:r>
      <w:r>
        <w:rPr>
          <w:rFonts w:cs="Arial"/>
          <w:szCs w:val="24"/>
          <w:lang w:eastAsia="pt-BR"/>
        </w:rPr>
        <w:t xml:space="preserve"> Básico</w:t>
      </w:r>
      <w:r w:rsidRPr="008044FA">
        <w:rPr>
          <w:rFonts w:cs="Arial"/>
          <w:szCs w:val="24"/>
          <w:lang w:eastAsia="pt-BR"/>
        </w:rPr>
        <w:t>. Ainda assim</w:t>
      </w:r>
      <w:r>
        <w:rPr>
          <w:rFonts w:cs="Arial"/>
          <w:szCs w:val="24"/>
          <w:lang w:eastAsia="pt-BR"/>
        </w:rPr>
        <w:t>,</w:t>
      </w:r>
      <w:r w:rsidRPr="008044FA">
        <w:rPr>
          <w:rFonts w:cs="Arial"/>
          <w:szCs w:val="24"/>
          <w:lang w:eastAsia="pt-BR"/>
        </w:rPr>
        <w:t xml:space="preserve"> e</w:t>
      </w:r>
      <w:r>
        <w:rPr>
          <w:rFonts w:cs="Arial"/>
          <w:szCs w:val="24"/>
          <w:lang w:eastAsia="pt-BR"/>
        </w:rPr>
        <w:t>ss</w:t>
      </w:r>
      <w:r w:rsidRPr="008044FA">
        <w:rPr>
          <w:rFonts w:cs="Arial"/>
          <w:szCs w:val="24"/>
          <w:lang w:eastAsia="pt-BR"/>
        </w:rPr>
        <w:t xml:space="preserve">e cenário apresenta avanços ao longo do tempo. </w:t>
      </w:r>
    </w:p>
    <w:p w:rsidR="0081570C" w:rsidRPr="008044FA" w:rsidRDefault="0081570C" w:rsidP="0066661F">
      <w:pPr>
        <w:numPr>
          <w:ilvl w:val="0"/>
          <w:numId w:val="30"/>
        </w:numPr>
        <w:spacing w:before="120" w:after="120"/>
        <w:contextualSpacing/>
        <w:jc w:val="both"/>
        <w:rPr>
          <w:rFonts w:cs="Arial"/>
          <w:szCs w:val="24"/>
          <w:lang w:eastAsia="pt-BR"/>
        </w:rPr>
      </w:pPr>
      <w:r w:rsidRPr="008044FA">
        <w:rPr>
          <w:rFonts w:cs="Arial"/>
          <w:szCs w:val="24"/>
          <w:lang w:eastAsia="pt-BR"/>
        </w:rPr>
        <w:t xml:space="preserve">Um </w:t>
      </w:r>
      <w:r w:rsidRPr="008044FA">
        <w:rPr>
          <w:rFonts w:cs="Arial"/>
          <w:b/>
          <w:szCs w:val="24"/>
          <w:lang w:eastAsia="pt-BR"/>
        </w:rPr>
        <w:t>cenário normativo</w:t>
      </w:r>
      <w:r w:rsidRPr="008044FA">
        <w:rPr>
          <w:rFonts w:cs="Arial"/>
          <w:szCs w:val="24"/>
          <w:lang w:eastAsia="pt-BR"/>
        </w:rPr>
        <w:t xml:space="preserve">, também constituído a partir de diversos atores setoriais, agindo, porém, de forma mais articulada devido ao embasamento dos setores ou eixos nas disposições do </w:t>
      </w:r>
      <w:r>
        <w:rPr>
          <w:rFonts w:cs="Arial"/>
          <w:szCs w:val="24"/>
          <w:lang w:eastAsia="pt-BR"/>
        </w:rPr>
        <w:t>PMSB</w:t>
      </w:r>
      <w:r w:rsidRPr="008044FA">
        <w:rPr>
          <w:rFonts w:cs="Arial"/>
          <w:szCs w:val="24"/>
          <w:lang w:eastAsia="pt-BR"/>
        </w:rPr>
        <w:t>, que funciona como instrumento indutor de ações planejadas e integradas.</w:t>
      </w:r>
    </w:p>
    <w:p w:rsidR="0081570C" w:rsidRPr="00783939" w:rsidRDefault="0081570C" w:rsidP="00783939">
      <w:pPr>
        <w:pStyle w:val="Default"/>
        <w:spacing w:line="360" w:lineRule="auto"/>
        <w:ind w:firstLine="709"/>
        <w:jc w:val="both"/>
        <w:rPr>
          <w:color w:val="auto"/>
        </w:rPr>
      </w:pPr>
      <w:r w:rsidRPr="00783939">
        <w:rPr>
          <w:color w:val="auto"/>
        </w:rPr>
        <w:t xml:space="preserve">Essa interpretação proposta por Buarque (2003) foi adotada no desenvolvimento dos cenários alternativos </w:t>
      </w:r>
      <w:r w:rsidR="005E21DE">
        <w:rPr>
          <w:color w:val="auto"/>
        </w:rPr>
        <w:t>deste PMSB.</w:t>
      </w:r>
      <w:r w:rsidRPr="00783939">
        <w:rPr>
          <w:color w:val="auto"/>
        </w:rPr>
        <w:t xml:space="preserve"> Neste sentido, a análise SWOT permitiu a avaliação das forças e fraquezas, oportunidades e ameaças atuantes sobre o sistema de saneamento básico do município e, por consequência, a proposição dos cenários previsível e normativo, considerando um horizonte de planejamento de vinte anos.</w:t>
      </w:r>
    </w:p>
    <w:p w:rsidR="0081570C" w:rsidRDefault="00775B6F" w:rsidP="00783939">
      <w:pPr>
        <w:pStyle w:val="Default"/>
        <w:spacing w:line="360" w:lineRule="auto"/>
        <w:ind w:firstLine="709"/>
        <w:jc w:val="both"/>
        <w:rPr>
          <w:color w:val="auto"/>
        </w:rPr>
      </w:pPr>
      <w:r>
        <w:rPr>
          <w:color w:val="auto"/>
        </w:rPr>
        <w:lastRenderedPageBreak/>
        <w:t>Neste PMSB</w:t>
      </w:r>
      <w:r w:rsidR="0081570C" w:rsidRPr="00783939">
        <w:rPr>
          <w:color w:val="auto"/>
        </w:rPr>
        <w:t xml:space="preserve"> são apresentadas as Matrizes SWOT para o sistema de saneamento básico como um todo e para cada um dos sistemas em particular. </w:t>
      </w:r>
      <w:r w:rsidR="00751468">
        <w:rPr>
          <w:color w:val="auto"/>
        </w:rPr>
        <w:t xml:space="preserve">Também </w:t>
      </w:r>
      <w:r w:rsidR="0081570C" w:rsidRPr="00783939">
        <w:rPr>
          <w:color w:val="auto"/>
        </w:rPr>
        <w:t>foram configurados os respectivos cenários e, a partir deles, os objetivos e metas estabelecidos para o município.</w:t>
      </w:r>
    </w:p>
    <w:p w:rsidR="00BD7B63" w:rsidRPr="005E21DE" w:rsidRDefault="00BD7B63" w:rsidP="00BD7B63">
      <w:pPr>
        <w:pStyle w:val="Default"/>
        <w:spacing w:line="360" w:lineRule="auto"/>
        <w:ind w:firstLine="709"/>
        <w:jc w:val="both"/>
        <w:rPr>
          <w:color w:val="auto"/>
        </w:rPr>
      </w:pPr>
      <w:r w:rsidRPr="005E21DE">
        <w:rPr>
          <w:color w:val="auto"/>
        </w:rPr>
        <w:t xml:space="preserve">À semelhança de outras políticas públicas, o presente PMSB não é estático, devendo, sempre que necessário, sofrer alterações e adaptações, o que o torna um instrumento forte, norteador, porém flexível, capaz de acompanhar as reais demandas municipais para o fornecimento democrático dos serviços de saneamento. </w:t>
      </w:r>
    </w:p>
    <w:p w:rsidR="00BD7B63" w:rsidRPr="005E21DE" w:rsidRDefault="00BD7B63" w:rsidP="00BD7B63">
      <w:pPr>
        <w:pStyle w:val="Default"/>
        <w:spacing w:line="360" w:lineRule="auto"/>
        <w:ind w:firstLine="709"/>
        <w:jc w:val="both"/>
        <w:rPr>
          <w:color w:val="auto"/>
        </w:rPr>
      </w:pPr>
      <w:r w:rsidRPr="005E21DE">
        <w:rPr>
          <w:color w:val="auto"/>
        </w:rPr>
        <w:t>São premissas básicas assumidas por este Plano, dentro do horizonte de planejamento predeterminado: os objetivos da universalização do acesso ao saneamento básico de toda a população do território municipal; a articulação com as políticas de desenvolvimento que tenham como foco o combate à pobreza; o uso sustentável dos recursos hídricos; a proteção do meio ambiente; a promoção da saúde e o bem-estar da população. Além disso, também é objetivo do PMSB assegurar uma gestão racional da demanda por saneamento básico no município como um todo (urbano e rural) em função da garantia de sustentabilidade econômico-financeira considerada viável, inclusive mediante a remuneração pela cobrança dos serviços. Todos esses critérios foram adotados na configuração do cenário normativo.</w:t>
      </w:r>
    </w:p>
    <w:p w:rsidR="00BD7B63" w:rsidRPr="005E21DE" w:rsidRDefault="00BD7B63" w:rsidP="00BD7B63">
      <w:pPr>
        <w:pStyle w:val="Default"/>
        <w:spacing w:line="360" w:lineRule="auto"/>
        <w:ind w:firstLine="709"/>
        <w:jc w:val="both"/>
        <w:rPr>
          <w:color w:val="auto"/>
        </w:rPr>
      </w:pPr>
      <w:r w:rsidRPr="005E21DE">
        <w:rPr>
          <w:color w:val="auto"/>
        </w:rPr>
        <w:t>Para se alcançar tal patamar de funcionalidade, faz-se necessário implementar um arranjo institucional para o saneamento básico municipal que seja regulado e fiscalizado por entidade competente, que mantenha mecanismos de controle social e que possua instrumentos eficazes para a gestão administrativa, operacional e ambiental.</w:t>
      </w:r>
    </w:p>
    <w:p w:rsidR="00BD7B63" w:rsidRPr="005E21DE" w:rsidRDefault="00BD7B63" w:rsidP="00BD7B63">
      <w:pPr>
        <w:pStyle w:val="Default"/>
        <w:spacing w:line="360" w:lineRule="auto"/>
        <w:ind w:firstLine="709"/>
        <w:jc w:val="both"/>
        <w:rPr>
          <w:color w:val="auto"/>
        </w:rPr>
      </w:pPr>
      <w:r w:rsidRPr="005E21DE">
        <w:rPr>
          <w:color w:val="auto"/>
        </w:rPr>
        <w:t>Vale ainda destacar que objetivo e meta são conceitos diferentes. Objetivo é o propósito geral ou a descrição qualitativa daquilo que se pretende alcançar. Já meta é uma definição quantitativa do que se pretende alcançar, sempre acompanhada de uma indicação do prazo que se necessita para fazê-lo.</w:t>
      </w:r>
    </w:p>
    <w:p w:rsidR="00BD7B63" w:rsidRPr="005E21DE" w:rsidRDefault="00BD7B63" w:rsidP="00BD7B63">
      <w:pPr>
        <w:pStyle w:val="Default"/>
        <w:spacing w:line="360" w:lineRule="auto"/>
        <w:ind w:firstLine="709"/>
        <w:jc w:val="both"/>
        <w:rPr>
          <w:color w:val="auto"/>
        </w:rPr>
      </w:pPr>
      <w:r w:rsidRPr="005E21DE">
        <w:rPr>
          <w:color w:val="auto"/>
        </w:rPr>
        <w:t>Traçado um objetivo específico, é necessário o estabelecimento de uma ou mais metas para alcançá-lo. Devido ao caráter quantitativo da meta, através do monitoramento dos parâmetros envolvidos, pode-se concluir sobre o alcance, ou não, de determinado objetivo.</w:t>
      </w:r>
    </w:p>
    <w:p w:rsidR="00BD7B63" w:rsidRDefault="00BD7B63" w:rsidP="00BD7B63">
      <w:pPr>
        <w:spacing w:before="120" w:after="120"/>
        <w:ind w:firstLine="708"/>
        <w:contextualSpacing/>
        <w:jc w:val="both"/>
        <w:rPr>
          <w:rFonts w:cs="Arial"/>
          <w:szCs w:val="24"/>
          <w:lang w:eastAsia="pt-BR"/>
        </w:rPr>
      </w:pPr>
      <w:r w:rsidRPr="005E21DE">
        <w:lastRenderedPageBreak/>
        <w:t>Todos os objetivos foram estabelecidos para serem alcançados no final do horizonte de planejamento, que neste caso é de vinte anos.</w:t>
      </w:r>
    </w:p>
    <w:p w:rsidR="00775B6F" w:rsidRDefault="00775B6F" w:rsidP="00775B6F">
      <w:pPr>
        <w:spacing w:before="120" w:after="120"/>
        <w:ind w:firstLine="708"/>
        <w:contextualSpacing/>
        <w:jc w:val="both"/>
        <w:rPr>
          <w:rFonts w:cs="Arial"/>
          <w:szCs w:val="24"/>
          <w:lang w:eastAsia="pt-BR"/>
        </w:rPr>
      </w:pPr>
      <w:r w:rsidRPr="00513AA8">
        <w:rPr>
          <w:rFonts w:cs="Arial"/>
          <w:szCs w:val="24"/>
          <w:lang w:eastAsia="pt-BR"/>
        </w:rPr>
        <w:t xml:space="preserve">Os sistemas de saneamento básico devem apresentar segurança e estabilidade operacional garantidas. </w:t>
      </w:r>
      <w:r>
        <w:rPr>
          <w:rFonts w:cs="Arial"/>
          <w:szCs w:val="24"/>
          <w:lang w:eastAsia="pt-BR"/>
        </w:rPr>
        <w:t>Durante a elaboração deste Plano</w:t>
      </w:r>
      <w:r w:rsidRPr="00513AA8">
        <w:rPr>
          <w:rFonts w:cs="Arial"/>
          <w:szCs w:val="24"/>
          <w:lang w:eastAsia="pt-BR"/>
        </w:rPr>
        <w:t>, foram identificados eventos ou ocorrências de emergência e contingência para cada setor do saneamento, dividindo didaticamente esses eventos em operacionais, de gestão e gerenciamento e imprevisíveis</w:t>
      </w:r>
      <w:r>
        <w:rPr>
          <w:rFonts w:cs="Arial"/>
          <w:szCs w:val="24"/>
          <w:lang w:eastAsia="pt-BR"/>
        </w:rPr>
        <w:t xml:space="preserve">. Também </w:t>
      </w:r>
      <w:r w:rsidRPr="00513AA8">
        <w:rPr>
          <w:rFonts w:cs="Arial"/>
          <w:szCs w:val="24"/>
          <w:lang w:eastAsia="pt-BR"/>
        </w:rPr>
        <w:t>foram elencadas medidas a serem tomadas como resposta</w:t>
      </w:r>
      <w:r>
        <w:rPr>
          <w:rFonts w:cs="Arial"/>
          <w:szCs w:val="24"/>
          <w:lang w:eastAsia="pt-BR"/>
        </w:rPr>
        <w:t>s</w:t>
      </w:r>
      <w:r w:rsidRPr="00513AA8">
        <w:rPr>
          <w:rFonts w:cs="Arial"/>
          <w:szCs w:val="24"/>
          <w:lang w:eastAsia="pt-BR"/>
        </w:rPr>
        <w:t xml:space="preserve"> aos eventos</w:t>
      </w:r>
      <w:r>
        <w:rPr>
          <w:rFonts w:cs="Arial"/>
          <w:szCs w:val="24"/>
          <w:lang w:eastAsia="pt-BR"/>
        </w:rPr>
        <w:t>,</w:t>
      </w:r>
      <w:r w:rsidRPr="00513AA8">
        <w:rPr>
          <w:rFonts w:cs="Arial"/>
          <w:szCs w:val="24"/>
          <w:lang w:eastAsia="pt-BR"/>
        </w:rPr>
        <w:t xml:space="preserve"> de forma a reduzir a vulnerabilidade e </w:t>
      </w:r>
      <w:r>
        <w:rPr>
          <w:rFonts w:cs="Arial"/>
          <w:szCs w:val="24"/>
          <w:lang w:eastAsia="pt-BR"/>
        </w:rPr>
        <w:t xml:space="preserve">manter os sistemas em operação. </w:t>
      </w:r>
    </w:p>
    <w:p w:rsidR="00775B6F" w:rsidRPr="008736CA" w:rsidRDefault="00775B6F" w:rsidP="00775B6F">
      <w:pPr>
        <w:ind w:firstLine="851"/>
        <w:jc w:val="both"/>
        <w:rPr>
          <w:rFonts w:cs="Arial"/>
          <w:szCs w:val="24"/>
        </w:rPr>
      </w:pPr>
      <w:r w:rsidRPr="008736CA">
        <w:rPr>
          <w:rFonts w:cs="Arial"/>
          <w:szCs w:val="24"/>
        </w:rPr>
        <w:t xml:space="preserve">O objetivo que se tem com essas ações é identificar as estruturas disponíveis e estabelecer as formas de atuação dos órgãos operadores, tanto em caráter preventivo como corretivo, procurando aumentar o grau de segurança dos sistemas. </w:t>
      </w:r>
    </w:p>
    <w:p w:rsidR="00775B6F" w:rsidRPr="008736CA" w:rsidRDefault="00775B6F" w:rsidP="00775B6F">
      <w:pPr>
        <w:ind w:firstLine="851"/>
        <w:jc w:val="both"/>
        <w:rPr>
          <w:rFonts w:cs="Arial"/>
          <w:szCs w:val="24"/>
        </w:rPr>
      </w:pPr>
      <w:r w:rsidRPr="008736CA">
        <w:rPr>
          <w:rFonts w:cs="Arial"/>
          <w:szCs w:val="24"/>
        </w:rPr>
        <w:t xml:space="preserve">Para que a operação e a manutenção dos serviços ocorram a contento, deverão ser utilizados mecanismos locais e corporativos de gestão, com o intuito de prevenir ocorrências indesejadas por meio do controle e monitoramento das condições físicas das instalações e dos equipamentos, </w:t>
      </w:r>
      <w:r>
        <w:rPr>
          <w:rFonts w:cs="Arial"/>
          <w:szCs w:val="24"/>
        </w:rPr>
        <w:t>m</w:t>
      </w:r>
      <w:r w:rsidRPr="008736CA">
        <w:rPr>
          <w:rFonts w:cs="Arial"/>
          <w:szCs w:val="24"/>
        </w:rPr>
        <w:t>inimiza</w:t>
      </w:r>
      <w:r>
        <w:rPr>
          <w:rFonts w:cs="Arial"/>
          <w:szCs w:val="24"/>
        </w:rPr>
        <w:t>ndo</w:t>
      </w:r>
      <w:r w:rsidRPr="008736CA">
        <w:rPr>
          <w:rFonts w:cs="Arial"/>
          <w:szCs w:val="24"/>
        </w:rPr>
        <w:t xml:space="preserve"> a ocorrência de sinistros e interrupções na prestação dos serviços.</w:t>
      </w:r>
    </w:p>
    <w:p w:rsidR="00775B6F" w:rsidRPr="008736CA" w:rsidRDefault="00775B6F" w:rsidP="00775B6F">
      <w:pPr>
        <w:ind w:firstLine="851"/>
        <w:jc w:val="both"/>
        <w:rPr>
          <w:rFonts w:cs="Arial"/>
          <w:szCs w:val="24"/>
        </w:rPr>
      </w:pPr>
      <w:r w:rsidRPr="008736CA">
        <w:rPr>
          <w:rFonts w:cs="Arial"/>
          <w:szCs w:val="24"/>
        </w:rPr>
        <w:t>Em caso de ocorrências anormais, que excedam a capacidade de atendimento local, os órgãos operadores deverão dispor de todas as estruturas de apoio como mão de obra, materiais e equipamentos, procedimentos pré-estabelecidos, áreas de gestão operacional, dispositivos de comunicação, entre outras. A disponibilidade de tais estruturas resultará em maior segurança e continuidade operacional, sem comprometimento ou paralisações dos serviços.</w:t>
      </w:r>
    </w:p>
    <w:p w:rsidR="00751468" w:rsidRDefault="00775B6F" w:rsidP="00751468">
      <w:pPr>
        <w:autoSpaceDE w:val="0"/>
        <w:autoSpaceDN w:val="0"/>
        <w:adjustRightInd w:val="0"/>
        <w:spacing w:before="120" w:after="120"/>
        <w:ind w:firstLine="709"/>
        <w:contextualSpacing/>
        <w:jc w:val="both"/>
        <w:rPr>
          <w:color w:val="000000"/>
        </w:rPr>
      </w:pPr>
      <w:r w:rsidRPr="008736CA">
        <w:rPr>
          <w:rFonts w:cs="Arial"/>
          <w:szCs w:val="24"/>
        </w:rPr>
        <w:t>As medidas de emergência e contingência foram propostas com o intuito de orientar a atuação dos setores responsáveis para controlar e solucionar os impactos causados por situações críticas não esperadas</w:t>
      </w:r>
      <w:r w:rsidRPr="005E21DE">
        <w:rPr>
          <w:rFonts w:cs="Arial"/>
          <w:szCs w:val="24"/>
        </w:rPr>
        <w:t xml:space="preserve">. </w:t>
      </w:r>
      <w:r w:rsidR="00751468" w:rsidRPr="005E21DE">
        <w:rPr>
          <w:color w:val="000000"/>
        </w:rPr>
        <w:t>A fim de facilitar a compreensão, esses eventos foram separados em operacionais, de gestão e gerenciamento, e eventos dotados de imprevisibilidade ou imprevisíveis. Note-se que essa separação é puramente didática, uma vez que o bom funcionamento e a durabilidade dos equipamentos e componentes dos sistemas são altamente dependentes da gestão eficiente dos mesmos.</w:t>
      </w:r>
    </w:p>
    <w:p w:rsidR="004F3288" w:rsidRDefault="004F3288" w:rsidP="004F3288">
      <w:pPr>
        <w:spacing w:before="120" w:after="120"/>
        <w:ind w:firstLine="709"/>
        <w:contextualSpacing/>
        <w:jc w:val="both"/>
      </w:pPr>
      <w:r>
        <w:lastRenderedPageBreak/>
        <w:t xml:space="preserve">Neste PMSB </w:t>
      </w:r>
      <w:r w:rsidR="005E21DE">
        <w:t>estão</w:t>
      </w:r>
      <w:r>
        <w:t xml:space="preserve"> apresentados os quadros dos programas, projetos e ações para o atingimento dos objetivos e metas estabelecidos</w:t>
      </w:r>
      <w:r w:rsidR="007E6880" w:rsidRPr="007E6880">
        <w:rPr>
          <w:rFonts w:cs="Arial"/>
          <w:szCs w:val="24"/>
        </w:rPr>
        <w:t xml:space="preserve"> </w:t>
      </w:r>
      <w:r w:rsidR="007E6880" w:rsidRPr="00CF615B">
        <w:rPr>
          <w:rFonts w:cs="Arial"/>
          <w:szCs w:val="24"/>
        </w:rPr>
        <w:t>para cada setor do saneamento básico, considerando os seus objetivos específicos</w:t>
      </w:r>
      <w:r>
        <w:t>.</w:t>
      </w:r>
    </w:p>
    <w:p w:rsidR="004F3288" w:rsidRPr="00CF615B" w:rsidRDefault="004F3288" w:rsidP="004F3288">
      <w:pPr>
        <w:tabs>
          <w:tab w:val="left" w:pos="4395"/>
        </w:tabs>
        <w:autoSpaceDE w:val="0"/>
        <w:autoSpaceDN w:val="0"/>
        <w:adjustRightInd w:val="0"/>
        <w:ind w:firstLine="425"/>
        <w:jc w:val="both"/>
        <w:rPr>
          <w:rFonts w:cs="Arial"/>
          <w:szCs w:val="24"/>
        </w:rPr>
      </w:pPr>
      <w:r w:rsidRPr="00CF615B">
        <w:rPr>
          <w:rFonts w:cs="Arial"/>
          <w:szCs w:val="24"/>
        </w:rPr>
        <w:t>Nos quadros são indicados os seguintes parâmetros:</w:t>
      </w:r>
    </w:p>
    <w:p w:rsidR="004F3288" w:rsidRPr="00CC43DF" w:rsidRDefault="004F3288" w:rsidP="0066661F">
      <w:pPr>
        <w:pStyle w:val="PargrafodaLista"/>
        <w:numPr>
          <w:ilvl w:val="0"/>
          <w:numId w:val="59"/>
        </w:numPr>
        <w:rPr>
          <w:szCs w:val="24"/>
        </w:rPr>
      </w:pPr>
      <w:r w:rsidRPr="00CC43DF">
        <w:rPr>
          <w:szCs w:val="24"/>
        </w:rPr>
        <w:t>Número do setor integrante do Saneamento Básico, podendo ser:</w:t>
      </w:r>
    </w:p>
    <w:p w:rsidR="004F3288" w:rsidRPr="005E21DE" w:rsidRDefault="004F3288" w:rsidP="0066661F">
      <w:pPr>
        <w:pStyle w:val="PargrafodaLista"/>
        <w:numPr>
          <w:ilvl w:val="1"/>
          <w:numId w:val="92"/>
        </w:numPr>
        <w:spacing w:before="120" w:after="120"/>
        <w:rPr>
          <w:rFonts w:cs="Arial"/>
          <w:szCs w:val="24"/>
        </w:rPr>
      </w:pPr>
      <w:r w:rsidRPr="00CC43DF">
        <w:rPr>
          <w:rFonts w:cs="Arial"/>
          <w:szCs w:val="24"/>
        </w:rPr>
        <w:t xml:space="preserve">0 = Setor </w:t>
      </w:r>
      <w:r w:rsidRPr="005E21DE">
        <w:rPr>
          <w:rFonts w:cs="Arial"/>
          <w:szCs w:val="24"/>
        </w:rPr>
        <w:t>Geral</w:t>
      </w:r>
      <w:r w:rsidR="00B0280C" w:rsidRPr="005E21DE">
        <w:rPr>
          <w:rFonts w:cs="Arial"/>
          <w:szCs w:val="24"/>
          <w:lang w:val="pt-BR"/>
        </w:rPr>
        <w:t xml:space="preserve"> (ou setor supervisor)</w:t>
      </w:r>
      <w:r w:rsidRPr="005E21DE">
        <w:rPr>
          <w:rFonts w:cs="Arial"/>
          <w:szCs w:val="24"/>
        </w:rPr>
        <w:t>;</w:t>
      </w:r>
    </w:p>
    <w:p w:rsidR="004F3288" w:rsidRPr="00CC43DF" w:rsidRDefault="004F3288" w:rsidP="0066661F">
      <w:pPr>
        <w:pStyle w:val="PargrafodaLista"/>
        <w:numPr>
          <w:ilvl w:val="1"/>
          <w:numId w:val="92"/>
        </w:numPr>
        <w:spacing w:before="120" w:after="120"/>
        <w:rPr>
          <w:rFonts w:cs="Arial"/>
          <w:szCs w:val="24"/>
        </w:rPr>
      </w:pPr>
      <w:r w:rsidRPr="00CC43DF">
        <w:rPr>
          <w:rFonts w:cs="Arial"/>
          <w:szCs w:val="24"/>
        </w:rPr>
        <w:t xml:space="preserve">1 = Sistema de </w:t>
      </w:r>
      <w:r>
        <w:rPr>
          <w:rFonts w:cs="Arial"/>
          <w:szCs w:val="24"/>
          <w:lang w:val="pt-BR"/>
        </w:rPr>
        <w:t>A</w:t>
      </w:r>
      <w:r w:rsidRPr="00CC43DF">
        <w:rPr>
          <w:rFonts w:cs="Arial"/>
          <w:szCs w:val="24"/>
        </w:rPr>
        <w:t>bastecimento de Água</w:t>
      </w:r>
      <w:r>
        <w:rPr>
          <w:rFonts w:cs="Arial"/>
          <w:szCs w:val="24"/>
          <w:lang w:val="pt-BR"/>
        </w:rPr>
        <w:t>;</w:t>
      </w:r>
    </w:p>
    <w:p w:rsidR="004F3288" w:rsidRPr="00CC43DF" w:rsidRDefault="004F3288" w:rsidP="0066661F">
      <w:pPr>
        <w:pStyle w:val="PargrafodaLista"/>
        <w:numPr>
          <w:ilvl w:val="1"/>
          <w:numId w:val="92"/>
        </w:numPr>
        <w:spacing w:before="120" w:after="120"/>
        <w:rPr>
          <w:rFonts w:cs="Arial"/>
          <w:szCs w:val="24"/>
        </w:rPr>
      </w:pPr>
      <w:r w:rsidRPr="00CC43DF">
        <w:rPr>
          <w:rFonts w:cs="Arial"/>
          <w:szCs w:val="24"/>
        </w:rPr>
        <w:t xml:space="preserve">2 = Sistema de </w:t>
      </w:r>
      <w:r>
        <w:rPr>
          <w:rFonts w:cs="Arial"/>
          <w:szCs w:val="24"/>
          <w:lang w:val="pt-BR"/>
        </w:rPr>
        <w:t>E</w:t>
      </w:r>
      <w:r w:rsidRPr="00CC43DF">
        <w:rPr>
          <w:rFonts w:cs="Arial"/>
          <w:szCs w:val="24"/>
        </w:rPr>
        <w:t xml:space="preserve">sgotamento </w:t>
      </w:r>
      <w:r>
        <w:rPr>
          <w:rFonts w:cs="Arial"/>
          <w:szCs w:val="24"/>
          <w:lang w:val="pt-BR"/>
        </w:rPr>
        <w:t>S</w:t>
      </w:r>
      <w:r>
        <w:rPr>
          <w:rFonts w:cs="Arial"/>
          <w:szCs w:val="24"/>
        </w:rPr>
        <w:t>anitário</w:t>
      </w:r>
      <w:r>
        <w:rPr>
          <w:rFonts w:cs="Arial"/>
          <w:szCs w:val="24"/>
          <w:lang w:val="pt-BR"/>
        </w:rPr>
        <w:t>;</w:t>
      </w:r>
    </w:p>
    <w:p w:rsidR="004F3288" w:rsidRPr="00CC43DF" w:rsidRDefault="004F3288" w:rsidP="0066661F">
      <w:pPr>
        <w:pStyle w:val="PargrafodaLista"/>
        <w:numPr>
          <w:ilvl w:val="1"/>
          <w:numId w:val="92"/>
        </w:numPr>
        <w:spacing w:before="120" w:after="120"/>
        <w:rPr>
          <w:rFonts w:cs="Arial"/>
          <w:szCs w:val="24"/>
        </w:rPr>
      </w:pPr>
      <w:r w:rsidRPr="00CC43DF">
        <w:rPr>
          <w:rFonts w:cs="Arial"/>
          <w:szCs w:val="24"/>
        </w:rPr>
        <w:t xml:space="preserve">3 = Sistema de Drenagem </w:t>
      </w:r>
      <w:r>
        <w:rPr>
          <w:rFonts w:cs="Arial"/>
          <w:szCs w:val="24"/>
          <w:lang w:val="pt-BR"/>
        </w:rPr>
        <w:t>U</w:t>
      </w:r>
      <w:r w:rsidRPr="00CC43DF">
        <w:rPr>
          <w:rFonts w:cs="Arial"/>
          <w:szCs w:val="24"/>
        </w:rPr>
        <w:t xml:space="preserve">rbana e </w:t>
      </w:r>
      <w:r>
        <w:rPr>
          <w:rFonts w:cs="Arial"/>
          <w:szCs w:val="24"/>
          <w:lang w:val="pt-BR"/>
        </w:rPr>
        <w:t>M</w:t>
      </w:r>
      <w:r w:rsidRPr="00CC43DF">
        <w:rPr>
          <w:rFonts w:cs="Arial"/>
          <w:szCs w:val="24"/>
        </w:rPr>
        <w:t xml:space="preserve">anejo de </w:t>
      </w:r>
      <w:r>
        <w:rPr>
          <w:rFonts w:cs="Arial"/>
          <w:szCs w:val="24"/>
          <w:lang w:val="pt-BR"/>
        </w:rPr>
        <w:t>Á</w:t>
      </w:r>
      <w:r w:rsidRPr="00CC43DF">
        <w:rPr>
          <w:rFonts w:cs="Arial"/>
          <w:szCs w:val="24"/>
        </w:rPr>
        <w:t>guas Pluviais</w:t>
      </w:r>
      <w:r>
        <w:rPr>
          <w:rFonts w:cs="Arial"/>
          <w:szCs w:val="24"/>
          <w:lang w:val="pt-BR"/>
        </w:rPr>
        <w:t>;</w:t>
      </w:r>
    </w:p>
    <w:p w:rsidR="004F3288" w:rsidRPr="00CC43DF" w:rsidRDefault="004F3288" w:rsidP="0066661F">
      <w:pPr>
        <w:pStyle w:val="PargrafodaLista"/>
        <w:numPr>
          <w:ilvl w:val="1"/>
          <w:numId w:val="92"/>
        </w:numPr>
        <w:spacing w:before="120" w:after="120"/>
        <w:rPr>
          <w:rFonts w:cs="Arial"/>
          <w:szCs w:val="24"/>
        </w:rPr>
      </w:pPr>
      <w:r w:rsidRPr="00CC43DF">
        <w:rPr>
          <w:rFonts w:cs="Arial"/>
          <w:szCs w:val="24"/>
        </w:rPr>
        <w:t xml:space="preserve">4 = Sistema de Limpeza </w:t>
      </w:r>
      <w:r>
        <w:rPr>
          <w:rFonts w:cs="Arial"/>
          <w:szCs w:val="24"/>
          <w:lang w:val="pt-BR"/>
        </w:rPr>
        <w:t>Urbana</w:t>
      </w:r>
      <w:r w:rsidRPr="00CC43DF">
        <w:rPr>
          <w:rFonts w:cs="Arial"/>
          <w:szCs w:val="24"/>
        </w:rPr>
        <w:t xml:space="preserve"> e </w:t>
      </w:r>
      <w:r>
        <w:rPr>
          <w:rFonts w:cs="Arial"/>
          <w:szCs w:val="24"/>
          <w:lang w:val="pt-BR"/>
        </w:rPr>
        <w:t>M</w:t>
      </w:r>
      <w:r>
        <w:rPr>
          <w:rFonts w:cs="Arial"/>
          <w:szCs w:val="24"/>
        </w:rPr>
        <w:t xml:space="preserve">anejo de </w:t>
      </w:r>
      <w:r>
        <w:rPr>
          <w:rFonts w:cs="Arial"/>
          <w:szCs w:val="24"/>
          <w:lang w:val="pt-BR"/>
        </w:rPr>
        <w:t>R</w:t>
      </w:r>
      <w:r w:rsidRPr="00CC43DF">
        <w:rPr>
          <w:rFonts w:cs="Arial"/>
          <w:szCs w:val="24"/>
        </w:rPr>
        <w:t>esíduos Sólidos.</w:t>
      </w:r>
    </w:p>
    <w:p w:rsidR="004F3288" w:rsidRPr="006E1EFE" w:rsidRDefault="004F3288" w:rsidP="0066661F">
      <w:pPr>
        <w:pStyle w:val="PargrafodaLista"/>
        <w:numPr>
          <w:ilvl w:val="0"/>
          <w:numId w:val="59"/>
        </w:numPr>
        <w:rPr>
          <w:szCs w:val="24"/>
        </w:rPr>
      </w:pPr>
      <w:r w:rsidRPr="006E1EFE">
        <w:rPr>
          <w:szCs w:val="24"/>
        </w:rPr>
        <w:t>Objetivo: número e descrição do objetivo estabelecido para aquele setor.</w:t>
      </w:r>
    </w:p>
    <w:p w:rsidR="004F3288" w:rsidRPr="006E1EFE" w:rsidRDefault="004F3288" w:rsidP="0066661F">
      <w:pPr>
        <w:pStyle w:val="PargrafodaLista"/>
        <w:numPr>
          <w:ilvl w:val="0"/>
          <w:numId w:val="59"/>
        </w:numPr>
        <w:rPr>
          <w:szCs w:val="24"/>
        </w:rPr>
      </w:pPr>
      <w:r w:rsidRPr="006E1EFE">
        <w:rPr>
          <w:szCs w:val="24"/>
        </w:rPr>
        <w:t>Indicador</w:t>
      </w:r>
      <w:r>
        <w:rPr>
          <w:szCs w:val="24"/>
          <w:lang w:val="pt-BR"/>
        </w:rPr>
        <w:t xml:space="preserve"> de monitoramento</w:t>
      </w:r>
      <w:r w:rsidRPr="006E1EFE">
        <w:rPr>
          <w:szCs w:val="24"/>
        </w:rPr>
        <w:t>: descrição do indicador a ser acompanhado para monitorar o grau de alcance do objetivo indicado acima.</w:t>
      </w:r>
    </w:p>
    <w:p w:rsidR="004F3288" w:rsidRPr="006E1EFE" w:rsidRDefault="004F3288" w:rsidP="0066661F">
      <w:pPr>
        <w:pStyle w:val="PargrafodaLista"/>
        <w:numPr>
          <w:ilvl w:val="0"/>
          <w:numId w:val="59"/>
        </w:numPr>
        <w:rPr>
          <w:szCs w:val="24"/>
        </w:rPr>
      </w:pPr>
      <w:r w:rsidRPr="006E1EFE">
        <w:rPr>
          <w:szCs w:val="24"/>
        </w:rPr>
        <w:t>Meta e prazo de entrega da meta: descreve a meta a ser atingida e os períodos em que se podem empreender ações para alcançá-la. Esses períodos podem ser:</w:t>
      </w:r>
    </w:p>
    <w:p w:rsidR="004F3288" w:rsidRPr="006E1EFE" w:rsidRDefault="004F3288" w:rsidP="0066661F">
      <w:pPr>
        <w:pStyle w:val="PargrafodaLista"/>
        <w:numPr>
          <w:ilvl w:val="1"/>
          <w:numId w:val="92"/>
        </w:numPr>
        <w:spacing w:before="120" w:after="120"/>
        <w:rPr>
          <w:rFonts w:cs="Arial"/>
          <w:szCs w:val="24"/>
        </w:rPr>
      </w:pPr>
      <w:r w:rsidRPr="006E1EFE">
        <w:rPr>
          <w:rFonts w:cs="Arial"/>
          <w:szCs w:val="24"/>
        </w:rPr>
        <w:t>Imediato: de 0 a 3 anos;</w:t>
      </w:r>
    </w:p>
    <w:p w:rsidR="004F3288" w:rsidRPr="006E1EFE" w:rsidRDefault="004F3288" w:rsidP="0066661F">
      <w:pPr>
        <w:pStyle w:val="PargrafodaLista"/>
        <w:numPr>
          <w:ilvl w:val="1"/>
          <w:numId w:val="92"/>
        </w:numPr>
        <w:spacing w:before="120" w:after="120"/>
        <w:rPr>
          <w:rFonts w:cs="Arial"/>
          <w:szCs w:val="24"/>
        </w:rPr>
      </w:pPr>
      <w:r w:rsidRPr="006E1EFE">
        <w:rPr>
          <w:rFonts w:cs="Arial"/>
          <w:szCs w:val="24"/>
        </w:rPr>
        <w:t>Curto: de 4 a 8 anos;</w:t>
      </w:r>
    </w:p>
    <w:p w:rsidR="004F3288" w:rsidRPr="006E1EFE" w:rsidRDefault="004F3288" w:rsidP="0066661F">
      <w:pPr>
        <w:pStyle w:val="PargrafodaLista"/>
        <w:numPr>
          <w:ilvl w:val="1"/>
          <w:numId w:val="92"/>
        </w:numPr>
        <w:spacing w:before="120" w:after="120"/>
        <w:rPr>
          <w:rFonts w:cs="Arial"/>
          <w:szCs w:val="24"/>
        </w:rPr>
      </w:pPr>
      <w:r w:rsidRPr="006E1EFE">
        <w:rPr>
          <w:rFonts w:cs="Arial"/>
          <w:szCs w:val="24"/>
        </w:rPr>
        <w:t>Médio: de 9 a 12 anos;</w:t>
      </w:r>
    </w:p>
    <w:p w:rsidR="004F3288" w:rsidRPr="006E1EFE" w:rsidRDefault="004F3288" w:rsidP="0066661F">
      <w:pPr>
        <w:pStyle w:val="PargrafodaLista"/>
        <w:numPr>
          <w:ilvl w:val="1"/>
          <w:numId w:val="92"/>
        </w:numPr>
        <w:spacing w:before="120" w:after="120"/>
        <w:rPr>
          <w:rFonts w:cs="Arial"/>
          <w:szCs w:val="24"/>
        </w:rPr>
      </w:pPr>
      <w:r w:rsidRPr="006E1EFE">
        <w:rPr>
          <w:rFonts w:cs="Arial"/>
          <w:szCs w:val="24"/>
        </w:rPr>
        <w:t>Longo: de 13 a 20 anos.</w:t>
      </w:r>
    </w:p>
    <w:p w:rsidR="004F3288" w:rsidRPr="006E1EFE" w:rsidRDefault="004F3288" w:rsidP="0066661F">
      <w:pPr>
        <w:pStyle w:val="PargrafodaLista"/>
        <w:numPr>
          <w:ilvl w:val="0"/>
          <w:numId w:val="59"/>
        </w:numPr>
        <w:rPr>
          <w:szCs w:val="24"/>
        </w:rPr>
      </w:pPr>
      <w:r w:rsidRPr="006E1EFE">
        <w:rPr>
          <w:szCs w:val="24"/>
        </w:rPr>
        <w:t>Código da ação (s/o/m/a), sendo que:</w:t>
      </w:r>
    </w:p>
    <w:p w:rsidR="004F3288" w:rsidRPr="006E1EFE" w:rsidRDefault="004F3288" w:rsidP="0066661F">
      <w:pPr>
        <w:pStyle w:val="PargrafodaLista"/>
        <w:numPr>
          <w:ilvl w:val="1"/>
          <w:numId w:val="92"/>
        </w:numPr>
        <w:spacing w:before="120" w:after="120"/>
        <w:rPr>
          <w:rFonts w:cs="Arial"/>
          <w:szCs w:val="24"/>
        </w:rPr>
      </w:pPr>
      <w:r w:rsidRPr="006E1EFE">
        <w:rPr>
          <w:rFonts w:cs="Arial"/>
          <w:szCs w:val="24"/>
        </w:rPr>
        <w:t>s = nº do setor</w:t>
      </w:r>
      <w:r>
        <w:rPr>
          <w:rFonts w:cs="Arial"/>
          <w:szCs w:val="24"/>
          <w:lang w:val="pt-BR"/>
        </w:rPr>
        <w:t>;</w:t>
      </w:r>
      <w:r w:rsidRPr="006E1EFE">
        <w:rPr>
          <w:rFonts w:cs="Arial"/>
          <w:szCs w:val="24"/>
        </w:rPr>
        <w:t xml:space="preserve"> </w:t>
      </w:r>
    </w:p>
    <w:p w:rsidR="004F3288" w:rsidRPr="006E1EFE" w:rsidRDefault="004F3288" w:rsidP="0066661F">
      <w:pPr>
        <w:pStyle w:val="PargrafodaLista"/>
        <w:numPr>
          <w:ilvl w:val="1"/>
          <w:numId w:val="92"/>
        </w:numPr>
        <w:spacing w:before="120" w:after="120"/>
        <w:rPr>
          <w:rFonts w:cs="Arial"/>
          <w:szCs w:val="24"/>
        </w:rPr>
      </w:pPr>
      <w:r w:rsidRPr="006E1EFE">
        <w:rPr>
          <w:rFonts w:cs="Arial"/>
          <w:szCs w:val="24"/>
        </w:rPr>
        <w:t>o = nº do objetivo</w:t>
      </w:r>
      <w:r>
        <w:rPr>
          <w:rFonts w:cs="Arial"/>
          <w:szCs w:val="24"/>
          <w:lang w:val="pt-BR"/>
        </w:rPr>
        <w:t>;</w:t>
      </w:r>
      <w:r w:rsidRPr="006E1EFE">
        <w:rPr>
          <w:rFonts w:cs="Arial"/>
          <w:szCs w:val="24"/>
        </w:rPr>
        <w:t xml:space="preserve"> </w:t>
      </w:r>
    </w:p>
    <w:p w:rsidR="004F3288" w:rsidRPr="006E1EFE" w:rsidRDefault="004F3288" w:rsidP="0066661F">
      <w:pPr>
        <w:pStyle w:val="PargrafodaLista"/>
        <w:numPr>
          <w:ilvl w:val="1"/>
          <w:numId w:val="92"/>
        </w:numPr>
        <w:spacing w:before="120" w:after="120"/>
        <w:rPr>
          <w:rFonts w:cs="Arial"/>
          <w:szCs w:val="24"/>
        </w:rPr>
      </w:pPr>
      <w:r w:rsidRPr="006E1EFE">
        <w:rPr>
          <w:rFonts w:cs="Arial"/>
          <w:szCs w:val="24"/>
        </w:rPr>
        <w:t>m = nº da meta</w:t>
      </w:r>
      <w:r>
        <w:rPr>
          <w:rFonts w:cs="Arial"/>
          <w:szCs w:val="24"/>
          <w:lang w:val="pt-BR"/>
        </w:rPr>
        <w:t>;</w:t>
      </w:r>
      <w:r w:rsidRPr="006E1EFE">
        <w:rPr>
          <w:rFonts w:cs="Arial"/>
          <w:szCs w:val="24"/>
        </w:rPr>
        <w:t xml:space="preserve"> </w:t>
      </w:r>
    </w:p>
    <w:p w:rsidR="004F3288" w:rsidRPr="006E1EFE" w:rsidRDefault="004F3288" w:rsidP="0066661F">
      <w:pPr>
        <w:pStyle w:val="PargrafodaLista"/>
        <w:numPr>
          <w:ilvl w:val="1"/>
          <w:numId w:val="92"/>
        </w:numPr>
        <w:spacing w:before="120" w:after="120"/>
        <w:rPr>
          <w:rFonts w:cs="Arial"/>
          <w:szCs w:val="24"/>
        </w:rPr>
      </w:pPr>
      <w:r w:rsidRPr="006E1EFE">
        <w:rPr>
          <w:rFonts w:cs="Arial"/>
          <w:szCs w:val="24"/>
        </w:rPr>
        <w:t>a = nº da ação.</w:t>
      </w:r>
    </w:p>
    <w:p w:rsidR="004F3288" w:rsidRPr="006E1EFE" w:rsidRDefault="004F3288" w:rsidP="0066661F">
      <w:pPr>
        <w:pStyle w:val="PargrafodaLista"/>
        <w:numPr>
          <w:ilvl w:val="0"/>
          <w:numId w:val="59"/>
        </w:numPr>
        <w:rPr>
          <w:szCs w:val="24"/>
        </w:rPr>
      </w:pPr>
      <w:r w:rsidRPr="006E1EFE">
        <w:rPr>
          <w:szCs w:val="24"/>
        </w:rPr>
        <w:t>Descrição da ação: descreve a ação a ser empreendida</w:t>
      </w:r>
      <w:r>
        <w:rPr>
          <w:szCs w:val="24"/>
          <w:lang w:val="pt-BR"/>
        </w:rPr>
        <w:t>.</w:t>
      </w:r>
    </w:p>
    <w:p w:rsidR="004F3288" w:rsidRPr="006E1EFE" w:rsidRDefault="004F3288" w:rsidP="0066661F">
      <w:pPr>
        <w:pStyle w:val="PargrafodaLista"/>
        <w:numPr>
          <w:ilvl w:val="0"/>
          <w:numId w:val="59"/>
        </w:numPr>
        <w:rPr>
          <w:szCs w:val="24"/>
        </w:rPr>
      </w:pPr>
      <w:r w:rsidRPr="006E1EFE">
        <w:rPr>
          <w:szCs w:val="24"/>
        </w:rPr>
        <w:t>Período de desenvolvimento da ação (ano): mostra o período previsto para o desenvolvimento da ação descrita.</w:t>
      </w:r>
    </w:p>
    <w:p w:rsidR="004F3288" w:rsidRPr="006E1EFE" w:rsidRDefault="004F3288" w:rsidP="0066661F">
      <w:pPr>
        <w:pStyle w:val="PargrafodaLista"/>
        <w:numPr>
          <w:ilvl w:val="0"/>
          <w:numId w:val="59"/>
        </w:numPr>
        <w:rPr>
          <w:szCs w:val="24"/>
        </w:rPr>
      </w:pPr>
      <w:r w:rsidRPr="006E1EFE">
        <w:rPr>
          <w:szCs w:val="24"/>
        </w:rPr>
        <w:t xml:space="preserve">Custo total na moeda de 2017 (R$): apresenta o custo total para o empreendimento da ação, dentro do período de desenvolvimento para ela previsto. </w:t>
      </w:r>
    </w:p>
    <w:p w:rsidR="004F3288" w:rsidRPr="00343639" w:rsidRDefault="004F3288" w:rsidP="0066661F">
      <w:pPr>
        <w:pStyle w:val="PargrafodaLista"/>
        <w:numPr>
          <w:ilvl w:val="0"/>
          <w:numId w:val="59"/>
        </w:numPr>
        <w:rPr>
          <w:szCs w:val="24"/>
        </w:rPr>
      </w:pPr>
      <w:r w:rsidRPr="006E1EFE">
        <w:rPr>
          <w:szCs w:val="24"/>
        </w:rPr>
        <w:lastRenderedPageBreak/>
        <w:t>Responsável pela ação: indica o órgão responsável pelo empreendimento daquela ação, apontando, sempre que possível, para parcerias que poderão contribuir para a celeridade e eficiência das ações definidas.</w:t>
      </w:r>
    </w:p>
    <w:p w:rsidR="004F3288" w:rsidRPr="004F1453" w:rsidRDefault="004F3288" w:rsidP="004F3288">
      <w:pPr>
        <w:spacing w:before="120" w:after="120"/>
        <w:ind w:firstLine="709"/>
        <w:contextualSpacing/>
        <w:jc w:val="both"/>
      </w:pPr>
      <w:r>
        <w:t>Ressalta-se</w:t>
      </w:r>
      <w:r w:rsidRPr="004F1453">
        <w:t xml:space="preserve"> que os prazos para as ações nem sempre coincidirão com os prazos das metas a que se relacionam, uma vez que cada ação é analisada independentemente. Algumas ações, após o atingimento da meta, deverão ser mantidas até o final do Plano. Outras ações, uma vez realizadas, não demandam continuidade. Ainda, há ações que deverão ser iniciadas em momento anterior ao estabelecido para o atingimento da meta à qual está ligada. Logo, é comum que o momento de implementação das ações seja diferente do momento de entrega da meta a qual elas estão relacionadas. </w:t>
      </w:r>
    </w:p>
    <w:p w:rsidR="004F3288" w:rsidRDefault="004F3288" w:rsidP="004F3288">
      <w:pPr>
        <w:spacing w:before="120" w:after="120"/>
        <w:ind w:firstLine="709"/>
        <w:contextualSpacing/>
        <w:jc w:val="both"/>
      </w:pPr>
      <w:r w:rsidRPr="00C967BA">
        <w:t>Esclarece-se ainda que a ordem de apresentação de cada ação representa a ordenação hierárquica referente à priorização de sua implementação.</w:t>
      </w:r>
    </w:p>
    <w:p w:rsidR="002A739D" w:rsidRPr="00E95583" w:rsidRDefault="002A739D" w:rsidP="00BC01B1">
      <w:pPr>
        <w:pStyle w:val="SHS-Ttulo02"/>
      </w:pPr>
      <w:bookmarkStart w:id="555" w:name="_Toc509935504"/>
      <w:r w:rsidRPr="00E95583">
        <w:t xml:space="preserve">Setor Geral </w:t>
      </w:r>
      <w:r w:rsidR="002D4638" w:rsidRPr="00E95583">
        <w:t>do Saneamento Básico Municipal</w:t>
      </w:r>
      <w:bookmarkEnd w:id="555"/>
    </w:p>
    <w:p w:rsidR="0081570C" w:rsidRDefault="0081570C" w:rsidP="00BC01B1">
      <w:pPr>
        <w:pStyle w:val="Ttulo3"/>
        <w:rPr>
          <w:color w:val="FF0000"/>
          <w:lang w:val="pt-BR"/>
        </w:rPr>
      </w:pPr>
      <w:bookmarkStart w:id="556" w:name="_Toc484422548"/>
      <w:bookmarkStart w:id="557" w:name="_Toc484611625"/>
      <w:bookmarkStart w:id="558" w:name="_Toc498593489"/>
      <w:bookmarkStart w:id="559" w:name="_Toc509935505"/>
      <w:r w:rsidRPr="00E95583">
        <w:t>Proposição de cenários</w:t>
      </w:r>
      <w:bookmarkEnd w:id="556"/>
      <w:bookmarkEnd w:id="557"/>
      <w:bookmarkEnd w:id="558"/>
      <w:bookmarkEnd w:id="559"/>
      <w:r w:rsidR="00751468" w:rsidRPr="00E95583">
        <w:t xml:space="preserve"> </w:t>
      </w:r>
    </w:p>
    <w:p w:rsidR="003068A5" w:rsidRPr="003068A5" w:rsidRDefault="003068A5" w:rsidP="003068A5">
      <w:pPr>
        <w:spacing w:before="120" w:after="120"/>
        <w:ind w:firstLine="708"/>
        <w:contextualSpacing/>
        <w:jc w:val="both"/>
        <w:rPr>
          <w:rFonts w:cs="Arial"/>
          <w:szCs w:val="24"/>
          <w:lang w:eastAsia="pt-BR"/>
        </w:rPr>
      </w:pPr>
      <w:r w:rsidRPr="003068A5">
        <w:rPr>
          <w:rFonts w:cs="Arial"/>
          <w:szCs w:val="24"/>
          <w:lang w:eastAsia="pt-BR"/>
        </w:rPr>
        <w:t xml:space="preserve">O </w:t>
      </w:r>
      <w:r>
        <w:rPr>
          <w:rFonts w:cs="Arial"/>
          <w:szCs w:val="24"/>
          <w:lang w:eastAsia="pt-BR"/>
        </w:rPr>
        <w:fldChar w:fldCharType="begin"/>
      </w:r>
      <w:r>
        <w:rPr>
          <w:rFonts w:cs="Arial"/>
          <w:szCs w:val="24"/>
          <w:lang w:eastAsia="pt-BR"/>
        </w:rPr>
        <w:instrText xml:space="preserve"> REF _Ref507600957 \h </w:instrText>
      </w:r>
      <w:r>
        <w:rPr>
          <w:rFonts w:cs="Arial"/>
          <w:szCs w:val="24"/>
          <w:lang w:eastAsia="pt-BR"/>
        </w:rPr>
      </w:r>
      <w:r>
        <w:rPr>
          <w:rFonts w:cs="Arial"/>
          <w:szCs w:val="24"/>
          <w:lang w:eastAsia="pt-BR"/>
        </w:rPr>
        <w:fldChar w:fldCharType="separate"/>
      </w:r>
      <w:r w:rsidR="001B481B">
        <w:t xml:space="preserve">Quadro </w:t>
      </w:r>
      <w:r w:rsidR="001B481B">
        <w:rPr>
          <w:noProof/>
        </w:rPr>
        <w:t>46</w:t>
      </w:r>
      <w:r>
        <w:rPr>
          <w:rFonts w:cs="Arial"/>
          <w:szCs w:val="24"/>
          <w:lang w:eastAsia="pt-BR"/>
        </w:rPr>
        <w:fldChar w:fldCharType="end"/>
      </w:r>
      <w:r w:rsidRPr="003068A5">
        <w:rPr>
          <w:rFonts w:cs="Arial"/>
          <w:szCs w:val="24"/>
          <w:lang w:eastAsia="pt-BR"/>
        </w:rPr>
        <w:t xml:space="preserve"> representa a matriz SWOT configurada para o sistema municipal de saneamento básico de Córrego Novo, levando-se em conta seus quatro eixos: sistema de abastecimento de água, sistema de esgotamento sanitário, sistema de drenagem urbana e manejo de águas pluviais e sistema de limpeza urbana e manejo de resíduos sólidos.</w:t>
      </w:r>
    </w:p>
    <w:p w:rsidR="003068A5" w:rsidRPr="003068A5" w:rsidRDefault="003068A5" w:rsidP="003068A5">
      <w:pPr>
        <w:spacing w:before="120" w:after="120"/>
        <w:ind w:firstLine="708"/>
        <w:contextualSpacing/>
        <w:jc w:val="both"/>
        <w:rPr>
          <w:rFonts w:cs="Arial"/>
          <w:color w:val="0070C0"/>
          <w:szCs w:val="24"/>
          <w:lang w:eastAsia="pt-BR"/>
        </w:rPr>
        <w:sectPr w:rsidR="003068A5" w:rsidRPr="003068A5" w:rsidSect="003068A5">
          <w:footerReference w:type="default" r:id="rId39"/>
          <w:type w:val="continuous"/>
          <w:pgSz w:w="11906" w:h="16838"/>
          <w:pgMar w:top="1134" w:right="1134" w:bottom="1134" w:left="1418" w:header="709" w:footer="709" w:gutter="0"/>
          <w:cols w:space="708"/>
          <w:docGrid w:linePitch="360"/>
        </w:sectPr>
      </w:pPr>
    </w:p>
    <w:p w:rsidR="003068A5" w:rsidRPr="003068A5" w:rsidRDefault="003068A5" w:rsidP="003068A5">
      <w:pPr>
        <w:pStyle w:val="Legenda"/>
        <w:rPr>
          <w:rFonts w:cs="Arial"/>
          <w:lang w:eastAsia="pt-BR"/>
        </w:rPr>
      </w:pPr>
      <w:bookmarkStart w:id="560" w:name="_Ref507600957"/>
      <w:bookmarkStart w:id="561" w:name="_Toc484423913"/>
      <w:bookmarkStart w:id="562" w:name="_Toc484532475"/>
      <w:bookmarkStart w:id="563" w:name="_Toc498099249"/>
      <w:bookmarkStart w:id="564" w:name="_Toc509935823"/>
      <w:r>
        <w:lastRenderedPageBreak/>
        <w:t xml:space="preserve">Quadro </w:t>
      </w:r>
      <w:r w:rsidR="000A1C78">
        <w:fldChar w:fldCharType="begin"/>
      </w:r>
      <w:r w:rsidR="000A1C78">
        <w:instrText xml:space="preserve"> SEQ Quadro \* ARABIC </w:instrText>
      </w:r>
      <w:r w:rsidR="000A1C78">
        <w:fldChar w:fldCharType="separate"/>
      </w:r>
      <w:r w:rsidR="001B481B">
        <w:rPr>
          <w:noProof/>
        </w:rPr>
        <w:t>46</w:t>
      </w:r>
      <w:r w:rsidR="000A1C78">
        <w:rPr>
          <w:noProof/>
        </w:rPr>
        <w:fldChar w:fldCharType="end"/>
      </w:r>
      <w:bookmarkEnd w:id="560"/>
      <w:r w:rsidRPr="003068A5">
        <w:rPr>
          <w:rFonts w:cs="Arial"/>
        </w:rPr>
        <w:t xml:space="preserve"> - Matriz SWOT do Sistema de Saneamento Básico Municipal de </w:t>
      </w:r>
      <w:bookmarkEnd w:id="561"/>
      <w:r w:rsidRPr="003068A5">
        <w:rPr>
          <w:rFonts w:cs="Arial"/>
          <w:lang w:eastAsia="pt-BR"/>
        </w:rPr>
        <w:t>Córrego Novo</w:t>
      </w:r>
      <w:bookmarkEnd w:id="562"/>
      <w:bookmarkEnd w:id="563"/>
      <w:bookmarkEnd w:id="5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9"/>
        <w:gridCol w:w="4940"/>
        <w:gridCol w:w="2948"/>
        <w:gridCol w:w="5619"/>
      </w:tblGrid>
      <w:tr w:rsidR="003068A5" w:rsidRPr="003068A5" w:rsidTr="003068A5">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3068A5" w:rsidRPr="003068A5" w:rsidRDefault="003068A5" w:rsidP="003068A5">
            <w:pPr>
              <w:autoSpaceDE w:val="0"/>
              <w:autoSpaceDN w:val="0"/>
              <w:adjustRightInd w:val="0"/>
              <w:spacing w:before="60" w:after="60" w:line="240" w:lineRule="auto"/>
              <w:jc w:val="both"/>
              <w:rPr>
                <w:rFonts w:cs="Arial"/>
                <w:color w:val="0070C0"/>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hideMark/>
          </w:tcPr>
          <w:p w:rsidR="003068A5" w:rsidRPr="003068A5" w:rsidRDefault="003068A5" w:rsidP="003068A5">
            <w:pPr>
              <w:autoSpaceDE w:val="0"/>
              <w:autoSpaceDN w:val="0"/>
              <w:adjustRightInd w:val="0"/>
              <w:spacing w:before="60" w:after="60" w:line="240" w:lineRule="auto"/>
              <w:jc w:val="center"/>
              <w:rPr>
                <w:rFonts w:cs="Arial"/>
                <w:b/>
                <w:sz w:val="20"/>
                <w:szCs w:val="20"/>
              </w:rPr>
            </w:pPr>
            <w:r w:rsidRPr="003068A5">
              <w:rPr>
                <w:rFonts w:cs="Arial"/>
                <w:b/>
                <w:sz w:val="20"/>
                <w:szCs w:val="20"/>
              </w:rPr>
              <w:t>PONTOS POSITIVOS</w:t>
            </w:r>
          </w:p>
        </w:tc>
        <w:tc>
          <w:tcPr>
            <w:tcW w:w="0" w:type="auto"/>
            <w:tcBorders>
              <w:top w:val="single" w:sz="4" w:space="0" w:color="auto"/>
              <w:left w:val="single" w:sz="4" w:space="0" w:color="auto"/>
              <w:bottom w:val="single" w:sz="4" w:space="0" w:color="auto"/>
              <w:right w:val="single" w:sz="4" w:space="0" w:color="auto"/>
            </w:tcBorders>
            <w:shd w:val="clear" w:color="auto" w:fill="95B3D7"/>
            <w:vAlign w:val="center"/>
          </w:tcPr>
          <w:p w:rsidR="003068A5" w:rsidRPr="003068A5" w:rsidRDefault="003068A5" w:rsidP="003068A5">
            <w:pPr>
              <w:autoSpaceDE w:val="0"/>
              <w:autoSpaceDN w:val="0"/>
              <w:adjustRightInd w:val="0"/>
              <w:spacing w:before="60" w:after="60" w:line="240" w:lineRule="auto"/>
              <w:jc w:val="center"/>
              <w:rPr>
                <w:rFonts w:cs="Arial"/>
                <w:b/>
                <w:sz w:val="20"/>
                <w:szCs w:val="20"/>
              </w:rPr>
            </w:pPr>
            <w:r w:rsidRPr="003068A5">
              <w:rPr>
                <w:rFonts w:cs="Arial"/>
                <w:b/>
                <w:sz w:val="20"/>
                <w:szCs w:val="20"/>
              </w:rPr>
              <w:t>ITENS DE REFLEXÃO</w:t>
            </w:r>
          </w:p>
        </w:tc>
        <w:tc>
          <w:tcPr>
            <w:tcW w:w="0" w:type="auto"/>
            <w:tcBorders>
              <w:top w:val="single" w:sz="4" w:space="0" w:color="auto"/>
              <w:left w:val="single" w:sz="4" w:space="0" w:color="auto"/>
              <w:bottom w:val="single" w:sz="4" w:space="0" w:color="auto"/>
              <w:right w:val="single" w:sz="4" w:space="0" w:color="auto"/>
            </w:tcBorders>
            <w:shd w:val="clear" w:color="auto" w:fill="95B3D7"/>
            <w:vAlign w:val="center"/>
            <w:hideMark/>
          </w:tcPr>
          <w:p w:rsidR="003068A5" w:rsidRPr="003068A5" w:rsidRDefault="003068A5" w:rsidP="003068A5">
            <w:pPr>
              <w:autoSpaceDE w:val="0"/>
              <w:autoSpaceDN w:val="0"/>
              <w:adjustRightInd w:val="0"/>
              <w:spacing w:before="60" w:after="60" w:line="240" w:lineRule="auto"/>
              <w:jc w:val="center"/>
              <w:rPr>
                <w:rFonts w:cs="Arial"/>
                <w:b/>
                <w:sz w:val="20"/>
                <w:szCs w:val="20"/>
              </w:rPr>
            </w:pPr>
            <w:r w:rsidRPr="003068A5">
              <w:rPr>
                <w:rFonts w:cs="Arial"/>
                <w:b/>
                <w:sz w:val="20"/>
                <w:szCs w:val="20"/>
              </w:rPr>
              <w:t>PONTOS NEGATIVOS</w:t>
            </w:r>
          </w:p>
        </w:tc>
      </w:tr>
      <w:tr w:rsidR="003068A5" w:rsidRPr="003068A5" w:rsidTr="003068A5">
        <w:trPr>
          <w:trHeight w:val="1115"/>
          <w:jc w:val="center"/>
        </w:trPr>
        <w:tc>
          <w:tcPr>
            <w:tcW w:w="0" w:type="auto"/>
            <w:tcBorders>
              <w:top w:val="single" w:sz="4" w:space="0" w:color="auto"/>
              <w:left w:val="single" w:sz="4" w:space="0" w:color="auto"/>
              <w:bottom w:val="single" w:sz="4" w:space="0" w:color="auto"/>
              <w:right w:val="single" w:sz="4" w:space="0" w:color="auto"/>
            </w:tcBorders>
            <w:shd w:val="clear" w:color="auto" w:fill="365F91"/>
            <w:vAlign w:val="center"/>
            <w:hideMark/>
          </w:tcPr>
          <w:p w:rsidR="003068A5" w:rsidRPr="003068A5" w:rsidRDefault="003068A5" w:rsidP="003068A5">
            <w:pPr>
              <w:autoSpaceDE w:val="0"/>
              <w:autoSpaceDN w:val="0"/>
              <w:adjustRightInd w:val="0"/>
              <w:spacing w:before="60" w:after="60" w:line="240" w:lineRule="auto"/>
              <w:jc w:val="center"/>
              <w:rPr>
                <w:rFonts w:cs="Arial"/>
                <w:b/>
                <w:color w:val="0070C0"/>
                <w:sz w:val="20"/>
                <w:szCs w:val="20"/>
              </w:rPr>
            </w:pPr>
            <w:r w:rsidRPr="003068A5">
              <w:rPr>
                <w:rFonts w:cs="Arial"/>
                <w:b/>
                <w:color w:val="FFFFFF" w:themeColor="background1"/>
                <w:sz w:val="20"/>
                <w:szCs w:val="20"/>
              </w:rPr>
              <w:t>Ambiente Interno</w:t>
            </w:r>
          </w:p>
        </w:tc>
        <w:tc>
          <w:tcPr>
            <w:tcW w:w="0" w:type="auto"/>
            <w:tcBorders>
              <w:top w:val="single" w:sz="4" w:space="0" w:color="auto"/>
              <w:left w:val="single" w:sz="4" w:space="0" w:color="auto"/>
              <w:bottom w:val="single" w:sz="4" w:space="0" w:color="auto"/>
              <w:right w:val="single" w:sz="4" w:space="0" w:color="auto"/>
            </w:tcBorders>
            <w:shd w:val="clear" w:color="auto" w:fill="B8CCE4" w:themeFill="accent1" w:themeFillTint="66"/>
          </w:tcPr>
          <w:p w:rsidR="003068A5" w:rsidRPr="003068A5" w:rsidRDefault="003068A5" w:rsidP="003068A5">
            <w:pPr>
              <w:tabs>
                <w:tab w:val="left" w:pos="127"/>
                <w:tab w:val="left" w:pos="269"/>
              </w:tabs>
              <w:autoSpaceDE w:val="0"/>
              <w:autoSpaceDN w:val="0"/>
              <w:adjustRightInd w:val="0"/>
              <w:spacing w:before="60" w:after="60" w:line="240" w:lineRule="auto"/>
              <w:ind w:left="127"/>
              <w:contextualSpacing/>
              <w:jc w:val="center"/>
              <w:rPr>
                <w:rFonts w:eastAsia="Times New Roman" w:cs="Arial"/>
                <w:b/>
                <w:sz w:val="20"/>
                <w:szCs w:val="20"/>
                <w:lang w:eastAsia="pt-BR"/>
              </w:rPr>
            </w:pPr>
            <w:r w:rsidRPr="003068A5">
              <w:rPr>
                <w:rFonts w:eastAsia="Times New Roman" w:cs="Arial"/>
                <w:b/>
                <w:sz w:val="20"/>
                <w:szCs w:val="20"/>
                <w:lang w:eastAsia="pt-BR"/>
              </w:rPr>
              <w:t>FORÇAS</w:t>
            </w:r>
          </w:p>
          <w:p w:rsidR="003068A5" w:rsidRPr="003068A5" w:rsidRDefault="003068A5" w:rsidP="0066661F">
            <w:pPr>
              <w:numPr>
                <w:ilvl w:val="0"/>
                <w:numId w:val="43"/>
              </w:numPr>
              <w:tabs>
                <w:tab w:val="left" w:pos="127"/>
                <w:tab w:val="left" w:pos="269"/>
              </w:tabs>
              <w:autoSpaceDE w:val="0"/>
              <w:autoSpaceDN w:val="0"/>
              <w:adjustRightInd w:val="0"/>
              <w:spacing w:before="60" w:after="60" w:line="240" w:lineRule="auto"/>
              <w:ind w:left="127" w:hanging="127"/>
              <w:contextualSpacing/>
              <w:jc w:val="both"/>
              <w:rPr>
                <w:rFonts w:eastAsia="Times New Roman" w:cs="Arial"/>
                <w:b/>
                <w:sz w:val="20"/>
                <w:szCs w:val="20"/>
                <w:lang w:eastAsia="pt-BR"/>
              </w:rPr>
            </w:pPr>
            <w:r w:rsidRPr="003068A5">
              <w:rPr>
                <w:rFonts w:eastAsia="Times New Roman" w:cs="Arial"/>
                <w:b/>
                <w:sz w:val="20"/>
                <w:szCs w:val="20"/>
                <w:lang w:eastAsia="pt-BR"/>
              </w:rPr>
              <w:t>Perfil institucional</w:t>
            </w:r>
          </w:p>
          <w:p w:rsidR="003068A5" w:rsidRPr="003068A5" w:rsidRDefault="003068A5" w:rsidP="003068A5">
            <w:pPr>
              <w:tabs>
                <w:tab w:val="left" w:pos="127"/>
                <w:tab w:val="left" w:pos="269"/>
              </w:tabs>
              <w:autoSpaceDE w:val="0"/>
              <w:autoSpaceDN w:val="0"/>
              <w:adjustRightInd w:val="0"/>
              <w:spacing w:before="60" w:after="60" w:line="240" w:lineRule="auto"/>
              <w:ind w:left="127"/>
              <w:contextualSpacing/>
              <w:jc w:val="both"/>
              <w:rPr>
                <w:rFonts w:eastAsia="Times New Roman" w:cs="Arial"/>
                <w:sz w:val="20"/>
                <w:szCs w:val="20"/>
                <w:lang w:eastAsia="pt-BR"/>
              </w:rPr>
            </w:pPr>
            <w:r w:rsidRPr="003068A5">
              <w:rPr>
                <w:rFonts w:eastAsia="Times New Roman" w:cs="Arial"/>
                <w:sz w:val="20"/>
                <w:szCs w:val="20"/>
                <w:lang w:eastAsia="pt-BR"/>
              </w:rPr>
              <w:t>- O município possui uma organização institucional que conta com secretarias, departamentos e órgãos que se responsabilizam por diferentes setores do saneamento básico.</w:t>
            </w:r>
          </w:p>
          <w:p w:rsidR="003068A5" w:rsidRPr="003068A5" w:rsidRDefault="003068A5" w:rsidP="003068A5">
            <w:pPr>
              <w:tabs>
                <w:tab w:val="left" w:pos="127"/>
                <w:tab w:val="left" w:pos="269"/>
              </w:tabs>
              <w:autoSpaceDE w:val="0"/>
              <w:autoSpaceDN w:val="0"/>
              <w:adjustRightInd w:val="0"/>
              <w:spacing w:before="60" w:after="60" w:line="240" w:lineRule="auto"/>
              <w:ind w:left="127"/>
              <w:contextualSpacing/>
              <w:jc w:val="both"/>
              <w:rPr>
                <w:rFonts w:eastAsia="Times New Roman" w:cs="Arial"/>
                <w:sz w:val="20"/>
                <w:szCs w:val="20"/>
                <w:lang w:eastAsia="pt-BR"/>
              </w:rPr>
            </w:pPr>
          </w:p>
          <w:p w:rsidR="003068A5" w:rsidRPr="003068A5" w:rsidRDefault="003068A5" w:rsidP="0066661F">
            <w:pPr>
              <w:numPr>
                <w:ilvl w:val="0"/>
                <w:numId w:val="43"/>
              </w:numPr>
              <w:tabs>
                <w:tab w:val="left" w:pos="127"/>
                <w:tab w:val="left" w:pos="269"/>
              </w:tabs>
              <w:autoSpaceDE w:val="0"/>
              <w:autoSpaceDN w:val="0"/>
              <w:adjustRightInd w:val="0"/>
              <w:spacing w:before="60" w:after="60" w:line="240" w:lineRule="auto"/>
              <w:ind w:left="127" w:hanging="127"/>
              <w:contextualSpacing/>
              <w:jc w:val="both"/>
              <w:rPr>
                <w:rFonts w:eastAsia="Times New Roman" w:cs="Arial"/>
                <w:b/>
                <w:sz w:val="20"/>
                <w:szCs w:val="20"/>
                <w:lang w:eastAsia="pt-BR"/>
              </w:rPr>
            </w:pPr>
            <w:r w:rsidRPr="003068A5">
              <w:rPr>
                <w:rFonts w:eastAsia="Times New Roman" w:cs="Arial"/>
                <w:b/>
                <w:sz w:val="20"/>
                <w:szCs w:val="20"/>
                <w:lang w:eastAsia="pt-BR"/>
              </w:rPr>
              <w:t>Atendimento da demanda</w:t>
            </w:r>
          </w:p>
          <w:p w:rsidR="003068A5" w:rsidRPr="003068A5" w:rsidRDefault="003068A5" w:rsidP="003068A5">
            <w:pPr>
              <w:autoSpaceDE w:val="0"/>
              <w:autoSpaceDN w:val="0"/>
              <w:adjustRightInd w:val="0"/>
              <w:spacing w:before="60" w:after="60" w:line="240" w:lineRule="auto"/>
              <w:ind w:left="127"/>
              <w:contextualSpacing/>
              <w:jc w:val="both"/>
              <w:rPr>
                <w:rFonts w:eastAsia="Times New Roman" w:cs="Arial"/>
                <w:sz w:val="20"/>
                <w:szCs w:val="20"/>
                <w:lang w:eastAsia="pt-BR"/>
              </w:rPr>
            </w:pPr>
            <w:r w:rsidRPr="003068A5">
              <w:rPr>
                <w:rFonts w:eastAsia="Times New Roman" w:cs="Arial"/>
                <w:sz w:val="20"/>
                <w:szCs w:val="20"/>
                <w:lang w:eastAsia="pt-BR"/>
              </w:rPr>
              <w:t>- Grande parte da população urbana recebe os serviços de saneamento do município.</w:t>
            </w:r>
          </w:p>
          <w:p w:rsidR="003068A5" w:rsidRPr="003068A5" w:rsidRDefault="003068A5" w:rsidP="003068A5">
            <w:pPr>
              <w:autoSpaceDE w:val="0"/>
              <w:autoSpaceDN w:val="0"/>
              <w:adjustRightInd w:val="0"/>
              <w:spacing w:before="60" w:after="60" w:line="240" w:lineRule="auto"/>
              <w:ind w:left="127"/>
              <w:contextualSpacing/>
              <w:jc w:val="both"/>
              <w:rPr>
                <w:rFonts w:eastAsia="Times New Roman" w:cs="Arial"/>
                <w:sz w:val="20"/>
                <w:szCs w:val="20"/>
                <w:lang w:eastAsia="pt-BR"/>
              </w:rPr>
            </w:pPr>
            <w:r w:rsidRPr="003068A5">
              <w:rPr>
                <w:rFonts w:eastAsia="Times New Roman" w:cs="Arial"/>
                <w:sz w:val="20"/>
                <w:szCs w:val="20"/>
                <w:lang w:eastAsia="pt-BR"/>
              </w:rPr>
              <w:t xml:space="preserve">  </w:t>
            </w:r>
          </w:p>
          <w:p w:rsidR="003068A5" w:rsidRPr="003068A5" w:rsidRDefault="003068A5" w:rsidP="0066661F">
            <w:pPr>
              <w:numPr>
                <w:ilvl w:val="0"/>
                <w:numId w:val="43"/>
              </w:numPr>
              <w:tabs>
                <w:tab w:val="left" w:pos="127"/>
                <w:tab w:val="left" w:pos="269"/>
              </w:tabs>
              <w:autoSpaceDE w:val="0"/>
              <w:autoSpaceDN w:val="0"/>
              <w:adjustRightInd w:val="0"/>
              <w:spacing w:before="60" w:after="60" w:line="240" w:lineRule="auto"/>
              <w:ind w:left="127" w:hanging="127"/>
              <w:contextualSpacing/>
              <w:jc w:val="both"/>
              <w:rPr>
                <w:rFonts w:eastAsia="Times New Roman" w:cs="Arial"/>
                <w:b/>
                <w:sz w:val="20"/>
                <w:szCs w:val="20"/>
                <w:lang w:eastAsia="pt-BR"/>
              </w:rPr>
            </w:pPr>
            <w:r w:rsidRPr="003068A5">
              <w:rPr>
                <w:rFonts w:eastAsia="Times New Roman" w:cs="Arial"/>
                <w:b/>
                <w:sz w:val="20"/>
                <w:szCs w:val="20"/>
                <w:lang w:eastAsia="pt-BR"/>
              </w:rPr>
              <w:t>Sustentabilidade econômica</w:t>
            </w:r>
          </w:p>
          <w:p w:rsidR="003068A5" w:rsidRPr="003068A5" w:rsidRDefault="003068A5" w:rsidP="003068A5">
            <w:pPr>
              <w:tabs>
                <w:tab w:val="left" w:pos="127"/>
                <w:tab w:val="left" w:pos="269"/>
              </w:tabs>
              <w:autoSpaceDE w:val="0"/>
              <w:autoSpaceDN w:val="0"/>
              <w:adjustRightInd w:val="0"/>
              <w:spacing w:before="60" w:after="60" w:line="240" w:lineRule="auto"/>
              <w:ind w:left="127"/>
              <w:contextualSpacing/>
              <w:jc w:val="both"/>
              <w:rPr>
                <w:rFonts w:eastAsia="Times New Roman" w:cs="Arial"/>
                <w:sz w:val="20"/>
                <w:szCs w:val="20"/>
                <w:lang w:eastAsia="pt-BR"/>
              </w:rPr>
            </w:pPr>
            <w:r w:rsidRPr="003068A5">
              <w:rPr>
                <w:rFonts w:eastAsia="Times New Roman" w:cs="Arial"/>
                <w:sz w:val="20"/>
                <w:szCs w:val="20"/>
                <w:lang w:eastAsia="pt-BR"/>
              </w:rPr>
              <w:t>- Há entendimento da gestão local quanto à necessidade de se introduzir a tarifação dos serviços.</w:t>
            </w:r>
          </w:p>
          <w:p w:rsidR="003068A5" w:rsidRPr="003068A5" w:rsidRDefault="003068A5" w:rsidP="003068A5">
            <w:pPr>
              <w:tabs>
                <w:tab w:val="left" w:pos="127"/>
                <w:tab w:val="left" w:pos="269"/>
              </w:tabs>
              <w:autoSpaceDE w:val="0"/>
              <w:autoSpaceDN w:val="0"/>
              <w:adjustRightInd w:val="0"/>
              <w:spacing w:before="60" w:after="60" w:line="240" w:lineRule="auto"/>
              <w:ind w:left="127"/>
              <w:contextualSpacing/>
              <w:jc w:val="both"/>
              <w:rPr>
                <w:rFonts w:eastAsia="Times New Roman" w:cs="Arial"/>
                <w:sz w:val="20"/>
                <w:szCs w:val="20"/>
                <w:lang w:eastAsia="pt-BR"/>
              </w:rPr>
            </w:pPr>
            <w:r w:rsidRPr="003068A5">
              <w:rPr>
                <w:rFonts w:eastAsia="Times New Roman" w:cs="Arial"/>
                <w:sz w:val="20"/>
                <w:szCs w:val="20"/>
                <w:lang w:eastAsia="pt-BR"/>
              </w:rPr>
              <w:t>- O Plano Plurianual do período já considera investimentos no setor de saneamento.</w:t>
            </w:r>
          </w:p>
          <w:p w:rsidR="003068A5" w:rsidRPr="003068A5" w:rsidRDefault="003068A5" w:rsidP="003068A5">
            <w:pPr>
              <w:tabs>
                <w:tab w:val="left" w:pos="127"/>
                <w:tab w:val="left" w:pos="269"/>
              </w:tabs>
              <w:autoSpaceDE w:val="0"/>
              <w:autoSpaceDN w:val="0"/>
              <w:adjustRightInd w:val="0"/>
              <w:spacing w:before="60" w:after="60" w:line="240" w:lineRule="auto"/>
              <w:ind w:left="127"/>
              <w:contextualSpacing/>
              <w:jc w:val="both"/>
              <w:rPr>
                <w:rFonts w:eastAsia="Times New Roman" w:cs="Arial"/>
                <w:sz w:val="20"/>
                <w:szCs w:val="20"/>
                <w:lang w:eastAsia="pt-BR"/>
              </w:rPr>
            </w:pPr>
          </w:p>
          <w:p w:rsidR="003068A5" w:rsidRPr="003068A5" w:rsidRDefault="003068A5" w:rsidP="0066661F">
            <w:pPr>
              <w:numPr>
                <w:ilvl w:val="0"/>
                <w:numId w:val="43"/>
              </w:numPr>
              <w:tabs>
                <w:tab w:val="left" w:pos="127"/>
                <w:tab w:val="left" w:pos="269"/>
              </w:tabs>
              <w:autoSpaceDE w:val="0"/>
              <w:autoSpaceDN w:val="0"/>
              <w:adjustRightInd w:val="0"/>
              <w:spacing w:before="60" w:after="60" w:line="240" w:lineRule="auto"/>
              <w:ind w:left="127" w:hanging="127"/>
              <w:contextualSpacing/>
              <w:jc w:val="both"/>
              <w:rPr>
                <w:rFonts w:eastAsia="Times New Roman" w:cs="Arial"/>
                <w:b/>
                <w:sz w:val="20"/>
                <w:szCs w:val="20"/>
                <w:lang w:eastAsia="pt-BR"/>
              </w:rPr>
            </w:pPr>
            <w:r w:rsidRPr="003068A5">
              <w:rPr>
                <w:rFonts w:eastAsia="Times New Roman" w:cs="Arial"/>
                <w:b/>
                <w:sz w:val="20"/>
                <w:szCs w:val="20"/>
                <w:lang w:eastAsia="pt-BR"/>
              </w:rPr>
              <w:t>Regulação do setor</w:t>
            </w:r>
          </w:p>
          <w:p w:rsidR="003068A5" w:rsidRPr="003068A5" w:rsidRDefault="003068A5" w:rsidP="003068A5">
            <w:pPr>
              <w:tabs>
                <w:tab w:val="left" w:pos="127"/>
                <w:tab w:val="left" w:pos="269"/>
              </w:tabs>
              <w:autoSpaceDE w:val="0"/>
              <w:autoSpaceDN w:val="0"/>
              <w:adjustRightInd w:val="0"/>
              <w:spacing w:before="60" w:after="60" w:line="240" w:lineRule="auto"/>
              <w:ind w:left="127"/>
              <w:contextualSpacing/>
              <w:jc w:val="both"/>
              <w:rPr>
                <w:rFonts w:eastAsia="Times New Roman" w:cs="Arial"/>
                <w:sz w:val="20"/>
                <w:szCs w:val="20"/>
                <w:lang w:eastAsia="pt-BR"/>
              </w:rPr>
            </w:pPr>
            <w:r w:rsidRPr="003068A5">
              <w:rPr>
                <w:rFonts w:eastAsia="Times New Roman" w:cs="Arial"/>
                <w:sz w:val="20"/>
                <w:szCs w:val="20"/>
                <w:lang w:eastAsia="pt-BR"/>
              </w:rPr>
              <w:t>- O município conta com Conselho que tem potencial para servir de entidade reguladora dos serviços de saneamento: Conselho Municipal de Desenvolvimento Ambiental.</w:t>
            </w:r>
          </w:p>
          <w:p w:rsidR="003068A5" w:rsidRPr="003068A5" w:rsidRDefault="003068A5" w:rsidP="003068A5">
            <w:pPr>
              <w:tabs>
                <w:tab w:val="left" w:pos="127"/>
                <w:tab w:val="left" w:pos="269"/>
              </w:tabs>
              <w:autoSpaceDE w:val="0"/>
              <w:autoSpaceDN w:val="0"/>
              <w:adjustRightInd w:val="0"/>
              <w:spacing w:before="60" w:after="60" w:line="240" w:lineRule="auto"/>
              <w:ind w:left="127"/>
              <w:contextualSpacing/>
              <w:jc w:val="both"/>
              <w:rPr>
                <w:rFonts w:eastAsia="Times New Roman" w:cs="Arial"/>
                <w:sz w:val="20"/>
                <w:szCs w:val="20"/>
                <w:lang w:eastAsia="pt-BR"/>
              </w:rPr>
            </w:pPr>
            <w:r w:rsidRPr="003068A5">
              <w:rPr>
                <w:rFonts w:eastAsia="Times New Roman" w:cs="Arial"/>
                <w:sz w:val="20"/>
                <w:szCs w:val="20"/>
                <w:lang w:eastAsia="pt-BR"/>
              </w:rPr>
              <w:t xml:space="preserve"> </w:t>
            </w:r>
          </w:p>
          <w:p w:rsidR="003068A5" w:rsidRPr="003068A5" w:rsidRDefault="003068A5" w:rsidP="0066661F">
            <w:pPr>
              <w:numPr>
                <w:ilvl w:val="0"/>
                <w:numId w:val="43"/>
              </w:numPr>
              <w:tabs>
                <w:tab w:val="left" w:pos="127"/>
                <w:tab w:val="left" w:pos="269"/>
              </w:tabs>
              <w:autoSpaceDE w:val="0"/>
              <w:autoSpaceDN w:val="0"/>
              <w:adjustRightInd w:val="0"/>
              <w:spacing w:before="60" w:after="60" w:line="240" w:lineRule="auto"/>
              <w:ind w:left="127" w:hanging="127"/>
              <w:contextualSpacing/>
              <w:jc w:val="both"/>
              <w:rPr>
                <w:rFonts w:eastAsia="Times New Roman" w:cs="Arial"/>
                <w:b/>
                <w:sz w:val="20"/>
                <w:szCs w:val="20"/>
                <w:lang w:eastAsia="pt-BR"/>
              </w:rPr>
            </w:pPr>
            <w:r w:rsidRPr="003068A5">
              <w:rPr>
                <w:rFonts w:eastAsia="Times New Roman" w:cs="Arial"/>
                <w:b/>
                <w:sz w:val="20"/>
                <w:szCs w:val="20"/>
                <w:lang w:eastAsia="pt-BR"/>
              </w:rPr>
              <w:t>Regularização ambiental do setor</w:t>
            </w:r>
          </w:p>
          <w:p w:rsidR="003068A5" w:rsidRPr="003068A5" w:rsidRDefault="003068A5" w:rsidP="003068A5">
            <w:pPr>
              <w:tabs>
                <w:tab w:val="left" w:pos="127"/>
                <w:tab w:val="left" w:pos="269"/>
              </w:tabs>
              <w:autoSpaceDE w:val="0"/>
              <w:autoSpaceDN w:val="0"/>
              <w:adjustRightInd w:val="0"/>
              <w:spacing w:before="60" w:after="60" w:line="240" w:lineRule="auto"/>
              <w:ind w:left="127"/>
              <w:contextualSpacing/>
              <w:jc w:val="both"/>
              <w:rPr>
                <w:rFonts w:eastAsia="Times New Roman" w:cs="Arial"/>
                <w:sz w:val="20"/>
                <w:szCs w:val="20"/>
                <w:lang w:eastAsia="pt-BR"/>
              </w:rPr>
            </w:pPr>
            <w:r w:rsidRPr="003068A5">
              <w:rPr>
                <w:rFonts w:eastAsia="Times New Roman" w:cs="Arial"/>
                <w:sz w:val="20"/>
                <w:szCs w:val="20"/>
                <w:lang w:eastAsia="pt-BR"/>
              </w:rPr>
              <w:t>- O município possui captações subterrâneas outorgadas pelo órgão competente.</w:t>
            </w:r>
          </w:p>
          <w:p w:rsidR="003068A5" w:rsidRPr="003068A5" w:rsidRDefault="003068A5" w:rsidP="003068A5">
            <w:pPr>
              <w:tabs>
                <w:tab w:val="left" w:pos="127"/>
                <w:tab w:val="left" w:pos="269"/>
              </w:tabs>
              <w:autoSpaceDE w:val="0"/>
              <w:autoSpaceDN w:val="0"/>
              <w:adjustRightInd w:val="0"/>
              <w:spacing w:before="60" w:after="60" w:line="240" w:lineRule="auto"/>
              <w:ind w:left="127"/>
              <w:contextualSpacing/>
              <w:jc w:val="both"/>
              <w:rPr>
                <w:rFonts w:eastAsia="Times New Roman" w:cs="Arial"/>
                <w:sz w:val="20"/>
                <w:szCs w:val="20"/>
                <w:lang w:eastAsia="pt-BR"/>
              </w:rPr>
            </w:pPr>
          </w:p>
          <w:p w:rsidR="003068A5" w:rsidRPr="003068A5" w:rsidRDefault="003068A5" w:rsidP="003068A5">
            <w:pPr>
              <w:tabs>
                <w:tab w:val="left" w:pos="127"/>
                <w:tab w:val="left" w:pos="269"/>
              </w:tabs>
              <w:autoSpaceDE w:val="0"/>
              <w:autoSpaceDN w:val="0"/>
              <w:adjustRightInd w:val="0"/>
              <w:spacing w:before="60" w:after="60" w:line="240" w:lineRule="auto"/>
              <w:ind w:left="127"/>
              <w:contextualSpacing/>
              <w:jc w:val="both"/>
              <w:rPr>
                <w:rFonts w:eastAsia="Times New Roman" w:cs="Arial"/>
                <w:sz w:val="20"/>
                <w:szCs w:val="20"/>
                <w:lang w:eastAsia="pt-BR"/>
              </w:rPr>
            </w:pPr>
          </w:p>
          <w:p w:rsidR="003068A5" w:rsidRPr="003068A5" w:rsidRDefault="003068A5" w:rsidP="003068A5">
            <w:pPr>
              <w:tabs>
                <w:tab w:val="left" w:pos="127"/>
                <w:tab w:val="left" w:pos="269"/>
              </w:tabs>
              <w:autoSpaceDE w:val="0"/>
              <w:autoSpaceDN w:val="0"/>
              <w:adjustRightInd w:val="0"/>
              <w:spacing w:before="60" w:after="60" w:line="240" w:lineRule="auto"/>
              <w:ind w:left="127"/>
              <w:contextualSpacing/>
              <w:jc w:val="both"/>
              <w:rPr>
                <w:rFonts w:eastAsia="Times New Roman" w:cs="Arial"/>
                <w:sz w:val="20"/>
                <w:szCs w:val="20"/>
                <w:lang w:eastAsia="pt-BR"/>
              </w:rPr>
            </w:pPr>
          </w:p>
          <w:p w:rsidR="003068A5" w:rsidRPr="003068A5" w:rsidRDefault="003068A5" w:rsidP="003068A5">
            <w:pPr>
              <w:tabs>
                <w:tab w:val="left" w:pos="127"/>
                <w:tab w:val="left" w:pos="269"/>
              </w:tabs>
              <w:autoSpaceDE w:val="0"/>
              <w:autoSpaceDN w:val="0"/>
              <w:adjustRightInd w:val="0"/>
              <w:spacing w:before="60" w:after="60" w:line="240" w:lineRule="auto"/>
              <w:ind w:left="127"/>
              <w:contextualSpacing/>
              <w:jc w:val="both"/>
              <w:rPr>
                <w:rFonts w:eastAsia="Times New Roman" w:cs="Arial"/>
                <w:sz w:val="20"/>
                <w:szCs w:val="20"/>
                <w:lang w:eastAsia="pt-BR"/>
              </w:rPr>
            </w:pPr>
          </w:p>
          <w:p w:rsidR="003068A5" w:rsidRPr="003068A5" w:rsidRDefault="003068A5" w:rsidP="003068A5">
            <w:pPr>
              <w:tabs>
                <w:tab w:val="left" w:pos="127"/>
                <w:tab w:val="left" w:pos="269"/>
              </w:tabs>
              <w:autoSpaceDE w:val="0"/>
              <w:autoSpaceDN w:val="0"/>
              <w:adjustRightInd w:val="0"/>
              <w:spacing w:before="60" w:after="60" w:line="240" w:lineRule="auto"/>
              <w:ind w:left="127"/>
              <w:contextualSpacing/>
              <w:jc w:val="both"/>
              <w:rPr>
                <w:rFonts w:eastAsia="Times New Roman" w:cs="Arial"/>
                <w:sz w:val="20"/>
                <w:szCs w:val="20"/>
                <w:lang w:eastAsia="pt-BR"/>
              </w:rPr>
            </w:pPr>
          </w:p>
          <w:p w:rsidR="003068A5" w:rsidRPr="003068A5" w:rsidRDefault="003068A5" w:rsidP="0066661F">
            <w:pPr>
              <w:numPr>
                <w:ilvl w:val="0"/>
                <w:numId w:val="43"/>
              </w:numPr>
              <w:tabs>
                <w:tab w:val="left" w:pos="127"/>
                <w:tab w:val="left" w:pos="269"/>
              </w:tabs>
              <w:autoSpaceDE w:val="0"/>
              <w:autoSpaceDN w:val="0"/>
              <w:adjustRightInd w:val="0"/>
              <w:spacing w:before="60" w:after="60" w:line="240" w:lineRule="auto"/>
              <w:ind w:left="127" w:hanging="127"/>
              <w:contextualSpacing/>
              <w:jc w:val="both"/>
              <w:rPr>
                <w:rFonts w:eastAsia="Times New Roman" w:cs="Arial"/>
                <w:b/>
                <w:sz w:val="20"/>
                <w:szCs w:val="20"/>
                <w:lang w:eastAsia="pt-BR"/>
              </w:rPr>
            </w:pPr>
            <w:r w:rsidRPr="003068A5">
              <w:rPr>
                <w:rFonts w:eastAsia="Times New Roman" w:cs="Arial"/>
                <w:b/>
                <w:sz w:val="20"/>
                <w:szCs w:val="20"/>
                <w:lang w:eastAsia="pt-BR"/>
              </w:rPr>
              <w:lastRenderedPageBreak/>
              <w:t>Controle social</w:t>
            </w:r>
          </w:p>
          <w:p w:rsidR="003068A5" w:rsidRPr="003068A5" w:rsidRDefault="003068A5" w:rsidP="003068A5">
            <w:pPr>
              <w:tabs>
                <w:tab w:val="left" w:pos="127"/>
                <w:tab w:val="left" w:pos="269"/>
              </w:tabs>
              <w:autoSpaceDE w:val="0"/>
              <w:autoSpaceDN w:val="0"/>
              <w:adjustRightInd w:val="0"/>
              <w:spacing w:before="60" w:after="60" w:line="240" w:lineRule="auto"/>
              <w:ind w:left="127"/>
              <w:contextualSpacing/>
              <w:jc w:val="both"/>
              <w:rPr>
                <w:rFonts w:eastAsia="Times New Roman" w:cs="Arial"/>
                <w:sz w:val="20"/>
                <w:szCs w:val="20"/>
                <w:lang w:eastAsia="pt-BR"/>
              </w:rPr>
            </w:pPr>
            <w:r w:rsidRPr="003068A5">
              <w:rPr>
                <w:rFonts w:eastAsia="Times New Roman" w:cs="Arial"/>
                <w:sz w:val="20"/>
                <w:szCs w:val="20"/>
                <w:lang w:eastAsia="pt-BR"/>
              </w:rPr>
              <w:t xml:space="preserve">- O município conta com diversas associações que podem atuar aumentando na articulação das comunidades para fins de participação na política do saneamento básico. </w:t>
            </w:r>
          </w:p>
          <w:p w:rsidR="003068A5" w:rsidRPr="003068A5" w:rsidRDefault="003068A5" w:rsidP="003068A5">
            <w:pPr>
              <w:tabs>
                <w:tab w:val="left" w:pos="127"/>
                <w:tab w:val="left" w:pos="269"/>
              </w:tabs>
              <w:autoSpaceDE w:val="0"/>
              <w:autoSpaceDN w:val="0"/>
              <w:adjustRightInd w:val="0"/>
              <w:spacing w:before="60" w:after="60" w:line="240" w:lineRule="auto"/>
              <w:ind w:left="127"/>
              <w:contextualSpacing/>
              <w:jc w:val="both"/>
              <w:rPr>
                <w:rFonts w:eastAsia="Times New Roman" w:cs="Arial"/>
                <w:sz w:val="20"/>
                <w:szCs w:val="20"/>
                <w:lang w:eastAsia="pt-BR"/>
              </w:rPr>
            </w:pPr>
          </w:p>
          <w:p w:rsidR="003068A5" w:rsidRPr="003068A5" w:rsidRDefault="003068A5" w:rsidP="0066661F">
            <w:pPr>
              <w:numPr>
                <w:ilvl w:val="0"/>
                <w:numId w:val="43"/>
              </w:numPr>
              <w:tabs>
                <w:tab w:val="left" w:pos="127"/>
                <w:tab w:val="left" w:pos="269"/>
              </w:tabs>
              <w:autoSpaceDE w:val="0"/>
              <w:autoSpaceDN w:val="0"/>
              <w:adjustRightInd w:val="0"/>
              <w:spacing w:before="60" w:after="60" w:line="240" w:lineRule="auto"/>
              <w:ind w:left="127" w:hanging="127"/>
              <w:contextualSpacing/>
              <w:jc w:val="both"/>
              <w:rPr>
                <w:rFonts w:eastAsia="Times New Roman" w:cs="Arial"/>
                <w:b/>
                <w:sz w:val="20"/>
                <w:szCs w:val="20"/>
                <w:lang w:eastAsia="pt-BR"/>
              </w:rPr>
            </w:pPr>
            <w:r w:rsidRPr="003068A5">
              <w:rPr>
                <w:rFonts w:eastAsia="Times New Roman" w:cs="Arial"/>
                <w:b/>
                <w:sz w:val="20"/>
                <w:szCs w:val="20"/>
                <w:lang w:eastAsia="pt-BR"/>
              </w:rPr>
              <w:t>Situação do setor na educação pública local</w:t>
            </w:r>
          </w:p>
          <w:p w:rsidR="003068A5" w:rsidRPr="003068A5" w:rsidRDefault="003068A5" w:rsidP="003068A5">
            <w:pPr>
              <w:tabs>
                <w:tab w:val="left" w:pos="127"/>
                <w:tab w:val="left" w:pos="269"/>
              </w:tabs>
              <w:autoSpaceDE w:val="0"/>
              <w:autoSpaceDN w:val="0"/>
              <w:adjustRightInd w:val="0"/>
              <w:spacing w:before="60" w:after="60" w:line="240" w:lineRule="auto"/>
              <w:ind w:left="127"/>
              <w:contextualSpacing/>
              <w:jc w:val="both"/>
              <w:rPr>
                <w:rFonts w:eastAsia="Times New Roman" w:cs="Arial"/>
                <w:sz w:val="20"/>
                <w:szCs w:val="20"/>
                <w:lang w:eastAsia="pt-BR"/>
              </w:rPr>
            </w:pPr>
            <w:r w:rsidRPr="003068A5">
              <w:rPr>
                <w:rFonts w:eastAsia="Times New Roman" w:cs="Arial"/>
                <w:sz w:val="20"/>
                <w:szCs w:val="20"/>
                <w:lang w:eastAsia="pt-BR"/>
              </w:rPr>
              <w:t>- Existem iniciativas de conscientização ambiental em escolas públicas do município, além de parcerias com órgão de outros âmbitos administrativos, como o Instituto Estadual de Florestas.</w:t>
            </w:r>
          </w:p>
        </w:tc>
        <w:tc>
          <w:tcPr>
            <w:tcW w:w="0" w:type="auto"/>
            <w:vMerge w:val="restart"/>
            <w:tcBorders>
              <w:top w:val="single" w:sz="4" w:space="0" w:color="auto"/>
              <w:left w:val="single" w:sz="4" w:space="0" w:color="auto"/>
              <w:right w:val="single" w:sz="4" w:space="0" w:color="auto"/>
            </w:tcBorders>
            <w:shd w:val="clear" w:color="auto" w:fill="B8CCE4" w:themeFill="accent1" w:themeFillTint="66"/>
            <w:vAlign w:val="center"/>
          </w:tcPr>
          <w:p w:rsidR="003068A5" w:rsidRPr="003068A5" w:rsidRDefault="003068A5" w:rsidP="0066661F">
            <w:pPr>
              <w:numPr>
                <w:ilvl w:val="0"/>
                <w:numId w:val="42"/>
              </w:numPr>
              <w:autoSpaceDE w:val="0"/>
              <w:autoSpaceDN w:val="0"/>
              <w:adjustRightInd w:val="0"/>
              <w:spacing w:before="240" w:after="240"/>
              <w:ind w:left="459" w:hanging="283"/>
              <w:contextualSpacing/>
              <w:jc w:val="center"/>
              <w:rPr>
                <w:rFonts w:eastAsia="Times New Roman" w:cs="Arial"/>
                <w:b/>
                <w:sz w:val="20"/>
                <w:szCs w:val="20"/>
                <w:lang w:eastAsia="pt-BR"/>
              </w:rPr>
            </w:pPr>
            <w:r w:rsidRPr="003068A5">
              <w:rPr>
                <w:rFonts w:eastAsia="Times New Roman" w:cs="Arial"/>
                <w:b/>
                <w:sz w:val="20"/>
                <w:szCs w:val="20"/>
                <w:lang w:eastAsia="pt-BR"/>
              </w:rPr>
              <w:lastRenderedPageBreak/>
              <w:t>Perfil institucional</w:t>
            </w:r>
          </w:p>
          <w:p w:rsidR="003068A5" w:rsidRPr="003068A5" w:rsidRDefault="003068A5" w:rsidP="0066661F">
            <w:pPr>
              <w:numPr>
                <w:ilvl w:val="0"/>
                <w:numId w:val="42"/>
              </w:numPr>
              <w:autoSpaceDE w:val="0"/>
              <w:autoSpaceDN w:val="0"/>
              <w:adjustRightInd w:val="0"/>
              <w:spacing w:before="240" w:after="240"/>
              <w:ind w:left="459" w:hanging="283"/>
              <w:contextualSpacing/>
              <w:jc w:val="center"/>
              <w:rPr>
                <w:rFonts w:eastAsia="Times New Roman" w:cs="Arial"/>
                <w:b/>
                <w:sz w:val="20"/>
                <w:szCs w:val="20"/>
                <w:lang w:eastAsia="pt-BR"/>
              </w:rPr>
            </w:pPr>
            <w:r w:rsidRPr="003068A5">
              <w:rPr>
                <w:rFonts w:eastAsia="Times New Roman" w:cs="Arial"/>
                <w:b/>
                <w:sz w:val="20"/>
                <w:szCs w:val="20"/>
                <w:lang w:eastAsia="pt-BR"/>
              </w:rPr>
              <w:t>Atendimento da demanda</w:t>
            </w:r>
          </w:p>
          <w:p w:rsidR="003068A5" w:rsidRPr="003068A5" w:rsidRDefault="003068A5" w:rsidP="0066661F">
            <w:pPr>
              <w:numPr>
                <w:ilvl w:val="0"/>
                <w:numId w:val="42"/>
              </w:numPr>
              <w:autoSpaceDE w:val="0"/>
              <w:autoSpaceDN w:val="0"/>
              <w:adjustRightInd w:val="0"/>
              <w:spacing w:before="240" w:after="240"/>
              <w:ind w:left="459" w:hanging="283"/>
              <w:contextualSpacing/>
              <w:jc w:val="center"/>
              <w:rPr>
                <w:rFonts w:eastAsia="Times New Roman" w:cs="Arial"/>
                <w:b/>
                <w:sz w:val="20"/>
                <w:szCs w:val="20"/>
                <w:lang w:eastAsia="pt-BR"/>
              </w:rPr>
            </w:pPr>
            <w:r w:rsidRPr="003068A5">
              <w:rPr>
                <w:rFonts w:eastAsia="Times New Roman" w:cs="Arial"/>
                <w:b/>
                <w:sz w:val="20"/>
                <w:szCs w:val="20"/>
                <w:lang w:eastAsia="pt-BR"/>
              </w:rPr>
              <w:t>Sustentabilidade econômica</w:t>
            </w:r>
          </w:p>
          <w:p w:rsidR="003068A5" w:rsidRPr="003068A5" w:rsidRDefault="003068A5" w:rsidP="0066661F">
            <w:pPr>
              <w:numPr>
                <w:ilvl w:val="0"/>
                <w:numId w:val="42"/>
              </w:numPr>
              <w:autoSpaceDE w:val="0"/>
              <w:autoSpaceDN w:val="0"/>
              <w:adjustRightInd w:val="0"/>
              <w:spacing w:before="240" w:after="240"/>
              <w:ind w:left="459" w:hanging="283"/>
              <w:contextualSpacing/>
              <w:jc w:val="center"/>
              <w:rPr>
                <w:rFonts w:eastAsia="Times New Roman" w:cs="Arial"/>
                <w:b/>
                <w:sz w:val="20"/>
                <w:szCs w:val="20"/>
                <w:lang w:eastAsia="pt-BR"/>
              </w:rPr>
            </w:pPr>
            <w:r w:rsidRPr="003068A5">
              <w:rPr>
                <w:rFonts w:eastAsia="Times New Roman" w:cs="Arial"/>
                <w:b/>
                <w:sz w:val="20"/>
                <w:szCs w:val="20"/>
                <w:lang w:eastAsia="pt-BR"/>
              </w:rPr>
              <w:t>Regulação do setor</w:t>
            </w:r>
          </w:p>
          <w:p w:rsidR="003068A5" w:rsidRPr="003068A5" w:rsidRDefault="003068A5" w:rsidP="0066661F">
            <w:pPr>
              <w:numPr>
                <w:ilvl w:val="0"/>
                <w:numId w:val="42"/>
              </w:numPr>
              <w:autoSpaceDE w:val="0"/>
              <w:autoSpaceDN w:val="0"/>
              <w:adjustRightInd w:val="0"/>
              <w:spacing w:before="240" w:after="240"/>
              <w:ind w:left="459" w:hanging="283"/>
              <w:contextualSpacing/>
              <w:jc w:val="center"/>
              <w:rPr>
                <w:rFonts w:eastAsia="Times New Roman" w:cs="Arial"/>
                <w:b/>
                <w:sz w:val="20"/>
                <w:szCs w:val="20"/>
                <w:lang w:eastAsia="pt-BR"/>
              </w:rPr>
            </w:pPr>
            <w:r w:rsidRPr="003068A5">
              <w:rPr>
                <w:rFonts w:eastAsia="Times New Roman" w:cs="Arial"/>
                <w:b/>
                <w:sz w:val="20"/>
                <w:szCs w:val="20"/>
                <w:lang w:eastAsia="pt-BR"/>
              </w:rPr>
              <w:t>Regularização ambiental do setor</w:t>
            </w:r>
          </w:p>
          <w:p w:rsidR="003068A5" w:rsidRPr="003068A5" w:rsidRDefault="003068A5" w:rsidP="0066661F">
            <w:pPr>
              <w:numPr>
                <w:ilvl w:val="0"/>
                <w:numId w:val="42"/>
              </w:numPr>
              <w:autoSpaceDE w:val="0"/>
              <w:autoSpaceDN w:val="0"/>
              <w:adjustRightInd w:val="0"/>
              <w:spacing w:before="240" w:after="240"/>
              <w:ind w:left="459" w:hanging="283"/>
              <w:contextualSpacing/>
              <w:jc w:val="center"/>
              <w:rPr>
                <w:rFonts w:eastAsia="Times New Roman" w:cs="Arial"/>
                <w:b/>
                <w:sz w:val="20"/>
                <w:szCs w:val="20"/>
                <w:lang w:eastAsia="pt-BR"/>
              </w:rPr>
            </w:pPr>
            <w:r w:rsidRPr="003068A5">
              <w:rPr>
                <w:rFonts w:eastAsia="Times New Roman" w:cs="Arial"/>
                <w:b/>
                <w:sz w:val="20"/>
                <w:szCs w:val="20"/>
                <w:lang w:eastAsia="pt-BR"/>
              </w:rPr>
              <w:t>Controle social</w:t>
            </w:r>
          </w:p>
          <w:p w:rsidR="003068A5" w:rsidRPr="003068A5" w:rsidRDefault="003068A5" w:rsidP="0066661F">
            <w:pPr>
              <w:numPr>
                <w:ilvl w:val="0"/>
                <w:numId w:val="42"/>
              </w:numPr>
              <w:autoSpaceDE w:val="0"/>
              <w:autoSpaceDN w:val="0"/>
              <w:adjustRightInd w:val="0"/>
              <w:spacing w:before="240" w:after="240"/>
              <w:ind w:left="459" w:hanging="283"/>
              <w:contextualSpacing/>
              <w:jc w:val="center"/>
              <w:rPr>
                <w:rFonts w:eastAsia="Times New Roman" w:cs="Arial"/>
                <w:b/>
                <w:sz w:val="20"/>
                <w:szCs w:val="20"/>
                <w:lang w:eastAsia="pt-BR"/>
              </w:rPr>
            </w:pPr>
            <w:r w:rsidRPr="003068A5">
              <w:rPr>
                <w:rFonts w:eastAsia="Times New Roman" w:cs="Arial"/>
                <w:b/>
                <w:sz w:val="20"/>
                <w:szCs w:val="20"/>
                <w:lang w:eastAsia="pt-BR"/>
              </w:rPr>
              <w:t>Situação do setor na educação pública local</w:t>
            </w:r>
          </w:p>
        </w:tc>
        <w:tc>
          <w:tcPr>
            <w:tcW w:w="0" w:type="auto"/>
            <w:tcBorders>
              <w:top w:val="single" w:sz="4" w:space="0" w:color="auto"/>
              <w:left w:val="single" w:sz="4" w:space="0" w:color="auto"/>
              <w:bottom w:val="single" w:sz="4" w:space="0" w:color="auto"/>
              <w:right w:val="single" w:sz="4" w:space="0" w:color="auto"/>
            </w:tcBorders>
            <w:shd w:val="clear" w:color="auto" w:fill="B8CCE4" w:themeFill="accent1" w:themeFillTint="66"/>
          </w:tcPr>
          <w:p w:rsidR="003068A5" w:rsidRPr="003068A5" w:rsidRDefault="003068A5" w:rsidP="003068A5">
            <w:pPr>
              <w:autoSpaceDE w:val="0"/>
              <w:autoSpaceDN w:val="0"/>
              <w:adjustRightInd w:val="0"/>
              <w:spacing w:before="60" w:after="60" w:line="240" w:lineRule="auto"/>
              <w:jc w:val="center"/>
              <w:rPr>
                <w:rFonts w:cs="Arial"/>
                <w:b/>
                <w:sz w:val="20"/>
                <w:szCs w:val="20"/>
              </w:rPr>
            </w:pPr>
            <w:r w:rsidRPr="003068A5">
              <w:rPr>
                <w:rFonts w:cs="Arial"/>
                <w:b/>
                <w:sz w:val="20"/>
                <w:szCs w:val="20"/>
              </w:rPr>
              <w:t>FRAQUEZAS</w:t>
            </w:r>
          </w:p>
          <w:p w:rsidR="003068A5" w:rsidRPr="003068A5" w:rsidRDefault="003068A5" w:rsidP="0066661F">
            <w:pPr>
              <w:numPr>
                <w:ilvl w:val="0"/>
                <w:numId w:val="41"/>
              </w:numPr>
              <w:autoSpaceDE w:val="0"/>
              <w:autoSpaceDN w:val="0"/>
              <w:adjustRightInd w:val="0"/>
              <w:spacing w:before="60" w:after="60" w:line="240" w:lineRule="auto"/>
              <w:ind w:left="318" w:hanging="284"/>
              <w:contextualSpacing/>
              <w:jc w:val="both"/>
              <w:rPr>
                <w:rFonts w:eastAsia="Times New Roman" w:cs="Arial"/>
                <w:b/>
                <w:sz w:val="20"/>
                <w:szCs w:val="20"/>
                <w:lang w:eastAsia="pt-BR"/>
              </w:rPr>
            </w:pPr>
            <w:r w:rsidRPr="003068A5">
              <w:rPr>
                <w:rFonts w:eastAsia="Times New Roman" w:cs="Arial"/>
                <w:b/>
                <w:sz w:val="20"/>
                <w:szCs w:val="20"/>
                <w:lang w:eastAsia="pt-BR"/>
              </w:rPr>
              <w:t xml:space="preserve">Perfil institucional </w:t>
            </w:r>
          </w:p>
          <w:p w:rsidR="003068A5" w:rsidRPr="003068A5" w:rsidRDefault="003068A5" w:rsidP="003068A5">
            <w:pPr>
              <w:autoSpaceDE w:val="0"/>
              <w:autoSpaceDN w:val="0"/>
              <w:adjustRightInd w:val="0"/>
              <w:spacing w:before="60" w:after="60" w:line="240" w:lineRule="auto"/>
              <w:rPr>
                <w:rFonts w:cs="Arial"/>
                <w:sz w:val="20"/>
                <w:szCs w:val="20"/>
              </w:rPr>
            </w:pPr>
            <w:r w:rsidRPr="003068A5">
              <w:rPr>
                <w:rFonts w:cs="Arial"/>
                <w:sz w:val="20"/>
                <w:szCs w:val="20"/>
              </w:rPr>
              <w:t>- Não há um órgão na administração municipal que integre institucionalmente os quatro setores do saneamento básico.</w:t>
            </w:r>
          </w:p>
          <w:p w:rsidR="003068A5" w:rsidRPr="003068A5" w:rsidRDefault="003068A5" w:rsidP="003068A5">
            <w:pPr>
              <w:autoSpaceDE w:val="0"/>
              <w:autoSpaceDN w:val="0"/>
              <w:adjustRightInd w:val="0"/>
              <w:spacing w:before="60" w:after="60" w:line="240" w:lineRule="auto"/>
              <w:rPr>
                <w:rFonts w:cs="Arial"/>
                <w:sz w:val="20"/>
                <w:szCs w:val="20"/>
              </w:rPr>
            </w:pPr>
            <w:r w:rsidRPr="003068A5">
              <w:rPr>
                <w:rFonts w:cs="Arial"/>
                <w:sz w:val="20"/>
                <w:szCs w:val="20"/>
              </w:rPr>
              <w:t>- Falta planejamento no setor de saneamento, incluindo definição de atribuições responsabilidades e competências.</w:t>
            </w:r>
          </w:p>
          <w:p w:rsidR="003068A5" w:rsidRPr="003068A5" w:rsidRDefault="003068A5" w:rsidP="003068A5">
            <w:pPr>
              <w:autoSpaceDE w:val="0"/>
              <w:autoSpaceDN w:val="0"/>
              <w:adjustRightInd w:val="0"/>
              <w:spacing w:before="60" w:after="60" w:line="240" w:lineRule="auto"/>
              <w:rPr>
                <w:rFonts w:cs="Arial"/>
                <w:sz w:val="20"/>
                <w:szCs w:val="20"/>
              </w:rPr>
            </w:pPr>
            <w:r w:rsidRPr="003068A5">
              <w:rPr>
                <w:rFonts w:cs="Arial"/>
                <w:sz w:val="20"/>
                <w:szCs w:val="20"/>
              </w:rPr>
              <w:t>- Falta definição de ações de contingência.</w:t>
            </w:r>
          </w:p>
          <w:p w:rsidR="003068A5" w:rsidRPr="003068A5" w:rsidRDefault="003068A5" w:rsidP="003068A5">
            <w:pPr>
              <w:autoSpaceDE w:val="0"/>
              <w:autoSpaceDN w:val="0"/>
              <w:adjustRightInd w:val="0"/>
              <w:spacing w:before="60" w:after="60" w:line="240" w:lineRule="auto"/>
              <w:rPr>
                <w:rFonts w:cs="Arial"/>
                <w:sz w:val="20"/>
                <w:szCs w:val="20"/>
              </w:rPr>
            </w:pPr>
            <w:r w:rsidRPr="003068A5">
              <w:rPr>
                <w:rFonts w:cs="Arial"/>
                <w:sz w:val="20"/>
                <w:szCs w:val="20"/>
              </w:rPr>
              <w:t>- Faltam documentação e gestão do conhecimento.</w:t>
            </w:r>
          </w:p>
          <w:p w:rsidR="003068A5" w:rsidRPr="003068A5" w:rsidRDefault="003068A5" w:rsidP="003068A5">
            <w:pPr>
              <w:autoSpaceDE w:val="0"/>
              <w:autoSpaceDN w:val="0"/>
              <w:adjustRightInd w:val="0"/>
              <w:spacing w:before="60" w:after="60" w:line="240" w:lineRule="auto"/>
              <w:rPr>
                <w:rFonts w:cs="Arial"/>
                <w:sz w:val="20"/>
                <w:szCs w:val="20"/>
              </w:rPr>
            </w:pPr>
            <w:r w:rsidRPr="003068A5">
              <w:rPr>
                <w:rFonts w:cs="Arial"/>
                <w:sz w:val="20"/>
                <w:szCs w:val="20"/>
              </w:rPr>
              <w:t>- Falta monitoramento dos processos internos de cada sistema.</w:t>
            </w:r>
          </w:p>
          <w:p w:rsidR="003068A5" w:rsidRPr="003068A5" w:rsidRDefault="003068A5" w:rsidP="0066661F">
            <w:pPr>
              <w:numPr>
                <w:ilvl w:val="0"/>
                <w:numId w:val="41"/>
              </w:numPr>
              <w:autoSpaceDE w:val="0"/>
              <w:autoSpaceDN w:val="0"/>
              <w:adjustRightInd w:val="0"/>
              <w:spacing w:before="60" w:after="60" w:line="240" w:lineRule="auto"/>
              <w:ind w:left="318" w:hanging="284"/>
              <w:contextualSpacing/>
              <w:jc w:val="both"/>
              <w:rPr>
                <w:rFonts w:eastAsia="Times New Roman" w:cs="Arial"/>
                <w:b/>
                <w:sz w:val="20"/>
                <w:szCs w:val="20"/>
                <w:lang w:eastAsia="pt-BR"/>
              </w:rPr>
            </w:pPr>
            <w:r w:rsidRPr="003068A5">
              <w:rPr>
                <w:rFonts w:eastAsia="Times New Roman" w:cs="Arial"/>
                <w:b/>
                <w:sz w:val="20"/>
                <w:szCs w:val="20"/>
                <w:lang w:eastAsia="pt-BR"/>
              </w:rPr>
              <w:t>Atendimento da demanda</w:t>
            </w:r>
          </w:p>
          <w:p w:rsidR="003068A5" w:rsidRPr="003068A5" w:rsidRDefault="003068A5" w:rsidP="003068A5">
            <w:pPr>
              <w:autoSpaceDE w:val="0"/>
              <w:autoSpaceDN w:val="0"/>
              <w:adjustRightInd w:val="0"/>
              <w:spacing w:before="60" w:after="60" w:line="240" w:lineRule="auto"/>
              <w:ind w:left="34"/>
              <w:rPr>
                <w:rFonts w:cs="Arial"/>
                <w:sz w:val="20"/>
                <w:szCs w:val="20"/>
              </w:rPr>
            </w:pPr>
            <w:r w:rsidRPr="003068A5">
              <w:rPr>
                <w:rFonts w:cs="Arial"/>
                <w:sz w:val="20"/>
                <w:szCs w:val="20"/>
              </w:rPr>
              <w:t>- As comunidades rurais são desassistidas pelo Poder Público no setor do saneamento básico.</w:t>
            </w:r>
          </w:p>
          <w:p w:rsidR="003068A5" w:rsidRPr="003068A5" w:rsidRDefault="003068A5" w:rsidP="003068A5">
            <w:pPr>
              <w:autoSpaceDE w:val="0"/>
              <w:autoSpaceDN w:val="0"/>
              <w:adjustRightInd w:val="0"/>
              <w:spacing w:before="60" w:after="60" w:line="240" w:lineRule="auto"/>
              <w:ind w:left="34"/>
              <w:rPr>
                <w:rFonts w:cs="Arial"/>
                <w:sz w:val="20"/>
                <w:szCs w:val="20"/>
              </w:rPr>
            </w:pPr>
            <w:r w:rsidRPr="003068A5">
              <w:rPr>
                <w:rFonts w:cs="Arial"/>
                <w:sz w:val="20"/>
                <w:szCs w:val="20"/>
              </w:rPr>
              <w:t>- Falta de planejamento para expandir o atendimento à população, em especial nas áreas rurais.</w:t>
            </w:r>
          </w:p>
          <w:p w:rsidR="003068A5" w:rsidRPr="003068A5" w:rsidRDefault="003068A5" w:rsidP="0066661F">
            <w:pPr>
              <w:numPr>
                <w:ilvl w:val="0"/>
                <w:numId w:val="41"/>
              </w:numPr>
              <w:autoSpaceDE w:val="0"/>
              <w:autoSpaceDN w:val="0"/>
              <w:adjustRightInd w:val="0"/>
              <w:spacing w:before="60" w:after="60" w:line="240" w:lineRule="auto"/>
              <w:ind w:left="318" w:hanging="284"/>
              <w:contextualSpacing/>
              <w:jc w:val="both"/>
              <w:rPr>
                <w:rFonts w:eastAsia="Times New Roman" w:cs="Arial"/>
                <w:b/>
                <w:sz w:val="20"/>
                <w:szCs w:val="20"/>
                <w:lang w:eastAsia="pt-BR"/>
              </w:rPr>
            </w:pPr>
            <w:r w:rsidRPr="003068A5">
              <w:rPr>
                <w:rFonts w:eastAsia="Times New Roman" w:cs="Arial"/>
                <w:b/>
                <w:sz w:val="20"/>
                <w:szCs w:val="20"/>
                <w:lang w:eastAsia="pt-BR"/>
              </w:rPr>
              <w:t>Sustentabilidade econômica</w:t>
            </w:r>
          </w:p>
          <w:p w:rsidR="003068A5" w:rsidRPr="003068A5" w:rsidRDefault="003068A5" w:rsidP="003068A5">
            <w:pPr>
              <w:autoSpaceDE w:val="0"/>
              <w:autoSpaceDN w:val="0"/>
              <w:adjustRightInd w:val="0"/>
              <w:spacing w:before="60" w:after="60" w:line="240" w:lineRule="auto"/>
              <w:rPr>
                <w:rFonts w:cs="Arial"/>
                <w:sz w:val="20"/>
                <w:szCs w:val="20"/>
              </w:rPr>
            </w:pPr>
            <w:r w:rsidRPr="003068A5">
              <w:rPr>
                <w:rFonts w:cs="Arial"/>
                <w:sz w:val="20"/>
                <w:szCs w:val="20"/>
              </w:rPr>
              <w:t>- A prestação dos serviços de saneamento básico no município está financeiramente deficitária, não apresentando sustentabilidade econômica.</w:t>
            </w:r>
          </w:p>
          <w:p w:rsidR="003068A5" w:rsidRPr="003068A5" w:rsidRDefault="003068A5" w:rsidP="003068A5">
            <w:pPr>
              <w:autoSpaceDE w:val="0"/>
              <w:autoSpaceDN w:val="0"/>
              <w:adjustRightInd w:val="0"/>
              <w:spacing w:before="60" w:after="60" w:line="240" w:lineRule="auto"/>
              <w:rPr>
                <w:rFonts w:cs="Arial"/>
                <w:sz w:val="20"/>
                <w:szCs w:val="20"/>
              </w:rPr>
            </w:pPr>
            <w:r w:rsidRPr="003068A5">
              <w:rPr>
                <w:rFonts w:cs="Arial"/>
                <w:sz w:val="20"/>
                <w:szCs w:val="20"/>
              </w:rPr>
              <w:t xml:space="preserve">- Não existe monitoramento sistematizado dos custos do setor. </w:t>
            </w:r>
          </w:p>
          <w:p w:rsidR="003068A5" w:rsidRPr="003068A5" w:rsidRDefault="003068A5" w:rsidP="0066661F">
            <w:pPr>
              <w:numPr>
                <w:ilvl w:val="0"/>
                <w:numId w:val="41"/>
              </w:numPr>
              <w:autoSpaceDE w:val="0"/>
              <w:autoSpaceDN w:val="0"/>
              <w:adjustRightInd w:val="0"/>
              <w:spacing w:before="60" w:after="60" w:line="240" w:lineRule="auto"/>
              <w:ind w:left="318" w:hanging="284"/>
              <w:contextualSpacing/>
              <w:jc w:val="both"/>
              <w:rPr>
                <w:rFonts w:eastAsia="Times New Roman" w:cs="Arial"/>
                <w:b/>
                <w:sz w:val="20"/>
                <w:szCs w:val="20"/>
                <w:lang w:eastAsia="pt-BR"/>
              </w:rPr>
            </w:pPr>
            <w:r w:rsidRPr="003068A5">
              <w:rPr>
                <w:rFonts w:eastAsia="Times New Roman" w:cs="Arial"/>
                <w:b/>
                <w:sz w:val="20"/>
                <w:szCs w:val="20"/>
                <w:lang w:eastAsia="pt-BR"/>
              </w:rPr>
              <w:t>Regulação do setor</w:t>
            </w:r>
          </w:p>
          <w:p w:rsidR="003068A5" w:rsidRPr="003068A5" w:rsidRDefault="003068A5" w:rsidP="003068A5">
            <w:pPr>
              <w:autoSpaceDE w:val="0"/>
              <w:autoSpaceDN w:val="0"/>
              <w:adjustRightInd w:val="0"/>
              <w:spacing w:before="60" w:after="60" w:line="240" w:lineRule="auto"/>
              <w:rPr>
                <w:rFonts w:cs="Arial"/>
                <w:sz w:val="20"/>
                <w:szCs w:val="20"/>
              </w:rPr>
            </w:pPr>
            <w:r w:rsidRPr="003068A5">
              <w:rPr>
                <w:rFonts w:cs="Arial"/>
                <w:sz w:val="20"/>
                <w:szCs w:val="20"/>
              </w:rPr>
              <w:t>- Os serviços de saneamento básico não são submetidos a nenhum órgão regulador.</w:t>
            </w:r>
          </w:p>
          <w:p w:rsidR="003068A5" w:rsidRPr="003068A5" w:rsidRDefault="003068A5" w:rsidP="0066661F">
            <w:pPr>
              <w:numPr>
                <w:ilvl w:val="0"/>
                <w:numId w:val="41"/>
              </w:numPr>
              <w:autoSpaceDE w:val="0"/>
              <w:autoSpaceDN w:val="0"/>
              <w:adjustRightInd w:val="0"/>
              <w:spacing w:before="60" w:after="60" w:line="240" w:lineRule="auto"/>
              <w:ind w:left="318" w:hanging="284"/>
              <w:contextualSpacing/>
              <w:jc w:val="both"/>
              <w:rPr>
                <w:rFonts w:eastAsia="Times New Roman" w:cs="Arial"/>
                <w:b/>
                <w:sz w:val="20"/>
                <w:szCs w:val="20"/>
                <w:lang w:eastAsia="pt-BR"/>
              </w:rPr>
            </w:pPr>
            <w:r w:rsidRPr="003068A5">
              <w:rPr>
                <w:rFonts w:eastAsia="Times New Roman" w:cs="Arial"/>
                <w:b/>
                <w:sz w:val="20"/>
                <w:szCs w:val="20"/>
                <w:lang w:eastAsia="pt-BR"/>
              </w:rPr>
              <w:t>Regularização ambiental do setor</w:t>
            </w:r>
          </w:p>
          <w:p w:rsidR="003068A5" w:rsidRPr="003068A5" w:rsidRDefault="003068A5" w:rsidP="003068A5">
            <w:pPr>
              <w:autoSpaceDE w:val="0"/>
              <w:autoSpaceDN w:val="0"/>
              <w:adjustRightInd w:val="0"/>
              <w:spacing w:before="60" w:after="60" w:line="240" w:lineRule="auto"/>
              <w:rPr>
                <w:rFonts w:cs="Arial"/>
                <w:sz w:val="20"/>
                <w:szCs w:val="20"/>
              </w:rPr>
            </w:pPr>
            <w:r w:rsidRPr="003068A5">
              <w:rPr>
                <w:rFonts w:cs="Arial"/>
                <w:sz w:val="20"/>
                <w:szCs w:val="20"/>
              </w:rPr>
              <w:t xml:space="preserve">- A maioria dos processos passíveis de causar impacto ambiental realizados no setor do saneamento não possui licença ambiental. </w:t>
            </w:r>
          </w:p>
          <w:p w:rsidR="003068A5" w:rsidRPr="003068A5" w:rsidRDefault="003068A5" w:rsidP="0066661F">
            <w:pPr>
              <w:numPr>
                <w:ilvl w:val="0"/>
                <w:numId w:val="41"/>
              </w:numPr>
              <w:autoSpaceDE w:val="0"/>
              <w:autoSpaceDN w:val="0"/>
              <w:adjustRightInd w:val="0"/>
              <w:spacing w:before="60" w:after="60" w:line="240" w:lineRule="auto"/>
              <w:ind w:left="318" w:hanging="318"/>
              <w:contextualSpacing/>
              <w:jc w:val="both"/>
              <w:rPr>
                <w:rFonts w:eastAsia="Times New Roman" w:cs="Arial"/>
                <w:b/>
                <w:sz w:val="20"/>
                <w:szCs w:val="20"/>
                <w:lang w:eastAsia="pt-BR"/>
              </w:rPr>
            </w:pPr>
            <w:r w:rsidRPr="003068A5">
              <w:rPr>
                <w:rFonts w:eastAsia="Times New Roman" w:cs="Arial"/>
                <w:b/>
                <w:sz w:val="20"/>
                <w:szCs w:val="20"/>
                <w:lang w:eastAsia="pt-BR"/>
              </w:rPr>
              <w:t>Controle social</w:t>
            </w:r>
          </w:p>
          <w:p w:rsidR="003068A5" w:rsidRPr="003068A5" w:rsidRDefault="003068A5" w:rsidP="003068A5">
            <w:pPr>
              <w:autoSpaceDE w:val="0"/>
              <w:autoSpaceDN w:val="0"/>
              <w:adjustRightInd w:val="0"/>
              <w:spacing w:before="60" w:after="60" w:line="240" w:lineRule="auto"/>
              <w:rPr>
                <w:rFonts w:cs="Arial"/>
                <w:sz w:val="20"/>
                <w:szCs w:val="20"/>
              </w:rPr>
            </w:pPr>
            <w:r w:rsidRPr="003068A5">
              <w:rPr>
                <w:rFonts w:cs="Arial"/>
                <w:sz w:val="20"/>
                <w:szCs w:val="20"/>
              </w:rPr>
              <w:lastRenderedPageBreak/>
              <w:t xml:space="preserve">- Atualmente não há mecanismos implantados que garantam o acesso a informações e a participação da sociedade no planejamento ou na implementação de ações relacionadas à prestação de serviços de saneamento básico. </w:t>
            </w:r>
          </w:p>
          <w:p w:rsidR="003068A5" w:rsidRPr="003068A5" w:rsidRDefault="003068A5" w:rsidP="0066661F">
            <w:pPr>
              <w:numPr>
                <w:ilvl w:val="0"/>
                <w:numId w:val="41"/>
              </w:numPr>
              <w:autoSpaceDE w:val="0"/>
              <w:autoSpaceDN w:val="0"/>
              <w:adjustRightInd w:val="0"/>
              <w:spacing w:before="60" w:after="60" w:line="240" w:lineRule="auto"/>
              <w:ind w:left="318" w:hanging="284"/>
              <w:contextualSpacing/>
              <w:jc w:val="both"/>
              <w:rPr>
                <w:rFonts w:eastAsia="Times New Roman" w:cs="Arial"/>
                <w:b/>
                <w:sz w:val="20"/>
                <w:szCs w:val="20"/>
                <w:lang w:eastAsia="pt-BR"/>
              </w:rPr>
            </w:pPr>
            <w:r w:rsidRPr="003068A5">
              <w:rPr>
                <w:rFonts w:eastAsia="Times New Roman" w:cs="Arial"/>
                <w:b/>
                <w:sz w:val="20"/>
                <w:szCs w:val="20"/>
                <w:lang w:eastAsia="pt-BR"/>
              </w:rPr>
              <w:t>Situação do setor na educação pública local</w:t>
            </w:r>
          </w:p>
          <w:p w:rsidR="003068A5" w:rsidRPr="003068A5" w:rsidRDefault="003068A5" w:rsidP="003068A5">
            <w:pPr>
              <w:autoSpaceDE w:val="0"/>
              <w:autoSpaceDN w:val="0"/>
              <w:adjustRightInd w:val="0"/>
              <w:spacing w:before="60" w:after="60" w:line="240" w:lineRule="auto"/>
              <w:rPr>
                <w:rFonts w:cs="Arial"/>
                <w:sz w:val="20"/>
                <w:szCs w:val="20"/>
              </w:rPr>
            </w:pPr>
            <w:r w:rsidRPr="003068A5">
              <w:rPr>
                <w:rFonts w:cs="Arial"/>
                <w:sz w:val="20"/>
                <w:szCs w:val="20"/>
              </w:rPr>
              <w:t xml:space="preserve">- O sistema educacional local não possui disciplinas na grade oficial que tratem, com critérios pedagógicos, dos temas relacionados ao saneamento básico. </w:t>
            </w:r>
          </w:p>
        </w:tc>
      </w:tr>
      <w:tr w:rsidR="003068A5" w:rsidRPr="003068A5" w:rsidTr="003068A5">
        <w:trPr>
          <w:trHeight w:val="1895"/>
          <w:jc w:val="center"/>
        </w:trPr>
        <w:tc>
          <w:tcPr>
            <w:tcW w:w="0" w:type="auto"/>
            <w:tcBorders>
              <w:top w:val="single" w:sz="4" w:space="0" w:color="auto"/>
              <w:left w:val="single" w:sz="4" w:space="0" w:color="auto"/>
              <w:bottom w:val="single" w:sz="4" w:space="0" w:color="auto"/>
              <w:right w:val="single" w:sz="4" w:space="0" w:color="auto"/>
            </w:tcBorders>
            <w:shd w:val="clear" w:color="auto" w:fill="365F91"/>
            <w:vAlign w:val="center"/>
            <w:hideMark/>
          </w:tcPr>
          <w:p w:rsidR="003068A5" w:rsidRPr="003068A5" w:rsidRDefault="003068A5" w:rsidP="003068A5">
            <w:pPr>
              <w:autoSpaceDE w:val="0"/>
              <w:autoSpaceDN w:val="0"/>
              <w:adjustRightInd w:val="0"/>
              <w:spacing w:before="60" w:after="60" w:line="240" w:lineRule="auto"/>
              <w:jc w:val="center"/>
              <w:rPr>
                <w:rFonts w:cs="Arial"/>
                <w:b/>
                <w:color w:val="0070C0"/>
                <w:sz w:val="20"/>
                <w:szCs w:val="20"/>
              </w:rPr>
            </w:pPr>
            <w:r w:rsidRPr="003068A5">
              <w:rPr>
                <w:rFonts w:cs="Arial"/>
                <w:b/>
                <w:color w:val="FFFFFF" w:themeColor="background1"/>
                <w:sz w:val="20"/>
                <w:szCs w:val="20"/>
              </w:rPr>
              <w:lastRenderedPageBreak/>
              <w:t>Ambiente Externo</w:t>
            </w:r>
          </w:p>
        </w:tc>
        <w:tc>
          <w:tcPr>
            <w:tcW w:w="0" w:type="auto"/>
            <w:tcBorders>
              <w:top w:val="single" w:sz="4" w:space="0" w:color="auto"/>
              <w:left w:val="single" w:sz="4" w:space="0" w:color="auto"/>
              <w:bottom w:val="single" w:sz="4" w:space="0" w:color="auto"/>
              <w:right w:val="single" w:sz="4" w:space="0" w:color="auto"/>
            </w:tcBorders>
            <w:shd w:val="clear" w:color="auto" w:fill="B8CCE4" w:themeFill="accent1" w:themeFillTint="66"/>
          </w:tcPr>
          <w:p w:rsidR="003068A5" w:rsidRPr="003068A5" w:rsidRDefault="003068A5" w:rsidP="003068A5">
            <w:pPr>
              <w:autoSpaceDE w:val="0"/>
              <w:autoSpaceDN w:val="0"/>
              <w:adjustRightInd w:val="0"/>
              <w:spacing w:before="60" w:after="60" w:line="240" w:lineRule="auto"/>
              <w:jc w:val="center"/>
              <w:rPr>
                <w:rFonts w:cs="Arial"/>
                <w:b/>
                <w:sz w:val="20"/>
                <w:szCs w:val="20"/>
              </w:rPr>
            </w:pPr>
            <w:r w:rsidRPr="003068A5">
              <w:rPr>
                <w:rFonts w:cs="Arial"/>
                <w:b/>
                <w:sz w:val="20"/>
                <w:szCs w:val="20"/>
              </w:rPr>
              <w:t>OPORTUNIDADES</w:t>
            </w:r>
          </w:p>
          <w:p w:rsidR="003068A5" w:rsidRPr="003068A5" w:rsidRDefault="003068A5" w:rsidP="003068A5">
            <w:pPr>
              <w:autoSpaceDE w:val="0"/>
              <w:autoSpaceDN w:val="0"/>
              <w:adjustRightInd w:val="0"/>
              <w:spacing w:before="60" w:after="60" w:line="240" w:lineRule="auto"/>
              <w:jc w:val="both"/>
              <w:rPr>
                <w:rFonts w:cs="Arial"/>
                <w:b/>
                <w:sz w:val="20"/>
                <w:szCs w:val="20"/>
              </w:rPr>
            </w:pPr>
            <w:r w:rsidRPr="003068A5">
              <w:rPr>
                <w:rFonts w:cs="Arial"/>
                <w:b/>
                <w:sz w:val="20"/>
                <w:szCs w:val="20"/>
              </w:rPr>
              <w:t>1. Perfil Institucional</w:t>
            </w:r>
          </w:p>
          <w:p w:rsidR="003068A5" w:rsidRPr="003068A5" w:rsidRDefault="003068A5" w:rsidP="003068A5">
            <w:pPr>
              <w:autoSpaceDE w:val="0"/>
              <w:autoSpaceDN w:val="0"/>
              <w:adjustRightInd w:val="0"/>
              <w:spacing w:before="60" w:after="60" w:line="240" w:lineRule="auto"/>
              <w:jc w:val="both"/>
              <w:rPr>
                <w:rFonts w:cs="Arial"/>
                <w:sz w:val="20"/>
                <w:szCs w:val="20"/>
              </w:rPr>
            </w:pPr>
            <w:r w:rsidRPr="003068A5">
              <w:rPr>
                <w:rFonts w:cs="Arial"/>
                <w:sz w:val="20"/>
                <w:szCs w:val="20"/>
              </w:rPr>
              <w:t>- Legislação federal dispõe sobre necessidade de adequação do perfil institucional da gestão dos serviços de saneamento básico.</w:t>
            </w:r>
          </w:p>
          <w:p w:rsidR="003068A5" w:rsidRPr="003068A5" w:rsidRDefault="003068A5" w:rsidP="003068A5">
            <w:pPr>
              <w:autoSpaceDE w:val="0"/>
              <w:autoSpaceDN w:val="0"/>
              <w:adjustRightInd w:val="0"/>
              <w:spacing w:before="60" w:after="60" w:line="240" w:lineRule="auto"/>
              <w:jc w:val="both"/>
              <w:rPr>
                <w:rFonts w:cs="Arial"/>
                <w:b/>
                <w:sz w:val="20"/>
                <w:szCs w:val="20"/>
              </w:rPr>
            </w:pPr>
            <w:r w:rsidRPr="003068A5">
              <w:rPr>
                <w:rFonts w:cs="Arial"/>
                <w:b/>
                <w:sz w:val="20"/>
                <w:szCs w:val="20"/>
              </w:rPr>
              <w:t>3. Sustentabilidade econômica</w:t>
            </w:r>
          </w:p>
          <w:p w:rsidR="003068A5" w:rsidRPr="003068A5" w:rsidRDefault="003068A5" w:rsidP="003068A5">
            <w:pPr>
              <w:autoSpaceDE w:val="0"/>
              <w:autoSpaceDN w:val="0"/>
              <w:adjustRightInd w:val="0"/>
              <w:spacing w:before="60" w:after="60" w:line="240" w:lineRule="auto"/>
              <w:jc w:val="both"/>
              <w:rPr>
                <w:rFonts w:cs="Arial"/>
                <w:sz w:val="20"/>
                <w:szCs w:val="20"/>
              </w:rPr>
            </w:pPr>
            <w:r w:rsidRPr="003068A5">
              <w:rPr>
                <w:rFonts w:cs="Arial"/>
                <w:sz w:val="20"/>
                <w:szCs w:val="20"/>
              </w:rPr>
              <w:t>- Existe a possibilidade de investimentos no setor por parte da Samarco S.A., responsável pelo desastre da barragem do Fundão.</w:t>
            </w:r>
          </w:p>
        </w:tc>
        <w:tc>
          <w:tcPr>
            <w:tcW w:w="0" w:type="auto"/>
            <w:vMerge/>
            <w:tcBorders>
              <w:left w:val="single" w:sz="4" w:space="0" w:color="auto"/>
              <w:right w:val="single" w:sz="4" w:space="0" w:color="auto"/>
            </w:tcBorders>
            <w:shd w:val="clear" w:color="auto" w:fill="B8CCE4" w:themeFill="accent1" w:themeFillTint="66"/>
            <w:vAlign w:val="center"/>
          </w:tcPr>
          <w:p w:rsidR="003068A5" w:rsidRPr="003068A5" w:rsidRDefault="003068A5" w:rsidP="003068A5">
            <w:pPr>
              <w:autoSpaceDE w:val="0"/>
              <w:autoSpaceDN w:val="0"/>
              <w:adjustRightInd w:val="0"/>
              <w:spacing w:before="60" w:after="60" w:line="240" w:lineRule="auto"/>
              <w:jc w:val="both"/>
              <w:rPr>
                <w:rFonts w:cs="Arial"/>
                <w:b/>
                <w:sz w:val="20"/>
                <w:szCs w:val="20"/>
                <w:highlight w:val="yellow"/>
              </w:rPr>
            </w:pPr>
          </w:p>
        </w:tc>
        <w:tc>
          <w:tcPr>
            <w:tcW w:w="0" w:type="auto"/>
            <w:tcBorders>
              <w:top w:val="single" w:sz="4" w:space="0" w:color="auto"/>
              <w:left w:val="single" w:sz="4" w:space="0" w:color="auto"/>
              <w:bottom w:val="single" w:sz="4" w:space="0" w:color="auto"/>
              <w:right w:val="single" w:sz="4" w:space="0" w:color="auto"/>
            </w:tcBorders>
            <w:shd w:val="clear" w:color="auto" w:fill="B8CCE4" w:themeFill="accent1" w:themeFillTint="66"/>
          </w:tcPr>
          <w:p w:rsidR="003068A5" w:rsidRPr="003068A5" w:rsidRDefault="003068A5" w:rsidP="003068A5">
            <w:pPr>
              <w:autoSpaceDE w:val="0"/>
              <w:autoSpaceDN w:val="0"/>
              <w:adjustRightInd w:val="0"/>
              <w:spacing w:before="60" w:after="60" w:line="240" w:lineRule="auto"/>
              <w:jc w:val="center"/>
              <w:rPr>
                <w:rFonts w:cs="Arial"/>
                <w:b/>
                <w:sz w:val="20"/>
                <w:szCs w:val="20"/>
              </w:rPr>
            </w:pPr>
            <w:r w:rsidRPr="003068A5">
              <w:rPr>
                <w:rFonts w:cs="Arial"/>
                <w:b/>
                <w:sz w:val="20"/>
                <w:szCs w:val="20"/>
              </w:rPr>
              <w:t>AMEAÇAS</w:t>
            </w:r>
          </w:p>
          <w:p w:rsidR="003068A5" w:rsidRPr="003068A5" w:rsidRDefault="003068A5" w:rsidP="0066661F">
            <w:pPr>
              <w:numPr>
                <w:ilvl w:val="0"/>
                <w:numId w:val="44"/>
              </w:numPr>
              <w:autoSpaceDE w:val="0"/>
              <w:autoSpaceDN w:val="0"/>
              <w:adjustRightInd w:val="0"/>
              <w:spacing w:before="60" w:after="60" w:line="240" w:lineRule="auto"/>
              <w:ind w:left="176" w:hanging="176"/>
              <w:contextualSpacing/>
              <w:jc w:val="both"/>
              <w:rPr>
                <w:rFonts w:eastAsia="Times New Roman" w:cs="Arial"/>
                <w:b/>
                <w:sz w:val="20"/>
                <w:szCs w:val="20"/>
                <w:lang w:eastAsia="pt-BR"/>
              </w:rPr>
            </w:pPr>
            <w:r w:rsidRPr="003068A5">
              <w:rPr>
                <w:rFonts w:eastAsia="Times New Roman" w:cs="Arial"/>
                <w:b/>
                <w:sz w:val="20"/>
                <w:szCs w:val="20"/>
                <w:lang w:eastAsia="pt-BR"/>
              </w:rPr>
              <w:t>Perfil institucional</w:t>
            </w:r>
          </w:p>
          <w:p w:rsidR="003068A5" w:rsidRPr="003068A5" w:rsidRDefault="003068A5" w:rsidP="003068A5">
            <w:pPr>
              <w:autoSpaceDE w:val="0"/>
              <w:autoSpaceDN w:val="0"/>
              <w:adjustRightInd w:val="0"/>
              <w:spacing w:before="60" w:after="60" w:line="240" w:lineRule="auto"/>
              <w:jc w:val="both"/>
              <w:rPr>
                <w:rFonts w:cs="Arial"/>
                <w:sz w:val="20"/>
                <w:szCs w:val="20"/>
              </w:rPr>
            </w:pPr>
            <w:r w:rsidRPr="003068A5">
              <w:rPr>
                <w:rFonts w:cs="Arial"/>
                <w:sz w:val="20"/>
                <w:szCs w:val="20"/>
              </w:rPr>
              <w:t xml:space="preserve">- Falta de articulação entre as políticas setoriais do município. </w:t>
            </w:r>
          </w:p>
          <w:p w:rsidR="003068A5" w:rsidRPr="003068A5" w:rsidRDefault="003068A5" w:rsidP="003068A5">
            <w:pPr>
              <w:autoSpaceDE w:val="0"/>
              <w:autoSpaceDN w:val="0"/>
              <w:adjustRightInd w:val="0"/>
              <w:spacing w:before="60" w:after="60" w:line="240" w:lineRule="auto"/>
              <w:rPr>
                <w:rFonts w:cs="Arial"/>
                <w:b/>
                <w:sz w:val="20"/>
                <w:szCs w:val="20"/>
              </w:rPr>
            </w:pPr>
            <w:r w:rsidRPr="003068A5">
              <w:rPr>
                <w:rFonts w:cs="Arial"/>
                <w:b/>
                <w:sz w:val="20"/>
                <w:szCs w:val="20"/>
              </w:rPr>
              <w:t>3. Sustentabilidade econômica</w:t>
            </w:r>
          </w:p>
          <w:p w:rsidR="003068A5" w:rsidRPr="003068A5" w:rsidRDefault="003068A5" w:rsidP="003068A5">
            <w:pPr>
              <w:autoSpaceDE w:val="0"/>
              <w:autoSpaceDN w:val="0"/>
              <w:adjustRightInd w:val="0"/>
              <w:spacing w:before="60" w:after="60" w:line="240" w:lineRule="auto"/>
              <w:rPr>
                <w:rFonts w:cs="Arial"/>
                <w:sz w:val="20"/>
                <w:szCs w:val="20"/>
              </w:rPr>
            </w:pPr>
            <w:r w:rsidRPr="003068A5">
              <w:rPr>
                <w:rFonts w:cs="Arial"/>
                <w:sz w:val="20"/>
                <w:szCs w:val="20"/>
              </w:rPr>
              <w:t>- Forte dependência do município dos subsídios do Estado e da União para desempenhar seu papel administrativo.</w:t>
            </w:r>
          </w:p>
          <w:p w:rsidR="003068A5" w:rsidRPr="003068A5" w:rsidRDefault="003068A5" w:rsidP="003068A5">
            <w:pPr>
              <w:autoSpaceDE w:val="0"/>
              <w:autoSpaceDN w:val="0"/>
              <w:adjustRightInd w:val="0"/>
              <w:spacing w:before="60" w:after="60" w:line="240" w:lineRule="auto"/>
              <w:rPr>
                <w:rFonts w:cs="Arial"/>
                <w:sz w:val="20"/>
                <w:szCs w:val="20"/>
              </w:rPr>
            </w:pPr>
            <w:r w:rsidRPr="003068A5">
              <w:rPr>
                <w:rFonts w:cs="Arial"/>
                <w:sz w:val="20"/>
                <w:szCs w:val="20"/>
              </w:rPr>
              <w:t>- Resistência da população em relação à introdução de cobranças sobre a prestação dos serviços de saneamento.</w:t>
            </w:r>
          </w:p>
        </w:tc>
      </w:tr>
    </w:tbl>
    <w:p w:rsidR="003068A5" w:rsidRPr="003068A5" w:rsidRDefault="003068A5" w:rsidP="003068A5">
      <w:pPr>
        <w:spacing w:before="120" w:after="120"/>
        <w:contextualSpacing/>
        <w:jc w:val="center"/>
        <w:rPr>
          <w:rFonts w:eastAsia="Times New Roman" w:cs="Arial"/>
          <w:color w:val="0070C0"/>
          <w:sz w:val="22"/>
          <w:szCs w:val="24"/>
          <w:lang w:eastAsia="pt-BR"/>
        </w:rPr>
      </w:pPr>
      <w:r w:rsidRPr="003068A5">
        <w:rPr>
          <w:rFonts w:eastAsia="Times New Roman"/>
          <w:sz w:val="22"/>
          <w:lang w:eastAsia="pt-BR"/>
        </w:rPr>
        <w:t>Fonte: adaptado por SHS, 2017.</w:t>
      </w:r>
    </w:p>
    <w:p w:rsidR="003068A5" w:rsidRPr="003068A5" w:rsidRDefault="003068A5" w:rsidP="003068A5">
      <w:pPr>
        <w:spacing w:before="120" w:after="120"/>
        <w:ind w:firstLine="708"/>
        <w:contextualSpacing/>
        <w:jc w:val="both"/>
        <w:rPr>
          <w:rFonts w:cs="Arial"/>
          <w:color w:val="0070C0"/>
          <w:szCs w:val="24"/>
          <w:lang w:eastAsia="pt-BR"/>
        </w:rPr>
        <w:sectPr w:rsidR="003068A5" w:rsidRPr="003068A5" w:rsidSect="003068A5">
          <w:footerReference w:type="default" r:id="rId40"/>
          <w:pgSz w:w="16838" w:h="11906" w:orient="landscape"/>
          <w:pgMar w:top="1418" w:right="1134" w:bottom="1134" w:left="1134" w:header="709" w:footer="709" w:gutter="0"/>
          <w:cols w:space="708"/>
          <w:docGrid w:linePitch="360"/>
        </w:sectPr>
      </w:pPr>
    </w:p>
    <w:p w:rsidR="003068A5" w:rsidRPr="003068A5" w:rsidRDefault="003068A5" w:rsidP="003068A5">
      <w:pPr>
        <w:spacing w:before="120" w:after="120"/>
        <w:ind w:firstLine="708"/>
        <w:contextualSpacing/>
        <w:jc w:val="both"/>
        <w:rPr>
          <w:rFonts w:cs="Arial"/>
          <w:szCs w:val="24"/>
          <w:lang w:eastAsia="pt-BR"/>
        </w:rPr>
      </w:pPr>
      <w:bookmarkStart w:id="565" w:name="_Ref484091151"/>
      <w:bookmarkStart w:id="566" w:name="_Toc398040312"/>
      <w:bookmarkStart w:id="567" w:name="_Toc378691288"/>
      <w:bookmarkStart w:id="568" w:name="_Toc375230156"/>
      <w:bookmarkStart w:id="569" w:name="_Toc375213721"/>
      <w:bookmarkStart w:id="570" w:name="_Toc442196444"/>
      <w:r w:rsidRPr="003068A5">
        <w:rPr>
          <w:rFonts w:cs="Arial"/>
          <w:szCs w:val="24"/>
          <w:lang w:eastAsia="pt-BR"/>
        </w:rPr>
        <w:lastRenderedPageBreak/>
        <w:t xml:space="preserve">A partir da avaliação dos aspectos apresentados na Matriz SWOT, pode-se traçar imagens alternativas do futuro, considerando o horizonte de planejamento de vinte anos. Desta forma, foram construídos cenários para o sistema de saneamento básico de Córrego Novo, a saber, um cenário previsível e um cenário normativo. Entende-se por cenário previsível aquele que mostra uma evolução pouco expressiva das adequações do setor, conforme tem ocorrido historicamente. O cenário normativo, por sua vez, descreve uma organização setorial mais adequada às normas vigentes, de acordo com as propostas do PMSB. Os cenários assim configurados estão apresentados no </w:t>
      </w:r>
      <w:r w:rsidRPr="003068A5">
        <w:rPr>
          <w:rFonts w:cs="Arial"/>
          <w:szCs w:val="24"/>
          <w:lang w:eastAsia="pt-BR"/>
        </w:rPr>
        <w:fldChar w:fldCharType="begin"/>
      </w:r>
      <w:r w:rsidRPr="003068A5">
        <w:rPr>
          <w:rFonts w:cs="Arial"/>
          <w:szCs w:val="24"/>
          <w:lang w:eastAsia="pt-BR"/>
        </w:rPr>
        <w:instrText xml:space="preserve"> REF _Ref484420524 \h  \* MERGEFORMAT </w:instrText>
      </w:r>
      <w:r w:rsidRPr="003068A5">
        <w:rPr>
          <w:rFonts w:cs="Arial"/>
          <w:szCs w:val="24"/>
          <w:lang w:eastAsia="pt-BR"/>
        </w:rPr>
      </w:r>
      <w:r w:rsidRPr="003068A5">
        <w:rPr>
          <w:rFonts w:cs="Arial"/>
          <w:szCs w:val="24"/>
          <w:lang w:eastAsia="pt-BR"/>
        </w:rPr>
        <w:fldChar w:fldCharType="separate"/>
      </w:r>
      <w:r w:rsidR="001B481B" w:rsidRPr="001B481B">
        <w:rPr>
          <w:rFonts w:eastAsia="Times New Roman" w:cs="Arial"/>
          <w:bCs/>
          <w:szCs w:val="24"/>
          <w:lang w:val="x-none" w:eastAsia="x-none"/>
        </w:rPr>
        <w:t xml:space="preserve">Quadro </w:t>
      </w:r>
      <w:r w:rsidR="001B481B" w:rsidRPr="001B481B">
        <w:rPr>
          <w:rFonts w:eastAsia="Times New Roman" w:cs="Arial"/>
          <w:bCs/>
          <w:noProof/>
          <w:szCs w:val="24"/>
          <w:lang w:val="x-none" w:eastAsia="x-none"/>
        </w:rPr>
        <w:t>47</w:t>
      </w:r>
      <w:r w:rsidRPr="003068A5">
        <w:rPr>
          <w:rFonts w:cs="Arial"/>
          <w:szCs w:val="24"/>
          <w:lang w:eastAsia="pt-BR"/>
        </w:rPr>
        <w:fldChar w:fldCharType="end"/>
      </w:r>
      <w:r w:rsidRPr="003068A5">
        <w:rPr>
          <w:rFonts w:cs="Arial"/>
          <w:szCs w:val="24"/>
          <w:lang w:eastAsia="pt-BR"/>
        </w:rPr>
        <w:t>.</w:t>
      </w:r>
    </w:p>
    <w:p w:rsidR="003068A5" w:rsidRPr="003068A5" w:rsidRDefault="003068A5" w:rsidP="00810C89">
      <w:pPr>
        <w:pStyle w:val="Legenda"/>
      </w:pPr>
      <w:bookmarkStart w:id="571" w:name="_Ref484420524"/>
      <w:bookmarkStart w:id="572" w:name="_Toc484423914"/>
      <w:bookmarkStart w:id="573" w:name="_Toc484532476"/>
      <w:bookmarkStart w:id="574" w:name="_Toc498099250"/>
      <w:bookmarkStart w:id="575" w:name="_Toc509935824"/>
      <w:r w:rsidRPr="003068A5">
        <w:t xml:space="preserve">Quadro </w:t>
      </w:r>
      <w:r w:rsidR="000A1C78">
        <w:fldChar w:fldCharType="begin"/>
      </w:r>
      <w:r w:rsidR="000A1C78">
        <w:instrText xml:space="preserve"> SEQ Quadro \* ARABIC </w:instrText>
      </w:r>
      <w:r w:rsidR="000A1C78">
        <w:fldChar w:fldCharType="separate"/>
      </w:r>
      <w:r w:rsidR="001B481B">
        <w:rPr>
          <w:noProof/>
        </w:rPr>
        <w:t>47</w:t>
      </w:r>
      <w:r w:rsidR="000A1C78">
        <w:rPr>
          <w:noProof/>
        </w:rPr>
        <w:fldChar w:fldCharType="end"/>
      </w:r>
      <w:bookmarkEnd w:id="565"/>
      <w:bookmarkEnd w:id="571"/>
      <w:r w:rsidRPr="003068A5">
        <w:t xml:space="preserve"> - </w:t>
      </w:r>
      <w:bookmarkEnd w:id="566"/>
      <w:bookmarkEnd w:id="567"/>
      <w:bookmarkEnd w:id="568"/>
      <w:bookmarkEnd w:id="569"/>
      <w:bookmarkEnd w:id="570"/>
      <w:r w:rsidRPr="003068A5">
        <w:t xml:space="preserve">Descrição dos cenários previsível e normativo para o Sistema de Saneamento Básico Municipal de </w:t>
      </w:r>
      <w:bookmarkEnd w:id="572"/>
      <w:r w:rsidRPr="003068A5">
        <w:rPr>
          <w:lang w:eastAsia="pt-BR"/>
        </w:rPr>
        <w:t>Córrego Novo</w:t>
      </w:r>
      <w:bookmarkEnd w:id="573"/>
      <w:bookmarkEnd w:id="574"/>
      <w:bookmarkEnd w:id="5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41"/>
        <w:gridCol w:w="4629"/>
      </w:tblGrid>
      <w:tr w:rsidR="003068A5" w:rsidRPr="003068A5" w:rsidTr="003068A5">
        <w:trPr>
          <w:trHeight w:val="51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4F81BD"/>
            <w:hideMark/>
          </w:tcPr>
          <w:p w:rsidR="003068A5" w:rsidRPr="003068A5" w:rsidRDefault="003068A5" w:rsidP="003068A5">
            <w:pPr>
              <w:autoSpaceDE w:val="0"/>
              <w:autoSpaceDN w:val="0"/>
              <w:adjustRightInd w:val="0"/>
              <w:spacing w:line="240" w:lineRule="auto"/>
              <w:jc w:val="center"/>
              <w:rPr>
                <w:rFonts w:cs="Arial"/>
                <w:b/>
                <w:bCs/>
                <w:color w:val="FFFFFF" w:themeColor="background1"/>
                <w:sz w:val="20"/>
                <w:szCs w:val="20"/>
              </w:rPr>
            </w:pPr>
            <w:r w:rsidRPr="003068A5">
              <w:rPr>
                <w:rFonts w:cs="Arial"/>
                <w:b/>
                <w:bCs/>
                <w:color w:val="FFFFFF" w:themeColor="background1"/>
                <w:sz w:val="20"/>
                <w:szCs w:val="20"/>
              </w:rPr>
              <w:t>Cenário Previsível</w:t>
            </w:r>
          </w:p>
        </w:tc>
        <w:tc>
          <w:tcPr>
            <w:tcW w:w="0" w:type="auto"/>
            <w:tcBorders>
              <w:top w:val="single" w:sz="4" w:space="0" w:color="auto"/>
              <w:left w:val="single" w:sz="4" w:space="0" w:color="auto"/>
              <w:bottom w:val="single" w:sz="4" w:space="0" w:color="auto"/>
              <w:right w:val="single" w:sz="4" w:space="0" w:color="auto"/>
            </w:tcBorders>
            <w:shd w:val="clear" w:color="auto" w:fill="4F81BD"/>
            <w:hideMark/>
          </w:tcPr>
          <w:p w:rsidR="003068A5" w:rsidRPr="003068A5" w:rsidRDefault="003068A5" w:rsidP="003068A5">
            <w:pPr>
              <w:autoSpaceDE w:val="0"/>
              <w:autoSpaceDN w:val="0"/>
              <w:adjustRightInd w:val="0"/>
              <w:spacing w:line="240" w:lineRule="auto"/>
              <w:jc w:val="center"/>
              <w:rPr>
                <w:rFonts w:cs="Arial"/>
                <w:b/>
                <w:bCs/>
                <w:color w:val="FFFFFF" w:themeColor="background1"/>
                <w:sz w:val="20"/>
                <w:szCs w:val="20"/>
              </w:rPr>
            </w:pPr>
            <w:r w:rsidRPr="003068A5">
              <w:rPr>
                <w:rFonts w:cs="Arial"/>
                <w:b/>
                <w:bCs/>
                <w:color w:val="FFFFFF" w:themeColor="background1"/>
                <w:sz w:val="20"/>
                <w:szCs w:val="20"/>
              </w:rPr>
              <w:t>Cenário Normativo</w:t>
            </w:r>
          </w:p>
        </w:tc>
      </w:tr>
      <w:tr w:rsidR="003068A5" w:rsidRPr="003068A5" w:rsidTr="003068A5">
        <w:trPr>
          <w:trHeight w:val="510"/>
          <w:jc w:val="center"/>
        </w:trPr>
        <w:tc>
          <w:tcPr>
            <w:tcW w:w="0" w:type="auto"/>
            <w:tcBorders>
              <w:top w:val="single" w:sz="8" w:space="0" w:color="4F81BD"/>
              <w:left w:val="single" w:sz="8" w:space="0" w:color="4F81BD"/>
              <w:bottom w:val="single" w:sz="8" w:space="0" w:color="4F81BD"/>
              <w:right w:val="single" w:sz="4" w:space="0" w:color="auto"/>
            </w:tcBorders>
          </w:tcPr>
          <w:p w:rsidR="003068A5" w:rsidRPr="003068A5" w:rsidRDefault="003068A5" w:rsidP="003068A5">
            <w:pPr>
              <w:autoSpaceDE w:val="0"/>
              <w:autoSpaceDN w:val="0"/>
              <w:adjustRightInd w:val="0"/>
              <w:spacing w:line="240" w:lineRule="auto"/>
              <w:jc w:val="center"/>
              <w:rPr>
                <w:rFonts w:cs="Arial"/>
                <w:b/>
                <w:bCs/>
                <w:sz w:val="20"/>
                <w:szCs w:val="20"/>
              </w:rPr>
            </w:pPr>
            <w:r w:rsidRPr="003068A5">
              <w:rPr>
                <w:rFonts w:cs="Arial"/>
                <w:b/>
                <w:bCs/>
                <w:sz w:val="20"/>
                <w:szCs w:val="20"/>
              </w:rPr>
              <w:t>Perfil institucional</w:t>
            </w:r>
          </w:p>
          <w:p w:rsidR="003068A5" w:rsidRPr="003068A5" w:rsidRDefault="003068A5" w:rsidP="003068A5">
            <w:pPr>
              <w:autoSpaceDE w:val="0"/>
              <w:autoSpaceDN w:val="0"/>
              <w:adjustRightInd w:val="0"/>
              <w:spacing w:line="240" w:lineRule="auto"/>
              <w:jc w:val="both"/>
              <w:rPr>
                <w:rFonts w:cs="Arial"/>
                <w:b/>
                <w:bCs/>
                <w:sz w:val="20"/>
                <w:szCs w:val="20"/>
              </w:rPr>
            </w:pPr>
            <w:r w:rsidRPr="003068A5">
              <w:rPr>
                <w:rFonts w:cs="Arial"/>
                <w:bCs/>
                <w:sz w:val="20"/>
                <w:szCs w:val="20"/>
              </w:rPr>
              <w:t>Os serviços de saneamento básico são prestados por Secretarias Municipais diferentes, estando bem organizados em termos de definição de atribuições, competências e responsabilidades de caráter operacional dentro de cada uma delas, não apresentando, porém, atribuições claras em termos gerenciais e nem canais de articulação entre si.</w:t>
            </w:r>
          </w:p>
        </w:tc>
        <w:tc>
          <w:tcPr>
            <w:tcW w:w="0" w:type="auto"/>
            <w:tcBorders>
              <w:top w:val="single" w:sz="8" w:space="0" w:color="4F81BD"/>
              <w:left w:val="single" w:sz="4" w:space="0" w:color="auto"/>
              <w:bottom w:val="single" w:sz="8" w:space="0" w:color="4F81BD"/>
              <w:right w:val="single" w:sz="8" w:space="0" w:color="4F81BD"/>
            </w:tcBorders>
          </w:tcPr>
          <w:p w:rsidR="003068A5" w:rsidRPr="003068A5" w:rsidRDefault="003068A5" w:rsidP="003068A5">
            <w:pPr>
              <w:autoSpaceDE w:val="0"/>
              <w:autoSpaceDN w:val="0"/>
              <w:adjustRightInd w:val="0"/>
              <w:spacing w:line="240" w:lineRule="auto"/>
              <w:jc w:val="center"/>
              <w:rPr>
                <w:rFonts w:cs="Arial"/>
                <w:b/>
                <w:bCs/>
                <w:sz w:val="20"/>
                <w:szCs w:val="20"/>
              </w:rPr>
            </w:pPr>
            <w:r w:rsidRPr="003068A5">
              <w:rPr>
                <w:rFonts w:cs="Arial"/>
                <w:b/>
                <w:bCs/>
                <w:sz w:val="20"/>
                <w:szCs w:val="20"/>
              </w:rPr>
              <w:t>Perfil institucional</w:t>
            </w:r>
          </w:p>
          <w:p w:rsidR="003068A5" w:rsidRPr="003068A5" w:rsidRDefault="003068A5" w:rsidP="003068A5">
            <w:pPr>
              <w:autoSpaceDE w:val="0"/>
              <w:autoSpaceDN w:val="0"/>
              <w:adjustRightInd w:val="0"/>
              <w:spacing w:line="240" w:lineRule="auto"/>
              <w:jc w:val="both"/>
              <w:rPr>
                <w:rFonts w:cs="Arial"/>
                <w:b/>
                <w:sz w:val="20"/>
                <w:szCs w:val="20"/>
              </w:rPr>
            </w:pPr>
            <w:r w:rsidRPr="003068A5">
              <w:rPr>
                <w:rFonts w:cs="Arial"/>
                <w:sz w:val="20"/>
                <w:szCs w:val="20"/>
              </w:rPr>
              <w:t>O município possui um órgão capaz de monitorar o desenvolvimento dos quatro eixos do saneamento básico, mesmo que os serviços sejam prestados por Secretarias ou departamentos diversos na Prefeitura, por autarquias ou concessionárias.</w:t>
            </w:r>
          </w:p>
          <w:p w:rsidR="003068A5" w:rsidRPr="003068A5" w:rsidRDefault="003068A5" w:rsidP="003068A5">
            <w:pPr>
              <w:autoSpaceDE w:val="0"/>
              <w:autoSpaceDN w:val="0"/>
              <w:adjustRightInd w:val="0"/>
              <w:spacing w:line="240" w:lineRule="auto"/>
              <w:ind w:left="171"/>
              <w:contextualSpacing/>
              <w:jc w:val="both"/>
              <w:rPr>
                <w:rFonts w:eastAsia="Times New Roman" w:cs="Arial"/>
                <w:sz w:val="20"/>
                <w:szCs w:val="20"/>
                <w:lang w:eastAsia="pt-BR"/>
              </w:rPr>
            </w:pPr>
          </w:p>
        </w:tc>
      </w:tr>
      <w:tr w:rsidR="003068A5" w:rsidRPr="003068A5" w:rsidTr="003068A5">
        <w:trPr>
          <w:trHeight w:val="510"/>
          <w:jc w:val="center"/>
        </w:trPr>
        <w:tc>
          <w:tcPr>
            <w:tcW w:w="0" w:type="auto"/>
            <w:tcBorders>
              <w:top w:val="single" w:sz="4" w:space="0" w:color="auto"/>
              <w:left w:val="single" w:sz="4" w:space="0" w:color="auto"/>
              <w:bottom w:val="single" w:sz="4" w:space="0" w:color="auto"/>
              <w:right w:val="single" w:sz="4" w:space="0" w:color="auto"/>
            </w:tcBorders>
          </w:tcPr>
          <w:p w:rsidR="003068A5" w:rsidRPr="003068A5" w:rsidRDefault="003068A5" w:rsidP="003068A5">
            <w:pPr>
              <w:autoSpaceDE w:val="0"/>
              <w:autoSpaceDN w:val="0"/>
              <w:adjustRightInd w:val="0"/>
              <w:spacing w:line="240" w:lineRule="auto"/>
              <w:jc w:val="center"/>
              <w:rPr>
                <w:rFonts w:cs="Arial"/>
                <w:b/>
                <w:bCs/>
                <w:sz w:val="20"/>
                <w:szCs w:val="20"/>
              </w:rPr>
            </w:pPr>
            <w:r w:rsidRPr="003068A5">
              <w:rPr>
                <w:rFonts w:cs="Arial"/>
                <w:b/>
                <w:bCs/>
                <w:sz w:val="20"/>
                <w:szCs w:val="20"/>
              </w:rPr>
              <w:t>Atendimento da demanda</w:t>
            </w:r>
          </w:p>
          <w:p w:rsidR="003068A5" w:rsidRPr="003068A5" w:rsidRDefault="003068A5" w:rsidP="003068A5">
            <w:pPr>
              <w:autoSpaceDE w:val="0"/>
              <w:autoSpaceDN w:val="0"/>
              <w:adjustRightInd w:val="0"/>
              <w:spacing w:line="240" w:lineRule="auto"/>
              <w:jc w:val="both"/>
              <w:rPr>
                <w:rFonts w:cs="Arial"/>
                <w:b/>
                <w:bCs/>
                <w:sz w:val="20"/>
                <w:szCs w:val="20"/>
              </w:rPr>
            </w:pPr>
            <w:r w:rsidRPr="003068A5">
              <w:rPr>
                <w:rFonts w:cs="Arial"/>
                <w:bCs/>
                <w:sz w:val="20"/>
                <w:szCs w:val="20"/>
              </w:rPr>
              <w:t xml:space="preserve">Os serviços de saneamento básico ainda não conseguem atender plenamente à demanda municipal e continuam priorizando o atendimento das áreas urbanizadas em detrimento das áreas rurais do município. </w:t>
            </w:r>
          </w:p>
        </w:tc>
        <w:tc>
          <w:tcPr>
            <w:tcW w:w="0" w:type="auto"/>
            <w:tcBorders>
              <w:top w:val="single" w:sz="4" w:space="0" w:color="auto"/>
              <w:left w:val="single" w:sz="4" w:space="0" w:color="auto"/>
              <w:bottom w:val="single" w:sz="4" w:space="0" w:color="auto"/>
              <w:right w:val="single" w:sz="4" w:space="0" w:color="auto"/>
            </w:tcBorders>
          </w:tcPr>
          <w:p w:rsidR="003068A5" w:rsidRPr="003068A5" w:rsidRDefault="003068A5" w:rsidP="003068A5">
            <w:pPr>
              <w:autoSpaceDE w:val="0"/>
              <w:autoSpaceDN w:val="0"/>
              <w:adjustRightInd w:val="0"/>
              <w:spacing w:line="240" w:lineRule="auto"/>
              <w:jc w:val="center"/>
              <w:rPr>
                <w:rFonts w:cs="Arial"/>
                <w:b/>
                <w:bCs/>
                <w:sz w:val="20"/>
                <w:szCs w:val="20"/>
              </w:rPr>
            </w:pPr>
            <w:r w:rsidRPr="003068A5">
              <w:rPr>
                <w:rFonts w:cs="Arial"/>
                <w:b/>
                <w:bCs/>
                <w:sz w:val="20"/>
                <w:szCs w:val="20"/>
              </w:rPr>
              <w:t>Atendimento da demanda</w:t>
            </w:r>
          </w:p>
          <w:p w:rsidR="003068A5" w:rsidRPr="003068A5" w:rsidRDefault="003068A5" w:rsidP="003068A5">
            <w:pPr>
              <w:autoSpaceDE w:val="0"/>
              <w:autoSpaceDN w:val="0"/>
              <w:adjustRightInd w:val="0"/>
              <w:spacing w:line="240" w:lineRule="auto"/>
              <w:jc w:val="both"/>
              <w:rPr>
                <w:rFonts w:cs="Arial"/>
                <w:sz w:val="20"/>
                <w:szCs w:val="20"/>
              </w:rPr>
            </w:pPr>
            <w:r w:rsidRPr="003068A5">
              <w:rPr>
                <w:rFonts w:cs="Arial"/>
                <w:sz w:val="20"/>
                <w:szCs w:val="20"/>
              </w:rPr>
              <w:t xml:space="preserve">Serviços de saneamento básico acompanham a demanda urbana por serviços de saneamento e realiza o monitoramento da qualidade da água, dos lançamentos de esgotos, das áreas sujeitas a inundações e deslizamentos e do manejo de resíduos sólidos na área rural, deslocando equipes para ações corretivas quando necessário. </w:t>
            </w:r>
          </w:p>
        </w:tc>
      </w:tr>
      <w:tr w:rsidR="003068A5" w:rsidRPr="003068A5" w:rsidTr="003068A5">
        <w:trPr>
          <w:trHeight w:val="510"/>
          <w:jc w:val="center"/>
        </w:trPr>
        <w:tc>
          <w:tcPr>
            <w:tcW w:w="0" w:type="auto"/>
            <w:tcBorders>
              <w:top w:val="single" w:sz="8" w:space="0" w:color="4F81BD"/>
              <w:left w:val="single" w:sz="8" w:space="0" w:color="4F81BD"/>
              <w:bottom w:val="single" w:sz="8" w:space="0" w:color="4F81BD"/>
              <w:right w:val="single" w:sz="4" w:space="0" w:color="auto"/>
            </w:tcBorders>
            <w:hideMark/>
          </w:tcPr>
          <w:p w:rsidR="003068A5" w:rsidRPr="003068A5" w:rsidRDefault="003068A5" w:rsidP="003068A5">
            <w:pPr>
              <w:autoSpaceDE w:val="0"/>
              <w:autoSpaceDN w:val="0"/>
              <w:adjustRightInd w:val="0"/>
              <w:spacing w:line="240" w:lineRule="auto"/>
              <w:jc w:val="center"/>
              <w:rPr>
                <w:rFonts w:cs="Arial"/>
                <w:b/>
                <w:bCs/>
                <w:sz w:val="20"/>
                <w:szCs w:val="20"/>
              </w:rPr>
            </w:pPr>
            <w:r w:rsidRPr="003068A5">
              <w:rPr>
                <w:rFonts w:cs="Arial"/>
                <w:b/>
                <w:bCs/>
                <w:sz w:val="20"/>
                <w:szCs w:val="20"/>
              </w:rPr>
              <w:t>Gestão integrada</w:t>
            </w:r>
          </w:p>
          <w:p w:rsidR="003068A5" w:rsidRPr="003068A5" w:rsidRDefault="003068A5" w:rsidP="003068A5">
            <w:pPr>
              <w:autoSpaceDE w:val="0"/>
              <w:autoSpaceDN w:val="0"/>
              <w:adjustRightInd w:val="0"/>
              <w:spacing w:line="240" w:lineRule="auto"/>
              <w:jc w:val="both"/>
              <w:rPr>
                <w:bCs/>
                <w:sz w:val="20"/>
              </w:rPr>
            </w:pPr>
            <w:r w:rsidRPr="003068A5">
              <w:rPr>
                <w:bCs/>
                <w:sz w:val="20"/>
              </w:rPr>
              <w:t>Os serviços dos quatro setores estão sendo bem administrados em termos de rotinas operacionais.</w:t>
            </w:r>
          </w:p>
          <w:p w:rsidR="003068A5" w:rsidRPr="003068A5" w:rsidRDefault="003068A5" w:rsidP="003068A5">
            <w:pPr>
              <w:autoSpaceDE w:val="0"/>
              <w:autoSpaceDN w:val="0"/>
              <w:adjustRightInd w:val="0"/>
              <w:spacing w:line="240" w:lineRule="auto"/>
              <w:jc w:val="both"/>
              <w:rPr>
                <w:bCs/>
                <w:sz w:val="20"/>
              </w:rPr>
            </w:pPr>
            <w:r w:rsidRPr="003068A5">
              <w:rPr>
                <w:bCs/>
                <w:sz w:val="20"/>
              </w:rPr>
              <w:t>Não há procedimentos sistematizados para o registro de dados visando manter histórico das operações realizadas.</w:t>
            </w:r>
          </w:p>
          <w:p w:rsidR="003068A5" w:rsidRPr="003068A5" w:rsidRDefault="003068A5" w:rsidP="003068A5">
            <w:pPr>
              <w:autoSpaceDE w:val="0"/>
              <w:autoSpaceDN w:val="0"/>
              <w:adjustRightInd w:val="0"/>
              <w:spacing w:line="240" w:lineRule="auto"/>
              <w:jc w:val="both"/>
              <w:rPr>
                <w:bCs/>
                <w:sz w:val="20"/>
              </w:rPr>
            </w:pPr>
            <w:r w:rsidRPr="003068A5">
              <w:rPr>
                <w:bCs/>
                <w:sz w:val="20"/>
              </w:rPr>
              <w:t xml:space="preserve">As instalações recebem ações de manutenção corretiva, porém não são submetidas a rotinas de manutenção preventiva. </w:t>
            </w:r>
          </w:p>
          <w:p w:rsidR="003068A5" w:rsidRPr="003068A5" w:rsidRDefault="003068A5" w:rsidP="003068A5">
            <w:pPr>
              <w:autoSpaceDE w:val="0"/>
              <w:autoSpaceDN w:val="0"/>
              <w:adjustRightInd w:val="0"/>
              <w:spacing w:line="240" w:lineRule="auto"/>
              <w:jc w:val="both"/>
              <w:rPr>
                <w:bCs/>
                <w:sz w:val="20"/>
              </w:rPr>
            </w:pPr>
            <w:r w:rsidRPr="003068A5">
              <w:rPr>
                <w:bCs/>
                <w:sz w:val="20"/>
              </w:rPr>
              <w:t xml:space="preserve">Os setores dos quatro eixos monitoram alguns processos devido a exigências legais, além de manterem registros apenas de situações de emergência e contingência. </w:t>
            </w:r>
          </w:p>
          <w:p w:rsidR="003068A5" w:rsidRPr="003068A5" w:rsidRDefault="003068A5" w:rsidP="003068A5">
            <w:pPr>
              <w:autoSpaceDE w:val="0"/>
              <w:autoSpaceDN w:val="0"/>
              <w:adjustRightInd w:val="0"/>
              <w:spacing w:line="240" w:lineRule="auto"/>
              <w:jc w:val="both"/>
              <w:rPr>
                <w:bCs/>
                <w:sz w:val="20"/>
              </w:rPr>
            </w:pPr>
            <w:r w:rsidRPr="003068A5">
              <w:rPr>
                <w:bCs/>
                <w:sz w:val="20"/>
              </w:rPr>
              <w:t xml:space="preserve">Os planejamentos do setor são feitos para prazos curtos, visando, em geral, a duração de uma gestão administrativa. </w:t>
            </w:r>
          </w:p>
          <w:p w:rsidR="003068A5" w:rsidRPr="003068A5" w:rsidRDefault="003068A5" w:rsidP="003068A5">
            <w:pPr>
              <w:autoSpaceDE w:val="0"/>
              <w:autoSpaceDN w:val="0"/>
              <w:adjustRightInd w:val="0"/>
              <w:spacing w:line="240" w:lineRule="auto"/>
              <w:jc w:val="both"/>
              <w:rPr>
                <w:rFonts w:cs="Arial"/>
                <w:b/>
                <w:bCs/>
                <w:sz w:val="20"/>
                <w:szCs w:val="20"/>
              </w:rPr>
            </w:pPr>
          </w:p>
        </w:tc>
        <w:tc>
          <w:tcPr>
            <w:tcW w:w="0" w:type="auto"/>
            <w:tcBorders>
              <w:top w:val="single" w:sz="8" w:space="0" w:color="4F81BD"/>
              <w:left w:val="single" w:sz="4" w:space="0" w:color="auto"/>
              <w:bottom w:val="single" w:sz="8" w:space="0" w:color="4F81BD"/>
              <w:right w:val="single" w:sz="8" w:space="0" w:color="4F81BD"/>
            </w:tcBorders>
            <w:hideMark/>
          </w:tcPr>
          <w:p w:rsidR="003068A5" w:rsidRPr="003068A5" w:rsidRDefault="003068A5" w:rsidP="003068A5">
            <w:pPr>
              <w:autoSpaceDE w:val="0"/>
              <w:autoSpaceDN w:val="0"/>
              <w:adjustRightInd w:val="0"/>
              <w:spacing w:line="240" w:lineRule="auto"/>
              <w:jc w:val="center"/>
              <w:rPr>
                <w:rFonts w:cs="Arial"/>
                <w:b/>
                <w:sz w:val="20"/>
                <w:szCs w:val="20"/>
              </w:rPr>
            </w:pPr>
            <w:r w:rsidRPr="003068A5">
              <w:rPr>
                <w:rFonts w:cs="Arial"/>
                <w:b/>
                <w:sz w:val="20"/>
                <w:szCs w:val="20"/>
              </w:rPr>
              <w:t>Gestão integrada</w:t>
            </w:r>
          </w:p>
          <w:p w:rsidR="003068A5" w:rsidRPr="003068A5" w:rsidRDefault="003068A5" w:rsidP="003068A5">
            <w:pPr>
              <w:autoSpaceDE w:val="0"/>
              <w:autoSpaceDN w:val="0"/>
              <w:adjustRightInd w:val="0"/>
              <w:spacing w:line="240" w:lineRule="auto"/>
              <w:jc w:val="both"/>
              <w:rPr>
                <w:bCs/>
                <w:sz w:val="20"/>
              </w:rPr>
            </w:pPr>
            <w:r w:rsidRPr="003068A5">
              <w:rPr>
                <w:bCs/>
                <w:sz w:val="20"/>
              </w:rPr>
              <w:t xml:space="preserve">Os serviços dos quatro setores estão sendo bem administrados em termos de rotinas operacionais, incluindo ações de manutenção corretiva e preventiva. </w:t>
            </w:r>
          </w:p>
          <w:p w:rsidR="003068A5" w:rsidRPr="003068A5" w:rsidRDefault="003068A5" w:rsidP="003068A5">
            <w:pPr>
              <w:autoSpaceDE w:val="0"/>
              <w:autoSpaceDN w:val="0"/>
              <w:adjustRightInd w:val="0"/>
              <w:spacing w:line="240" w:lineRule="auto"/>
              <w:jc w:val="both"/>
              <w:rPr>
                <w:bCs/>
                <w:sz w:val="20"/>
              </w:rPr>
            </w:pPr>
            <w:r w:rsidRPr="003068A5">
              <w:rPr>
                <w:bCs/>
                <w:sz w:val="20"/>
              </w:rPr>
              <w:t>Há procedimentos sistematizados para o registro de dados visando manter histórico das operações realizadas, cujo objetivo é otimizar o planejamento e informar a população.</w:t>
            </w:r>
          </w:p>
          <w:p w:rsidR="003068A5" w:rsidRPr="003068A5" w:rsidRDefault="003068A5" w:rsidP="003068A5">
            <w:pPr>
              <w:autoSpaceDE w:val="0"/>
              <w:autoSpaceDN w:val="0"/>
              <w:adjustRightInd w:val="0"/>
              <w:spacing w:line="240" w:lineRule="auto"/>
              <w:jc w:val="both"/>
              <w:rPr>
                <w:bCs/>
                <w:sz w:val="20"/>
              </w:rPr>
            </w:pPr>
            <w:r w:rsidRPr="003068A5">
              <w:rPr>
                <w:bCs/>
                <w:sz w:val="20"/>
              </w:rPr>
              <w:t>Os principais processos inseridos nos quatro sistemas são monitorados através do acompanhamento de indicadores utilizados pelo SNIS e outros propostos pelos próprios gestores.</w:t>
            </w:r>
          </w:p>
          <w:p w:rsidR="003068A5" w:rsidRPr="003068A5" w:rsidRDefault="003068A5" w:rsidP="003068A5">
            <w:pPr>
              <w:autoSpaceDE w:val="0"/>
              <w:autoSpaceDN w:val="0"/>
              <w:adjustRightInd w:val="0"/>
              <w:spacing w:line="240" w:lineRule="auto"/>
              <w:jc w:val="both"/>
              <w:rPr>
                <w:sz w:val="20"/>
              </w:rPr>
            </w:pPr>
            <w:r w:rsidRPr="003068A5">
              <w:rPr>
                <w:bCs/>
                <w:sz w:val="20"/>
              </w:rPr>
              <w:t>Os quatro setores funcionam com planejamentos que, geralmente, adotam parâmetros de longo prazo para obras, e consideram prazos curtos e médios para outros procedimentos.</w:t>
            </w:r>
          </w:p>
        </w:tc>
      </w:tr>
      <w:tr w:rsidR="003068A5" w:rsidRPr="003068A5" w:rsidTr="003068A5">
        <w:trPr>
          <w:trHeight w:val="510"/>
          <w:jc w:val="center"/>
        </w:trPr>
        <w:tc>
          <w:tcPr>
            <w:tcW w:w="0" w:type="auto"/>
            <w:tcBorders>
              <w:top w:val="single" w:sz="4" w:space="0" w:color="auto"/>
              <w:left w:val="single" w:sz="4" w:space="0" w:color="auto"/>
              <w:bottom w:val="single" w:sz="4" w:space="0" w:color="auto"/>
              <w:right w:val="single" w:sz="4" w:space="0" w:color="auto"/>
            </w:tcBorders>
            <w:hideMark/>
          </w:tcPr>
          <w:p w:rsidR="003068A5" w:rsidRPr="003068A5" w:rsidRDefault="003068A5" w:rsidP="003068A5">
            <w:pPr>
              <w:autoSpaceDE w:val="0"/>
              <w:autoSpaceDN w:val="0"/>
              <w:adjustRightInd w:val="0"/>
              <w:spacing w:line="240" w:lineRule="auto"/>
              <w:jc w:val="center"/>
              <w:rPr>
                <w:rFonts w:cs="Arial"/>
                <w:b/>
                <w:bCs/>
                <w:sz w:val="20"/>
                <w:szCs w:val="20"/>
              </w:rPr>
            </w:pPr>
            <w:r w:rsidRPr="003068A5">
              <w:rPr>
                <w:rFonts w:cs="Arial"/>
                <w:b/>
                <w:bCs/>
                <w:sz w:val="20"/>
                <w:szCs w:val="20"/>
              </w:rPr>
              <w:lastRenderedPageBreak/>
              <w:t>Sustentabilidade econômica</w:t>
            </w:r>
          </w:p>
          <w:p w:rsidR="003068A5" w:rsidRPr="003068A5" w:rsidRDefault="003068A5" w:rsidP="003068A5">
            <w:pPr>
              <w:autoSpaceDE w:val="0"/>
              <w:autoSpaceDN w:val="0"/>
              <w:adjustRightInd w:val="0"/>
              <w:spacing w:line="240" w:lineRule="auto"/>
              <w:jc w:val="both"/>
              <w:rPr>
                <w:rFonts w:cs="Arial"/>
                <w:bCs/>
                <w:sz w:val="20"/>
                <w:szCs w:val="20"/>
              </w:rPr>
            </w:pPr>
            <w:r w:rsidRPr="003068A5">
              <w:rPr>
                <w:rFonts w:cs="Arial"/>
                <w:bCs/>
                <w:sz w:val="20"/>
                <w:szCs w:val="20"/>
              </w:rPr>
              <w:t>A prestação dos serviços de saneamento básico não apresenta equilíbrio econômico-financeiro, sendo que:</w:t>
            </w:r>
          </w:p>
          <w:p w:rsidR="003068A5" w:rsidRPr="003068A5" w:rsidRDefault="003068A5" w:rsidP="0066661F">
            <w:pPr>
              <w:numPr>
                <w:ilvl w:val="0"/>
                <w:numId w:val="31"/>
              </w:numPr>
              <w:spacing w:line="240" w:lineRule="atLeast"/>
              <w:ind w:left="714" w:hanging="357"/>
              <w:contextualSpacing/>
              <w:jc w:val="both"/>
              <w:rPr>
                <w:rFonts w:eastAsia="Times New Roman" w:cs="Arial"/>
                <w:sz w:val="20"/>
                <w:szCs w:val="20"/>
                <w:lang w:eastAsia="pt-BR"/>
              </w:rPr>
            </w:pPr>
            <w:r w:rsidRPr="003068A5">
              <w:rPr>
                <w:rFonts w:eastAsia="Times New Roman" w:cs="Arial"/>
                <w:sz w:val="20"/>
                <w:szCs w:val="20"/>
                <w:lang w:eastAsia="pt-BR"/>
              </w:rPr>
              <w:t>Nem todos os setores do saneamento básico prestam serviços remunerados através de taxas ou tarifas.</w:t>
            </w:r>
          </w:p>
          <w:p w:rsidR="003068A5" w:rsidRPr="003068A5" w:rsidRDefault="003068A5" w:rsidP="0066661F">
            <w:pPr>
              <w:numPr>
                <w:ilvl w:val="0"/>
                <w:numId w:val="31"/>
              </w:numPr>
              <w:spacing w:line="240" w:lineRule="atLeast"/>
              <w:ind w:left="714" w:hanging="357"/>
              <w:contextualSpacing/>
              <w:jc w:val="both"/>
              <w:rPr>
                <w:rFonts w:eastAsia="Times New Roman" w:cs="Arial"/>
                <w:sz w:val="20"/>
                <w:szCs w:val="20"/>
                <w:lang w:eastAsia="pt-BR"/>
              </w:rPr>
            </w:pPr>
            <w:r w:rsidRPr="003068A5">
              <w:rPr>
                <w:rFonts w:eastAsia="Times New Roman" w:cs="Arial"/>
                <w:sz w:val="20"/>
                <w:szCs w:val="20"/>
                <w:lang w:eastAsia="pt-BR"/>
              </w:rPr>
              <w:t>Há uma sistemática de reajustes de taxas e tarifas.</w:t>
            </w:r>
          </w:p>
          <w:p w:rsidR="003068A5" w:rsidRPr="003068A5" w:rsidRDefault="003068A5" w:rsidP="0066661F">
            <w:pPr>
              <w:numPr>
                <w:ilvl w:val="0"/>
                <w:numId w:val="31"/>
              </w:numPr>
              <w:autoSpaceDE w:val="0"/>
              <w:autoSpaceDN w:val="0"/>
              <w:adjustRightInd w:val="0"/>
              <w:spacing w:line="240" w:lineRule="auto"/>
              <w:ind w:left="714" w:hanging="357"/>
              <w:contextualSpacing/>
              <w:jc w:val="both"/>
              <w:rPr>
                <w:rFonts w:eastAsia="Times New Roman" w:cs="Arial"/>
                <w:b/>
                <w:bCs/>
                <w:sz w:val="20"/>
                <w:szCs w:val="20"/>
                <w:lang w:eastAsia="pt-BR"/>
              </w:rPr>
            </w:pPr>
            <w:r w:rsidRPr="003068A5">
              <w:rPr>
                <w:rFonts w:eastAsia="Times New Roman" w:cs="Arial"/>
                <w:sz w:val="20"/>
                <w:szCs w:val="20"/>
                <w:lang w:eastAsia="pt-BR"/>
              </w:rPr>
              <w:t>Ocorrem subsídios, porém esses não estão atrelados a uma política devidamente implementada.</w:t>
            </w:r>
          </w:p>
        </w:tc>
        <w:tc>
          <w:tcPr>
            <w:tcW w:w="0" w:type="auto"/>
            <w:tcBorders>
              <w:top w:val="single" w:sz="4" w:space="0" w:color="auto"/>
              <w:left w:val="single" w:sz="4" w:space="0" w:color="auto"/>
              <w:bottom w:val="single" w:sz="4" w:space="0" w:color="auto"/>
              <w:right w:val="single" w:sz="4" w:space="0" w:color="auto"/>
            </w:tcBorders>
            <w:hideMark/>
          </w:tcPr>
          <w:p w:rsidR="003068A5" w:rsidRPr="003068A5" w:rsidRDefault="003068A5" w:rsidP="003068A5">
            <w:pPr>
              <w:autoSpaceDE w:val="0"/>
              <w:autoSpaceDN w:val="0"/>
              <w:adjustRightInd w:val="0"/>
              <w:spacing w:line="240" w:lineRule="auto"/>
              <w:jc w:val="center"/>
              <w:rPr>
                <w:rFonts w:cs="Arial"/>
                <w:b/>
                <w:bCs/>
                <w:sz w:val="20"/>
                <w:szCs w:val="20"/>
              </w:rPr>
            </w:pPr>
            <w:r w:rsidRPr="003068A5">
              <w:rPr>
                <w:rFonts w:cs="Arial"/>
                <w:b/>
                <w:bCs/>
                <w:sz w:val="20"/>
                <w:szCs w:val="20"/>
              </w:rPr>
              <w:t>Sustentabilidade econômica</w:t>
            </w:r>
          </w:p>
          <w:p w:rsidR="003068A5" w:rsidRPr="003068A5" w:rsidRDefault="003068A5" w:rsidP="003068A5">
            <w:pPr>
              <w:autoSpaceDE w:val="0"/>
              <w:autoSpaceDN w:val="0"/>
              <w:adjustRightInd w:val="0"/>
              <w:spacing w:line="240" w:lineRule="auto"/>
              <w:jc w:val="both"/>
              <w:rPr>
                <w:rFonts w:eastAsia="Times New Roman" w:cs="Arial"/>
                <w:sz w:val="20"/>
                <w:szCs w:val="20"/>
                <w:lang w:eastAsia="pt-BR"/>
              </w:rPr>
            </w:pPr>
            <w:r w:rsidRPr="003068A5">
              <w:rPr>
                <w:rFonts w:eastAsia="Times New Roman" w:cs="Arial"/>
                <w:sz w:val="20"/>
                <w:szCs w:val="20"/>
                <w:lang w:eastAsia="pt-BR"/>
              </w:rPr>
              <w:t xml:space="preserve">A prestação dos serviços de saneamento básico </w:t>
            </w:r>
            <w:r w:rsidRPr="003068A5">
              <w:rPr>
                <w:rFonts w:cs="Arial"/>
                <w:sz w:val="20"/>
                <w:szCs w:val="20"/>
              </w:rPr>
              <w:t xml:space="preserve">apresenta </w:t>
            </w:r>
            <w:r w:rsidRPr="003068A5">
              <w:rPr>
                <w:rFonts w:eastAsia="Times New Roman" w:cs="Arial"/>
                <w:sz w:val="20"/>
                <w:szCs w:val="20"/>
                <w:lang w:eastAsia="pt-BR"/>
              </w:rPr>
              <w:t xml:space="preserve">equilíbrio econômico-financeiro e inclui: </w:t>
            </w:r>
          </w:p>
          <w:p w:rsidR="003068A5" w:rsidRPr="003068A5" w:rsidRDefault="003068A5" w:rsidP="0066661F">
            <w:pPr>
              <w:numPr>
                <w:ilvl w:val="0"/>
                <w:numId w:val="32"/>
              </w:numPr>
              <w:spacing w:line="240" w:lineRule="atLeast"/>
              <w:contextualSpacing/>
              <w:jc w:val="both"/>
              <w:rPr>
                <w:rFonts w:eastAsia="Times New Roman" w:cs="Arial"/>
                <w:sz w:val="20"/>
                <w:szCs w:val="20"/>
                <w:lang w:eastAsia="pt-BR"/>
              </w:rPr>
            </w:pPr>
            <w:r w:rsidRPr="003068A5">
              <w:rPr>
                <w:rFonts w:eastAsia="Times New Roman" w:cs="Arial"/>
                <w:sz w:val="20"/>
                <w:szCs w:val="20"/>
                <w:lang w:eastAsia="pt-BR"/>
              </w:rPr>
              <w:t>Um sistema de cobrança composto por taxas e tarifas.</w:t>
            </w:r>
          </w:p>
          <w:p w:rsidR="003068A5" w:rsidRPr="003068A5" w:rsidRDefault="003068A5" w:rsidP="0066661F">
            <w:pPr>
              <w:numPr>
                <w:ilvl w:val="0"/>
                <w:numId w:val="32"/>
              </w:numPr>
              <w:spacing w:line="240" w:lineRule="atLeast"/>
              <w:ind w:left="714" w:hanging="357"/>
              <w:contextualSpacing/>
              <w:jc w:val="both"/>
              <w:rPr>
                <w:rFonts w:eastAsia="Times New Roman" w:cs="Arial"/>
                <w:sz w:val="20"/>
                <w:szCs w:val="20"/>
                <w:lang w:eastAsia="pt-BR"/>
              </w:rPr>
            </w:pPr>
            <w:r w:rsidRPr="003068A5">
              <w:rPr>
                <w:rFonts w:eastAsia="Times New Roman" w:cs="Arial"/>
                <w:sz w:val="20"/>
                <w:szCs w:val="20"/>
                <w:lang w:eastAsia="pt-BR"/>
              </w:rPr>
              <w:t>Uma sistemática de reajustes e de revisões de taxas e tarifas.</w:t>
            </w:r>
          </w:p>
          <w:p w:rsidR="003068A5" w:rsidRPr="003068A5" w:rsidRDefault="003068A5" w:rsidP="0066661F">
            <w:pPr>
              <w:numPr>
                <w:ilvl w:val="0"/>
                <w:numId w:val="32"/>
              </w:numPr>
              <w:spacing w:line="240" w:lineRule="atLeast"/>
              <w:ind w:left="714" w:hanging="357"/>
              <w:contextualSpacing/>
              <w:jc w:val="both"/>
              <w:rPr>
                <w:rFonts w:eastAsia="Times New Roman" w:cs="Arial"/>
                <w:sz w:val="20"/>
                <w:szCs w:val="20"/>
                <w:lang w:eastAsia="pt-BR"/>
              </w:rPr>
            </w:pPr>
            <w:r w:rsidRPr="003068A5">
              <w:rPr>
                <w:rFonts w:eastAsia="Times New Roman" w:cs="Arial"/>
                <w:sz w:val="20"/>
                <w:szCs w:val="20"/>
                <w:lang w:eastAsia="pt-BR"/>
              </w:rPr>
              <w:t>Uma política de subsídios.</w:t>
            </w:r>
          </w:p>
          <w:p w:rsidR="003068A5" w:rsidRPr="003068A5" w:rsidRDefault="003068A5" w:rsidP="003068A5">
            <w:pPr>
              <w:autoSpaceDE w:val="0"/>
              <w:autoSpaceDN w:val="0"/>
              <w:adjustRightInd w:val="0"/>
              <w:spacing w:line="240" w:lineRule="auto"/>
              <w:jc w:val="both"/>
              <w:rPr>
                <w:rFonts w:cs="Arial"/>
                <w:sz w:val="20"/>
                <w:szCs w:val="20"/>
              </w:rPr>
            </w:pPr>
          </w:p>
        </w:tc>
      </w:tr>
      <w:tr w:rsidR="003068A5" w:rsidRPr="003068A5" w:rsidTr="003068A5">
        <w:trPr>
          <w:trHeight w:val="510"/>
          <w:jc w:val="center"/>
        </w:trPr>
        <w:tc>
          <w:tcPr>
            <w:tcW w:w="0" w:type="auto"/>
            <w:tcBorders>
              <w:top w:val="single" w:sz="4" w:space="0" w:color="auto"/>
              <w:left w:val="single" w:sz="4" w:space="0" w:color="auto"/>
              <w:bottom w:val="single" w:sz="4" w:space="0" w:color="auto"/>
              <w:right w:val="single" w:sz="4" w:space="0" w:color="auto"/>
            </w:tcBorders>
          </w:tcPr>
          <w:p w:rsidR="003068A5" w:rsidRPr="003068A5" w:rsidRDefault="003068A5" w:rsidP="003068A5">
            <w:pPr>
              <w:autoSpaceDE w:val="0"/>
              <w:autoSpaceDN w:val="0"/>
              <w:adjustRightInd w:val="0"/>
              <w:spacing w:line="240" w:lineRule="auto"/>
              <w:jc w:val="center"/>
              <w:rPr>
                <w:rFonts w:cs="Arial"/>
                <w:b/>
                <w:bCs/>
                <w:sz w:val="20"/>
                <w:szCs w:val="20"/>
              </w:rPr>
            </w:pPr>
            <w:r w:rsidRPr="003068A5">
              <w:rPr>
                <w:rFonts w:cs="Arial"/>
                <w:b/>
                <w:bCs/>
                <w:sz w:val="20"/>
                <w:szCs w:val="20"/>
              </w:rPr>
              <w:t>Regulação do setor</w:t>
            </w:r>
          </w:p>
          <w:p w:rsidR="003068A5" w:rsidRPr="003068A5" w:rsidRDefault="003068A5" w:rsidP="003068A5">
            <w:pPr>
              <w:autoSpaceDE w:val="0"/>
              <w:autoSpaceDN w:val="0"/>
              <w:adjustRightInd w:val="0"/>
              <w:spacing w:line="240" w:lineRule="auto"/>
              <w:jc w:val="both"/>
              <w:rPr>
                <w:rFonts w:cs="Arial"/>
                <w:bCs/>
                <w:sz w:val="20"/>
                <w:szCs w:val="20"/>
              </w:rPr>
            </w:pPr>
            <w:r w:rsidRPr="003068A5">
              <w:rPr>
                <w:rFonts w:cs="Arial"/>
                <w:bCs/>
                <w:sz w:val="20"/>
                <w:szCs w:val="20"/>
              </w:rPr>
              <w:t>Os setores de água e esgoto são remunerados através do pagamento de tarifas pelos usuários e obedecem a normas ditadas por uma Entidade Reguladora.</w:t>
            </w:r>
          </w:p>
          <w:p w:rsidR="003068A5" w:rsidRPr="003068A5" w:rsidRDefault="003068A5" w:rsidP="003068A5">
            <w:pPr>
              <w:autoSpaceDE w:val="0"/>
              <w:autoSpaceDN w:val="0"/>
              <w:adjustRightInd w:val="0"/>
              <w:spacing w:line="240" w:lineRule="auto"/>
              <w:jc w:val="both"/>
              <w:rPr>
                <w:rFonts w:cs="Arial"/>
                <w:bCs/>
                <w:sz w:val="20"/>
                <w:szCs w:val="20"/>
              </w:rPr>
            </w:pPr>
            <w:r w:rsidRPr="003068A5">
              <w:rPr>
                <w:rFonts w:cs="Arial"/>
                <w:bCs/>
                <w:sz w:val="20"/>
                <w:szCs w:val="20"/>
              </w:rPr>
              <w:t>Nenhum outro procedimento é regulado ou fiscalizado por essa entidade.</w:t>
            </w:r>
          </w:p>
        </w:tc>
        <w:tc>
          <w:tcPr>
            <w:tcW w:w="0" w:type="auto"/>
            <w:tcBorders>
              <w:top w:val="single" w:sz="4" w:space="0" w:color="auto"/>
              <w:left w:val="single" w:sz="4" w:space="0" w:color="auto"/>
              <w:bottom w:val="single" w:sz="4" w:space="0" w:color="auto"/>
              <w:right w:val="single" w:sz="4" w:space="0" w:color="auto"/>
            </w:tcBorders>
          </w:tcPr>
          <w:p w:rsidR="003068A5" w:rsidRPr="003068A5" w:rsidRDefault="003068A5" w:rsidP="003068A5">
            <w:pPr>
              <w:autoSpaceDE w:val="0"/>
              <w:autoSpaceDN w:val="0"/>
              <w:adjustRightInd w:val="0"/>
              <w:spacing w:line="240" w:lineRule="auto"/>
              <w:jc w:val="center"/>
              <w:rPr>
                <w:rFonts w:cs="Arial"/>
                <w:b/>
                <w:bCs/>
                <w:sz w:val="20"/>
                <w:szCs w:val="20"/>
              </w:rPr>
            </w:pPr>
            <w:r w:rsidRPr="003068A5">
              <w:rPr>
                <w:rFonts w:cs="Arial"/>
                <w:b/>
                <w:bCs/>
                <w:sz w:val="20"/>
                <w:szCs w:val="20"/>
              </w:rPr>
              <w:t>Regulação do setor</w:t>
            </w:r>
          </w:p>
          <w:p w:rsidR="003068A5" w:rsidRPr="003068A5" w:rsidRDefault="003068A5" w:rsidP="003068A5">
            <w:pPr>
              <w:autoSpaceDE w:val="0"/>
              <w:autoSpaceDN w:val="0"/>
              <w:adjustRightInd w:val="0"/>
              <w:spacing w:line="240" w:lineRule="auto"/>
              <w:jc w:val="both"/>
              <w:rPr>
                <w:rFonts w:cs="Arial"/>
                <w:bCs/>
                <w:sz w:val="20"/>
                <w:szCs w:val="20"/>
              </w:rPr>
            </w:pPr>
            <w:r w:rsidRPr="003068A5">
              <w:rPr>
                <w:rFonts w:cs="Arial"/>
                <w:bCs/>
                <w:sz w:val="20"/>
                <w:szCs w:val="20"/>
              </w:rPr>
              <w:t>Os serviços de saneamento básico são submetidos a uma Entidade Reguladora, que é encarregada de:</w:t>
            </w:r>
          </w:p>
          <w:p w:rsidR="003068A5" w:rsidRPr="003068A5" w:rsidRDefault="003068A5" w:rsidP="003068A5">
            <w:pPr>
              <w:autoSpaceDE w:val="0"/>
              <w:autoSpaceDN w:val="0"/>
              <w:adjustRightInd w:val="0"/>
              <w:spacing w:line="240" w:lineRule="auto"/>
              <w:jc w:val="both"/>
              <w:rPr>
                <w:rFonts w:cs="Arial"/>
                <w:sz w:val="20"/>
                <w:szCs w:val="20"/>
              </w:rPr>
            </w:pPr>
            <w:r w:rsidRPr="003068A5">
              <w:rPr>
                <w:rFonts w:cs="Arial"/>
                <w:sz w:val="20"/>
                <w:szCs w:val="20"/>
              </w:rPr>
              <w:t>- D</w:t>
            </w:r>
            <w:r w:rsidRPr="003068A5">
              <w:rPr>
                <w:rFonts w:cs="Arial"/>
                <w:bCs/>
                <w:sz w:val="20"/>
                <w:szCs w:val="20"/>
              </w:rPr>
              <w:t>efinir a</w:t>
            </w:r>
            <w:r w:rsidRPr="003068A5">
              <w:rPr>
                <w:rFonts w:cs="Arial"/>
                <w:sz w:val="20"/>
                <w:szCs w:val="20"/>
              </w:rPr>
              <w:t>s normas relativas às tarifas e aos subsídios.</w:t>
            </w:r>
          </w:p>
          <w:p w:rsidR="003068A5" w:rsidRPr="003068A5" w:rsidRDefault="003068A5" w:rsidP="003068A5">
            <w:pPr>
              <w:autoSpaceDE w:val="0"/>
              <w:autoSpaceDN w:val="0"/>
              <w:adjustRightInd w:val="0"/>
              <w:spacing w:line="240" w:lineRule="auto"/>
              <w:jc w:val="both"/>
              <w:rPr>
                <w:rFonts w:cs="Arial"/>
                <w:sz w:val="20"/>
                <w:szCs w:val="20"/>
              </w:rPr>
            </w:pPr>
            <w:r w:rsidRPr="003068A5">
              <w:rPr>
                <w:rFonts w:cs="Arial"/>
                <w:sz w:val="20"/>
                <w:szCs w:val="20"/>
              </w:rPr>
              <w:t>- Definir os mecanismos de pagamento relativos à inadimplência dos usuários, perdas comerciais e físicas, entre outros casos determinados pelo regulador.</w:t>
            </w:r>
          </w:p>
          <w:p w:rsidR="003068A5" w:rsidRPr="003068A5" w:rsidRDefault="003068A5" w:rsidP="003068A5">
            <w:pPr>
              <w:autoSpaceDE w:val="0"/>
              <w:autoSpaceDN w:val="0"/>
              <w:adjustRightInd w:val="0"/>
              <w:spacing w:line="240" w:lineRule="auto"/>
              <w:jc w:val="both"/>
              <w:rPr>
                <w:rFonts w:cs="Arial"/>
                <w:sz w:val="20"/>
                <w:szCs w:val="20"/>
              </w:rPr>
            </w:pPr>
            <w:r w:rsidRPr="003068A5">
              <w:rPr>
                <w:rFonts w:cs="Arial"/>
                <w:sz w:val="20"/>
                <w:szCs w:val="20"/>
              </w:rPr>
              <w:t>- Fiscalizar a qualidade, quantidade e regularidade da prestação dos serviços.</w:t>
            </w:r>
          </w:p>
        </w:tc>
      </w:tr>
      <w:tr w:rsidR="003068A5" w:rsidRPr="003068A5" w:rsidTr="003068A5">
        <w:trPr>
          <w:trHeight w:val="510"/>
          <w:jc w:val="center"/>
        </w:trPr>
        <w:tc>
          <w:tcPr>
            <w:tcW w:w="0" w:type="auto"/>
            <w:tcBorders>
              <w:top w:val="single" w:sz="4" w:space="0" w:color="auto"/>
              <w:left w:val="single" w:sz="4" w:space="0" w:color="auto"/>
              <w:bottom w:val="single" w:sz="4" w:space="0" w:color="auto"/>
              <w:right w:val="single" w:sz="4" w:space="0" w:color="auto"/>
            </w:tcBorders>
          </w:tcPr>
          <w:p w:rsidR="003068A5" w:rsidRPr="003068A5" w:rsidRDefault="003068A5" w:rsidP="003068A5">
            <w:pPr>
              <w:autoSpaceDE w:val="0"/>
              <w:autoSpaceDN w:val="0"/>
              <w:adjustRightInd w:val="0"/>
              <w:spacing w:line="240" w:lineRule="auto"/>
              <w:jc w:val="center"/>
              <w:rPr>
                <w:rFonts w:cs="Arial"/>
                <w:b/>
                <w:bCs/>
                <w:sz w:val="20"/>
                <w:szCs w:val="20"/>
              </w:rPr>
            </w:pPr>
            <w:r w:rsidRPr="003068A5">
              <w:rPr>
                <w:rFonts w:cs="Arial"/>
                <w:b/>
                <w:bCs/>
                <w:sz w:val="20"/>
                <w:szCs w:val="20"/>
              </w:rPr>
              <w:t>Regularização ambiental</w:t>
            </w:r>
          </w:p>
          <w:p w:rsidR="003068A5" w:rsidRPr="003068A5" w:rsidRDefault="003068A5" w:rsidP="003068A5">
            <w:pPr>
              <w:autoSpaceDE w:val="0"/>
              <w:autoSpaceDN w:val="0"/>
              <w:adjustRightInd w:val="0"/>
              <w:spacing w:line="240" w:lineRule="auto"/>
              <w:jc w:val="both"/>
              <w:rPr>
                <w:rFonts w:cs="Arial"/>
                <w:b/>
                <w:bCs/>
                <w:sz w:val="20"/>
                <w:szCs w:val="20"/>
              </w:rPr>
            </w:pPr>
            <w:r w:rsidRPr="003068A5">
              <w:rPr>
                <w:rFonts w:cs="Arial"/>
                <w:bCs/>
                <w:sz w:val="20"/>
                <w:szCs w:val="20"/>
              </w:rPr>
              <w:t xml:space="preserve">Os processos inseridos na prestação de serviços do saneamento básico que são potencialmente causadores de impactos ambientais </w:t>
            </w:r>
            <w:r w:rsidRPr="003068A5">
              <w:rPr>
                <w:rFonts w:cs="Arial"/>
                <w:bCs/>
                <w:sz w:val="20"/>
                <w:szCs w:val="20"/>
                <w:u w:val="single"/>
              </w:rPr>
              <w:t>nem sempre</w:t>
            </w:r>
            <w:r w:rsidRPr="003068A5">
              <w:rPr>
                <w:rFonts w:cs="Arial"/>
                <w:bCs/>
                <w:sz w:val="20"/>
                <w:szCs w:val="20"/>
              </w:rPr>
              <w:t xml:space="preserve"> são submetidos ao licenciamento ambiental exigido pelos órgãos estaduais competentes. </w:t>
            </w:r>
          </w:p>
        </w:tc>
        <w:tc>
          <w:tcPr>
            <w:tcW w:w="0" w:type="auto"/>
            <w:tcBorders>
              <w:top w:val="single" w:sz="4" w:space="0" w:color="auto"/>
              <w:left w:val="single" w:sz="4" w:space="0" w:color="auto"/>
              <w:bottom w:val="single" w:sz="4" w:space="0" w:color="auto"/>
              <w:right w:val="single" w:sz="4" w:space="0" w:color="auto"/>
            </w:tcBorders>
          </w:tcPr>
          <w:p w:rsidR="003068A5" w:rsidRPr="003068A5" w:rsidRDefault="003068A5" w:rsidP="003068A5">
            <w:pPr>
              <w:autoSpaceDE w:val="0"/>
              <w:autoSpaceDN w:val="0"/>
              <w:adjustRightInd w:val="0"/>
              <w:spacing w:line="240" w:lineRule="auto"/>
              <w:jc w:val="center"/>
              <w:rPr>
                <w:rFonts w:cs="Arial"/>
                <w:b/>
                <w:bCs/>
                <w:sz w:val="20"/>
                <w:szCs w:val="20"/>
              </w:rPr>
            </w:pPr>
            <w:r w:rsidRPr="003068A5">
              <w:rPr>
                <w:rFonts w:cs="Arial"/>
                <w:b/>
                <w:bCs/>
                <w:sz w:val="20"/>
                <w:szCs w:val="20"/>
              </w:rPr>
              <w:t>Regularização ambiental</w:t>
            </w:r>
          </w:p>
          <w:p w:rsidR="003068A5" w:rsidRPr="003068A5" w:rsidRDefault="003068A5" w:rsidP="003068A5">
            <w:pPr>
              <w:autoSpaceDE w:val="0"/>
              <w:autoSpaceDN w:val="0"/>
              <w:adjustRightInd w:val="0"/>
              <w:spacing w:line="240" w:lineRule="auto"/>
              <w:jc w:val="both"/>
              <w:rPr>
                <w:rFonts w:cs="Arial"/>
                <w:bCs/>
                <w:sz w:val="20"/>
                <w:szCs w:val="20"/>
              </w:rPr>
            </w:pPr>
            <w:r w:rsidRPr="003068A5">
              <w:rPr>
                <w:rFonts w:cs="Arial"/>
                <w:bCs/>
                <w:sz w:val="20"/>
                <w:szCs w:val="20"/>
              </w:rPr>
              <w:t xml:space="preserve">Os processos inseridos na prestação de serviços do saneamento básico que são potencialmente causadores de impactos ambientais são submetidos ao licenciamento ambiental exigido pelos órgãos estaduais competentes. </w:t>
            </w:r>
          </w:p>
          <w:p w:rsidR="003068A5" w:rsidRPr="003068A5" w:rsidRDefault="003068A5" w:rsidP="003068A5">
            <w:pPr>
              <w:autoSpaceDE w:val="0"/>
              <w:autoSpaceDN w:val="0"/>
              <w:adjustRightInd w:val="0"/>
              <w:spacing w:line="240" w:lineRule="auto"/>
              <w:jc w:val="center"/>
              <w:rPr>
                <w:rFonts w:cs="Arial"/>
                <w:b/>
                <w:bCs/>
                <w:sz w:val="20"/>
                <w:szCs w:val="20"/>
              </w:rPr>
            </w:pPr>
          </w:p>
        </w:tc>
      </w:tr>
      <w:tr w:rsidR="003068A5" w:rsidRPr="003068A5" w:rsidTr="003068A5">
        <w:trPr>
          <w:trHeight w:val="510"/>
          <w:jc w:val="center"/>
        </w:trPr>
        <w:tc>
          <w:tcPr>
            <w:tcW w:w="0" w:type="auto"/>
            <w:tcBorders>
              <w:top w:val="single" w:sz="4" w:space="0" w:color="auto"/>
              <w:left w:val="single" w:sz="4" w:space="0" w:color="auto"/>
              <w:bottom w:val="single" w:sz="4" w:space="0" w:color="auto"/>
              <w:right w:val="single" w:sz="4" w:space="0" w:color="auto"/>
            </w:tcBorders>
          </w:tcPr>
          <w:p w:rsidR="003068A5" w:rsidRPr="003068A5" w:rsidRDefault="003068A5" w:rsidP="003068A5">
            <w:pPr>
              <w:autoSpaceDE w:val="0"/>
              <w:autoSpaceDN w:val="0"/>
              <w:adjustRightInd w:val="0"/>
              <w:spacing w:line="240" w:lineRule="auto"/>
              <w:jc w:val="center"/>
              <w:rPr>
                <w:rFonts w:cs="Arial"/>
                <w:b/>
                <w:bCs/>
                <w:sz w:val="20"/>
                <w:szCs w:val="20"/>
              </w:rPr>
            </w:pPr>
            <w:r w:rsidRPr="003068A5">
              <w:rPr>
                <w:rFonts w:cs="Arial"/>
                <w:b/>
                <w:bCs/>
                <w:sz w:val="20"/>
                <w:szCs w:val="20"/>
              </w:rPr>
              <w:t>Controle social</w:t>
            </w:r>
          </w:p>
          <w:p w:rsidR="003068A5" w:rsidRPr="003068A5" w:rsidRDefault="003068A5" w:rsidP="003068A5">
            <w:pPr>
              <w:autoSpaceDE w:val="0"/>
              <w:autoSpaceDN w:val="0"/>
              <w:adjustRightInd w:val="0"/>
              <w:spacing w:line="240" w:lineRule="auto"/>
              <w:jc w:val="both"/>
              <w:rPr>
                <w:rFonts w:cs="Arial"/>
                <w:b/>
                <w:bCs/>
                <w:sz w:val="20"/>
                <w:szCs w:val="20"/>
              </w:rPr>
            </w:pPr>
            <w:r w:rsidRPr="003068A5">
              <w:rPr>
                <w:rFonts w:cs="Arial"/>
                <w:bCs/>
                <w:sz w:val="20"/>
                <w:szCs w:val="20"/>
              </w:rPr>
              <w:t>A gestão municipal prevê mecanismos e procedimentos que garantem à sociedade o acesso a informações e a participação nos processos de planejamento e de avaliação relacionados aos serviços públicos de saneamento básico.</w:t>
            </w:r>
          </w:p>
          <w:p w:rsidR="003068A5" w:rsidRPr="003068A5" w:rsidRDefault="003068A5" w:rsidP="003068A5">
            <w:pPr>
              <w:autoSpaceDE w:val="0"/>
              <w:autoSpaceDN w:val="0"/>
              <w:adjustRightInd w:val="0"/>
              <w:spacing w:line="240" w:lineRule="auto"/>
              <w:jc w:val="center"/>
              <w:rPr>
                <w:rFonts w:cs="Arial"/>
                <w:b/>
                <w:bCs/>
                <w:sz w:val="20"/>
                <w:szCs w:val="20"/>
              </w:rPr>
            </w:pPr>
          </w:p>
        </w:tc>
        <w:tc>
          <w:tcPr>
            <w:tcW w:w="0" w:type="auto"/>
            <w:tcBorders>
              <w:top w:val="single" w:sz="4" w:space="0" w:color="auto"/>
              <w:left w:val="single" w:sz="4" w:space="0" w:color="auto"/>
              <w:bottom w:val="single" w:sz="4" w:space="0" w:color="auto"/>
              <w:right w:val="single" w:sz="4" w:space="0" w:color="auto"/>
            </w:tcBorders>
          </w:tcPr>
          <w:p w:rsidR="003068A5" w:rsidRPr="003068A5" w:rsidRDefault="003068A5" w:rsidP="003068A5">
            <w:pPr>
              <w:autoSpaceDE w:val="0"/>
              <w:autoSpaceDN w:val="0"/>
              <w:adjustRightInd w:val="0"/>
              <w:spacing w:line="240" w:lineRule="auto"/>
              <w:jc w:val="center"/>
              <w:rPr>
                <w:rFonts w:cs="Arial"/>
                <w:b/>
                <w:bCs/>
                <w:sz w:val="20"/>
                <w:szCs w:val="20"/>
              </w:rPr>
            </w:pPr>
            <w:r w:rsidRPr="003068A5">
              <w:rPr>
                <w:rFonts w:cs="Arial"/>
                <w:b/>
                <w:bCs/>
                <w:sz w:val="20"/>
                <w:szCs w:val="20"/>
              </w:rPr>
              <w:t>Controle social</w:t>
            </w:r>
          </w:p>
          <w:p w:rsidR="003068A5" w:rsidRPr="003068A5" w:rsidRDefault="003068A5" w:rsidP="003068A5">
            <w:pPr>
              <w:autoSpaceDE w:val="0"/>
              <w:autoSpaceDN w:val="0"/>
              <w:adjustRightInd w:val="0"/>
              <w:spacing w:line="240" w:lineRule="auto"/>
              <w:jc w:val="both"/>
              <w:rPr>
                <w:rFonts w:cs="Arial"/>
                <w:bCs/>
                <w:sz w:val="20"/>
                <w:szCs w:val="20"/>
              </w:rPr>
            </w:pPr>
            <w:r w:rsidRPr="003068A5">
              <w:rPr>
                <w:rFonts w:cs="Arial"/>
                <w:bCs/>
                <w:sz w:val="20"/>
                <w:szCs w:val="20"/>
              </w:rPr>
              <w:t>A gestão municipal prevê mecanismos e procedimentos que garantem à sociedade o acesso a informações e a participação nos processos de planejamento e de avaliação relacionados aos serviços públicos de saneamento básico.</w:t>
            </w:r>
          </w:p>
          <w:p w:rsidR="003068A5" w:rsidRPr="003068A5" w:rsidRDefault="003068A5" w:rsidP="003068A5">
            <w:pPr>
              <w:autoSpaceDE w:val="0"/>
              <w:autoSpaceDN w:val="0"/>
              <w:adjustRightInd w:val="0"/>
              <w:spacing w:line="240" w:lineRule="auto"/>
              <w:rPr>
                <w:rFonts w:cs="Arial"/>
                <w:bCs/>
                <w:sz w:val="20"/>
                <w:szCs w:val="20"/>
              </w:rPr>
            </w:pPr>
          </w:p>
        </w:tc>
      </w:tr>
      <w:tr w:rsidR="003068A5" w:rsidRPr="003068A5" w:rsidTr="003068A5">
        <w:trPr>
          <w:trHeight w:val="510"/>
          <w:jc w:val="center"/>
        </w:trPr>
        <w:tc>
          <w:tcPr>
            <w:tcW w:w="0" w:type="auto"/>
            <w:tcBorders>
              <w:top w:val="single" w:sz="4" w:space="0" w:color="auto"/>
              <w:left w:val="single" w:sz="4" w:space="0" w:color="auto"/>
              <w:bottom w:val="single" w:sz="4" w:space="0" w:color="auto"/>
              <w:right w:val="single" w:sz="4" w:space="0" w:color="auto"/>
            </w:tcBorders>
          </w:tcPr>
          <w:p w:rsidR="003068A5" w:rsidRPr="003068A5" w:rsidRDefault="003068A5" w:rsidP="003068A5">
            <w:pPr>
              <w:autoSpaceDE w:val="0"/>
              <w:autoSpaceDN w:val="0"/>
              <w:adjustRightInd w:val="0"/>
              <w:spacing w:line="240" w:lineRule="auto"/>
              <w:jc w:val="center"/>
              <w:rPr>
                <w:rFonts w:cs="Arial"/>
                <w:b/>
                <w:bCs/>
                <w:sz w:val="20"/>
                <w:szCs w:val="20"/>
              </w:rPr>
            </w:pPr>
            <w:r w:rsidRPr="003068A5">
              <w:rPr>
                <w:rFonts w:cs="Arial"/>
                <w:b/>
                <w:bCs/>
                <w:sz w:val="20"/>
                <w:szCs w:val="20"/>
              </w:rPr>
              <w:t>Situação do setor na educação pública local</w:t>
            </w:r>
          </w:p>
          <w:p w:rsidR="003068A5" w:rsidRPr="003068A5" w:rsidRDefault="003068A5" w:rsidP="003068A5">
            <w:pPr>
              <w:autoSpaceDE w:val="0"/>
              <w:autoSpaceDN w:val="0"/>
              <w:adjustRightInd w:val="0"/>
              <w:spacing w:line="240" w:lineRule="auto"/>
              <w:jc w:val="both"/>
              <w:rPr>
                <w:rFonts w:cs="Arial"/>
                <w:b/>
                <w:bCs/>
                <w:sz w:val="20"/>
                <w:szCs w:val="20"/>
              </w:rPr>
            </w:pPr>
            <w:r w:rsidRPr="003068A5">
              <w:rPr>
                <w:rFonts w:cs="Arial"/>
                <w:bCs/>
                <w:sz w:val="20"/>
                <w:szCs w:val="20"/>
              </w:rPr>
              <w:t>As escolas públicas municipais não têm, incluídas em suas disciplinas, questões relacionadas aos sistemas de saneamento básico. Ocorrem apenas iniciativas isoladas de algumas escolas buscando a conscientização dos alunos sobre o tema.</w:t>
            </w:r>
          </w:p>
        </w:tc>
        <w:tc>
          <w:tcPr>
            <w:tcW w:w="0" w:type="auto"/>
            <w:tcBorders>
              <w:top w:val="single" w:sz="4" w:space="0" w:color="auto"/>
              <w:left w:val="single" w:sz="4" w:space="0" w:color="auto"/>
              <w:bottom w:val="single" w:sz="4" w:space="0" w:color="auto"/>
              <w:right w:val="single" w:sz="4" w:space="0" w:color="auto"/>
            </w:tcBorders>
          </w:tcPr>
          <w:p w:rsidR="003068A5" w:rsidRPr="003068A5" w:rsidRDefault="003068A5" w:rsidP="003068A5">
            <w:pPr>
              <w:autoSpaceDE w:val="0"/>
              <w:autoSpaceDN w:val="0"/>
              <w:adjustRightInd w:val="0"/>
              <w:spacing w:line="240" w:lineRule="auto"/>
              <w:jc w:val="center"/>
              <w:rPr>
                <w:rFonts w:cs="Arial"/>
                <w:b/>
                <w:bCs/>
                <w:sz w:val="20"/>
                <w:szCs w:val="20"/>
              </w:rPr>
            </w:pPr>
            <w:r w:rsidRPr="003068A5">
              <w:rPr>
                <w:rFonts w:cs="Arial"/>
                <w:b/>
                <w:bCs/>
                <w:sz w:val="20"/>
                <w:szCs w:val="20"/>
              </w:rPr>
              <w:t>Situação do setor na educação pública local</w:t>
            </w:r>
          </w:p>
          <w:p w:rsidR="003068A5" w:rsidRPr="003068A5" w:rsidRDefault="003068A5" w:rsidP="003068A5">
            <w:pPr>
              <w:autoSpaceDE w:val="0"/>
              <w:autoSpaceDN w:val="0"/>
              <w:adjustRightInd w:val="0"/>
              <w:spacing w:line="240" w:lineRule="auto"/>
              <w:jc w:val="both"/>
              <w:rPr>
                <w:rFonts w:cs="Arial"/>
                <w:bCs/>
                <w:sz w:val="20"/>
                <w:szCs w:val="20"/>
              </w:rPr>
            </w:pPr>
            <w:r w:rsidRPr="003068A5">
              <w:rPr>
                <w:rFonts w:cs="Arial"/>
                <w:bCs/>
                <w:sz w:val="20"/>
                <w:szCs w:val="20"/>
              </w:rPr>
              <w:t>Questões relacionadas aos quatro sistemas do saneamento básico são tratadas nas disciplinas das escolas públicas do município, incluindo iniciativas para promover a economia de água pelos usuários.</w:t>
            </w:r>
          </w:p>
        </w:tc>
      </w:tr>
    </w:tbl>
    <w:p w:rsidR="003068A5" w:rsidRPr="003068A5" w:rsidRDefault="003068A5" w:rsidP="003068A5">
      <w:pPr>
        <w:spacing w:before="120" w:after="120"/>
        <w:ind w:firstLine="708"/>
        <w:contextualSpacing/>
        <w:jc w:val="both"/>
        <w:rPr>
          <w:rFonts w:cs="Arial"/>
          <w:szCs w:val="24"/>
          <w:lang w:eastAsia="pt-BR"/>
        </w:rPr>
      </w:pPr>
    </w:p>
    <w:p w:rsidR="003068A5" w:rsidRPr="003068A5" w:rsidRDefault="003068A5" w:rsidP="003068A5">
      <w:pPr>
        <w:spacing w:before="120" w:after="120"/>
        <w:ind w:firstLine="708"/>
        <w:contextualSpacing/>
        <w:jc w:val="both"/>
        <w:rPr>
          <w:rFonts w:cs="Arial"/>
          <w:szCs w:val="24"/>
          <w:lang w:eastAsia="pt-BR"/>
        </w:rPr>
      </w:pPr>
      <w:r w:rsidRPr="003068A5">
        <w:rPr>
          <w:rFonts w:cs="Arial"/>
          <w:szCs w:val="24"/>
          <w:lang w:eastAsia="pt-BR"/>
        </w:rPr>
        <w:t xml:space="preserve">A construção dos cenários futuros para o setor de Saneamento Básico possibilitou à equipe conhecer, com certo nível de abstração, possíveis situações a serem vivenciadas pelo município, sendo que o cenário normativo, por ser o mais eficiente para conduzir os atores da política de saneamento ao sistema desejado, foi </w:t>
      </w:r>
      <w:r w:rsidRPr="003068A5">
        <w:rPr>
          <w:rFonts w:cs="Arial"/>
          <w:szCs w:val="24"/>
          <w:lang w:eastAsia="pt-BR"/>
        </w:rPr>
        <w:lastRenderedPageBreak/>
        <w:t>utilizado como referência para o estabelecimento dos objetivos e metas que, por sua vez, embasarão a proposição de programas e ações neste Plano Municipal de Saneamento Básico (PMSB).</w:t>
      </w:r>
    </w:p>
    <w:p w:rsidR="003068A5" w:rsidRPr="003068A5" w:rsidRDefault="003068A5" w:rsidP="003068A5">
      <w:pPr>
        <w:ind w:firstLine="708"/>
        <w:jc w:val="both"/>
        <w:rPr>
          <w:rFonts w:cs="Arial"/>
          <w:szCs w:val="24"/>
          <w:lang w:eastAsia="pt-BR"/>
        </w:rPr>
      </w:pPr>
      <w:r w:rsidRPr="003068A5">
        <w:rPr>
          <w:rFonts w:cs="Arial"/>
          <w:szCs w:val="24"/>
          <w:lang w:eastAsia="pt-BR"/>
        </w:rPr>
        <w:t>Ressalta-se que, além do cenário de referência, os objetivos e metas apresentados neste PMSB também foram propostos com base no diagnóstico técnico-participativo elaborado pela equipe técnica e gestores municipais.</w:t>
      </w:r>
    </w:p>
    <w:p w:rsidR="0081570C" w:rsidRDefault="0081570C" w:rsidP="00BC01B1">
      <w:pPr>
        <w:pStyle w:val="Ttulo3"/>
        <w:rPr>
          <w:color w:val="FF0000"/>
          <w:lang w:val="pt-BR"/>
        </w:rPr>
      </w:pPr>
      <w:bookmarkStart w:id="576" w:name="_Toc484422549"/>
      <w:bookmarkStart w:id="577" w:name="_Toc484611626"/>
      <w:bookmarkStart w:id="578" w:name="_Toc498593490"/>
      <w:bookmarkStart w:id="579" w:name="_Toc509935506"/>
      <w:r w:rsidRPr="00697CB3">
        <w:t>Objetivos e metas</w:t>
      </w:r>
      <w:bookmarkEnd w:id="576"/>
      <w:bookmarkEnd w:id="577"/>
      <w:bookmarkEnd w:id="578"/>
      <w:bookmarkEnd w:id="579"/>
    </w:p>
    <w:p w:rsidR="003068A5" w:rsidRPr="003068A5" w:rsidRDefault="003068A5" w:rsidP="003068A5">
      <w:pPr>
        <w:spacing w:before="120" w:after="120"/>
        <w:ind w:firstLine="708"/>
        <w:contextualSpacing/>
        <w:jc w:val="both"/>
        <w:rPr>
          <w:rFonts w:cs="Arial"/>
          <w:szCs w:val="24"/>
          <w:lang w:eastAsia="pt-BR"/>
        </w:rPr>
      </w:pPr>
      <w:r w:rsidRPr="003068A5">
        <w:rPr>
          <w:rFonts w:cs="Arial"/>
          <w:szCs w:val="24"/>
          <w:lang w:eastAsia="pt-BR"/>
        </w:rPr>
        <w:t xml:space="preserve">À semelhança de outras políticas públicas, o presente PMSB não é estático, devendo, sempre que necessário, sofrer alterações e adaptações, o que o torna um instrumento forte, norteador, porém flexível, capaz de acompanhar as reais demandas municipais para o fornecimento democrático dos serviços de saneamento. </w:t>
      </w:r>
    </w:p>
    <w:p w:rsidR="003068A5" w:rsidRPr="003068A5" w:rsidRDefault="003068A5" w:rsidP="003068A5">
      <w:pPr>
        <w:spacing w:before="120" w:after="120"/>
        <w:ind w:firstLine="708"/>
        <w:contextualSpacing/>
        <w:jc w:val="both"/>
        <w:rPr>
          <w:rFonts w:cs="Arial"/>
          <w:szCs w:val="24"/>
          <w:lang w:eastAsia="pt-BR"/>
        </w:rPr>
      </w:pPr>
      <w:r w:rsidRPr="003068A5">
        <w:rPr>
          <w:rFonts w:cs="Arial"/>
          <w:szCs w:val="24"/>
          <w:lang w:eastAsia="pt-BR"/>
        </w:rPr>
        <w:t>São premissas básicas assumidas por este Plano, dentro do horizonte de planejamento predeterminado: os objetivos da universalização do acesso ao saneamento básico de toda a população do território municipal; a articulação com as políticas de desenvolvimento que tenham como foco o combate à pobreza; o uso sustentável dos recursos hídricos; a proteção do meio ambiente; a promoção da saúde e o bem-estar da população. Além disso, também é objetivo do PMSB assegurar uma gestão racional da demanda por saneamento básico no município como um todo (urbano e rural) em função da garantia de sustentabilidade econômico-financeira considerada viável, inclusive mediante a remuneração pela cobrança dos serviços. Todos esses critérios foram adotados na configuração do cenário normativo.</w:t>
      </w:r>
    </w:p>
    <w:p w:rsidR="003068A5" w:rsidRPr="003068A5" w:rsidRDefault="003068A5" w:rsidP="003068A5">
      <w:pPr>
        <w:ind w:firstLine="708"/>
        <w:jc w:val="both"/>
        <w:rPr>
          <w:rFonts w:cs="Arial"/>
          <w:szCs w:val="24"/>
          <w:lang w:eastAsia="pt-BR"/>
        </w:rPr>
      </w:pPr>
      <w:r w:rsidRPr="003068A5">
        <w:rPr>
          <w:rFonts w:cs="Arial"/>
          <w:szCs w:val="24"/>
          <w:lang w:eastAsia="pt-BR"/>
        </w:rPr>
        <w:t>Para se alcançar tal patamar de funcionalidade, faz-se necessário implementar um arranjo institucional para o saneamento básico municipal que seja regulado e fiscalizado por entidade competente, que mantenha mecanismos de controle social e que possua instrumentos eficazes para a gestão administrativa, operacional e ambiental.</w:t>
      </w:r>
    </w:p>
    <w:p w:rsidR="003068A5" w:rsidRPr="003068A5" w:rsidRDefault="003068A5" w:rsidP="003068A5">
      <w:pPr>
        <w:spacing w:before="120" w:after="120"/>
        <w:ind w:firstLine="708"/>
        <w:contextualSpacing/>
        <w:jc w:val="both"/>
        <w:rPr>
          <w:rFonts w:cs="Arial"/>
          <w:szCs w:val="24"/>
          <w:lang w:eastAsia="pt-BR"/>
        </w:rPr>
      </w:pPr>
      <w:r w:rsidRPr="003068A5">
        <w:rPr>
          <w:rFonts w:cs="Arial"/>
          <w:szCs w:val="24"/>
          <w:lang w:eastAsia="pt-BR"/>
        </w:rPr>
        <w:t xml:space="preserve">Vale ainda destacar que </w:t>
      </w:r>
      <w:r w:rsidRPr="003068A5">
        <w:rPr>
          <w:rFonts w:cs="Arial"/>
          <w:i/>
          <w:szCs w:val="24"/>
          <w:lang w:eastAsia="pt-BR"/>
        </w:rPr>
        <w:t>objetivo</w:t>
      </w:r>
      <w:r w:rsidRPr="003068A5">
        <w:rPr>
          <w:rFonts w:cs="Arial"/>
          <w:szCs w:val="24"/>
          <w:lang w:eastAsia="pt-BR"/>
        </w:rPr>
        <w:t xml:space="preserve"> e </w:t>
      </w:r>
      <w:r w:rsidRPr="003068A5">
        <w:rPr>
          <w:rFonts w:cs="Arial"/>
          <w:i/>
          <w:szCs w:val="24"/>
          <w:lang w:eastAsia="pt-BR"/>
        </w:rPr>
        <w:t>meta</w:t>
      </w:r>
      <w:r w:rsidRPr="003068A5">
        <w:rPr>
          <w:rFonts w:cs="Arial"/>
          <w:szCs w:val="24"/>
          <w:lang w:eastAsia="pt-BR"/>
        </w:rPr>
        <w:t xml:space="preserve"> são conceitos diferentes. Objetivo é o propósito geral ou a descrição qualitativa daquilo que se pretende alcançar. Já meta é uma definição quantitativa do que se pretende alcançar, sempre acompanhada de uma indicação do prazo que se necessita para fazê-lo.</w:t>
      </w:r>
    </w:p>
    <w:p w:rsidR="003068A5" w:rsidRPr="003068A5" w:rsidRDefault="003068A5" w:rsidP="003068A5">
      <w:pPr>
        <w:spacing w:before="120" w:after="120"/>
        <w:ind w:firstLine="708"/>
        <w:contextualSpacing/>
        <w:jc w:val="both"/>
        <w:rPr>
          <w:rFonts w:cs="Arial"/>
          <w:szCs w:val="24"/>
          <w:lang w:eastAsia="pt-BR"/>
        </w:rPr>
      </w:pPr>
      <w:r w:rsidRPr="003068A5">
        <w:rPr>
          <w:rFonts w:cs="Arial"/>
          <w:szCs w:val="24"/>
          <w:lang w:eastAsia="pt-BR"/>
        </w:rPr>
        <w:lastRenderedPageBreak/>
        <w:t>Traçado um objetivo específico, é necessário o estabelecimento de uma ou mais metas para alcançá-lo. Devido ao caráter quantitativo da meta, através do monitoramento dos parâmetros envolvidos, pode-se concluir sobre o alcance, ou não, de determinado objetivo.</w:t>
      </w:r>
    </w:p>
    <w:p w:rsidR="003068A5" w:rsidRPr="003068A5" w:rsidRDefault="003068A5" w:rsidP="003068A5">
      <w:pPr>
        <w:spacing w:before="120" w:after="120"/>
        <w:ind w:firstLine="708"/>
        <w:contextualSpacing/>
        <w:jc w:val="both"/>
        <w:rPr>
          <w:rFonts w:cs="Arial"/>
          <w:szCs w:val="24"/>
        </w:rPr>
      </w:pPr>
      <w:r w:rsidRPr="003068A5">
        <w:rPr>
          <w:rFonts w:cs="Arial"/>
          <w:szCs w:val="24"/>
          <w:lang w:eastAsia="pt-BR"/>
        </w:rPr>
        <w:t xml:space="preserve">Todos os objetivos foram estabelecidos para serem alcançados no final do horizonte de planejamento, que neste caso é de vinte anos. </w:t>
      </w:r>
      <w:r w:rsidRPr="003068A5">
        <w:rPr>
          <w:rFonts w:cs="Arial"/>
          <w:szCs w:val="24"/>
        </w:rPr>
        <w:t>Dentro desse período maior, os objetivos e metas deverão ser implantados em prazos distintos, quais sejam:</w:t>
      </w:r>
    </w:p>
    <w:p w:rsidR="003068A5" w:rsidRPr="003068A5" w:rsidRDefault="003068A5" w:rsidP="0066661F">
      <w:pPr>
        <w:numPr>
          <w:ilvl w:val="0"/>
          <w:numId w:val="109"/>
        </w:numPr>
        <w:autoSpaceDE w:val="0"/>
        <w:autoSpaceDN w:val="0"/>
        <w:adjustRightInd w:val="0"/>
        <w:ind w:hanging="357"/>
        <w:jc w:val="both"/>
        <w:rPr>
          <w:rFonts w:cs="Arial"/>
          <w:szCs w:val="24"/>
          <w:lang w:eastAsia="pt-BR"/>
        </w:rPr>
      </w:pPr>
      <w:r w:rsidRPr="003068A5">
        <w:rPr>
          <w:rFonts w:cs="Arial"/>
          <w:szCs w:val="24"/>
          <w:lang w:eastAsia="pt-BR"/>
        </w:rPr>
        <w:t>Prazo de ações imediatas ou emergenciais (3 anos – até 3 anos após aprovação do PMSB).</w:t>
      </w:r>
    </w:p>
    <w:p w:rsidR="003068A5" w:rsidRPr="003068A5" w:rsidRDefault="003068A5" w:rsidP="0066661F">
      <w:pPr>
        <w:numPr>
          <w:ilvl w:val="0"/>
          <w:numId w:val="109"/>
        </w:numPr>
        <w:autoSpaceDE w:val="0"/>
        <w:autoSpaceDN w:val="0"/>
        <w:adjustRightInd w:val="0"/>
        <w:ind w:hanging="357"/>
        <w:jc w:val="both"/>
        <w:rPr>
          <w:rFonts w:cs="Arial"/>
          <w:szCs w:val="24"/>
          <w:lang w:eastAsia="pt-BR"/>
        </w:rPr>
      </w:pPr>
      <w:r w:rsidRPr="003068A5">
        <w:rPr>
          <w:rFonts w:cs="Arial"/>
          <w:szCs w:val="24"/>
          <w:lang w:eastAsia="pt-BR"/>
        </w:rPr>
        <w:t>Curto prazo (5 anos – 4º ao 8º ano).</w:t>
      </w:r>
    </w:p>
    <w:p w:rsidR="003068A5" w:rsidRPr="003068A5" w:rsidRDefault="003068A5" w:rsidP="0066661F">
      <w:pPr>
        <w:numPr>
          <w:ilvl w:val="0"/>
          <w:numId w:val="109"/>
        </w:numPr>
        <w:autoSpaceDE w:val="0"/>
        <w:autoSpaceDN w:val="0"/>
        <w:adjustRightInd w:val="0"/>
        <w:ind w:hanging="357"/>
        <w:jc w:val="both"/>
        <w:rPr>
          <w:rFonts w:cs="Arial"/>
          <w:szCs w:val="24"/>
          <w:lang w:eastAsia="pt-BR"/>
        </w:rPr>
      </w:pPr>
      <w:r w:rsidRPr="003068A5">
        <w:rPr>
          <w:rFonts w:cs="Arial"/>
          <w:szCs w:val="24"/>
          <w:lang w:eastAsia="pt-BR"/>
        </w:rPr>
        <w:t>Médio prazo (4 anos – 9º ao 12º ).</w:t>
      </w:r>
    </w:p>
    <w:p w:rsidR="003068A5" w:rsidRPr="003068A5" w:rsidRDefault="003068A5" w:rsidP="0066661F">
      <w:pPr>
        <w:numPr>
          <w:ilvl w:val="0"/>
          <w:numId w:val="109"/>
        </w:numPr>
        <w:autoSpaceDE w:val="0"/>
        <w:autoSpaceDN w:val="0"/>
        <w:adjustRightInd w:val="0"/>
        <w:ind w:hanging="357"/>
        <w:jc w:val="both"/>
        <w:rPr>
          <w:rFonts w:cs="Arial"/>
          <w:szCs w:val="24"/>
          <w:lang w:eastAsia="pt-BR"/>
        </w:rPr>
      </w:pPr>
      <w:r w:rsidRPr="003068A5">
        <w:rPr>
          <w:rFonts w:cs="Arial"/>
          <w:szCs w:val="24"/>
          <w:lang w:eastAsia="pt-BR"/>
        </w:rPr>
        <w:t>Longo prazo (8 anos – 13º ao 20º ano).</w:t>
      </w:r>
    </w:p>
    <w:p w:rsidR="003068A5" w:rsidRPr="003068A5" w:rsidRDefault="003068A5" w:rsidP="003068A5">
      <w:pPr>
        <w:spacing w:before="120" w:after="120"/>
        <w:ind w:firstLine="708"/>
        <w:contextualSpacing/>
        <w:jc w:val="both"/>
        <w:rPr>
          <w:rFonts w:cs="Arial"/>
          <w:szCs w:val="24"/>
          <w:lang w:eastAsia="pt-BR"/>
        </w:rPr>
      </w:pPr>
      <w:r w:rsidRPr="003068A5">
        <w:rPr>
          <w:rFonts w:cs="Arial"/>
          <w:szCs w:val="24"/>
        </w:rPr>
        <w:t xml:space="preserve">A distribuição das metas ao longo do horizonte do Plano tende a obedecer às condições de pré-requisição, isto é, a meta anterior deve ser alcançada para viabilizar o programa posterior, e a uma hierarquização de metas construídas pelos gestores e pela população. </w:t>
      </w:r>
      <w:r w:rsidRPr="003068A5">
        <w:rPr>
          <w:rFonts w:cs="Arial"/>
          <w:szCs w:val="24"/>
          <w:lang w:eastAsia="pt-BR"/>
        </w:rPr>
        <w:t>Destaca-se que as metas devem ser entregues nos prazos indicados e, a partir daí, deve-se considerar que toda evolução alcançada seja mantida até o fim do horizonte de planejamento, a menos que se indique o contrário.</w:t>
      </w:r>
    </w:p>
    <w:p w:rsidR="003068A5" w:rsidRPr="003068A5" w:rsidRDefault="003068A5" w:rsidP="003068A5">
      <w:pPr>
        <w:spacing w:before="120" w:after="120"/>
        <w:ind w:firstLine="708"/>
        <w:contextualSpacing/>
        <w:jc w:val="both"/>
        <w:rPr>
          <w:rFonts w:cs="Arial"/>
          <w:szCs w:val="24"/>
          <w:lang w:eastAsia="pt-BR"/>
        </w:rPr>
      </w:pPr>
      <w:r w:rsidRPr="003068A5">
        <w:rPr>
          <w:rFonts w:cs="Arial"/>
          <w:szCs w:val="24"/>
          <w:lang w:eastAsia="pt-BR"/>
        </w:rPr>
        <w:t>Os objetivos e metas propostos para o sistema de saneamento com base no diagnóstico de Córrego Novo e no cenário normativo estabelecido pela Matriz SWOT são descritos a seguir.</w:t>
      </w:r>
    </w:p>
    <w:p w:rsidR="003068A5" w:rsidRPr="003068A5" w:rsidRDefault="003068A5" w:rsidP="003068A5">
      <w:pPr>
        <w:ind w:firstLine="851"/>
        <w:jc w:val="both"/>
        <w:rPr>
          <w:rFonts w:ascii="Calibri" w:hAnsi="Calibri" w:cs="Arial"/>
          <w:sz w:val="22"/>
          <w:szCs w:val="24"/>
        </w:rPr>
      </w:pPr>
    </w:p>
    <w:p w:rsidR="003068A5" w:rsidRPr="003068A5" w:rsidRDefault="003068A5" w:rsidP="003068A5">
      <w:pPr>
        <w:numPr>
          <w:ilvl w:val="0"/>
          <w:numId w:val="6"/>
        </w:numPr>
        <w:ind w:left="2127" w:hanging="1560"/>
        <w:contextualSpacing/>
        <w:jc w:val="both"/>
        <w:rPr>
          <w:rFonts w:eastAsia="Times New Roman" w:cs="Arial"/>
          <w:b/>
          <w:szCs w:val="24"/>
          <w:lang w:eastAsia="pt-BR"/>
        </w:rPr>
      </w:pPr>
      <w:r w:rsidRPr="003068A5">
        <w:rPr>
          <w:rFonts w:eastAsia="Times New Roman" w:cs="Arial"/>
          <w:b/>
          <w:bCs/>
          <w:szCs w:val="24"/>
          <w:lang w:eastAsia="pt-BR"/>
        </w:rPr>
        <w:t>Estabelecer um arranjo institucional capaz de articular os quatro setores do saneamento básico municipal sob uma única supervisão.</w:t>
      </w:r>
    </w:p>
    <w:p w:rsidR="003068A5" w:rsidRPr="003068A5" w:rsidRDefault="003068A5" w:rsidP="003068A5">
      <w:pPr>
        <w:numPr>
          <w:ilvl w:val="0"/>
          <w:numId w:val="6"/>
        </w:numPr>
        <w:ind w:left="2127" w:hanging="1560"/>
        <w:contextualSpacing/>
        <w:jc w:val="both"/>
        <w:rPr>
          <w:rFonts w:eastAsia="Times New Roman" w:cs="Arial"/>
          <w:b/>
          <w:szCs w:val="24"/>
          <w:lang w:eastAsia="pt-BR"/>
        </w:rPr>
      </w:pPr>
      <w:r w:rsidRPr="003068A5">
        <w:rPr>
          <w:rFonts w:eastAsia="Times New Roman" w:cs="Arial"/>
          <w:b/>
          <w:szCs w:val="24"/>
          <w:lang w:eastAsia="pt-BR"/>
        </w:rPr>
        <w:t>Alcançar, no município, a universalidade do acesso aos quatro sistemas do saneamento básico.</w:t>
      </w:r>
    </w:p>
    <w:p w:rsidR="003068A5" w:rsidRPr="003068A5" w:rsidRDefault="003068A5" w:rsidP="003068A5">
      <w:pPr>
        <w:numPr>
          <w:ilvl w:val="0"/>
          <w:numId w:val="6"/>
        </w:numPr>
        <w:ind w:left="2127" w:hanging="1560"/>
        <w:contextualSpacing/>
        <w:jc w:val="both"/>
        <w:rPr>
          <w:rFonts w:eastAsia="Times New Roman" w:cs="Arial"/>
          <w:b/>
          <w:szCs w:val="24"/>
          <w:lang w:eastAsia="pt-BR"/>
        </w:rPr>
      </w:pPr>
      <w:r w:rsidRPr="003068A5">
        <w:rPr>
          <w:rFonts w:eastAsia="Times New Roman" w:cs="Arial"/>
          <w:b/>
          <w:szCs w:val="20"/>
          <w:lang w:eastAsia="pt-BR"/>
        </w:rPr>
        <w:t>Alcançar a sustentabilidade econômico-financeira para o setor do saneamento no município.</w:t>
      </w:r>
    </w:p>
    <w:p w:rsidR="003068A5" w:rsidRPr="003068A5" w:rsidRDefault="003068A5" w:rsidP="003068A5">
      <w:pPr>
        <w:numPr>
          <w:ilvl w:val="0"/>
          <w:numId w:val="6"/>
        </w:numPr>
        <w:ind w:left="2127" w:hanging="1560"/>
        <w:contextualSpacing/>
        <w:jc w:val="both"/>
        <w:rPr>
          <w:rFonts w:eastAsia="Times New Roman" w:cs="Arial"/>
          <w:b/>
          <w:szCs w:val="24"/>
          <w:lang w:eastAsia="pt-BR"/>
        </w:rPr>
      </w:pPr>
      <w:r w:rsidRPr="003068A5">
        <w:rPr>
          <w:rFonts w:eastAsia="Times New Roman" w:cs="Arial"/>
          <w:b/>
          <w:bCs/>
          <w:szCs w:val="24"/>
          <w:lang w:eastAsia="pt-BR"/>
        </w:rPr>
        <w:t>Submeter os quatro eixos do saneamento básico municipal a uma entidade reguladora, cujas atribuições são definidas pela Lei nº 11.445/07 e pelo decreto que a regulamenta.</w:t>
      </w:r>
    </w:p>
    <w:p w:rsidR="003068A5" w:rsidRPr="003068A5" w:rsidRDefault="003068A5" w:rsidP="003068A5">
      <w:pPr>
        <w:numPr>
          <w:ilvl w:val="0"/>
          <w:numId w:val="6"/>
        </w:numPr>
        <w:ind w:left="2127" w:hanging="1560"/>
        <w:contextualSpacing/>
        <w:jc w:val="both"/>
        <w:rPr>
          <w:rFonts w:eastAsia="Times New Roman" w:cs="Arial"/>
          <w:b/>
          <w:bCs/>
          <w:szCs w:val="24"/>
          <w:lang w:eastAsia="pt-BR"/>
        </w:rPr>
      </w:pPr>
      <w:r w:rsidRPr="003068A5">
        <w:rPr>
          <w:rFonts w:eastAsia="Times New Roman" w:cs="Arial"/>
          <w:b/>
          <w:bCs/>
          <w:szCs w:val="24"/>
          <w:lang w:eastAsia="pt-BR"/>
        </w:rPr>
        <w:lastRenderedPageBreak/>
        <w:t>Apresentar conformidade com a legislação ambiental vigente.</w:t>
      </w:r>
    </w:p>
    <w:p w:rsidR="003068A5" w:rsidRPr="003068A5" w:rsidRDefault="003068A5" w:rsidP="003068A5">
      <w:pPr>
        <w:numPr>
          <w:ilvl w:val="0"/>
          <w:numId w:val="6"/>
        </w:numPr>
        <w:ind w:left="2127" w:hanging="1560"/>
        <w:contextualSpacing/>
        <w:jc w:val="both"/>
        <w:rPr>
          <w:rFonts w:eastAsia="Times New Roman" w:cs="Arial"/>
          <w:b/>
          <w:bCs/>
          <w:szCs w:val="24"/>
          <w:lang w:eastAsia="pt-BR"/>
        </w:rPr>
      </w:pPr>
      <w:r w:rsidRPr="003068A5">
        <w:rPr>
          <w:rFonts w:eastAsia="Times New Roman" w:cs="Arial"/>
          <w:b/>
          <w:bCs/>
          <w:szCs w:val="24"/>
          <w:lang w:eastAsia="pt-BR"/>
        </w:rPr>
        <w:t>Introduzir, na gestão do saneamento básico municipal, mecanismos que garantam o acesso a informações e a participação da população na formulação da política local de saneamento básico, além de promover avaliações relacionadas aos serviços prestados.</w:t>
      </w:r>
    </w:p>
    <w:p w:rsidR="003068A5" w:rsidRPr="003068A5" w:rsidRDefault="003068A5" w:rsidP="003068A5">
      <w:pPr>
        <w:numPr>
          <w:ilvl w:val="0"/>
          <w:numId w:val="6"/>
        </w:numPr>
        <w:ind w:left="2127" w:hanging="1560"/>
        <w:contextualSpacing/>
        <w:jc w:val="both"/>
        <w:rPr>
          <w:rFonts w:eastAsia="Times New Roman" w:cs="Arial"/>
          <w:b/>
          <w:bCs/>
          <w:szCs w:val="24"/>
          <w:lang w:eastAsia="pt-BR"/>
        </w:rPr>
      </w:pPr>
      <w:r w:rsidRPr="003068A5">
        <w:rPr>
          <w:rFonts w:eastAsia="Times New Roman" w:cs="Arial"/>
          <w:b/>
          <w:bCs/>
          <w:szCs w:val="24"/>
          <w:lang w:eastAsia="pt-BR"/>
        </w:rPr>
        <w:t>Incentivar que escolas públicas do município tratem de questões relacionadas aos quatro sistemas do saneamento básico em suas disciplinas oficiais, incluindo conteúdos que promovam a economia de água pelos usuários.</w:t>
      </w:r>
    </w:p>
    <w:p w:rsidR="003068A5" w:rsidRPr="003068A5" w:rsidRDefault="003068A5" w:rsidP="003068A5">
      <w:pPr>
        <w:spacing w:before="120" w:after="120"/>
        <w:ind w:firstLine="708"/>
        <w:contextualSpacing/>
        <w:jc w:val="both"/>
        <w:rPr>
          <w:rFonts w:cs="Arial"/>
          <w:szCs w:val="24"/>
          <w:lang w:eastAsia="pt-BR"/>
        </w:rPr>
      </w:pPr>
      <w:r w:rsidRPr="003068A5">
        <w:rPr>
          <w:rFonts w:cs="Arial"/>
          <w:szCs w:val="24"/>
          <w:lang w:eastAsia="pt-BR"/>
        </w:rPr>
        <w:t xml:space="preserve">Na </w:t>
      </w:r>
      <w:r>
        <w:rPr>
          <w:rFonts w:cs="Arial"/>
          <w:szCs w:val="24"/>
          <w:lang w:eastAsia="pt-BR"/>
        </w:rPr>
        <w:fldChar w:fldCharType="begin"/>
      </w:r>
      <w:r>
        <w:rPr>
          <w:rFonts w:cs="Arial"/>
          <w:szCs w:val="24"/>
          <w:lang w:eastAsia="pt-BR"/>
        </w:rPr>
        <w:instrText xml:space="preserve"> REF _Ref507601081 \h </w:instrText>
      </w:r>
      <w:r>
        <w:rPr>
          <w:rFonts w:cs="Arial"/>
          <w:szCs w:val="24"/>
          <w:lang w:eastAsia="pt-BR"/>
        </w:rPr>
      </w:r>
      <w:r>
        <w:rPr>
          <w:rFonts w:cs="Arial"/>
          <w:szCs w:val="24"/>
          <w:lang w:eastAsia="pt-BR"/>
        </w:rPr>
        <w:fldChar w:fldCharType="separate"/>
      </w:r>
      <w:r w:rsidR="001B481B">
        <w:t xml:space="preserve">Tabela </w:t>
      </w:r>
      <w:r w:rsidR="001B481B">
        <w:rPr>
          <w:noProof/>
        </w:rPr>
        <w:t>1</w:t>
      </w:r>
      <w:r>
        <w:rPr>
          <w:rFonts w:cs="Arial"/>
          <w:szCs w:val="24"/>
          <w:lang w:eastAsia="pt-BR"/>
        </w:rPr>
        <w:fldChar w:fldCharType="end"/>
      </w:r>
      <w:r w:rsidRPr="003068A5">
        <w:rPr>
          <w:rFonts w:cs="Arial"/>
          <w:szCs w:val="24"/>
          <w:lang w:eastAsia="pt-BR"/>
        </w:rPr>
        <w:t xml:space="preserve"> são apresentadas as metas para cada objetivo proposto de forma sistematizada, além dos prazos de cada meta.</w:t>
      </w:r>
    </w:p>
    <w:p w:rsidR="003068A5" w:rsidRPr="003068A5" w:rsidRDefault="003068A5" w:rsidP="003068A5">
      <w:pPr>
        <w:spacing w:before="120" w:after="120"/>
        <w:ind w:firstLine="708"/>
        <w:contextualSpacing/>
        <w:jc w:val="both"/>
        <w:rPr>
          <w:rFonts w:cs="Arial"/>
          <w:szCs w:val="24"/>
          <w:lang w:eastAsia="pt-BR"/>
        </w:rPr>
      </w:pPr>
    </w:p>
    <w:p w:rsidR="003068A5" w:rsidRPr="003068A5" w:rsidRDefault="003068A5" w:rsidP="003068A5">
      <w:pPr>
        <w:spacing w:before="120" w:after="120"/>
        <w:ind w:firstLine="708"/>
        <w:contextualSpacing/>
        <w:jc w:val="both"/>
        <w:rPr>
          <w:rFonts w:cs="Arial"/>
          <w:color w:val="0070C0"/>
          <w:szCs w:val="24"/>
          <w:lang w:eastAsia="pt-BR"/>
        </w:rPr>
        <w:sectPr w:rsidR="003068A5" w:rsidRPr="003068A5" w:rsidSect="003068A5">
          <w:footerReference w:type="default" r:id="rId41"/>
          <w:type w:val="continuous"/>
          <w:pgSz w:w="11906" w:h="16838"/>
          <w:pgMar w:top="1134" w:right="1134" w:bottom="1134" w:left="1418" w:header="709" w:footer="709" w:gutter="0"/>
          <w:cols w:space="708"/>
          <w:docGrid w:linePitch="360"/>
        </w:sectPr>
      </w:pPr>
    </w:p>
    <w:p w:rsidR="003068A5" w:rsidRPr="003068A5" w:rsidRDefault="003068A5" w:rsidP="003068A5">
      <w:pPr>
        <w:pStyle w:val="Legenda"/>
        <w:rPr>
          <w:rFonts w:cs="Arial"/>
          <w:lang w:eastAsia="pt-BR"/>
        </w:rPr>
      </w:pPr>
      <w:bookmarkStart w:id="580" w:name="_Ref507601081"/>
      <w:bookmarkStart w:id="581" w:name="_Toc484422572"/>
      <w:bookmarkStart w:id="582" w:name="_Toc484532485"/>
      <w:bookmarkStart w:id="583" w:name="_Toc498099270"/>
      <w:bookmarkStart w:id="584" w:name="_Toc509935871"/>
      <w:r>
        <w:lastRenderedPageBreak/>
        <w:t xml:space="preserve">Tabela </w:t>
      </w:r>
      <w:r w:rsidR="000A1C78">
        <w:fldChar w:fldCharType="begin"/>
      </w:r>
      <w:r w:rsidR="000A1C78">
        <w:instrText xml:space="preserve"> SEQ Tabela \* ARABIC </w:instrText>
      </w:r>
      <w:r w:rsidR="000A1C78">
        <w:fldChar w:fldCharType="separate"/>
      </w:r>
      <w:r w:rsidR="001B481B">
        <w:rPr>
          <w:noProof/>
        </w:rPr>
        <w:t>1</w:t>
      </w:r>
      <w:r w:rsidR="000A1C78">
        <w:rPr>
          <w:noProof/>
        </w:rPr>
        <w:fldChar w:fldCharType="end"/>
      </w:r>
      <w:bookmarkEnd w:id="580"/>
      <w:r w:rsidRPr="003068A5">
        <w:rPr>
          <w:rFonts w:cs="Arial"/>
        </w:rPr>
        <w:t xml:space="preserve"> - Objetivos e metas do Sistema de Saneamento Básico Municipal</w:t>
      </w:r>
      <w:bookmarkEnd w:id="581"/>
      <w:r w:rsidRPr="003068A5">
        <w:rPr>
          <w:rFonts w:cs="Arial"/>
        </w:rPr>
        <w:t xml:space="preserve"> de Córrego Novo</w:t>
      </w:r>
      <w:bookmarkEnd w:id="582"/>
      <w:bookmarkEnd w:id="583"/>
      <w:bookmarkEnd w:id="584"/>
    </w:p>
    <w:tbl>
      <w:tblPr>
        <w:tblW w:w="13218"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5648"/>
        <w:gridCol w:w="5583"/>
        <w:gridCol w:w="1987"/>
      </w:tblGrid>
      <w:tr w:rsidR="003068A5" w:rsidRPr="003068A5" w:rsidTr="003068A5">
        <w:trPr>
          <w:cantSplit/>
          <w:trHeight w:val="113"/>
          <w:tblHeader/>
          <w:jc w:val="center"/>
        </w:trPr>
        <w:tc>
          <w:tcPr>
            <w:tcW w:w="5648" w:type="dxa"/>
            <w:shd w:val="clear" w:color="auto" w:fill="4F81BD"/>
            <w:vAlign w:val="center"/>
            <w:hideMark/>
          </w:tcPr>
          <w:p w:rsidR="003068A5" w:rsidRPr="003068A5" w:rsidRDefault="003068A5" w:rsidP="003068A5">
            <w:pPr>
              <w:autoSpaceDE w:val="0"/>
              <w:autoSpaceDN w:val="0"/>
              <w:adjustRightInd w:val="0"/>
              <w:spacing w:before="60" w:after="60" w:line="240" w:lineRule="auto"/>
              <w:jc w:val="center"/>
              <w:rPr>
                <w:rFonts w:eastAsia="Times New Roman" w:cs="Arial"/>
                <w:b/>
                <w:bCs/>
                <w:sz w:val="22"/>
              </w:rPr>
            </w:pPr>
            <w:r w:rsidRPr="003068A5">
              <w:rPr>
                <w:rFonts w:eastAsia="Times New Roman" w:cs="Arial"/>
                <w:b/>
                <w:bCs/>
                <w:sz w:val="22"/>
              </w:rPr>
              <w:t>Objetivo</w:t>
            </w:r>
          </w:p>
        </w:tc>
        <w:tc>
          <w:tcPr>
            <w:tcW w:w="5583" w:type="dxa"/>
            <w:shd w:val="clear" w:color="auto" w:fill="4F81BD"/>
            <w:vAlign w:val="center"/>
            <w:hideMark/>
          </w:tcPr>
          <w:p w:rsidR="003068A5" w:rsidRPr="003068A5" w:rsidRDefault="003068A5" w:rsidP="003068A5">
            <w:pPr>
              <w:autoSpaceDE w:val="0"/>
              <w:autoSpaceDN w:val="0"/>
              <w:adjustRightInd w:val="0"/>
              <w:spacing w:before="60" w:after="60" w:line="240" w:lineRule="auto"/>
              <w:jc w:val="center"/>
              <w:rPr>
                <w:rFonts w:eastAsia="Times New Roman" w:cs="Arial"/>
                <w:b/>
                <w:bCs/>
                <w:sz w:val="22"/>
              </w:rPr>
            </w:pPr>
            <w:r w:rsidRPr="003068A5">
              <w:rPr>
                <w:rFonts w:eastAsia="Times New Roman" w:cs="Arial"/>
                <w:b/>
                <w:bCs/>
                <w:sz w:val="22"/>
              </w:rPr>
              <w:t>Metas</w:t>
            </w:r>
          </w:p>
        </w:tc>
        <w:tc>
          <w:tcPr>
            <w:tcW w:w="1987" w:type="dxa"/>
            <w:shd w:val="clear" w:color="auto" w:fill="4F81BD"/>
            <w:vAlign w:val="center"/>
            <w:hideMark/>
          </w:tcPr>
          <w:p w:rsidR="003068A5" w:rsidRPr="003068A5" w:rsidRDefault="003068A5" w:rsidP="003068A5">
            <w:pPr>
              <w:autoSpaceDE w:val="0"/>
              <w:autoSpaceDN w:val="0"/>
              <w:adjustRightInd w:val="0"/>
              <w:spacing w:before="60" w:after="60" w:line="240" w:lineRule="auto"/>
              <w:jc w:val="center"/>
              <w:rPr>
                <w:rFonts w:eastAsia="Times New Roman" w:cs="Arial"/>
                <w:b/>
                <w:bCs/>
                <w:sz w:val="22"/>
              </w:rPr>
            </w:pPr>
            <w:r w:rsidRPr="003068A5">
              <w:rPr>
                <w:rFonts w:eastAsia="Times New Roman" w:cs="Arial"/>
                <w:b/>
                <w:bCs/>
                <w:sz w:val="22"/>
              </w:rPr>
              <w:t>Prazo de entrega</w:t>
            </w:r>
          </w:p>
        </w:tc>
      </w:tr>
      <w:tr w:rsidR="003068A5" w:rsidRPr="003068A5" w:rsidTr="003068A5">
        <w:trPr>
          <w:cantSplit/>
          <w:trHeight w:val="244"/>
          <w:jc w:val="center"/>
        </w:trPr>
        <w:tc>
          <w:tcPr>
            <w:tcW w:w="5648" w:type="dxa"/>
            <w:vMerge w:val="restart"/>
            <w:vAlign w:val="center"/>
          </w:tcPr>
          <w:p w:rsidR="003068A5" w:rsidRPr="003068A5" w:rsidRDefault="003068A5" w:rsidP="0066661F">
            <w:pPr>
              <w:numPr>
                <w:ilvl w:val="0"/>
                <w:numId w:val="40"/>
              </w:numPr>
              <w:spacing w:line="240" w:lineRule="auto"/>
              <w:ind w:left="166" w:hanging="2"/>
              <w:contextualSpacing/>
              <w:jc w:val="both"/>
              <w:rPr>
                <w:rFonts w:eastAsia="Times New Roman" w:cs="Arial"/>
                <w:sz w:val="22"/>
                <w:lang w:eastAsia="pt-BR"/>
              </w:rPr>
            </w:pPr>
            <w:r w:rsidRPr="003068A5">
              <w:rPr>
                <w:rFonts w:eastAsia="Times New Roman" w:cs="Arial"/>
                <w:sz w:val="22"/>
                <w:lang w:eastAsia="pt-BR"/>
              </w:rPr>
              <w:t>Estabelecer um arranjo institucional capaz de articular os quatro setores do saneamento básico municipal sob uma única supervisão.</w:t>
            </w:r>
          </w:p>
          <w:p w:rsidR="003068A5" w:rsidRPr="003068A5" w:rsidRDefault="003068A5" w:rsidP="003068A5">
            <w:pPr>
              <w:spacing w:line="240" w:lineRule="auto"/>
              <w:rPr>
                <w:rFonts w:cs="Arial"/>
                <w:sz w:val="22"/>
              </w:rPr>
            </w:pPr>
          </w:p>
          <w:p w:rsidR="003068A5" w:rsidRPr="003068A5" w:rsidRDefault="003068A5" w:rsidP="003068A5">
            <w:pPr>
              <w:spacing w:line="240" w:lineRule="auto"/>
              <w:rPr>
                <w:rFonts w:cs="Arial"/>
                <w:sz w:val="22"/>
              </w:rPr>
            </w:pPr>
          </w:p>
          <w:p w:rsidR="003068A5" w:rsidRPr="003068A5" w:rsidRDefault="003068A5" w:rsidP="003068A5">
            <w:pPr>
              <w:spacing w:line="240" w:lineRule="auto"/>
              <w:rPr>
                <w:rFonts w:cs="Arial"/>
                <w:sz w:val="22"/>
              </w:rPr>
            </w:pPr>
          </w:p>
          <w:p w:rsidR="003068A5" w:rsidRPr="003068A5" w:rsidRDefault="003068A5" w:rsidP="003068A5">
            <w:pPr>
              <w:spacing w:line="240" w:lineRule="auto"/>
              <w:rPr>
                <w:rFonts w:cs="Arial"/>
                <w:sz w:val="22"/>
              </w:rPr>
            </w:pPr>
          </w:p>
          <w:p w:rsidR="003068A5" w:rsidRPr="003068A5" w:rsidRDefault="003068A5" w:rsidP="003068A5">
            <w:pPr>
              <w:spacing w:line="240" w:lineRule="auto"/>
              <w:rPr>
                <w:rFonts w:cs="Arial"/>
                <w:sz w:val="22"/>
              </w:rPr>
            </w:pPr>
          </w:p>
        </w:tc>
        <w:tc>
          <w:tcPr>
            <w:tcW w:w="5583" w:type="dxa"/>
            <w:vAlign w:val="center"/>
          </w:tcPr>
          <w:p w:rsidR="003068A5" w:rsidRPr="003068A5" w:rsidRDefault="003068A5" w:rsidP="0066661F">
            <w:pPr>
              <w:numPr>
                <w:ilvl w:val="1"/>
                <w:numId w:val="110"/>
              </w:numPr>
              <w:spacing w:before="60" w:after="60" w:line="240" w:lineRule="auto"/>
              <w:ind w:left="0" w:firstLine="0"/>
              <w:contextualSpacing/>
              <w:jc w:val="both"/>
              <w:rPr>
                <w:rFonts w:eastAsia="Times New Roman" w:cs="Arial"/>
                <w:bCs/>
                <w:sz w:val="22"/>
                <w:lang w:eastAsia="pt-BR"/>
              </w:rPr>
            </w:pPr>
            <w:r w:rsidRPr="003068A5">
              <w:rPr>
                <w:rFonts w:eastAsia="Times New Roman" w:cs="Arial"/>
                <w:bCs/>
                <w:sz w:val="22"/>
                <w:lang w:eastAsia="pt-BR"/>
              </w:rPr>
              <w:t xml:space="preserve">Instituir Secretaria, Departamento ou Divisão para exercer a função de supervisão do setor de saneamento municipal, com atribuições de acompanhar a prestação, regulação, fiscalização e avaliação da eficiência dos serviços, assim como o desenvolvimento da implementação das ações previstas no PMSB. </w:t>
            </w:r>
          </w:p>
        </w:tc>
        <w:tc>
          <w:tcPr>
            <w:tcW w:w="1987" w:type="dxa"/>
            <w:vAlign w:val="center"/>
          </w:tcPr>
          <w:p w:rsidR="003068A5" w:rsidRPr="003068A5" w:rsidRDefault="003068A5" w:rsidP="003068A5">
            <w:pPr>
              <w:spacing w:before="60" w:after="60" w:line="240" w:lineRule="auto"/>
              <w:jc w:val="center"/>
              <w:rPr>
                <w:rFonts w:eastAsia="Times New Roman" w:cs="Arial"/>
                <w:bCs/>
                <w:sz w:val="22"/>
              </w:rPr>
            </w:pPr>
            <w:r w:rsidRPr="003068A5">
              <w:rPr>
                <w:rFonts w:eastAsia="Times New Roman" w:cs="Arial"/>
                <w:bCs/>
                <w:sz w:val="22"/>
              </w:rPr>
              <w:t>Imediato</w:t>
            </w:r>
          </w:p>
        </w:tc>
      </w:tr>
      <w:tr w:rsidR="003068A5" w:rsidRPr="003068A5" w:rsidTr="003068A5">
        <w:trPr>
          <w:cantSplit/>
          <w:trHeight w:val="244"/>
          <w:jc w:val="center"/>
        </w:trPr>
        <w:tc>
          <w:tcPr>
            <w:tcW w:w="5648" w:type="dxa"/>
            <w:vMerge/>
            <w:vAlign w:val="center"/>
          </w:tcPr>
          <w:p w:rsidR="003068A5" w:rsidRPr="003068A5" w:rsidRDefault="003068A5" w:rsidP="003068A5">
            <w:pPr>
              <w:spacing w:line="240" w:lineRule="auto"/>
              <w:rPr>
                <w:rFonts w:cs="Arial"/>
                <w:sz w:val="22"/>
              </w:rPr>
            </w:pPr>
          </w:p>
        </w:tc>
        <w:tc>
          <w:tcPr>
            <w:tcW w:w="5583" w:type="dxa"/>
            <w:vAlign w:val="center"/>
          </w:tcPr>
          <w:p w:rsidR="003068A5" w:rsidRPr="003068A5" w:rsidRDefault="003068A5" w:rsidP="003068A5">
            <w:pPr>
              <w:spacing w:before="60" w:after="60" w:line="240" w:lineRule="auto"/>
              <w:jc w:val="both"/>
              <w:rPr>
                <w:rFonts w:cs="Arial"/>
                <w:bCs/>
                <w:sz w:val="22"/>
              </w:rPr>
            </w:pPr>
            <w:r w:rsidRPr="003068A5">
              <w:rPr>
                <w:rFonts w:cs="Arial"/>
                <w:bCs/>
                <w:sz w:val="22"/>
              </w:rPr>
              <w:t>1.2. Estabelecer e normatizar um relacionamento com os setores do saneamento básico instituindo rotinas e fluxos de informação para garantir o alinhamento estratégico.</w:t>
            </w:r>
          </w:p>
        </w:tc>
        <w:tc>
          <w:tcPr>
            <w:tcW w:w="1987" w:type="dxa"/>
            <w:vAlign w:val="center"/>
          </w:tcPr>
          <w:p w:rsidR="003068A5" w:rsidRPr="003068A5" w:rsidRDefault="003068A5" w:rsidP="003068A5">
            <w:pPr>
              <w:spacing w:before="60" w:after="60" w:line="240" w:lineRule="auto"/>
              <w:jc w:val="center"/>
              <w:rPr>
                <w:rFonts w:eastAsia="Times New Roman" w:cs="Arial"/>
                <w:bCs/>
                <w:sz w:val="22"/>
              </w:rPr>
            </w:pPr>
            <w:r w:rsidRPr="003068A5">
              <w:rPr>
                <w:rFonts w:eastAsia="Times New Roman" w:cs="Arial"/>
                <w:bCs/>
                <w:sz w:val="22"/>
              </w:rPr>
              <w:t>Imediato</w:t>
            </w:r>
          </w:p>
        </w:tc>
      </w:tr>
      <w:tr w:rsidR="003068A5" w:rsidRPr="003068A5" w:rsidTr="003068A5">
        <w:trPr>
          <w:cantSplit/>
          <w:trHeight w:val="113"/>
          <w:jc w:val="center"/>
        </w:trPr>
        <w:tc>
          <w:tcPr>
            <w:tcW w:w="5648" w:type="dxa"/>
            <w:vMerge/>
            <w:vAlign w:val="center"/>
          </w:tcPr>
          <w:p w:rsidR="003068A5" w:rsidRPr="003068A5" w:rsidRDefault="003068A5" w:rsidP="003068A5">
            <w:pPr>
              <w:spacing w:line="240" w:lineRule="auto"/>
              <w:ind w:left="166"/>
              <w:contextualSpacing/>
              <w:rPr>
                <w:rFonts w:eastAsia="Times New Roman" w:cs="Arial"/>
                <w:sz w:val="22"/>
                <w:lang w:eastAsia="pt-BR"/>
              </w:rPr>
            </w:pPr>
          </w:p>
        </w:tc>
        <w:tc>
          <w:tcPr>
            <w:tcW w:w="5583" w:type="dxa"/>
            <w:vAlign w:val="center"/>
          </w:tcPr>
          <w:p w:rsidR="003068A5" w:rsidRPr="003068A5" w:rsidRDefault="003068A5" w:rsidP="003068A5">
            <w:pPr>
              <w:spacing w:before="60" w:after="60" w:line="240" w:lineRule="auto"/>
              <w:jc w:val="both"/>
              <w:rPr>
                <w:rFonts w:cs="Arial"/>
                <w:bCs/>
                <w:sz w:val="22"/>
              </w:rPr>
            </w:pPr>
            <w:r w:rsidRPr="003068A5">
              <w:rPr>
                <w:rFonts w:cs="Arial"/>
                <w:bCs/>
                <w:sz w:val="22"/>
              </w:rPr>
              <w:t>1.3. Possuir um Conselho Municipal de Saneamento Básico.</w:t>
            </w:r>
          </w:p>
        </w:tc>
        <w:tc>
          <w:tcPr>
            <w:tcW w:w="1987" w:type="dxa"/>
            <w:vAlign w:val="center"/>
          </w:tcPr>
          <w:p w:rsidR="003068A5" w:rsidRPr="003068A5" w:rsidRDefault="003068A5" w:rsidP="003068A5">
            <w:pPr>
              <w:spacing w:before="60" w:after="60" w:line="240" w:lineRule="auto"/>
              <w:jc w:val="center"/>
              <w:rPr>
                <w:rFonts w:eastAsia="Times New Roman" w:cs="Arial"/>
                <w:bCs/>
                <w:sz w:val="22"/>
              </w:rPr>
            </w:pPr>
            <w:r w:rsidRPr="003068A5">
              <w:rPr>
                <w:rFonts w:eastAsia="Times New Roman" w:cs="Arial"/>
                <w:bCs/>
                <w:sz w:val="22"/>
              </w:rPr>
              <w:t>Imediato</w:t>
            </w:r>
          </w:p>
        </w:tc>
      </w:tr>
      <w:tr w:rsidR="003068A5" w:rsidRPr="003068A5" w:rsidTr="003068A5">
        <w:trPr>
          <w:cantSplit/>
          <w:trHeight w:val="113"/>
          <w:jc w:val="center"/>
        </w:trPr>
        <w:tc>
          <w:tcPr>
            <w:tcW w:w="5648" w:type="dxa"/>
            <w:vAlign w:val="center"/>
            <w:hideMark/>
          </w:tcPr>
          <w:p w:rsidR="003068A5" w:rsidRPr="003068A5" w:rsidRDefault="003068A5" w:rsidP="0066661F">
            <w:pPr>
              <w:numPr>
                <w:ilvl w:val="0"/>
                <w:numId w:val="40"/>
              </w:numPr>
              <w:spacing w:line="240" w:lineRule="auto"/>
              <w:ind w:left="166" w:hanging="2"/>
              <w:contextualSpacing/>
              <w:jc w:val="both"/>
              <w:rPr>
                <w:rFonts w:eastAsia="Times New Roman" w:cs="Arial"/>
                <w:sz w:val="22"/>
                <w:lang w:eastAsia="pt-BR"/>
              </w:rPr>
            </w:pPr>
            <w:r w:rsidRPr="003068A5">
              <w:rPr>
                <w:rFonts w:eastAsia="Times New Roman" w:cs="Arial"/>
                <w:sz w:val="22"/>
                <w:lang w:eastAsia="pt-BR"/>
              </w:rPr>
              <w:t xml:space="preserve"> Alcançar, no município, a universalidade do acesso aos quatro sistemas do saneamento básico.</w:t>
            </w:r>
          </w:p>
          <w:p w:rsidR="003068A5" w:rsidRPr="003068A5" w:rsidRDefault="003068A5" w:rsidP="003068A5">
            <w:pPr>
              <w:spacing w:line="240" w:lineRule="auto"/>
              <w:ind w:left="306" w:hanging="142"/>
              <w:jc w:val="both"/>
              <w:rPr>
                <w:rFonts w:eastAsia="Times New Roman" w:cs="Arial"/>
                <w:bCs/>
                <w:sz w:val="22"/>
              </w:rPr>
            </w:pPr>
          </w:p>
        </w:tc>
        <w:tc>
          <w:tcPr>
            <w:tcW w:w="5583" w:type="dxa"/>
            <w:vAlign w:val="center"/>
            <w:hideMark/>
          </w:tcPr>
          <w:p w:rsidR="003068A5" w:rsidRPr="003068A5" w:rsidRDefault="003068A5" w:rsidP="003068A5">
            <w:pPr>
              <w:spacing w:before="60" w:after="60" w:line="240" w:lineRule="auto"/>
              <w:jc w:val="both"/>
              <w:rPr>
                <w:rFonts w:eastAsia="Times New Roman" w:cs="Arial"/>
                <w:bCs/>
                <w:sz w:val="22"/>
              </w:rPr>
            </w:pPr>
            <w:r w:rsidRPr="003068A5">
              <w:rPr>
                <w:rFonts w:eastAsia="Times New Roman" w:cs="Arial"/>
                <w:bCs/>
                <w:sz w:val="22"/>
              </w:rPr>
              <w:t>2.1. Supervisionar a implementação das ações relacionadas ao aumento do percentual de cobertura dos serviços, dentro dos prazos especificados nos respectivos setores, conforme previsto neste PMSB.</w:t>
            </w:r>
          </w:p>
        </w:tc>
        <w:tc>
          <w:tcPr>
            <w:tcW w:w="1987" w:type="dxa"/>
            <w:vAlign w:val="center"/>
            <w:hideMark/>
          </w:tcPr>
          <w:p w:rsidR="003068A5" w:rsidRPr="003068A5" w:rsidRDefault="003068A5" w:rsidP="003068A5">
            <w:pPr>
              <w:spacing w:before="60" w:after="60" w:line="240" w:lineRule="auto"/>
              <w:jc w:val="center"/>
              <w:rPr>
                <w:rFonts w:eastAsia="Times New Roman" w:cs="Arial"/>
                <w:bCs/>
                <w:sz w:val="22"/>
              </w:rPr>
            </w:pPr>
            <w:r w:rsidRPr="003068A5">
              <w:rPr>
                <w:rFonts w:eastAsia="Times New Roman" w:cs="Arial"/>
                <w:bCs/>
                <w:sz w:val="22"/>
              </w:rPr>
              <w:t xml:space="preserve">Longo </w:t>
            </w:r>
          </w:p>
        </w:tc>
      </w:tr>
      <w:tr w:rsidR="003068A5" w:rsidRPr="003068A5" w:rsidTr="003068A5">
        <w:trPr>
          <w:cantSplit/>
          <w:trHeight w:val="113"/>
          <w:jc w:val="center"/>
        </w:trPr>
        <w:tc>
          <w:tcPr>
            <w:tcW w:w="5648" w:type="dxa"/>
            <w:vAlign w:val="center"/>
            <w:hideMark/>
          </w:tcPr>
          <w:p w:rsidR="003068A5" w:rsidRPr="003068A5" w:rsidRDefault="003068A5" w:rsidP="0066661F">
            <w:pPr>
              <w:numPr>
                <w:ilvl w:val="0"/>
                <w:numId w:val="40"/>
              </w:numPr>
              <w:spacing w:line="240" w:lineRule="auto"/>
              <w:ind w:left="166" w:hanging="2"/>
              <w:contextualSpacing/>
              <w:jc w:val="both"/>
              <w:rPr>
                <w:rFonts w:eastAsia="Times New Roman" w:cs="Arial"/>
                <w:sz w:val="22"/>
                <w:lang w:eastAsia="pt-BR"/>
              </w:rPr>
            </w:pPr>
            <w:r w:rsidRPr="003068A5">
              <w:rPr>
                <w:rFonts w:eastAsia="Times New Roman" w:cs="Arial"/>
                <w:sz w:val="22"/>
                <w:lang w:eastAsia="pt-BR"/>
              </w:rPr>
              <w:t>Alcançar a sustentabilidade econômico-financeira para o setor do saneamento no município.</w:t>
            </w:r>
          </w:p>
          <w:p w:rsidR="003068A5" w:rsidRPr="003068A5" w:rsidRDefault="003068A5" w:rsidP="003068A5">
            <w:pPr>
              <w:spacing w:before="60" w:after="60" w:line="240" w:lineRule="auto"/>
              <w:jc w:val="both"/>
              <w:rPr>
                <w:rFonts w:eastAsia="Times New Roman" w:cs="Arial"/>
                <w:bCs/>
                <w:sz w:val="22"/>
              </w:rPr>
            </w:pPr>
          </w:p>
        </w:tc>
        <w:tc>
          <w:tcPr>
            <w:tcW w:w="5583" w:type="dxa"/>
            <w:vAlign w:val="center"/>
            <w:hideMark/>
          </w:tcPr>
          <w:p w:rsidR="003068A5" w:rsidRPr="003068A5" w:rsidRDefault="003068A5" w:rsidP="003068A5">
            <w:pPr>
              <w:spacing w:before="60" w:after="60" w:line="240" w:lineRule="auto"/>
              <w:jc w:val="both"/>
              <w:rPr>
                <w:rFonts w:eastAsia="Times New Roman" w:cs="Arial"/>
                <w:bCs/>
                <w:sz w:val="22"/>
              </w:rPr>
            </w:pPr>
            <w:r w:rsidRPr="003068A5">
              <w:rPr>
                <w:rFonts w:eastAsia="Times New Roman" w:cs="Arial"/>
                <w:bCs/>
                <w:sz w:val="22"/>
              </w:rPr>
              <w:t>3.1. Instituir e sistematizar soluções operacionais e gerenciais que influenciem na melhoria da situação financeira dos setores.</w:t>
            </w:r>
          </w:p>
        </w:tc>
        <w:tc>
          <w:tcPr>
            <w:tcW w:w="1987" w:type="dxa"/>
            <w:vAlign w:val="center"/>
            <w:hideMark/>
          </w:tcPr>
          <w:p w:rsidR="003068A5" w:rsidRPr="003068A5" w:rsidRDefault="003068A5" w:rsidP="003068A5">
            <w:pPr>
              <w:spacing w:before="60" w:after="60" w:line="240" w:lineRule="auto"/>
              <w:jc w:val="center"/>
              <w:rPr>
                <w:rFonts w:eastAsia="Times New Roman" w:cs="Arial"/>
                <w:bCs/>
                <w:sz w:val="22"/>
              </w:rPr>
            </w:pPr>
            <w:r w:rsidRPr="003068A5">
              <w:rPr>
                <w:rFonts w:eastAsia="Times New Roman" w:cs="Arial"/>
                <w:bCs/>
                <w:sz w:val="22"/>
              </w:rPr>
              <w:t>Curto</w:t>
            </w:r>
          </w:p>
        </w:tc>
      </w:tr>
      <w:tr w:rsidR="003068A5" w:rsidRPr="003068A5" w:rsidTr="003068A5">
        <w:trPr>
          <w:cantSplit/>
          <w:trHeight w:val="113"/>
          <w:jc w:val="center"/>
        </w:trPr>
        <w:tc>
          <w:tcPr>
            <w:tcW w:w="5648" w:type="dxa"/>
            <w:vAlign w:val="center"/>
            <w:hideMark/>
          </w:tcPr>
          <w:p w:rsidR="003068A5" w:rsidRPr="003068A5" w:rsidRDefault="003068A5" w:rsidP="0066661F">
            <w:pPr>
              <w:numPr>
                <w:ilvl w:val="0"/>
                <w:numId w:val="40"/>
              </w:numPr>
              <w:spacing w:line="240" w:lineRule="auto"/>
              <w:ind w:left="166" w:hanging="2"/>
              <w:contextualSpacing/>
              <w:jc w:val="both"/>
              <w:rPr>
                <w:rFonts w:eastAsia="Times New Roman" w:cs="Arial"/>
                <w:sz w:val="22"/>
                <w:lang w:eastAsia="pt-BR"/>
              </w:rPr>
            </w:pPr>
            <w:r w:rsidRPr="003068A5">
              <w:rPr>
                <w:rFonts w:eastAsia="Times New Roman" w:cs="Arial"/>
                <w:sz w:val="22"/>
                <w:lang w:eastAsia="pt-BR"/>
              </w:rPr>
              <w:t>Submeter os quatro eixos do saneamento básico municipal a uma entidade reguladora, cujas atribuições são definidas pela Lei nº 11.445/07 e pelo decreto que a regulamenta.</w:t>
            </w:r>
          </w:p>
          <w:p w:rsidR="003068A5" w:rsidRPr="003068A5" w:rsidRDefault="003068A5" w:rsidP="003068A5">
            <w:pPr>
              <w:spacing w:before="60" w:after="60" w:line="240" w:lineRule="auto"/>
              <w:ind w:left="164"/>
              <w:rPr>
                <w:rFonts w:eastAsia="Times New Roman" w:cs="Arial"/>
                <w:sz w:val="22"/>
                <w:lang w:eastAsia="pt-BR"/>
              </w:rPr>
            </w:pPr>
          </w:p>
        </w:tc>
        <w:tc>
          <w:tcPr>
            <w:tcW w:w="5583" w:type="dxa"/>
            <w:vAlign w:val="center"/>
            <w:hideMark/>
          </w:tcPr>
          <w:p w:rsidR="003068A5" w:rsidRPr="003068A5" w:rsidRDefault="003068A5" w:rsidP="003068A5">
            <w:pPr>
              <w:spacing w:before="60" w:after="60" w:line="240" w:lineRule="auto"/>
              <w:jc w:val="both"/>
              <w:rPr>
                <w:rFonts w:eastAsia="Times New Roman" w:cs="Arial"/>
                <w:bCs/>
                <w:sz w:val="22"/>
              </w:rPr>
            </w:pPr>
            <w:r w:rsidRPr="003068A5">
              <w:rPr>
                <w:rFonts w:eastAsia="Times New Roman" w:cs="Arial"/>
                <w:sz w:val="22"/>
              </w:rPr>
              <w:t>4.1. Garantir que a função reguladora de cada setor seja exercida por um órgão institucional regulamentado.</w:t>
            </w:r>
          </w:p>
        </w:tc>
        <w:tc>
          <w:tcPr>
            <w:tcW w:w="1987" w:type="dxa"/>
            <w:vAlign w:val="center"/>
            <w:hideMark/>
          </w:tcPr>
          <w:p w:rsidR="003068A5" w:rsidRPr="003068A5" w:rsidRDefault="003068A5" w:rsidP="003068A5">
            <w:pPr>
              <w:spacing w:before="60" w:after="60" w:line="240" w:lineRule="auto"/>
              <w:jc w:val="center"/>
              <w:rPr>
                <w:rFonts w:eastAsia="Times New Roman" w:cs="Arial"/>
                <w:bCs/>
                <w:sz w:val="22"/>
              </w:rPr>
            </w:pPr>
            <w:r w:rsidRPr="003068A5">
              <w:rPr>
                <w:rFonts w:eastAsia="Times New Roman" w:cs="Arial"/>
                <w:bCs/>
                <w:sz w:val="22"/>
              </w:rPr>
              <w:t>Curto</w:t>
            </w:r>
          </w:p>
        </w:tc>
      </w:tr>
      <w:tr w:rsidR="003068A5" w:rsidRPr="003068A5" w:rsidTr="003068A5">
        <w:trPr>
          <w:cantSplit/>
          <w:trHeight w:val="113"/>
          <w:jc w:val="center"/>
        </w:trPr>
        <w:tc>
          <w:tcPr>
            <w:tcW w:w="5648" w:type="dxa"/>
            <w:vAlign w:val="center"/>
            <w:hideMark/>
          </w:tcPr>
          <w:p w:rsidR="003068A5" w:rsidRPr="003068A5" w:rsidRDefault="003068A5" w:rsidP="003068A5">
            <w:pPr>
              <w:spacing w:line="240" w:lineRule="auto"/>
              <w:ind w:left="166"/>
              <w:contextualSpacing/>
              <w:rPr>
                <w:rFonts w:eastAsia="Times New Roman" w:cs="Arial"/>
                <w:sz w:val="22"/>
                <w:lang w:eastAsia="pt-BR"/>
              </w:rPr>
            </w:pPr>
          </w:p>
          <w:p w:rsidR="003068A5" w:rsidRPr="003068A5" w:rsidRDefault="003068A5" w:rsidP="0066661F">
            <w:pPr>
              <w:numPr>
                <w:ilvl w:val="0"/>
                <w:numId w:val="40"/>
              </w:numPr>
              <w:spacing w:line="240" w:lineRule="auto"/>
              <w:ind w:left="166" w:hanging="2"/>
              <w:contextualSpacing/>
              <w:jc w:val="both"/>
              <w:rPr>
                <w:rFonts w:eastAsia="Times New Roman" w:cs="Arial"/>
                <w:sz w:val="22"/>
                <w:lang w:eastAsia="pt-BR"/>
              </w:rPr>
            </w:pPr>
            <w:r w:rsidRPr="003068A5">
              <w:rPr>
                <w:rFonts w:eastAsia="Times New Roman" w:cs="Arial"/>
                <w:sz w:val="22"/>
                <w:lang w:eastAsia="pt-BR"/>
              </w:rPr>
              <w:t>Apresentar conformidade com a legislação ambiental vigente.</w:t>
            </w:r>
          </w:p>
          <w:p w:rsidR="003068A5" w:rsidRPr="003068A5" w:rsidRDefault="003068A5" w:rsidP="003068A5">
            <w:pPr>
              <w:spacing w:line="240" w:lineRule="auto"/>
              <w:ind w:left="166"/>
              <w:contextualSpacing/>
              <w:rPr>
                <w:rFonts w:eastAsia="Times New Roman" w:cs="Arial"/>
                <w:sz w:val="22"/>
                <w:lang w:eastAsia="pt-BR"/>
              </w:rPr>
            </w:pPr>
          </w:p>
          <w:p w:rsidR="003068A5" w:rsidRPr="003068A5" w:rsidRDefault="003068A5" w:rsidP="003068A5">
            <w:pPr>
              <w:spacing w:line="240" w:lineRule="auto"/>
              <w:ind w:left="166"/>
              <w:contextualSpacing/>
              <w:rPr>
                <w:rFonts w:eastAsia="Times New Roman" w:cs="Arial"/>
                <w:sz w:val="22"/>
                <w:lang w:eastAsia="pt-BR"/>
              </w:rPr>
            </w:pPr>
          </w:p>
          <w:p w:rsidR="003068A5" w:rsidRPr="003068A5" w:rsidRDefault="003068A5" w:rsidP="003068A5">
            <w:pPr>
              <w:spacing w:line="240" w:lineRule="auto"/>
              <w:ind w:left="166"/>
              <w:contextualSpacing/>
              <w:rPr>
                <w:rFonts w:eastAsia="Times New Roman" w:cs="Arial"/>
                <w:sz w:val="22"/>
                <w:lang w:eastAsia="pt-BR"/>
              </w:rPr>
            </w:pPr>
          </w:p>
        </w:tc>
        <w:tc>
          <w:tcPr>
            <w:tcW w:w="5583" w:type="dxa"/>
            <w:vAlign w:val="center"/>
          </w:tcPr>
          <w:p w:rsidR="003068A5" w:rsidRPr="003068A5" w:rsidRDefault="003068A5" w:rsidP="003068A5">
            <w:pPr>
              <w:spacing w:before="60" w:after="60" w:line="240" w:lineRule="auto"/>
              <w:jc w:val="both"/>
              <w:rPr>
                <w:rFonts w:eastAsia="Times New Roman" w:cs="Arial"/>
                <w:bCs/>
                <w:sz w:val="22"/>
              </w:rPr>
            </w:pPr>
            <w:r w:rsidRPr="003068A5">
              <w:rPr>
                <w:rFonts w:eastAsia="Times New Roman" w:cs="Arial"/>
                <w:bCs/>
                <w:sz w:val="22"/>
              </w:rPr>
              <w:t>5.1. Fornecer continuamente apoio técnico e institucional para que</w:t>
            </w:r>
            <w:r w:rsidRPr="003068A5">
              <w:rPr>
                <w:rFonts w:eastAsia="Times New Roman" w:cs="Arial"/>
                <w:sz w:val="22"/>
              </w:rPr>
              <w:t xml:space="preserve"> os setores providenciem o licenciamento ambiental dos processos que sejam passíveis</w:t>
            </w:r>
            <w:r w:rsidRPr="003068A5">
              <w:rPr>
                <w:rFonts w:cs="Arial"/>
                <w:sz w:val="22"/>
              </w:rPr>
              <w:t xml:space="preserve"> de causar impacto ambiental.</w:t>
            </w:r>
          </w:p>
        </w:tc>
        <w:tc>
          <w:tcPr>
            <w:tcW w:w="1987" w:type="dxa"/>
            <w:vAlign w:val="center"/>
            <w:hideMark/>
          </w:tcPr>
          <w:p w:rsidR="003068A5" w:rsidRPr="003068A5" w:rsidRDefault="003068A5" w:rsidP="003068A5">
            <w:pPr>
              <w:spacing w:before="60" w:after="60" w:line="240" w:lineRule="auto"/>
              <w:jc w:val="center"/>
              <w:rPr>
                <w:rFonts w:eastAsia="Times New Roman" w:cs="Arial"/>
                <w:bCs/>
                <w:sz w:val="22"/>
              </w:rPr>
            </w:pPr>
            <w:r w:rsidRPr="003068A5">
              <w:rPr>
                <w:rFonts w:eastAsia="Times New Roman" w:cs="Arial"/>
                <w:bCs/>
                <w:sz w:val="22"/>
              </w:rPr>
              <w:t>Longo</w:t>
            </w:r>
          </w:p>
        </w:tc>
      </w:tr>
      <w:tr w:rsidR="003068A5" w:rsidRPr="003068A5" w:rsidTr="003068A5">
        <w:trPr>
          <w:cantSplit/>
          <w:trHeight w:val="113"/>
          <w:jc w:val="center"/>
        </w:trPr>
        <w:tc>
          <w:tcPr>
            <w:tcW w:w="5648" w:type="dxa"/>
            <w:vMerge w:val="restart"/>
            <w:vAlign w:val="center"/>
            <w:hideMark/>
          </w:tcPr>
          <w:p w:rsidR="003068A5" w:rsidRPr="003068A5" w:rsidRDefault="003068A5" w:rsidP="0066661F">
            <w:pPr>
              <w:numPr>
                <w:ilvl w:val="0"/>
                <w:numId w:val="40"/>
              </w:numPr>
              <w:spacing w:line="240" w:lineRule="auto"/>
              <w:ind w:left="166" w:hanging="2"/>
              <w:contextualSpacing/>
              <w:jc w:val="both"/>
              <w:rPr>
                <w:rFonts w:eastAsia="Times New Roman" w:cs="Arial"/>
                <w:bCs/>
                <w:sz w:val="22"/>
                <w:lang w:eastAsia="pt-BR"/>
              </w:rPr>
            </w:pPr>
            <w:r w:rsidRPr="003068A5">
              <w:rPr>
                <w:rFonts w:eastAsia="Times New Roman" w:cs="Arial"/>
                <w:bCs/>
                <w:sz w:val="22"/>
                <w:lang w:eastAsia="pt-BR"/>
              </w:rPr>
              <w:t>Introduzir, na gestão do saneamento básico municipal, mecanismos que garantam o acesso a informações e participação da população na formulação da política local de saneamento básico, além de promover avaliações relacionadas aos serviços prestados.</w:t>
            </w:r>
          </w:p>
          <w:p w:rsidR="003068A5" w:rsidRPr="003068A5" w:rsidRDefault="003068A5" w:rsidP="003068A5">
            <w:pPr>
              <w:spacing w:before="60" w:after="60" w:line="240" w:lineRule="auto"/>
              <w:ind w:left="166"/>
              <w:rPr>
                <w:rFonts w:eastAsia="Times New Roman" w:cs="Arial"/>
                <w:bCs/>
                <w:sz w:val="22"/>
                <w:lang w:eastAsia="pt-BR"/>
              </w:rPr>
            </w:pPr>
          </w:p>
        </w:tc>
        <w:tc>
          <w:tcPr>
            <w:tcW w:w="5583" w:type="dxa"/>
            <w:vAlign w:val="center"/>
          </w:tcPr>
          <w:p w:rsidR="003068A5" w:rsidRPr="003068A5" w:rsidRDefault="003068A5" w:rsidP="003068A5">
            <w:pPr>
              <w:spacing w:before="60" w:after="60" w:line="240" w:lineRule="auto"/>
              <w:jc w:val="both"/>
              <w:rPr>
                <w:rFonts w:eastAsia="Times New Roman" w:cs="Arial"/>
                <w:bCs/>
                <w:sz w:val="22"/>
              </w:rPr>
            </w:pPr>
            <w:r w:rsidRPr="003068A5">
              <w:rPr>
                <w:rFonts w:eastAsia="Times New Roman" w:cs="Arial"/>
                <w:bCs/>
                <w:sz w:val="22"/>
                <w:lang w:eastAsia="pt-BR"/>
              </w:rPr>
              <w:t>6.1. Implementar canais de comunicação entre os setores e a sociedade (ex.: SAC-Água, SAC-Esgoto, SAC-Drenagem, SAC-Resíduos).</w:t>
            </w:r>
          </w:p>
        </w:tc>
        <w:tc>
          <w:tcPr>
            <w:tcW w:w="1987" w:type="dxa"/>
            <w:vAlign w:val="center"/>
          </w:tcPr>
          <w:p w:rsidR="003068A5" w:rsidRPr="003068A5" w:rsidRDefault="003068A5" w:rsidP="003068A5">
            <w:pPr>
              <w:spacing w:before="60" w:after="60" w:line="240" w:lineRule="auto"/>
              <w:jc w:val="center"/>
              <w:rPr>
                <w:rFonts w:eastAsia="Times New Roman" w:cs="Arial"/>
                <w:bCs/>
                <w:sz w:val="22"/>
              </w:rPr>
            </w:pPr>
            <w:r w:rsidRPr="003068A5">
              <w:rPr>
                <w:rFonts w:eastAsia="Times New Roman" w:cs="Arial"/>
                <w:bCs/>
                <w:sz w:val="22"/>
              </w:rPr>
              <w:t>Curto</w:t>
            </w:r>
          </w:p>
        </w:tc>
      </w:tr>
      <w:tr w:rsidR="003068A5" w:rsidRPr="003068A5" w:rsidTr="003068A5">
        <w:trPr>
          <w:cantSplit/>
          <w:trHeight w:val="113"/>
          <w:jc w:val="center"/>
        </w:trPr>
        <w:tc>
          <w:tcPr>
            <w:tcW w:w="5648" w:type="dxa"/>
            <w:vMerge/>
            <w:vAlign w:val="center"/>
          </w:tcPr>
          <w:p w:rsidR="003068A5" w:rsidRPr="003068A5" w:rsidRDefault="003068A5" w:rsidP="003068A5">
            <w:pPr>
              <w:spacing w:line="240" w:lineRule="auto"/>
              <w:ind w:left="166"/>
              <w:contextualSpacing/>
              <w:rPr>
                <w:rFonts w:eastAsia="Times New Roman" w:cs="Arial"/>
                <w:bCs/>
                <w:sz w:val="22"/>
                <w:lang w:eastAsia="pt-BR"/>
              </w:rPr>
            </w:pPr>
          </w:p>
        </w:tc>
        <w:tc>
          <w:tcPr>
            <w:tcW w:w="5583" w:type="dxa"/>
            <w:vAlign w:val="center"/>
          </w:tcPr>
          <w:p w:rsidR="003068A5" w:rsidRPr="003068A5" w:rsidRDefault="003068A5" w:rsidP="003068A5">
            <w:pPr>
              <w:spacing w:before="60" w:after="60" w:line="240" w:lineRule="auto"/>
              <w:jc w:val="both"/>
              <w:rPr>
                <w:rFonts w:eastAsia="Times New Roman" w:cs="Arial"/>
                <w:bCs/>
                <w:sz w:val="22"/>
                <w:lang w:eastAsia="pt-BR"/>
              </w:rPr>
            </w:pPr>
            <w:r w:rsidRPr="003068A5">
              <w:rPr>
                <w:rFonts w:eastAsia="Times New Roman" w:cs="Arial"/>
                <w:bCs/>
                <w:sz w:val="22"/>
                <w:lang w:eastAsia="pt-BR"/>
              </w:rPr>
              <w:t>6.2. Promover ações para a avaliação periódica da satisfação dos usuários (ex.: pesquisas de satisfação).</w:t>
            </w:r>
          </w:p>
        </w:tc>
        <w:tc>
          <w:tcPr>
            <w:tcW w:w="1987" w:type="dxa"/>
            <w:vAlign w:val="center"/>
          </w:tcPr>
          <w:p w:rsidR="003068A5" w:rsidRPr="003068A5" w:rsidRDefault="003068A5" w:rsidP="003068A5">
            <w:pPr>
              <w:spacing w:before="60" w:after="60" w:line="240" w:lineRule="auto"/>
              <w:jc w:val="center"/>
              <w:rPr>
                <w:rFonts w:eastAsia="Times New Roman" w:cs="Arial"/>
                <w:bCs/>
                <w:sz w:val="22"/>
              </w:rPr>
            </w:pPr>
            <w:r w:rsidRPr="003068A5">
              <w:rPr>
                <w:rFonts w:eastAsia="Times New Roman" w:cs="Arial"/>
                <w:bCs/>
                <w:sz w:val="22"/>
              </w:rPr>
              <w:t>Curto</w:t>
            </w:r>
          </w:p>
        </w:tc>
      </w:tr>
      <w:tr w:rsidR="003068A5" w:rsidRPr="003068A5" w:rsidTr="003068A5">
        <w:trPr>
          <w:cantSplit/>
          <w:trHeight w:val="113"/>
          <w:jc w:val="center"/>
        </w:trPr>
        <w:tc>
          <w:tcPr>
            <w:tcW w:w="5648" w:type="dxa"/>
            <w:vMerge/>
            <w:vAlign w:val="center"/>
          </w:tcPr>
          <w:p w:rsidR="003068A5" w:rsidRPr="003068A5" w:rsidRDefault="003068A5" w:rsidP="003068A5">
            <w:pPr>
              <w:spacing w:line="240" w:lineRule="auto"/>
              <w:ind w:left="166"/>
              <w:contextualSpacing/>
              <w:rPr>
                <w:rFonts w:eastAsia="Times New Roman" w:cs="Arial"/>
                <w:bCs/>
                <w:sz w:val="22"/>
                <w:lang w:eastAsia="pt-BR"/>
              </w:rPr>
            </w:pPr>
          </w:p>
        </w:tc>
        <w:tc>
          <w:tcPr>
            <w:tcW w:w="5583" w:type="dxa"/>
          </w:tcPr>
          <w:p w:rsidR="003068A5" w:rsidRPr="003068A5" w:rsidRDefault="003068A5" w:rsidP="003068A5">
            <w:pPr>
              <w:spacing w:line="240" w:lineRule="auto"/>
              <w:rPr>
                <w:rFonts w:eastAsia="Times New Roman" w:cs="Arial"/>
                <w:bCs/>
                <w:sz w:val="22"/>
                <w:lang w:eastAsia="pt-BR"/>
              </w:rPr>
            </w:pPr>
          </w:p>
          <w:p w:rsidR="003068A5" w:rsidRPr="003068A5" w:rsidRDefault="003068A5" w:rsidP="003068A5">
            <w:pPr>
              <w:spacing w:line="240" w:lineRule="auto"/>
              <w:rPr>
                <w:rFonts w:eastAsia="Times New Roman" w:cs="Arial"/>
                <w:bCs/>
                <w:sz w:val="22"/>
                <w:lang w:eastAsia="pt-BR"/>
              </w:rPr>
            </w:pPr>
            <w:r w:rsidRPr="003068A5">
              <w:rPr>
                <w:rFonts w:eastAsia="Times New Roman" w:cs="Arial"/>
                <w:bCs/>
                <w:sz w:val="22"/>
                <w:lang w:eastAsia="pt-BR"/>
              </w:rPr>
              <w:t>6.3. Viabilizar a participação dos usuários no planejamento do setor (ex.: reuniões públicas).</w:t>
            </w:r>
          </w:p>
        </w:tc>
        <w:tc>
          <w:tcPr>
            <w:tcW w:w="1987" w:type="dxa"/>
            <w:vAlign w:val="center"/>
          </w:tcPr>
          <w:p w:rsidR="003068A5" w:rsidRPr="003068A5" w:rsidRDefault="003068A5" w:rsidP="003068A5">
            <w:pPr>
              <w:spacing w:before="60" w:after="60" w:line="240" w:lineRule="auto"/>
              <w:jc w:val="center"/>
              <w:rPr>
                <w:rFonts w:eastAsia="Times New Roman" w:cs="Arial"/>
                <w:bCs/>
                <w:sz w:val="22"/>
              </w:rPr>
            </w:pPr>
            <w:r w:rsidRPr="003068A5">
              <w:rPr>
                <w:rFonts w:eastAsia="Times New Roman" w:cs="Arial"/>
                <w:bCs/>
                <w:sz w:val="22"/>
              </w:rPr>
              <w:t>Curto</w:t>
            </w:r>
          </w:p>
        </w:tc>
      </w:tr>
      <w:tr w:rsidR="003068A5" w:rsidRPr="003068A5" w:rsidTr="003068A5">
        <w:trPr>
          <w:cantSplit/>
          <w:trHeight w:val="113"/>
          <w:jc w:val="center"/>
        </w:trPr>
        <w:tc>
          <w:tcPr>
            <w:tcW w:w="5648" w:type="dxa"/>
            <w:vAlign w:val="center"/>
          </w:tcPr>
          <w:p w:rsidR="003068A5" w:rsidRPr="003068A5" w:rsidRDefault="003068A5" w:rsidP="0066661F">
            <w:pPr>
              <w:numPr>
                <w:ilvl w:val="0"/>
                <w:numId w:val="40"/>
              </w:numPr>
              <w:spacing w:before="60" w:after="60" w:line="240" w:lineRule="auto"/>
              <w:ind w:left="166" w:hanging="2"/>
              <w:jc w:val="both"/>
              <w:rPr>
                <w:rFonts w:eastAsia="Times New Roman" w:cs="Arial"/>
                <w:bCs/>
                <w:sz w:val="22"/>
                <w:lang w:eastAsia="pt-BR"/>
              </w:rPr>
            </w:pPr>
            <w:r w:rsidRPr="003068A5">
              <w:rPr>
                <w:rFonts w:eastAsia="Times New Roman" w:cs="Arial"/>
                <w:bCs/>
                <w:sz w:val="22"/>
                <w:lang w:eastAsia="pt-BR"/>
              </w:rPr>
              <w:t>Incentivar que escolas públicas do município tratem de questões relacionadas aos quatro sistemas do saneamento básico em suas disciplinas oficiais, incluindo conteúdos que promovam a economia de água pelos usuários.</w:t>
            </w:r>
          </w:p>
          <w:p w:rsidR="003068A5" w:rsidRPr="003068A5" w:rsidRDefault="003068A5" w:rsidP="003068A5">
            <w:pPr>
              <w:spacing w:before="60" w:after="60" w:line="240" w:lineRule="auto"/>
              <w:ind w:left="166"/>
              <w:rPr>
                <w:rFonts w:eastAsia="Times New Roman" w:cs="Arial"/>
                <w:bCs/>
                <w:sz w:val="22"/>
                <w:lang w:eastAsia="pt-BR"/>
              </w:rPr>
            </w:pPr>
          </w:p>
        </w:tc>
        <w:tc>
          <w:tcPr>
            <w:tcW w:w="5583" w:type="dxa"/>
            <w:vAlign w:val="center"/>
          </w:tcPr>
          <w:p w:rsidR="003068A5" w:rsidRPr="003068A5" w:rsidRDefault="003068A5" w:rsidP="003068A5">
            <w:pPr>
              <w:spacing w:before="60" w:after="60" w:line="240" w:lineRule="auto"/>
              <w:jc w:val="both"/>
              <w:rPr>
                <w:rFonts w:eastAsia="Times New Roman" w:cs="Arial"/>
                <w:iCs/>
                <w:sz w:val="22"/>
              </w:rPr>
            </w:pPr>
            <w:r w:rsidRPr="003068A5">
              <w:rPr>
                <w:rFonts w:eastAsia="Times New Roman" w:cs="Arial"/>
                <w:iCs/>
                <w:sz w:val="22"/>
              </w:rPr>
              <w:t>7.1. Implementar atividades do Programa de Educação em Saneamento Básico nas escolas públicas do município.</w:t>
            </w:r>
          </w:p>
        </w:tc>
        <w:tc>
          <w:tcPr>
            <w:tcW w:w="1987" w:type="dxa"/>
            <w:vAlign w:val="center"/>
          </w:tcPr>
          <w:p w:rsidR="003068A5" w:rsidRPr="003068A5" w:rsidRDefault="003068A5" w:rsidP="003068A5">
            <w:pPr>
              <w:spacing w:before="60" w:after="60" w:line="240" w:lineRule="auto"/>
              <w:jc w:val="center"/>
              <w:rPr>
                <w:rFonts w:eastAsia="Times New Roman" w:cs="Arial"/>
                <w:bCs/>
                <w:sz w:val="22"/>
              </w:rPr>
            </w:pPr>
            <w:r w:rsidRPr="003068A5">
              <w:rPr>
                <w:rFonts w:eastAsia="Times New Roman" w:cs="Arial"/>
                <w:bCs/>
                <w:sz w:val="22"/>
              </w:rPr>
              <w:t>Imediato</w:t>
            </w:r>
          </w:p>
        </w:tc>
      </w:tr>
    </w:tbl>
    <w:p w:rsidR="003068A5" w:rsidRPr="003068A5" w:rsidRDefault="003068A5" w:rsidP="003068A5">
      <w:pPr>
        <w:autoSpaceDE w:val="0"/>
        <w:autoSpaceDN w:val="0"/>
        <w:adjustRightInd w:val="0"/>
        <w:jc w:val="both"/>
        <w:rPr>
          <w:rFonts w:ascii="Times-Roman" w:hAnsi="Times-Roman" w:cs="Times-Roman"/>
          <w:szCs w:val="24"/>
        </w:rPr>
        <w:sectPr w:rsidR="003068A5" w:rsidRPr="003068A5" w:rsidSect="003068A5">
          <w:footerReference w:type="default" r:id="rId42"/>
          <w:pgSz w:w="16838" w:h="11906" w:orient="landscape"/>
          <w:pgMar w:top="1418" w:right="1134" w:bottom="1134" w:left="1134" w:header="709" w:footer="709" w:gutter="0"/>
          <w:cols w:space="708"/>
          <w:docGrid w:linePitch="360"/>
        </w:sectPr>
      </w:pPr>
    </w:p>
    <w:p w:rsidR="00DA5B6B" w:rsidRPr="00810C89" w:rsidRDefault="00BD7B63" w:rsidP="00BC01B1">
      <w:pPr>
        <w:pStyle w:val="Ttulo3"/>
      </w:pPr>
      <w:bookmarkStart w:id="585" w:name="_Toc509935507"/>
      <w:bookmarkStart w:id="586" w:name="_Toc434591746"/>
      <w:bookmarkStart w:id="587" w:name="_Toc498594016"/>
      <w:r w:rsidRPr="00810C89">
        <w:lastRenderedPageBreak/>
        <w:t>Programas,  projetos e ações para o Setor Geral</w:t>
      </w:r>
      <w:bookmarkEnd w:id="585"/>
    </w:p>
    <w:p w:rsidR="00DA5B6B" w:rsidRDefault="00DA5B6B" w:rsidP="00DA5B6B">
      <w:pPr>
        <w:spacing w:before="120" w:after="120"/>
        <w:ind w:firstLine="709"/>
        <w:contextualSpacing/>
        <w:jc w:val="both"/>
      </w:pPr>
      <w:r w:rsidRPr="004D07BA">
        <w:t xml:space="preserve">Do </w:t>
      </w:r>
      <w:r w:rsidR="0018295B">
        <w:fldChar w:fldCharType="begin"/>
      </w:r>
      <w:r w:rsidR="0018295B">
        <w:instrText xml:space="preserve"> REF _Ref507601421 \h </w:instrText>
      </w:r>
      <w:r w:rsidR="0018295B">
        <w:fldChar w:fldCharType="separate"/>
      </w:r>
      <w:r w:rsidR="001B481B">
        <w:t xml:space="preserve">Quadro </w:t>
      </w:r>
      <w:r w:rsidR="001B481B">
        <w:rPr>
          <w:noProof/>
        </w:rPr>
        <w:t>48</w:t>
      </w:r>
      <w:r w:rsidR="0018295B">
        <w:fldChar w:fldCharType="end"/>
      </w:r>
      <w:r w:rsidR="00AB5E49">
        <w:t xml:space="preserve"> ao </w:t>
      </w:r>
      <w:r w:rsidR="0018295B" w:rsidRPr="009F1B35">
        <w:rPr>
          <w:szCs w:val="24"/>
          <w:highlight w:val="yellow"/>
        </w:rPr>
        <w:fldChar w:fldCharType="begin"/>
      </w:r>
      <w:r w:rsidR="0018295B" w:rsidRPr="009F1B35">
        <w:rPr>
          <w:szCs w:val="24"/>
        </w:rPr>
        <w:instrText xml:space="preserve"> REF _Ref503195058 \h </w:instrText>
      </w:r>
      <w:r w:rsidR="0018295B" w:rsidRPr="009F1B35">
        <w:rPr>
          <w:szCs w:val="24"/>
          <w:highlight w:val="yellow"/>
        </w:rPr>
        <w:instrText xml:space="preserve"> \* MERGEFORMAT </w:instrText>
      </w:r>
      <w:r w:rsidR="0018295B" w:rsidRPr="009F1B35">
        <w:rPr>
          <w:szCs w:val="24"/>
          <w:highlight w:val="yellow"/>
        </w:rPr>
      </w:r>
      <w:r w:rsidR="0018295B" w:rsidRPr="009F1B35">
        <w:rPr>
          <w:szCs w:val="24"/>
          <w:highlight w:val="yellow"/>
        </w:rPr>
        <w:fldChar w:fldCharType="separate"/>
      </w:r>
      <w:r w:rsidR="001B481B" w:rsidRPr="001B481B">
        <w:rPr>
          <w:rFonts w:eastAsia="Times New Roman"/>
          <w:bCs/>
          <w:szCs w:val="24"/>
          <w:lang w:val="x-none" w:eastAsia="x-none"/>
        </w:rPr>
        <w:t>Quadro</w:t>
      </w:r>
      <w:r w:rsidR="001B481B" w:rsidRPr="001B481B">
        <w:rPr>
          <w:rFonts w:eastAsia="Times New Roman"/>
          <w:bCs/>
          <w:noProof/>
          <w:szCs w:val="24"/>
          <w:lang w:val="x-none" w:eastAsia="x-none"/>
        </w:rPr>
        <w:t xml:space="preserve"> 54</w:t>
      </w:r>
      <w:r w:rsidR="0018295B" w:rsidRPr="009F1B35">
        <w:rPr>
          <w:szCs w:val="24"/>
          <w:highlight w:val="yellow"/>
        </w:rPr>
        <w:fldChar w:fldCharType="end"/>
      </w:r>
      <w:r w:rsidR="006C5D28">
        <w:t>, e</w:t>
      </w:r>
      <w:r>
        <w:t>stão</w:t>
      </w:r>
      <w:r w:rsidRPr="004D07BA">
        <w:t xml:space="preserve"> descritos os </w:t>
      </w:r>
      <w:r>
        <w:t xml:space="preserve">custos totais dos programas, projetos </w:t>
      </w:r>
      <w:r w:rsidRPr="004D07BA">
        <w:t>e ações indicados para alcançar as metas estabelecidas</w:t>
      </w:r>
      <w:r>
        <w:t xml:space="preserve"> pelo Setor Geral ou setor supervisor do saneamento básico municipal</w:t>
      </w:r>
      <w:r w:rsidRPr="004D07BA">
        <w:t xml:space="preserve">. </w:t>
      </w:r>
      <w:r>
        <w:t>Ressalta-se que c</w:t>
      </w:r>
      <w:r w:rsidRPr="004D07BA">
        <w:t xml:space="preserve">ada ação apresentada se relaciona diretamente a uma meta e esta, por sua vez, relaciona-se ao objetivo pretendido. </w:t>
      </w:r>
    </w:p>
    <w:p w:rsidR="0018295B" w:rsidRPr="0018295B" w:rsidRDefault="0018295B" w:rsidP="0018295B">
      <w:pPr>
        <w:spacing w:before="120" w:after="120"/>
        <w:ind w:firstLine="709"/>
        <w:contextualSpacing/>
        <w:jc w:val="both"/>
        <w:rPr>
          <w:b/>
        </w:rPr>
      </w:pPr>
      <w:r w:rsidRPr="0018295B">
        <w:t xml:space="preserve">As ações previstas neste setor, ao longo de vinte anos, apresentam o custo total de </w:t>
      </w:r>
      <w:r w:rsidRPr="0018295B">
        <w:rPr>
          <w:b/>
        </w:rPr>
        <w:t>R$ 4.251.811,12 (quatro milhões, duzentos e cinquenta e um mil, oitocentos e onze reais e doze centavos).</w:t>
      </w:r>
    </w:p>
    <w:p w:rsidR="0018295B" w:rsidRDefault="002D4638" w:rsidP="00DA5B6B">
      <w:pPr>
        <w:spacing w:before="120" w:after="120"/>
        <w:ind w:firstLine="709"/>
        <w:contextualSpacing/>
        <w:jc w:val="both"/>
        <w:rPr>
          <w:b/>
          <w:color w:val="FF0000"/>
        </w:rPr>
        <w:sectPr w:rsidR="0018295B" w:rsidSect="003068A5">
          <w:footerReference w:type="default" r:id="rId43"/>
          <w:type w:val="continuous"/>
          <w:pgSz w:w="11906" w:h="16838" w:code="9"/>
          <w:pgMar w:top="1134" w:right="1418" w:bottom="1134" w:left="1134" w:header="709" w:footer="709" w:gutter="0"/>
          <w:cols w:space="720"/>
          <w:docGrid w:linePitch="326"/>
        </w:sectPr>
      </w:pPr>
      <w:r w:rsidRPr="00AB0C1B">
        <w:rPr>
          <w:b/>
          <w:color w:val="FF0000"/>
        </w:rPr>
        <w:t xml:space="preserve"> </w:t>
      </w:r>
    </w:p>
    <w:p w:rsidR="0018295B" w:rsidRPr="0018295B" w:rsidRDefault="0018295B" w:rsidP="0018295B">
      <w:pPr>
        <w:pStyle w:val="Legenda"/>
        <w:rPr>
          <w:szCs w:val="20"/>
        </w:rPr>
      </w:pPr>
      <w:bookmarkStart w:id="588" w:name="_Ref507601421"/>
      <w:bookmarkStart w:id="589" w:name="_Toc372031137"/>
      <w:bookmarkStart w:id="590" w:name="_Toc372812369"/>
      <w:bookmarkStart w:id="591" w:name="_Toc374952000"/>
      <w:bookmarkStart w:id="592" w:name="_Toc375031769"/>
      <w:bookmarkStart w:id="593" w:name="_Toc378164919"/>
      <w:bookmarkStart w:id="594" w:name="_Toc391476991"/>
      <w:bookmarkStart w:id="595" w:name="_Toc399853572"/>
      <w:bookmarkStart w:id="596" w:name="_Toc440617496"/>
      <w:bookmarkStart w:id="597" w:name="_Toc498594115"/>
      <w:bookmarkStart w:id="598" w:name="_Toc505788329"/>
      <w:bookmarkStart w:id="599" w:name="_Toc509935825"/>
      <w:r>
        <w:lastRenderedPageBreak/>
        <w:t xml:space="preserve">Quadro </w:t>
      </w:r>
      <w:r w:rsidR="000A1C78">
        <w:fldChar w:fldCharType="begin"/>
      </w:r>
      <w:r w:rsidR="000A1C78">
        <w:instrText xml:space="preserve"> SEQ Quadro \* ARABIC </w:instrText>
      </w:r>
      <w:r w:rsidR="000A1C78">
        <w:fldChar w:fldCharType="separate"/>
      </w:r>
      <w:r w:rsidR="001B481B">
        <w:rPr>
          <w:noProof/>
        </w:rPr>
        <w:t>48</w:t>
      </w:r>
      <w:r w:rsidR="000A1C78">
        <w:rPr>
          <w:noProof/>
        </w:rPr>
        <w:fldChar w:fldCharType="end"/>
      </w:r>
      <w:bookmarkEnd w:id="588"/>
      <w:r w:rsidRPr="0018295B">
        <w:rPr>
          <w:szCs w:val="20"/>
        </w:rPr>
        <w:t xml:space="preserve"> - Programas e ações propostos para o SB Geral - Objetivo 1</w:t>
      </w:r>
      <w:bookmarkEnd w:id="589"/>
      <w:bookmarkEnd w:id="590"/>
      <w:bookmarkEnd w:id="591"/>
      <w:bookmarkEnd w:id="592"/>
      <w:bookmarkEnd w:id="593"/>
      <w:bookmarkEnd w:id="594"/>
      <w:bookmarkEnd w:id="595"/>
      <w:bookmarkEnd w:id="596"/>
      <w:bookmarkEnd w:id="597"/>
      <w:bookmarkEnd w:id="598"/>
      <w:bookmarkEnd w:id="599"/>
    </w:p>
    <w:tbl>
      <w:tblPr>
        <w:tblW w:w="14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40"/>
        <w:gridCol w:w="284"/>
        <w:gridCol w:w="7998"/>
        <w:gridCol w:w="1984"/>
        <w:gridCol w:w="1560"/>
        <w:gridCol w:w="1772"/>
      </w:tblGrid>
      <w:tr w:rsidR="0018295B" w:rsidRPr="0018295B" w:rsidTr="0018295B">
        <w:trPr>
          <w:trHeight w:val="20"/>
          <w:jc w:val="center"/>
        </w:trPr>
        <w:tc>
          <w:tcPr>
            <w:tcW w:w="449" w:type="pct"/>
            <w:shd w:val="clear" w:color="000000" w:fill="C0C0C0"/>
            <w:noWrap/>
            <w:vAlign w:val="center"/>
            <w:hideMark/>
          </w:tcPr>
          <w:p w:rsidR="0018295B" w:rsidRPr="0018295B" w:rsidRDefault="0018295B" w:rsidP="0018295B">
            <w:pPr>
              <w:spacing w:before="20" w:after="20" w:line="240" w:lineRule="auto"/>
              <w:contextualSpacing/>
              <w:rPr>
                <w:rFonts w:eastAsia="Times New Roman" w:cs="Arial"/>
                <w:b/>
                <w:bCs/>
                <w:sz w:val="20"/>
                <w:szCs w:val="20"/>
                <w:lang w:eastAsia="pt-BR"/>
              </w:rPr>
            </w:pPr>
            <w:r w:rsidRPr="0018295B">
              <w:rPr>
                <w:rFonts w:eastAsia="Times New Roman" w:cs="Arial"/>
                <w:b/>
                <w:bCs/>
                <w:sz w:val="20"/>
                <w:szCs w:val="20"/>
                <w:lang w:eastAsia="pt-BR"/>
              </w:rPr>
              <w:t>SETOR</w:t>
            </w:r>
          </w:p>
        </w:tc>
        <w:tc>
          <w:tcPr>
            <w:tcW w:w="95" w:type="pct"/>
            <w:shd w:val="clear" w:color="auto" w:fill="auto"/>
            <w:noWrap/>
            <w:vAlign w:val="center"/>
            <w:hideMark/>
          </w:tcPr>
          <w:p w:rsidR="0018295B" w:rsidRPr="0018295B" w:rsidRDefault="0018295B" w:rsidP="0018295B">
            <w:pPr>
              <w:spacing w:before="20" w:after="20" w:line="240" w:lineRule="auto"/>
              <w:contextualSpacing/>
              <w:rPr>
                <w:rFonts w:eastAsia="Times New Roman" w:cs="Arial"/>
                <w:sz w:val="20"/>
                <w:szCs w:val="20"/>
                <w:lang w:eastAsia="pt-BR"/>
              </w:rPr>
            </w:pPr>
            <w:r w:rsidRPr="0018295B">
              <w:rPr>
                <w:rFonts w:eastAsia="Times New Roman" w:cs="Arial"/>
                <w:sz w:val="20"/>
                <w:szCs w:val="20"/>
                <w:lang w:eastAsia="pt-BR"/>
              </w:rPr>
              <w:t>0</w:t>
            </w:r>
          </w:p>
        </w:tc>
        <w:tc>
          <w:tcPr>
            <w:tcW w:w="4455" w:type="pct"/>
            <w:gridSpan w:val="4"/>
            <w:shd w:val="clear" w:color="auto" w:fill="auto"/>
            <w:noWrap/>
            <w:vAlign w:val="center"/>
            <w:hideMark/>
          </w:tcPr>
          <w:p w:rsidR="0018295B" w:rsidRPr="0018295B" w:rsidRDefault="0018295B" w:rsidP="0018295B">
            <w:pPr>
              <w:spacing w:before="20" w:after="20" w:line="240" w:lineRule="auto"/>
              <w:contextualSpacing/>
              <w:jc w:val="both"/>
              <w:rPr>
                <w:rFonts w:eastAsia="Times New Roman" w:cs="Arial"/>
                <w:sz w:val="20"/>
                <w:szCs w:val="20"/>
                <w:lang w:eastAsia="pt-BR"/>
              </w:rPr>
            </w:pPr>
            <w:r w:rsidRPr="0018295B">
              <w:rPr>
                <w:sz w:val="20"/>
                <w:szCs w:val="20"/>
              </w:rPr>
              <w:t>Referente aos quatro setores.</w:t>
            </w:r>
          </w:p>
        </w:tc>
      </w:tr>
      <w:tr w:rsidR="0018295B" w:rsidRPr="0018295B" w:rsidTr="0018295B">
        <w:trPr>
          <w:trHeight w:val="20"/>
          <w:jc w:val="center"/>
        </w:trPr>
        <w:tc>
          <w:tcPr>
            <w:tcW w:w="449" w:type="pct"/>
            <w:shd w:val="clear" w:color="000000" w:fill="C0C0C0"/>
            <w:vAlign w:val="center"/>
            <w:hideMark/>
          </w:tcPr>
          <w:p w:rsidR="0018295B" w:rsidRPr="0018295B" w:rsidRDefault="0018295B" w:rsidP="0018295B">
            <w:pPr>
              <w:spacing w:before="20" w:after="20" w:line="240" w:lineRule="auto"/>
              <w:contextualSpacing/>
              <w:rPr>
                <w:rFonts w:eastAsia="Times New Roman" w:cs="Arial"/>
                <w:b/>
                <w:bCs/>
                <w:sz w:val="20"/>
                <w:szCs w:val="20"/>
                <w:lang w:eastAsia="pt-BR"/>
              </w:rPr>
            </w:pPr>
            <w:r w:rsidRPr="0018295B">
              <w:rPr>
                <w:rFonts w:eastAsia="Times New Roman" w:cs="Arial"/>
                <w:b/>
                <w:bCs/>
                <w:sz w:val="20"/>
                <w:szCs w:val="20"/>
                <w:lang w:eastAsia="pt-BR"/>
              </w:rPr>
              <w:t>OBJETIVO</w:t>
            </w:r>
          </w:p>
        </w:tc>
        <w:tc>
          <w:tcPr>
            <w:tcW w:w="95" w:type="pct"/>
            <w:shd w:val="clear" w:color="auto" w:fill="auto"/>
            <w:vAlign w:val="center"/>
            <w:hideMark/>
          </w:tcPr>
          <w:p w:rsidR="0018295B" w:rsidRPr="0018295B" w:rsidRDefault="0018295B" w:rsidP="0018295B">
            <w:pPr>
              <w:spacing w:before="20" w:after="20" w:line="240" w:lineRule="auto"/>
              <w:contextualSpacing/>
              <w:rPr>
                <w:rFonts w:eastAsia="Times New Roman" w:cs="Arial"/>
                <w:sz w:val="20"/>
                <w:szCs w:val="20"/>
                <w:lang w:eastAsia="pt-BR"/>
              </w:rPr>
            </w:pPr>
            <w:r w:rsidRPr="0018295B">
              <w:rPr>
                <w:rFonts w:eastAsia="Times New Roman" w:cs="Arial"/>
                <w:sz w:val="20"/>
                <w:szCs w:val="20"/>
                <w:lang w:eastAsia="pt-BR"/>
              </w:rPr>
              <w:t>1</w:t>
            </w:r>
          </w:p>
        </w:tc>
        <w:tc>
          <w:tcPr>
            <w:tcW w:w="4455" w:type="pct"/>
            <w:gridSpan w:val="4"/>
            <w:shd w:val="clear" w:color="auto" w:fill="auto"/>
            <w:vAlign w:val="center"/>
            <w:hideMark/>
          </w:tcPr>
          <w:p w:rsidR="0018295B" w:rsidRPr="0018295B" w:rsidRDefault="0018295B" w:rsidP="0018295B">
            <w:pPr>
              <w:spacing w:before="20" w:after="20" w:line="240" w:lineRule="auto"/>
              <w:contextualSpacing/>
              <w:jc w:val="both"/>
              <w:rPr>
                <w:rFonts w:cs="Arial"/>
                <w:sz w:val="20"/>
                <w:szCs w:val="20"/>
              </w:rPr>
            </w:pPr>
            <w:r w:rsidRPr="0018295B">
              <w:rPr>
                <w:rFonts w:eastAsia="Times New Roman" w:cs="Arial"/>
                <w:sz w:val="20"/>
                <w:szCs w:val="20"/>
                <w:lang w:eastAsia="pt-BR"/>
              </w:rPr>
              <w:t>Estabelecer um arranjo institucional capaz de articular os quatro setores do saneamento básico municipal sob uma única supervisão.</w:t>
            </w:r>
          </w:p>
        </w:tc>
      </w:tr>
      <w:tr w:rsidR="0018295B" w:rsidRPr="0018295B" w:rsidTr="0018295B">
        <w:trPr>
          <w:trHeight w:val="20"/>
          <w:jc w:val="center"/>
        </w:trPr>
        <w:tc>
          <w:tcPr>
            <w:tcW w:w="449" w:type="pct"/>
            <w:shd w:val="clear" w:color="000000" w:fill="C0C0C0"/>
            <w:vAlign w:val="center"/>
          </w:tcPr>
          <w:p w:rsidR="0018295B" w:rsidRPr="0018295B" w:rsidRDefault="0018295B" w:rsidP="0018295B">
            <w:pPr>
              <w:spacing w:before="20" w:after="20" w:line="240" w:lineRule="auto"/>
              <w:contextualSpacing/>
              <w:rPr>
                <w:rFonts w:eastAsia="Times New Roman" w:cs="Arial"/>
                <w:b/>
                <w:bCs/>
                <w:sz w:val="20"/>
                <w:szCs w:val="20"/>
                <w:lang w:eastAsia="pt-BR"/>
              </w:rPr>
            </w:pPr>
            <w:r w:rsidRPr="0018295B">
              <w:rPr>
                <w:rFonts w:eastAsia="Times New Roman" w:cs="Arial"/>
                <w:b/>
                <w:bCs/>
                <w:sz w:val="20"/>
                <w:szCs w:val="20"/>
                <w:lang w:eastAsia="pt-BR"/>
              </w:rPr>
              <w:t>INDICADOR</w:t>
            </w:r>
          </w:p>
        </w:tc>
        <w:tc>
          <w:tcPr>
            <w:tcW w:w="4551" w:type="pct"/>
            <w:gridSpan w:val="5"/>
            <w:shd w:val="clear" w:color="auto" w:fill="auto"/>
            <w:vAlign w:val="center"/>
          </w:tcPr>
          <w:p w:rsidR="0018295B" w:rsidRPr="0018295B" w:rsidRDefault="0018295B" w:rsidP="0018295B">
            <w:pPr>
              <w:spacing w:line="240" w:lineRule="auto"/>
              <w:jc w:val="both"/>
              <w:rPr>
                <w:rFonts w:eastAsia="Times New Roman" w:cs="Arial"/>
                <w:sz w:val="20"/>
                <w:szCs w:val="20"/>
                <w:lang w:eastAsia="pt-BR"/>
              </w:rPr>
            </w:pPr>
            <w:r w:rsidRPr="0018295B">
              <w:rPr>
                <w:rFonts w:eastAsia="Times New Roman" w:cs="Arial"/>
                <w:sz w:val="20"/>
                <w:szCs w:val="20"/>
                <w:lang w:eastAsia="pt-BR"/>
              </w:rPr>
              <w:t>Índice de entrega de relatórios pelos setores ao setor geral por ano (unidade).</w:t>
            </w:r>
          </w:p>
        </w:tc>
      </w:tr>
      <w:tr w:rsidR="0018295B" w:rsidRPr="0018295B" w:rsidTr="0018295B">
        <w:trPr>
          <w:trHeight w:val="20"/>
          <w:jc w:val="center"/>
        </w:trPr>
        <w:tc>
          <w:tcPr>
            <w:tcW w:w="5000" w:type="pct"/>
            <w:gridSpan w:val="6"/>
            <w:shd w:val="clear" w:color="auto" w:fill="auto"/>
            <w:noWrap/>
            <w:vAlign w:val="center"/>
            <w:hideMark/>
          </w:tcPr>
          <w:p w:rsidR="0018295B" w:rsidRPr="0018295B" w:rsidRDefault="0018295B" w:rsidP="0018295B">
            <w:pPr>
              <w:spacing w:before="20" w:after="20" w:line="240" w:lineRule="auto"/>
              <w:contextualSpacing/>
              <w:rPr>
                <w:rFonts w:eastAsia="Times New Roman" w:cs="Arial"/>
                <w:sz w:val="20"/>
                <w:szCs w:val="20"/>
                <w:lang w:eastAsia="pt-BR"/>
              </w:rPr>
            </w:pPr>
          </w:p>
        </w:tc>
      </w:tr>
      <w:tr w:rsidR="0018295B" w:rsidRPr="0018295B" w:rsidTr="0018295B">
        <w:trPr>
          <w:trHeight w:val="20"/>
          <w:jc w:val="center"/>
        </w:trPr>
        <w:tc>
          <w:tcPr>
            <w:tcW w:w="5000" w:type="pct"/>
            <w:gridSpan w:val="6"/>
            <w:shd w:val="clear" w:color="000000" w:fill="C0C0C0"/>
            <w:noWrap/>
            <w:vAlign w:val="center"/>
            <w:hideMark/>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PRAZO DE ENTREGA DA META (ANOS)</w:t>
            </w:r>
          </w:p>
        </w:tc>
      </w:tr>
      <w:tr w:rsidR="0018295B" w:rsidRPr="0018295B" w:rsidTr="0018295B">
        <w:trPr>
          <w:trHeight w:val="20"/>
          <w:jc w:val="center"/>
        </w:trPr>
        <w:tc>
          <w:tcPr>
            <w:tcW w:w="3221" w:type="pct"/>
            <w:gridSpan w:val="3"/>
            <w:shd w:val="clear" w:color="000000" w:fill="C0C0C0"/>
            <w:noWrap/>
            <w:vAlign w:val="center"/>
            <w:hideMark/>
          </w:tcPr>
          <w:p w:rsidR="0018295B" w:rsidRPr="0018295B" w:rsidRDefault="0018295B" w:rsidP="0018295B">
            <w:pPr>
              <w:spacing w:line="240" w:lineRule="auto"/>
              <w:jc w:val="center"/>
              <w:rPr>
                <w:rFonts w:eastAsia="Times New Roman" w:cs="Arial"/>
                <w:b/>
                <w:bCs/>
                <w:sz w:val="20"/>
                <w:szCs w:val="20"/>
                <w:lang w:eastAsia="pt-BR"/>
              </w:rPr>
            </w:pPr>
            <w:r w:rsidRPr="0018295B">
              <w:rPr>
                <w:rFonts w:eastAsia="Times New Roman" w:cs="Arial"/>
                <w:b/>
                <w:bCs/>
                <w:sz w:val="20"/>
                <w:szCs w:val="20"/>
                <w:lang w:eastAsia="pt-BR"/>
              </w:rPr>
              <w:t>IMEDIATO (0 a 3)</w:t>
            </w:r>
          </w:p>
        </w:tc>
        <w:tc>
          <w:tcPr>
            <w:tcW w:w="664" w:type="pct"/>
            <w:shd w:val="clear" w:color="000000" w:fill="C0C0C0"/>
            <w:noWrap/>
            <w:vAlign w:val="center"/>
            <w:hideMark/>
          </w:tcPr>
          <w:p w:rsidR="0018295B" w:rsidRPr="0018295B" w:rsidRDefault="0018295B" w:rsidP="0018295B">
            <w:pPr>
              <w:spacing w:line="240" w:lineRule="auto"/>
              <w:jc w:val="center"/>
              <w:rPr>
                <w:rFonts w:eastAsia="Times New Roman" w:cs="Arial"/>
                <w:b/>
                <w:bCs/>
                <w:sz w:val="20"/>
                <w:szCs w:val="20"/>
                <w:lang w:eastAsia="pt-BR"/>
              </w:rPr>
            </w:pPr>
            <w:r w:rsidRPr="0018295B">
              <w:rPr>
                <w:rFonts w:eastAsia="Times New Roman" w:cs="Arial"/>
                <w:b/>
                <w:bCs/>
                <w:sz w:val="20"/>
                <w:szCs w:val="20"/>
                <w:lang w:eastAsia="pt-BR"/>
              </w:rPr>
              <w:t>CURTO (4 a 8)</w:t>
            </w:r>
          </w:p>
        </w:tc>
        <w:tc>
          <w:tcPr>
            <w:tcW w:w="522" w:type="pct"/>
            <w:shd w:val="clear" w:color="000000" w:fill="C0C0C0"/>
            <w:noWrap/>
            <w:vAlign w:val="center"/>
            <w:hideMark/>
          </w:tcPr>
          <w:p w:rsidR="0018295B" w:rsidRPr="0018295B" w:rsidRDefault="0018295B" w:rsidP="0018295B">
            <w:pPr>
              <w:spacing w:line="240" w:lineRule="auto"/>
              <w:jc w:val="center"/>
              <w:rPr>
                <w:rFonts w:eastAsia="Times New Roman" w:cs="Arial"/>
                <w:b/>
                <w:bCs/>
                <w:sz w:val="20"/>
                <w:szCs w:val="20"/>
                <w:lang w:eastAsia="pt-BR"/>
              </w:rPr>
            </w:pPr>
            <w:r w:rsidRPr="0018295B">
              <w:rPr>
                <w:rFonts w:eastAsia="Times New Roman" w:cs="Arial"/>
                <w:b/>
                <w:bCs/>
                <w:sz w:val="20"/>
                <w:szCs w:val="20"/>
                <w:lang w:eastAsia="pt-BR"/>
              </w:rPr>
              <w:t>MÉDIO (9 a 12)</w:t>
            </w:r>
          </w:p>
        </w:tc>
        <w:tc>
          <w:tcPr>
            <w:tcW w:w="593" w:type="pct"/>
            <w:shd w:val="clear" w:color="000000" w:fill="C0C0C0"/>
            <w:noWrap/>
            <w:vAlign w:val="center"/>
            <w:hideMark/>
          </w:tcPr>
          <w:p w:rsidR="0018295B" w:rsidRPr="0018295B" w:rsidRDefault="0018295B" w:rsidP="0018295B">
            <w:pPr>
              <w:spacing w:line="240" w:lineRule="auto"/>
              <w:jc w:val="center"/>
              <w:rPr>
                <w:rFonts w:eastAsia="Times New Roman" w:cs="Arial"/>
                <w:b/>
                <w:bCs/>
                <w:sz w:val="20"/>
                <w:szCs w:val="20"/>
                <w:lang w:eastAsia="pt-BR"/>
              </w:rPr>
            </w:pPr>
            <w:r w:rsidRPr="0018295B">
              <w:rPr>
                <w:rFonts w:eastAsia="Times New Roman" w:cs="Arial"/>
                <w:b/>
                <w:bCs/>
                <w:sz w:val="20"/>
                <w:szCs w:val="20"/>
                <w:lang w:eastAsia="pt-BR"/>
              </w:rPr>
              <w:t>LONGO (13 a 20)</w:t>
            </w:r>
          </w:p>
        </w:tc>
      </w:tr>
      <w:tr w:rsidR="0018295B" w:rsidRPr="0018295B" w:rsidTr="0018295B">
        <w:trPr>
          <w:trHeight w:val="20"/>
          <w:jc w:val="center"/>
        </w:trPr>
        <w:tc>
          <w:tcPr>
            <w:tcW w:w="3221" w:type="pct"/>
            <w:gridSpan w:val="3"/>
            <w:shd w:val="clear" w:color="auto" w:fill="auto"/>
            <w:noWrap/>
            <w:vAlign w:val="center"/>
          </w:tcPr>
          <w:p w:rsidR="0018295B" w:rsidRPr="0018295B" w:rsidRDefault="0018295B" w:rsidP="0066661F">
            <w:pPr>
              <w:numPr>
                <w:ilvl w:val="1"/>
                <w:numId w:val="45"/>
              </w:numPr>
              <w:spacing w:before="60" w:after="60" w:line="240" w:lineRule="auto"/>
              <w:jc w:val="both"/>
              <w:rPr>
                <w:bCs/>
                <w:sz w:val="20"/>
                <w:szCs w:val="20"/>
              </w:rPr>
            </w:pPr>
            <w:r w:rsidRPr="0018295B">
              <w:rPr>
                <w:bCs/>
                <w:sz w:val="20"/>
                <w:szCs w:val="20"/>
              </w:rPr>
              <w:t xml:space="preserve">Instituir Secretaria, Departamento ou Divisão para exercer a função de supervisão do setor de saneamento municipal, com atribuições de acompanhar a prestação, regulação, fiscalização e avaliação da eficiência dos serviços, assim como o desenvolvimento da implementação das ações previstas no PMSB. </w:t>
            </w:r>
          </w:p>
          <w:p w:rsidR="0018295B" w:rsidRPr="0018295B" w:rsidRDefault="0018295B" w:rsidP="0066661F">
            <w:pPr>
              <w:numPr>
                <w:ilvl w:val="1"/>
                <w:numId w:val="45"/>
              </w:numPr>
              <w:spacing w:before="60" w:after="60" w:line="240" w:lineRule="auto"/>
              <w:jc w:val="both"/>
              <w:rPr>
                <w:bCs/>
                <w:sz w:val="20"/>
                <w:szCs w:val="20"/>
              </w:rPr>
            </w:pPr>
            <w:r w:rsidRPr="0018295B">
              <w:rPr>
                <w:rFonts w:cs="Arial"/>
                <w:bCs/>
                <w:sz w:val="20"/>
                <w:szCs w:val="20"/>
              </w:rPr>
              <w:t>Estabelecer e normatizar um relacionamento com os setores do saneamento básico instituindo rotinas e fluxos de informação para garantir o alinhamento estratégico.</w:t>
            </w:r>
            <w:r w:rsidRPr="0018295B">
              <w:rPr>
                <w:bCs/>
                <w:sz w:val="20"/>
                <w:szCs w:val="20"/>
              </w:rPr>
              <w:t xml:space="preserve"> </w:t>
            </w:r>
          </w:p>
          <w:p w:rsidR="0018295B" w:rsidRPr="0018295B" w:rsidRDefault="0018295B" w:rsidP="0018295B">
            <w:pPr>
              <w:spacing w:before="20" w:after="20" w:line="240" w:lineRule="auto"/>
              <w:jc w:val="both"/>
              <w:rPr>
                <w:rFonts w:cs="Arial"/>
                <w:bCs/>
                <w:sz w:val="20"/>
                <w:szCs w:val="20"/>
              </w:rPr>
            </w:pPr>
            <w:r w:rsidRPr="0018295B">
              <w:rPr>
                <w:bCs/>
                <w:sz w:val="20"/>
                <w:szCs w:val="20"/>
              </w:rPr>
              <w:t>1.3 Possuir um Conselho Municipal de Saneamento Básico.</w:t>
            </w:r>
          </w:p>
        </w:tc>
        <w:tc>
          <w:tcPr>
            <w:tcW w:w="664" w:type="pct"/>
            <w:shd w:val="clear" w:color="auto" w:fill="auto"/>
            <w:noWrap/>
            <w:vAlign w:val="center"/>
            <w:hideMark/>
          </w:tcPr>
          <w:p w:rsidR="0018295B" w:rsidRPr="0018295B" w:rsidRDefault="0018295B" w:rsidP="0018295B">
            <w:pPr>
              <w:spacing w:before="20" w:after="20" w:line="240" w:lineRule="auto"/>
              <w:jc w:val="both"/>
              <w:rPr>
                <w:rFonts w:cs="Arial"/>
                <w:bCs/>
                <w:sz w:val="20"/>
                <w:szCs w:val="20"/>
              </w:rPr>
            </w:pPr>
          </w:p>
        </w:tc>
        <w:tc>
          <w:tcPr>
            <w:tcW w:w="522" w:type="pct"/>
            <w:shd w:val="clear" w:color="auto" w:fill="auto"/>
            <w:noWrap/>
            <w:vAlign w:val="center"/>
          </w:tcPr>
          <w:p w:rsidR="0018295B" w:rsidRPr="0018295B" w:rsidRDefault="0018295B" w:rsidP="0018295B">
            <w:pPr>
              <w:spacing w:before="20" w:after="20" w:line="240" w:lineRule="auto"/>
              <w:jc w:val="both"/>
              <w:rPr>
                <w:rFonts w:cs="Arial"/>
                <w:bCs/>
                <w:sz w:val="20"/>
                <w:szCs w:val="20"/>
              </w:rPr>
            </w:pPr>
          </w:p>
        </w:tc>
        <w:tc>
          <w:tcPr>
            <w:tcW w:w="593" w:type="pct"/>
            <w:shd w:val="clear" w:color="auto" w:fill="auto"/>
            <w:noWrap/>
            <w:vAlign w:val="center"/>
          </w:tcPr>
          <w:p w:rsidR="0018295B" w:rsidRPr="0018295B" w:rsidRDefault="0018295B" w:rsidP="0018295B">
            <w:pPr>
              <w:spacing w:before="20" w:after="20" w:line="240" w:lineRule="auto"/>
              <w:jc w:val="both"/>
              <w:rPr>
                <w:rFonts w:cs="Arial"/>
                <w:bCs/>
                <w:sz w:val="20"/>
                <w:szCs w:val="20"/>
              </w:rPr>
            </w:pPr>
          </w:p>
        </w:tc>
      </w:tr>
    </w:tbl>
    <w:p w:rsidR="0018295B" w:rsidRPr="0018295B" w:rsidRDefault="0018295B" w:rsidP="0018295B">
      <w:pPr>
        <w:rPr>
          <w:sz w:val="2"/>
          <w:szCs w:val="2"/>
          <w:lang w:eastAsia="x-none"/>
        </w:rPr>
      </w:pPr>
    </w:p>
    <w:tbl>
      <w:tblPr>
        <w:tblW w:w="14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79"/>
        <w:gridCol w:w="7860"/>
        <w:gridCol w:w="1980"/>
        <w:gridCol w:w="1359"/>
        <w:gridCol w:w="2072"/>
      </w:tblGrid>
      <w:tr w:rsidR="0018295B" w:rsidRPr="0018295B" w:rsidTr="0018295B">
        <w:trPr>
          <w:trHeight w:val="20"/>
          <w:tblHeader/>
          <w:jc w:val="center"/>
        </w:trPr>
        <w:tc>
          <w:tcPr>
            <w:tcW w:w="1679" w:type="dxa"/>
            <w:shd w:val="clear" w:color="000000" w:fill="C0C0C0"/>
            <w:vAlign w:val="center"/>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CÓDIGO</w:t>
            </w:r>
          </w:p>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(s/o/m/a)*</w:t>
            </w:r>
          </w:p>
        </w:tc>
        <w:tc>
          <w:tcPr>
            <w:tcW w:w="7860" w:type="dxa"/>
            <w:shd w:val="clear" w:color="000000" w:fill="C0C0C0"/>
            <w:vAlign w:val="center"/>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DESCRIÇÃO DA AÇÃO</w:t>
            </w:r>
          </w:p>
        </w:tc>
        <w:tc>
          <w:tcPr>
            <w:tcW w:w="1980" w:type="dxa"/>
            <w:shd w:val="clear" w:color="000000" w:fill="C0C0C0"/>
          </w:tcPr>
          <w:p w:rsidR="0018295B" w:rsidRPr="0018295B" w:rsidRDefault="0018295B" w:rsidP="0018295B">
            <w:pPr>
              <w:spacing w:line="240" w:lineRule="auto"/>
              <w:ind w:firstLine="72"/>
              <w:jc w:val="center"/>
              <w:rPr>
                <w:rFonts w:eastAsia="Times New Roman" w:cs="Arial"/>
                <w:b/>
                <w:bCs/>
                <w:sz w:val="20"/>
                <w:szCs w:val="20"/>
                <w:lang w:eastAsia="pt-BR"/>
              </w:rPr>
            </w:pPr>
            <w:r w:rsidRPr="0018295B">
              <w:rPr>
                <w:rFonts w:eastAsia="Times New Roman" w:cs="Arial"/>
                <w:b/>
                <w:bCs/>
                <w:sz w:val="20"/>
                <w:szCs w:val="20"/>
                <w:lang w:eastAsia="pt-BR"/>
              </w:rPr>
              <w:t>Período de desenvolvimento da ação</w:t>
            </w:r>
          </w:p>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(ano)</w:t>
            </w:r>
          </w:p>
        </w:tc>
        <w:tc>
          <w:tcPr>
            <w:tcW w:w="1359" w:type="dxa"/>
            <w:shd w:val="clear" w:color="000000" w:fill="C0C0C0"/>
          </w:tcPr>
          <w:p w:rsidR="0018295B" w:rsidRPr="0018295B" w:rsidRDefault="0018295B" w:rsidP="0018295B">
            <w:pPr>
              <w:spacing w:line="240" w:lineRule="auto"/>
              <w:ind w:left="64" w:firstLine="8"/>
              <w:jc w:val="center"/>
              <w:rPr>
                <w:rFonts w:eastAsia="Times New Roman" w:cs="Arial"/>
                <w:b/>
                <w:bCs/>
                <w:sz w:val="20"/>
                <w:szCs w:val="20"/>
                <w:lang w:eastAsia="pt-BR"/>
              </w:rPr>
            </w:pPr>
            <w:r w:rsidRPr="0018295B">
              <w:rPr>
                <w:rFonts w:eastAsia="Times New Roman" w:cs="Arial"/>
                <w:b/>
                <w:bCs/>
                <w:sz w:val="20"/>
                <w:szCs w:val="20"/>
                <w:lang w:eastAsia="pt-BR"/>
              </w:rPr>
              <w:t>Custo total na moeda de 2017</w:t>
            </w:r>
          </w:p>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(R$)</w:t>
            </w:r>
          </w:p>
        </w:tc>
        <w:tc>
          <w:tcPr>
            <w:tcW w:w="2072" w:type="dxa"/>
            <w:shd w:val="clear" w:color="000000" w:fill="C0C0C0"/>
          </w:tcPr>
          <w:p w:rsidR="0018295B" w:rsidRPr="0018295B" w:rsidRDefault="0018295B" w:rsidP="0018295B">
            <w:pPr>
              <w:spacing w:line="240" w:lineRule="auto"/>
              <w:ind w:left="64" w:firstLine="8"/>
              <w:jc w:val="center"/>
              <w:rPr>
                <w:rFonts w:eastAsia="Times New Roman" w:cs="Arial"/>
                <w:b/>
                <w:bCs/>
                <w:sz w:val="20"/>
                <w:szCs w:val="20"/>
                <w:lang w:eastAsia="pt-BR"/>
              </w:rPr>
            </w:pPr>
            <w:r w:rsidRPr="0018295B">
              <w:rPr>
                <w:rFonts w:eastAsia="Times New Roman" w:cs="Arial"/>
                <w:b/>
                <w:bCs/>
                <w:sz w:val="20"/>
                <w:szCs w:val="20"/>
                <w:lang w:eastAsia="pt-BR"/>
              </w:rPr>
              <w:t>Responsável pela ação</w:t>
            </w:r>
          </w:p>
          <w:p w:rsidR="0018295B" w:rsidRPr="0018295B" w:rsidRDefault="0018295B" w:rsidP="0018295B">
            <w:pPr>
              <w:spacing w:line="240" w:lineRule="auto"/>
              <w:ind w:left="64" w:firstLine="8"/>
              <w:jc w:val="center"/>
              <w:rPr>
                <w:rFonts w:eastAsia="Times New Roman" w:cs="Arial"/>
                <w:b/>
                <w:bCs/>
                <w:sz w:val="20"/>
                <w:szCs w:val="20"/>
                <w:lang w:eastAsia="pt-BR"/>
              </w:rPr>
            </w:pPr>
          </w:p>
        </w:tc>
      </w:tr>
      <w:tr w:rsidR="0018295B" w:rsidRPr="0018295B" w:rsidTr="0018295B">
        <w:trPr>
          <w:trHeight w:val="20"/>
          <w:jc w:val="center"/>
        </w:trPr>
        <w:tc>
          <w:tcPr>
            <w:tcW w:w="1679"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0.1.1.01</w:t>
            </w:r>
          </w:p>
        </w:tc>
        <w:tc>
          <w:tcPr>
            <w:tcW w:w="7860" w:type="dxa"/>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Instituir, através de ato administrativo, a Secretaria de Agricultura e Meio Ambiente com a competência de realizar o acompanhamento e supervisão dos setores de saneamento visando à gestão integrada do sistema de saneamento básico municipal.</w:t>
            </w:r>
          </w:p>
        </w:tc>
        <w:tc>
          <w:tcPr>
            <w:tcW w:w="1980"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1º</w:t>
            </w:r>
          </w:p>
        </w:tc>
        <w:tc>
          <w:tcPr>
            <w:tcW w:w="1359" w:type="dxa"/>
            <w:shd w:val="clear" w:color="auto" w:fill="auto"/>
            <w:vAlign w:val="center"/>
          </w:tcPr>
          <w:p w:rsidR="0018295B" w:rsidRPr="0018295B" w:rsidRDefault="0018295B" w:rsidP="0018295B">
            <w:pPr>
              <w:spacing w:line="240" w:lineRule="auto"/>
              <w:jc w:val="right"/>
              <w:rPr>
                <w:rFonts w:eastAsia="Times New Roman" w:cs="Arial"/>
                <w:color w:val="000000"/>
                <w:sz w:val="20"/>
                <w:szCs w:val="20"/>
              </w:rPr>
            </w:pPr>
            <w:r w:rsidRPr="0018295B">
              <w:rPr>
                <w:rFonts w:cs="Arial"/>
                <w:color w:val="000000"/>
                <w:sz w:val="20"/>
                <w:szCs w:val="20"/>
              </w:rPr>
              <w:t>5.000,00</w:t>
            </w:r>
          </w:p>
        </w:tc>
        <w:tc>
          <w:tcPr>
            <w:tcW w:w="2072"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Prefeitura Municipal / Setor Jurídico</w:t>
            </w:r>
          </w:p>
        </w:tc>
      </w:tr>
      <w:tr w:rsidR="0018295B" w:rsidRPr="0018295B" w:rsidTr="0018295B">
        <w:trPr>
          <w:trHeight w:val="20"/>
          <w:jc w:val="center"/>
        </w:trPr>
        <w:tc>
          <w:tcPr>
            <w:tcW w:w="1679"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0.1.1.02</w:t>
            </w:r>
          </w:p>
        </w:tc>
        <w:tc>
          <w:tcPr>
            <w:tcW w:w="7860" w:type="dxa"/>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Estabelecer dotação orçamentária para a viabilização da gestão do saneamento básico municipal.</w:t>
            </w:r>
          </w:p>
        </w:tc>
        <w:tc>
          <w:tcPr>
            <w:tcW w:w="1980"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1º</w:t>
            </w:r>
          </w:p>
        </w:tc>
        <w:tc>
          <w:tcPr>
            <w:tcW w:w="1359" w:type="dxa"/>
            <w:shd w:val="clear" w:color="auto" w:fill="auto"/>
            <w:vAlign w:val="center"/>
          </w:tcPr>
          <w:p w:rsidR="0018295B" w:rsidRPr="0018295B" w:rsidRDefault="0018295B" w:rsidP="0018295B">
            <w:pPr>
              <w:jc w:val="right"/>
              <w:rPr>
                <w:rFonts w:cs="Arial"/>
                <w:color w:val="000000"/>
                <w:sz w:val="20"/>
                <w:szCs w:val="20"/>
              </w:rPr>
            </w:pPr>
            <w:r w:rsidRPr="0018295B">
              <w:rPr>
                <w:rFonts w:cs="Arial"/>
                <w:color w:val="000000"/>
                <w:sz w:val="20"/>
                <w:szCs w:val="20"/>
              </w:rPr>
              <w:t>5.000,00</w:t>
            </w:r>
          </w:p>
        </w:tc>
        <w:tc>
          <w:tcPr>
            <w:tcW w:w="2072"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Prefeitura Municipal / Setor Orçamentário</w:t>
            </w:r>
          </w:p>
        </w:tc>
      </w:tr>
      <w:tr w:rsidR="0018295B" w:rsidRPr="0018295B" w:rsidTr="0018295B">
        <w:trPr>
          <w:trHeight w:val="20"/>
          <w:jc w:val="center"/>
        </w:trPr>
        <w:tc>
          <w:tcPr>
            <w:tcW w:w="1679"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0.1.1.03</w:t>
            </w:r>
          </w:p>
        </w:tc>
        <w:tc>
          <w:tcPr>
            <w:tcW w:w="7860" w:type="dxa"/>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Viabilizar a infraestrutura física, os equipamentos e os recursos humanos mínimos necessários para dar operacionalidade ao novo departamento criado.</w:t>
            </w:r>
          </w:p>
        </w:tc>
        <w:tc>
          <w:tcPr>
            <w:tcW w:w="1980"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1º-20º</w:t>
            </w:r>
          </w:p>
        </w:tc>
        <w:tc>
          <w:tcPr>
            <w:tcW w:w="1359" w:type="dxa"/>
            <w:shd w:val="clear" w:color="auto" w:fill="auto"/>
            <w:vAlign w:val="center"/>
          </w:tcPr>
          <w:p w:rsidR="0018295B" w:rsidRPr="0018295B" w:rsidRDefault="0018295B" w:rsidP="0018295B">
            <w:pPr>
              <w:spacing w:line="240" w:lineRule="auto"/>
              <w:jc w:val="right"/>
              <w:rPr>
                <w:rFonts w:eastAsia="Times New Roman" w:cs="Arial"/>
                <w:color w:val="000000"/>
                <w:sz w:val="20"/>
                <w:szCs w:val="20"/>
              </w:rPr>
            </w:pPr>
            <w:r w:rsidRPr="0018295B">
              <w:rPr>
                <w:rFonts w:cs="Arial"/>
                <w:color w:val="000000"/>
                <w:sz w:val="20"/>
                <w:szCs w:val="20"/>
              </w:rPr>
              <w:t>3.097.077,14</w:t>
            </w:r>
          </w:p>
          <w:p w:rsidR="0018295B" w:rsidRPr="0018295B" w:rsidRDefault="0018295B" w:rsidP="0018295B">
            <w:pPr>
              <w:spacing w:line="240" w:lineRule="auto"/>
              <w:jc w:val="right"/>
              <w:rPr>
                <w:rFonts w:cs="Arial"/>
                <w:sz w:val="20"/>
                <w:szCs w:val="20"/>
              </w:rPr>
            </w:pPr>
          </w:p>
        </w:tc>
        <w:tc>
          <w:tcPr>
            <w:tcW w:w="2072"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Prefeitura Municipal / Gabinete</w:t>
            </w:r>
          </w:p>
        </w:tc>
      </w:tr>
      <w:tr w:rsidR="0018295B" w:rsidRPr="0018295B" w:rsidTr="0018295B">
        <w:trPr>
          <w:trHeight w:val="20"/>
          <w:jc w:val="center"/>
        </w:trPr>
        <w:tc>
          <w:tcPr>
            <w:tcW w:w="1679"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0.1.2.04</w:t>
            </w:r>
          </w:p>
        </w:tc>
        <w:tc>
          <w:tcPr>
            <w:tcW w:w="7860" w:type="dxa"/>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Elaborar um documento normativo (procedimento) voltado ao uso do Sistema Municipal de Informações em Saneamento (SMIS) e, com ele, fornecer treinamento aos gestores municipais visando à compreensão desse sistema, para habilitá-los a operar e a atuar nesse novo Departamento/Divisão, auxiliando na formação de uma Política Municipal de Saneamento Básico.</w:t>
            </w:r>
          </w:p>
        </w:tc>
        <w:tc>
          <w:tcPr>
            <w:tcW w:w="1980"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1º-20º</w:t>
            </w:r>
          </w:p>
        </w:tc>
        <w:tc>
          <w:tcPr>
            <w:tcW w:w="1359" w:type="dxa"/>
            <w:shd w:val="clear" w:color="auto" w:fill="auto"/>
            <w:vAlign w:val="center"/>
          </w:tcPr>
          <w:p w:rsidR="0018295B" w:rsidRPr="0018295B" w:rsidRDefault="0018295B" w:rsidP="0018295B">
            <w:pPr>
              <w:spacing w:line="240" w:lineRule="auto"/>
              <w:jc w:val="right"/>
              <w:rPr>
                <w:rFonts w:cs="Arial"/>
                <w:sz w:val="20"/>
                <w:szCs w:val="20"/>
              </w:rPr>
            </w:pPr>
            <w:r w:rsidRPr="0018295B">
              <w:rPr>
                <w:rFonts w:cs="Arial"/>
                <w:color w:val="000000"/>
                <w:sz w:val="20"/>
                <w:szCs w:val="20"/>
              </w:rPr>
              <w:t xml:space="preserve">899.849,88 </w:t>
            </w:r>
          </w:p>
        </w:tc>
        <w:tc>
          <w:tcPr>
            <w:tcW w:w="2072"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Prefeitura Municipal / Setor Supervisor do Saneamento Básico (Setor Geral)</w:t>
            </w:r>
          </w:p>
        </w:tc>
      </w:tr>
      <w:tr w:rsidR="0018295B" w:rsidRPr="0018295B" w:rsidTr="00810C89">
        <w:trPr>
          <w:trHeight w:val="624"/>
          <w:jc w:val="center"/>
        </w:trPr>
        <w:tc>
          <w:tcPr>
            <w:tcW w:w="1679"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lastRenderedPageBreak/>
              <w:t>0.1.2.05</w:t>
            </w:r>
          </w:p>
        </w:tc>
        <w:tc>
          <w:tcPr>
            <w:tcW w:w="7860" w:type="dxa"/>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Redigir e enviar nota aos responsáveis pelos setores de saneamento visando orientá-los quanto aos indicadores a serem monitorados em seus respectivos eixos (incluindo os indicadores financeiros), quanto aos procedimentos de coleta de dados dos parâmetros, quanto às periodicidades de entrega de cada indicador, entre outros esclarecimentos que se façam necessários.</w:t>
            </w:r>
          </w:p>
        </w:tc>
        <w:tc>
          <w:tcPr>
            <w:tcW w:w="1980"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2º</w:t>
            </w:r>
          </w:p>
        </w:tc>
        <w:tc>
          <w:tcPr>
            <w:tcW w:w="1359" w:type="dxa"/>
            <w:shd w:val="clear" w:color="auto" w:fill="auto"/>
            <w:vAlign w:val="center"/>
          </w:tcPr>
          <w:p w:rsidR="0018295B" w:rsidRPr="0018295B" w:rsidRDefault="0018295B" w:rsidP="0018295B">
            <w:pPr>
              <w:spacing w:line="240" w:lineRule="auto"/>
              <w:jc w:val="center"/>
              <w:rPr>
                <w:rFonts w:eastAsia="Times New Roman" w:cs="Arial"/>
                <w:sz w:val="20"/>
                <w:szCs w:val="20"/>
              </w:rPr>
            </w:pPr>
            <w:r w:rsidRPr="0018295B">
              <w:rPr>
                <w:rFonts w:cs="Arial"/>
                <w:sz w:val="20"/>
                <w:szCs w:val="20"/>
              </w:rPr>
              <w:t>Custo já previsto no item 0.1.03</w:t>
            </w:r>
          </w:p>
          <w:p w:rsidR="0018295B" w:rsidRPr="0018295B" w:rsidRDefault="0018295B" w:rsidP="0018295B">
            <w:pPr>
              <w:spacing w:line="240" w:lineRule="auto"/>
              <w:jc w:val="center"/>
              <w:rPr>
                <w:rFonts w:cs="Arial"/>
                <w:sz w:val="20"/>
                <w:szCs w:val="20"/>
              </w:rPr>
            </w:pPr>
          </w:p>
        </w:tc>
        <w:tc>
          <w:tcPr>
            <w:tcW w:w="2072"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Prefeitura Municipal / Setor Geral</w:t>
            </w:r>
          </w:p>
        </w:tc>
      </w:tr>
      <w:tr w:rsidR="0018295B" w:rsidRPr="0018295B" w:rsidTr="0018295B">
        <w:trPr>
          <w:trHeight w:val="769"/>
          <w:jc w:val="center"/>
        </w:trPr>
        <w:tc>
          <w:tcPr>
            <w:tcW w:w="1679"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0.1.1.06</w:t>
            </w:r>
          </w:p>
        </w:tc>
        <w:tc>
          <w:tcPr>
            <w:tcW w:w="7860" w:type="dxa"/>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Instituir e manter um procedimento sistemático de monitoramento dos serviços e da evolução do PMSB, através do uso do Sistema Municipal de Informações em Saneamento (SMIS).</w:t>
            </w:r>
          </w:p>
        </w:tc>
        <w:tc>
          <w:tcPr>
            <w:tcW w:w="1980"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 xml:space="preserve">2º-20 </w:t>
            </w:r>
          </w:p>
        </w:tc>
        <w:tc>
          <w:tcPr>
            <w:tcW w:w="1359" w:type="dxa"/>
            <w:shd w:val="clear" w:color="auto" w:fill="auto"/>
            <w:vAlign w:val="center"/>
          </w:tcPr>
          <w:p w:rsidR="0018295B" w:rsidRPr="0018295B" w:rsidRDefault="0018295B" w:rsidP="0018295B">
            <w:pPr>
              <w:spacing w:line="240" w:lineRule="auto"/>
              <w:jc w:val="center"/>
              <w:rPr>
                <w:rFonts w:eastAsia="Times New Roman" w:cs="Arial"/>
                <w:sz w:val="20"/>
                <w:szCs w:val="20"/>
              </w:rPr>
            </w:pPr>
            <w:r w:rsidRPr="0018295B">
              <w:rPr>
                <w:rFonts w:cs="Arial"/>
                <w:sz w:val="20"/>
                <w:szCs w:val="20"/>
              </w:rPr>
              <w:t>Custo já previsto no item 0.1.03</w:t>
            </w:r>
          </w:p>
          <w:p w:rsidR="0018295B" w:rsidRPr="0018295B" w:rsidRDefault="0018295B" w:rsidP="0018295B">
            <w:pPr>
              <w:spacing w:line="240" w:lineRule="auto"/>
              <w:jc w:val="center"/>
              <w:rPr>
                <w:rFonts w:cs="Arial"/>
                <w:sz w:val="20"/>
                <w:szCs w:val="20"/>
              </w:rPr>
            </w:pPr>
          </w:p>
        </w:tc>
        <w:tc>
          <w:tcPr>
            <w:tcW w:w="2072"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Prefeitura Municipal / Setor Geral</w:t>
            </w:r>
          </w:p>
        </w:tc>
      </w:tr>
      <w:tr w:rsidR="0018295B" w:rsidRPr="0018295B" w:rsidTr="0018295B">
        <w:trPr>
          <w:trHeight w:val="838"/>
          <w:jc w:val="center"/>
        </w:trPr>
        <w:tc>
          <w:tcPr>
            <w:tcW w:w="1679"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0.1.2.07</w:t>
            </w:r>
          </w:p>
        </w:tc>
        <w:tc>
          <w:tcPr>
            <w:tcW w:w="7860" w:type="dxa"/>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Criar mecanismo de avaliação dos relatórios entregues pelos setores do saneamento básico à nova Divisão do saneamento municipal.</w:t>
            </w:r>
          </w:p>
        </w:tc>
        <w:tc>
          <w:tcPr>
            <w:tcW w:w="1980"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1º</w:t>
            </w:r>
          </w:p>
        </w:tc>
        <w:tc>
          <w:tcPr>
            <w:tcW w:w="1359" w:type="dxa"/>
            <w:shd w:val="clear" w:color="auto" w:fill="auto"/>
            <w:vAlign w:val="center"/>
          </w:tcPr>
          <w:p w:rsidR="0018295B" w:rsidRPr="0018295B" w:rsidRDefault="0018295B" w:rsidP="0018295B">
            <w:pPr>
              <w:spacing w:line="240" w:lineRule="auto"/>
              <w:jc w:val="center"/>
              <w:rPr>
                <w:rFonts w:eastAsia="Times New Roman" w:cs="Arial"/>
                <w:sz w:val="20"/>
                <w:szCs w:val="20"/>
              </w:rPr>
            </w:pPr>
            <w:r w:rsidRPr="0018295B">
              <w:rPr>
                <w:rFonts w:cs="Arial"/>
                <w:sz w:val="20"/>
                <w:szCs w:val="20"/>
              </w:rPr>
              <w:t>Custo já previsto no item 0.1.03</w:t>
            </w:r>
          </w:p>
          <w:p w:rsidR="0018295B" w:rsidRPr="0018295B" w:rsidRDefault="0018295B" w:rsidP="0018295B">
            <w:pPr>
              <w:spacing w:line="240" w:lineRule="auto"/>
              <w:jc w:val="center"/>
              <w:rPr>
                <w:rFonts w:cs="Arial"/>
                <w:sz w:val="20"/>
                <w:szCs w:val="20"/>
              </w:rPr>
            </w:pPr>
          </w:p>
        </w:tc>
        <w:tc>
          <w:tcPr>
            <w:tcW w:w="2072"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Prefeitura Municipal / Setor Geral</w:t>
            </w:r>
          </w:p>
        </w:tc>
      </w:tr>
      <w:tr w:rsidR="0018295B" w:rsidRPr="0018295B" w:rsidTr="0018295B">
        <w:trPr>
          <w:trHeight w:val="753"/>
          <w:jc w:val="center"/>
        </w:trPr>
        <w:tc>
          <w:tcPr>
            <w:tcW w:w="1679"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0.1.2.08</w:t>
            </w:r>
          </w:p>
        </w:tc>
        <w:tc>
          <w:tcPr>
            <w:tcW w:w="7860" w:type="dxa"/>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Definir procedimentos ou indicadores que sirvam para avaliar, anualmente, a eficácia e eficiência do novo Departamento ou Divisão.</w:t>
            </w:r>
          </w:p>
        </w:tc>
        <w:tc>
          <w:tcPr>
            <w:tcW w:w="1980"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1º</w:t>
            </w:r>
          </w:p>
        </w:tc>
        <w:tc>
          <w:tcPr>
            <w:tcW w:w="1359" w:type="dxa"/>
            <w:shd w:val="clear" w:color="auto" w:fill="auto"/>
            <w:vAlign w:val="center"/>
          </w:tcPr>
          <w:p w:rsidR="0018295B" w:rsidRPr="0018295B" w:rsidRDefault="0018295B" w:rsidP="0018295B">
            <w:pPr>
              <w:spacing w:line="240" w:lineRule="auto"/>
              <w:jc w:val="center"/>
              <w:rPr>
                <w:rFonts w:eastAsia="Times New Roman" w:cs="Arial"/>
                <w:sz w:val="20"/>
                <w:szCs w:val="20"/>
              </w:rPr>
            </w:pPr>
            <w:r w:rsidRPr="0018295B">
              <w:rPr>
                <w:rFonts w:cs="Arial"/>
                <w:sz w:val="20"/>
                <w:szCs w:val="20"/>
              </w:rPr>
              <w:t>Custo já previsto no item 0.1.03</w:t>
            </w:r>
          </w:p>
          <w:p w:rsidR="0018295B" w:rsidRPr="0018295B" w:rsidRDefault="0018295B" w:rsidP="0018295B">
            <w:pPr>
              <w:spacing w:line="240" w:lineRule="auto"/>
              <w:jc w:val="center"/>
              <w:rPr>
                <w:rFonts w:cs="Arial"/>
                <w:sz w:val="20"/>
                <w:szCs w:val="20"/>
              </w:rPr>
            </w:pPr>
          </w:p>
        </w:tc>
        <w:tc>
          <w:tcPr>
            <w:tcW w:w="2072"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Prefeitura Municipal / Setor Geral</w:t>
            </w:r>
          </w:p>
        </w:tc>
      </w:tr>
      <w:tr w:rsidR="0018295B" w:rsidRPr="0018295B" w:rsidTr="0018295B">
        <w:trPr>
          <w:trHeight w:val="20"/>
          <w:jc w:val="center"/>
        </w:trPr>
        <w:tc>
          <w:tcPr>
            <w:tcW w:w="1679"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0.1.2.09</w:t>
            </w:r>
          </w:p>
        </w:tc>
        <w:tc>
          <w:tcPr>
            <w:tcW w:w="7860" w:type="dxa"/>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Viabilizar, em conjunto com os prestadores de serviços dos quatro sistemas, a realização de discussões junto à população, sobre as formas de prestação de serviço que mais convém ao município para cada eixo do saneamento.</w:t>
            </w:r>
          </w:p>
        </w:tc>
        <w:tc>
          <w:tcPr>
            <w:tcW w:w="1980"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2º-3º</w:t>
            </w:r>
          </w:p>
        </w:tc>
        <w:tc>
          <w:tcPr>
            <w:tcW w:w="1359" w:type="dxa"/>
            <w:shd w:val="clear" w:color="auto" w:fill="auto"/>
            <w:vAlign w:val="center"/>
          </w:tcPr>
          <w:p w:rsidR="0018295B" w:rsidRPr="0018295B" w:rsidRDefault="0018295B" w:rsidP="0018295B">
            <w:pPr>
              <w:spacing w:line="240" w:lineRule="auto"/>
              <w:jc w:val="right"/>
              <w:rPr>
                <w:rFonts w:eastAsia="Times New Roman" w:cs="Arial"/>
                <w:sz w:val="20"/>
                <w:szCs w:val="20"/>
              </w:rPr>
            </w:pPr>
            <w:r w:rsidRPr="0018295B">
              <w:rPr>
                <w:rFonts w:cs="Arial"/>
                <w:sz w:val="20"/>
                <w:szCs w:val="20"/>
              </w:rPr>
              <w:t>9.662,80</w:t>
            </w:r>
          </w:p>
          <w:p w:rsidR="0018295B" w:rsidRPr="0018295B" w:rsidRDefault="0018295B" w:rsidP="0018295B">
            <w:pPr>
              <w:spacing w:line="240" w:lineRule="auto"/>
              <w:jc w:val="right"/>
              <w:rPr>
                <w:rFonts w:cs="Arial"/>
                <w:sz w:val="20"/>
                <w:szCs w:val="20"/>
              </w:rPr>
            </w:pPr>
          </w:p>
        </w:tc>
        <w:tc>
          <w:tcPr>
            <w:tcW w:w="2072"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Setor Geral /Setores de Água, Esgoto, Drenagem e Resíduos</w:t>
            </w:r>
          </w:p>
        </w:tc>
      </w:tr>
      <w:tr w:rsidR="0018295B" w:rsidRPr="0018295B" w:rsidTr="0018295B">
        <w:trPr>
          <w:trHeight w:val="397"/>
          <w:jc w:val="center"/>
        </w:trPr>
        <w:tc>
          <w:tcPr>
            <w:tcW w:w="1679"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0.1.3.10</w:t>
            </w:r>
          </w:p>
        </w:tc>
        <w:tc>
          <w:tcPr>
            <w:tcW w:w="7860" w:type="dxa"/>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810C89">
              <w:rPr>
                <w:rFonts w:cs="Arial"/>
                <w:sz w:val="20"/>
                <w:szCs w:val="20"/>
                <w:lang w:eastAsia="pt-BR"/>
              </w:rPr>
              <w:t>Criar o Conselho de Gestão do Saneamento Básico, sendo este uma entidade de caráter consultivo e deliberativo, cuja atribuição principal consiste em auxiliar o titular dos serviços de saneamento básico, na formulação da Política Municipal de Saneamento Básico, sendo assegurada a representação, de forma paritária, de todas as entidades envolvidas no universo do saneamento municipal e regional, nos termos da Lei Federal nº 11.445, de 05 de janeiro de 2007.</w:t>
            </w:r>
          </w:p>
        </w:tc>
        <w:tc>
          <w:tcPr>
            <w:tcW w:w="1980"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1º-3º</w:t>
            </w:r>
          </w:p>
        </w:tc>
        <w:tc>
          <w:tcPr>
            <w:tcW w:w="1359" w:type="dxa"/>
            <w:shd w:val="clear" w:color="auto" w:fill="auto"/>
            <w:vAlign w:val="center"/>
          </w:tcPr>
          <w:p w:rsidR="0018295B" w:rsidRPr="0018295B" w:rsidRDefault="0018295B" w:rsidP="0018295B">
            <w:pPr>
              <w:spacing w:line="240" w:lineRule="auto"/>
              <w:jc w:val="right"/>
              <w:rPr>
                <w:rFonts w:cs="Arial"/>
                <w:color w:val="000000"/>
                <w:sz w:val="20"/>
                <w:szCs w:val="20"/>
              </w:rPr>
            </w:pPr>
            <w:r w:rsidRPr="0018295B">
              <w:rPr>
                <w:rFonts w:cs="Arial"/>
                <w:color w:val="000000"/>
                <w:sz w:val="20"/>
                <w:szCs w:val="20"/>
              </w:rPr>
              <w:t>21.741,30</w:t>
            </w:r>
          </w:p>
          <w:p w:rsidR="0018295B" w:rsidRPr="0018295B" w:rsidRDefault="0018295B" w:rsidP="0018295B">
            <w:pPr>
              <w:spacing w:line="240" w:lineRule="auto"/>
              <w:jc w:val="right"/>
              <w:rPr>
                <w:rFonts w:cs="Arial"/>
                <w:color w:val="000000"/>
                <w:sz w:val="20"/>
                <w:szCs w:val="20"/>
              </w:rPr>
            </w:pPr>
          </w:p>
        </w:tc>
        <w:tc>
          <w:tcPr>
            <w:tcW w:w="2072"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Prefeitura Municipal / Setor Geral / Setor Jurídico</w:t>
            </w:r>
          </w:p>
        </w:tc>
      </w:tr>
    </w:tbl>
    <w:p w:rsidR="0018295B" w:rsidRDefault="0018295B" w:rsidP="00810C89">
      <w:pPr>
        <w:pStyle w:val="Fonte"/>
      </w:pPr>
      <w:r w:rsidRPr="0018295B">
        <w:t xml:space="preserve">*(s/o/m/a) = nº do setor / nº do objetivo / nº da meta / nº da ação. </w:t>
      </w:r>
    </w:p>
    <w:p w:rsidR="00810C89" w:rsidRPr="0018295B" w:rsidRDefault="00810C89" w:rsidP="00810C89">
      <w:pPr>
        <w:pStyle w:val="Fonte"/>
      </w:pPr>
    </w:p>
    <w:p w:rsidR="0018295B" w:rsidRPr="0018295B" w:rsidRDefault="0018295B" w:rsidP="00810C89">
      <w:pPr>
        <w:pStyle w:val="Legenda"/>
      </w:pPr>
      <w:bookmarkStart w:id="600" w:name="_Toc505788330"/>
      <w:bookmarkStart w:id="601" w:name="_Toc509935826"/>
      <w:r w:rsidRPr="0018295B">
        <w:lastRenderedPageBreak/>
        <w:t xml:space="preserve">Quadro </w:t>
      </w:r>
      <w:r w:rsidR="000A1C78">
        <w:fldChar w:fldCharType="begin"/>
      </w:r>
      <w:r w:rsidR="000A1C78">
        <w:instrText xml:space="preserve"> SEQ Quadro \* ARABIC </w:instrText>
      </w:r>
      <w:r w:rsidR="000A1C78">
        <w:fldChar w:fldCharType="separate"/>
      </w:r>
      <w:r w:rsidR="001B481B">
        <w:rPr>
          <w:noProof/>
        </w:rPr>
        <w:t>49</w:t>
      </w:r>
      <w:r w:rsidR="000A1C78">
        <w:rPr>
          <w:noProof/>
        </w:rPr>
        <w:fldChar w:fldCharType="end"/>
      </w:r>
      <w:r w:rsidRPr="0018295B">
        <w:t xml:space="preserve"> - Programas e ações propostos para o SB Geral - Objetivo 2</w:t>
      </w:r>
      <w:bookmarkEnd w:id="600"/>
      <w:bookmarkEnd w:id="601"/>
    </w:p>
    <w:tbl>
      <w:tblPr>
        <w:tblW w:w="14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42"/>
        <w:gridCol w:w="285"/>
        <w:gridCol w:w="341"/>
        <w:gridCol w:w="1843"/>
        <w:gridCol w:w="1983"/>
        <w:gridCol w:w="9025"/>
      </w:tblGrid>
      <w:tr w:rsidR="0018295B" w:rsidRPr="0018295B" w:rsidTr="0018295B">
        <w:trPr>
          <w:trHeight w:val="20"/>
          <w:jc w:val="center"/>
        </w:trPr>
        <w:tc>
          <w:tcPr>
            <w:tcW w:w="453" w:type="pct"/>
            <w:shd w:val="clear" w:color="000000" w:fill="C0C0C0"/>
            <w:noWrap/>
            <w:vAlign w:val="center"/>
            <w:hideMark/>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SETOR</w:t>
            </w:r>
          </w:p>
        </w:tc>
        <w:tc>
          <w:tcPr>
            <w:tcW w:w="96" w:type="pct"/>
            <w:shd w:val="clear" w:color="auto" w:fill="auto"/>
            <w:noWrap/>
            <w:vAlign w:val="center"/>
            <w:hideMark/>
          </w:tcPr>
          <w:p w:rsidR="0018295B" w:rsidRPr="0018295B" w:rsidRDefault="0018295B" w:rsidP="0018295B">
            <w:pPr>
              <w:spacing w:line="240" w:lineRule="auto"/>
              <w:jc w:val="center"/>
              <w:rPr>
                <w:sz w:val="20"/>
                <w:szCs w:val="20"/>
              </w:rPr>
            </w:pPr>
            <w:r w:rsidRPr="0018295B">
              <w:rPr>
                <w:sz w:val="20"/>
                <w:szCs w:val="20"/>
              </w:rPr>
              <w:t>0</w:t>
            </w:r>
          </w:p>
        </w:tc>
        <w:tc>
          <w:tcPr>
            <w:tcW w:w="4451" w:type="pct"/>
            <w:gridSpan w:val="4"/>
            <w:shd w:val="clear" w:color="auto" w:fill="auto"/>
            <w:noWrap/>
            <w:vAlign w:val="center"/>
            <w:hideMark/>
          </w:tcPr>
          <w:p w:rsidR="0018295B" w:rsidRPr="0018295B" w:rsidRDefault="0018295B" w:rsidP="0018295B">
            <w:pPr>
              <w:spacing w:line="240" w:lineRule="auto"/>
              <w:rPr>
                <w:sz w:val="20"/>
                <w:szCs w:val="20"/>
              </w:rPr>
            </w:pPr>
            <w:r w:rsidRPr="0018295B">
              <w:rPr>
                <w:sz w:val="20"/>
                <w:szCs w:val="20"/>
              </w:rPr>
              <w:t>Referente aos quatro setores.</w:t>
            </w:r>
          </w:p>
        </w:tc>
      </w:tr>
      <w:tr w:rsidR="0018295B" w:rsidRPr="0018295B" w:rsidTr="0018295B">
        <w:trPr>
          <w:trHeight w:val="20"/>
          <w:jc w:val="center"/>
        </w:trPr>
        <w:tc>
          <w:tcPr>
            <w:tcW w:w="453" w:type="pct"/>
            <w:shd w:val="clear" w:color="000000" w:fill="C0C0C0"/>
            <w:vAlign w:val="center"/>
            <w:hideMark/>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OBJETIVO</w:t>
            </w:r>
          </w:p>
        </w:tc>
        <w:tc>
          <w:tcPr>
            <w:tcW w:w="96" w:type="pct"/>
            <w:shd w:val="clear" w:color="auto" w:fill="auto"/>
            <w:vAlign w:val="center"/>
            <w:hideMark/>
          </w:tcPr>
          <w:p w:rsidR="0018295B" w:rsidRPr="0018295B" w:rsidRDefault="0018295B" w:rsidP="0018295B">
            <w:pPr>
              <w:spacing w:line="240" w:lineRule="auto"/>
              <w:jc w:val="center"/>
              <w:rPr>
                <w:sz w:val="20"/>
                <w:szCs w:val="20"/>
              </w:rPr>
            </w:pPr>
            <w:r w:rsidRPr="0018295B">
              <w:rPr>
                <w:sz w:val="20"/>
                <w:szCs w:val="20"/>
              </w:rPr>
              <w:t>2</w:t>
            </w:r>
          </w:p>
        </w:tc>
        <w:tc>
          <w:tcPr>
            <w:tcW w:w="4451" w:type="pct"/>
            <w:gridSpan w:val="4"/>
            <w:shd w:val="clear" w:color="auto" w:fill="auto"/>
            <w:vAlign w:val="center"/>
            <w:hideMark/>
          </w:tcPr>
          <w:p w:rsidR="0018295B" w:rsidRPr="0018295B" w:rsidRDefault="0018295B" w:rsidP="0018295B">
            <w:pPr>
              <w:spacing w:line="240" w:lineRule="auto"/>
              <w:rPr>
                <w:sz w:val="20"/>
                <w:szCs w:val="20"/>
              </w:rPr>
            </w:pPr>
            <w:r w:rsidRPr="0018295B">
              <w:rPr>
                <w:rFonts w:eastAsia="Times New Roman" w:cs="Arial"/>
                <w:sz w:val="20"/>
                <w:szCs w:val="20"/>
                <w:lang w:eastAsia="pt-BR"/>
              </w:rPr>
              <w:t>Alcançar, no município, a universalização do acesso aos quatro sistemas do saneamento básico.</w:t>
            </w:r>
          </w:p>
        </w:tc>
      </w:tr>
      <w:tr w:rsidR="0018295B" w:rsidRPr="0018295B" w:rsidTr="0018295B">
        <w:trPr>
          <w:trHeight w:val="20"/>
          <w:jc w:val="center"/>
        </w:trPr>
        <w:tc>
          <w:tcPr>
            <w:tcW w:w="453" w:type="pct"/>
            <w:shd w:val="clear" w:color="000000" w:fill="C0C0C0"/>
            <w:vAlign w:val="center"/>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INDICADOR</w:t>
            </w:r>
          </w:p>
        </w:tc>
        <w:tc>
          <w:tcPr>
            <w:tcW w:w="4547" w:type="pct"/>
            <w:gridSpan w:val="5"/>
            <w:shd w:val="clear" w:color="auto" w:fill="auto"/>
            <w:vAlign w:val="center"/>
          </w:tcPr>
          <w:p w:rsidR="0018295B" w:rsidRPr="0018295B" w:rsidRDefault="0018295B" w:rsidP="0018295B">
            <w:pPr>
              <w:spacing w:line="240" w:lineRule="auto"/>
              <w:rPr>
                <w:rFonts w:eastAsia="Times New Roman" w:cs="Arial"/>
                <w:sz w:val="20"/>
                <w:szCs w:val="20"/>
                <w:lang w:eastAsia="pt-BR"/>
              </w:rPr>
            </w:pPr>
            <w:r w:rsidRPr="0018295B">
              <w:rPr>
                <w:rFonts w:eastAsia="Times New Roman" w:cs="Arial"/>
                <w:sz w:val="20"/>
                <w:szCs w:val="20"/>
                <w:lang w:eastAsia="pt-BR"/>
              </w:rPr>
              <w:t>Índices específicos de atendimento de cada setor (%).</w:t>
            </w:r>
          </w:p>
        </w:tc>
      </w:tr>
      <w:tr w:rsidR="0018295B" w:rsidRPr="0018295B" w:rsidTr="0018295B">
        <w:trPr>
          <w:trHeight w:val="20"/>
          <w:jc w:val="center"/>
        </w:trPr>
        <w:tc>
          <w:tcPr>
            <w:tcW w:w="5000" w:type="pct"/>
            <w:gridSpan w:val="6"/>
            <w:shd w:val="clear" w:color="auto" w:fill="auto"/>
            <w:noWrap/>
            <w:vAlign w:val="center"/>
            <w:hideMark/>
          </w:tcPr>
          <w:p w:rsidR="0018295B" w:rsidRPr="0018295B" w:rsidRDefault="0018295B" w:rsidP="0018295B">
            <w:pPr>
              <w:spacing w:before="20" w:after="20" w:line="240" w:lineRule="auto"/>
              <w:contextualSpacing/>
              <w:jc w:val="center"/>
              <w:rPr>
                <w:rFonts w:eastAsia="Times New Roman" w:cs="Arial"/>
                <w:sz w:val="20"/>
                <w:szCs w:val="20"/>
                <w:lang w:eastAsia="pt-BR"/>
              </w:rPr>
            </w:pPr>
          </w:p>
        </w:tc>
      </w:tr>
      <w:tr w:rsidR="0018295B" w:rsidRPr="0018295B" w:rsidTr="0018295B">
        <w:trPr>
          <w:trHeight w:val="20"/>
          <w:jc w:val="center"/>
        </w:trPr>
        <w:tc>
          <w:tcPr>
            <w:tcW w:w="5000" w:type="pct"/>
            <w:gridSpan w:val="6"/>
            <w:shd w:val="clear" w:color="000000" w:fill="C0C0C0"/>
            <w:noWrap/>
            <w:vAlign w:val="center"/>
            <w:hideMark/>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PRAZO DE ENTREGA DA META (ANOS)</w:t>
            </w:r>
          </w:p>
        </w:tc>
      </w:tr>
      <w:tr w:rsidR="0018295B" w:rsidRPr="0018295B" w:rsidTr="0018295B">
        <w:trPr>
          <w:trHeight w:val="20"/>
          <w:jc w:val="center"/>
        </w:trPr>
        <w:tc>
          <w:tcPr>
            <w:tcW w:w="664" w:type="pct"/>
            <w:gridSpan w:val="3"/>
            <w:shd w:val="clear" w:color="000000" w:fill="C0C0C0"/>
            <w:noWrap/>
            <w:vAlign w:val="center"/>
            <w:hideMark/>
          </w:tcPr>
          <w:p w:rsidR="0018295B" w:rsidRPr="0018295B" w:rsidRDefault="0018295B" w:rsidP="0018295B">
            <w:pPr>
              <w:spacing w:line="240" w:lineRule="auto"/>
              <w:jc w:val="center"/>
              <w:rPr>
                <w:rFonts w:eastAsia="Times New Roman" w:cs="Arial"/>
                <w:b/>
                <w:bCs/>
                <w:sz w:val="20"/>
                <w:szCs w:val="20"/>
                <w:lang w:eastAsia="pt-BR"/>
              </w:rPr>
            </w:pPr>
            <w:r w:rsidRPr="0018295B">
              <w:rPr>
                <w:rFonts w:eastAsia="Times New Roman" w:cs="Arial"/>
                <w:b/>
                <w:bCs/>
                <w:sz w:val="20"/>
                <w:szCs w:val="20"/>
                <w:lang w:eastAsia="pt-BR"/>
              </w:rPr>
              <w:t>IMEDIATO (0 a 3)</w:t>
            </w:r>
          </w:p>
        </w:tc>
        <w:tc>
          <w:tcPr>
            <w:tcW w:w="622" w:type="pct"/>
            <w:shd w:val="clear" w:color="000000" w:fill="C0C0C0"/>
            <w:noWrap/>
            <w:vAlign w:val="center"/>
            <w:hideMark/>
          </w:tcPr>
          <w:p w:rsidR="0018295B" w:rsidRPr="0018295B" w:rsidRDefault="0018295B" w:rsidP="0018295B">
            <w:pPr>
              <w:spacing w:line="240" w:lineRule="auto"/>
              <w:jc w:val="center"/>
              <w:rPr>
                <w:rFonts w:eastAsia="Times New Roman" w:cs="Arial"/>
                <w:b/>
                <w:bCs/>
                <w:sz w:val="20"/>
                <w:szCs w:val="20"/>
                <w:lang w:eastAsia="pt-BR"/>
              </w:rPr>
            </w:pPr>
            <w:r w:rsidRPr="0018295B">
              <w:rPr>
                <w:rFonts w:eastAsia="Times New Roman" w:cs="Arial"/>
                <w:b/>
                <w:bCs/>
                <w:sz w:val="20"/>
                <w:szCs w:val="20"/>
                <w:lang w:eastAsia="pt-BR"/>
              </w:rPr>
              <w:t>CURTO (4 a 8)</w:t>
            </w:r>
          </w:p>
        </w:tc>
        <w:tc>
          <w:tcPr>
            <w:tcW w:w="669" w:type="pct"/>
            <w:shd w:val="clear" w:color="000000" w:fill="C0C0C0"/>
            <w:noWrap/>
            <w:vAlign w:val="center"/>
            <w:hideMark/>
          </w:tcPr>
          <w:p w:rsidR="0018295B" w:rsidRPr="0018295B" w:rsidRDefault="0018295B" w:rsidP="0018295B">
            <w:pPr>
              <w:spacing w:line="240" w:lineRule="auto"/>
              <w:jc w:val="center"/>
              <w:rPr>
                <w:rFonts w:eastAsia="Times New Roman" w:cs="Arial"/>
                <w:b/>
                <w:bCs/>
                <w:sz w:val="20"/>
                <w:szCs w:val="20"/>
                <w:lang w:eastAsia="pt-BR"/>
              </w:rPr>
            </w:pPr>
            <w:r w:rsidRPr="0018295B">
              <w:rPr>
                <w:rFonts w:eastAsia="Times New Roman" w:cs="Arial"/>
                <w:b/>
                <w:bCs/>
                <w:sz w:val="20"/>
                <w:szCs w:val="20"/>
                <w:lang w:eastAsia="pt-BR"/>
              </w:rPr>
              <w:t>MÉDIO (9 a 12)</w:t>
            </w:r>
          </w:p>
        </w:tc>
        <w:tc>
          <w:tcPr>
            <w:tcW w:w="3045" w:type="pct"/>
            <w:shd w:val="clear" w:color="000000" w:fill="C0C0C0"/>
            <w:noWrap/>
            <w:vAlign w:val="center"/>
            <w:hideMark/>
          </w:tcPr>
          <w:p w:rsidR="0018295B" w:rsidRPr="0018295B" w:rsidRDefault="0018295B" w:rsidP="0018295B">
            <w:pPr>
              <w:spacing w:line="240" w:lineRule="auto"/>
              <w:jc w:val="center"/>
              <w:rPr>
                <w:rFonts w:eastAsia="Times New Roman" w:cs="Arial"/>
                <w:b/>
                <w:bCs/>
                <w:sz w:val="20"/>
                <w:szCs w:val="20"/>
                <w:lang w:eastAsia="pt-BR"/>
              </w:rPr>
            </w:pPr>
            <w:r w:rsidRPr="0018295B">
              <w:rPr>
                <w:rFonts w:eastAsia="Times New Roman" w:cs="Arial"/>
                <w:b/>
                <w:bCs/>
                <w:sz w:val="20"/>
                <w:szCs w:val="20"/>
                <w:lang w:eastAsia="pt-BR"/>
              </w:rPr>
              <w:t>LONGO (13 a 20)</w:t>
            </w:r>
          </w:p>
        </w:tc>
      </w:tr>
      <w:tr w:rsidR="0018295B" w:rsidRPr="0018295B" w:rsidTr="0018295B">
        <w:trPr>
          <w:trHeight w:val="20"/>
          <w:jc w:val="center"/>
        </w:trPr>
        <w:tc>
          <w:tcPr>
            <w:tcW w:w="664" w:type="pct"/>
            <w:gridSpan w:val="3"/>
            <w:shd w:val="clear" w:color="auto" w:fill="auto"/>
            <w:noWrap/>
            <w:vAlign w:val="center"/>
          </w:tcPr>
          <w:p w:rsidR="0018295B" w:rsidRPr="0018295B" w:rsidRDefault="0018295B" w:rsidP="0018295B">
            <w:pPr>
              <w:spacing w:before="20" w:after="20" w:line="240" w:lineRule="auto"/>
              <w:jc w:val="center"/>
              <w:rPr>
                <w:rFonts w:cs="Arial"/>
                <w:bCs/>
                <w:sz w:val="20"/>
                <w:szCs w:val="20"/>
              </w:rPr>
            </w:pPr>
          </w:p>
        </w:tc>
        <w:tc>
          <w:tcPr>
            <w:tcW w:w="622" w:type="pct"/>
            <w:shd w:val="clear" w:color="auto" w:fill="auto"/>
            <w:noWrap/>
            <w:vAlign w:val="center"/>
            <w:hideMark/>
          </w:tcPr>
          <w:p w:rsidR="0018295B" w:rsidRPr="0018295B" w:rsidRDefault="0018295B" w:rsidP="0018295B">
            <w:pPr>
              <w:spacing w:before="20" w:after="20" w:line="240" w:lineRule="auto"/>
              <w:jc w:val="center"/>
              <w:rPr>
                <w:rFonts w:cs="Arial"/>
                <w:bCs/>
                <w:sz w:val="20"/>
                <w:szCs w:val="20"/>
              </w:rPr>
            </w:pPr>
          </w:p>
        </w:tc>
        <w:tc>
          <w:tcPr>
            <w:tcW w:w="669" w:type="pct"/>
            <w:shd w:val="clear" w:color="auto" w:fill="auto"/>
            <w:noWrap/>
            <w:vAlign w:val="center"/>
          </w:tcPr>
          <w:p w:rsidR="0018295B" w:rsidRPr="0018295B" w:rsidRDefault="0018295B" w:rsidP="0018295B">
            <w:pPr>
              <w:spacing w:before="20" w:after="20" w:line="240" w:lineRule="auto"/>
              <w:jc w:val="center"/>
              <w:rPr>
                <w:rFonts w:cs="Arial"/>
                <w:bCs/>
                <w:sz w:val="20"/>
                <w:szCs w:val="20"/>
              </w:rPr>
            </w:pPr>
          </w:p>
        </w:tc>
        <w:tc>
          <w:tcPr>
            <w:tcW w:w="3045" w:type="pct"/>
            <w:shd w:val="clear" w:color="auto" w:fill="auto"/>
            <w:noWrap/>
            <w:vAlign w:val="center"/>
          </w:tcPr>
          <w:p w:rsidR="0018295B" w:rsidRPr="0018295B" w:rsidRDefault="0018295B" w:rsidP="0018295B">
            <w:pPr>
              <w:spacing w:before="20" w:after="20" w:line="240" w:lineRule="auto"/>
              <w:jc w:val="center"/>
              <w:rPr>
                <w:rFonts w:cs="Arial"/>
                <w:bCs/>
                <w:sz w:val="20"/>
                <w:szCs w:val="20"/>
              </w:rPr>
            </w:pPr>
            <w:r w:rsidRPr="0018295B">
              <w:rPr>
                <w:rFonts w:eastAsia="Times New Roman" w:cs="Arial"/>
                <w:bCs/>
                <w:sz w:val="20"/>
                <w:szCs w:val="20"/>
              </w:rPr>
              <w:t>2.1. Supervisionar a implementação das ações relacionadas ao aumento do percentual de cobertura dos serviços, dentro dos prazos especificados nos respectivos setores, conforme previsto neste PMSB.</w:t>
            </w:r>
          </w:p>
        </w:tc>
      </w:tr>
    </w:tbl>
    <w:p w:rsidR="0018295B" w:rsidRPr="0018295B" w:rsidRDefault="0018295B" w:rsidP="0018295B">
      <w:pPr>
        <w:jc w:val="center"/>
        <w:rPr>
          <w:sz w:val="2"/>
          <w:szCs w:val="2"/>
          <w:lang w:eastAsia="x-none"/>
        </w:rPr>
      </w:pPr>
    </w:p>
    <w:tbl>
      <w:tblPr>
        <w:tblW w:w="148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95"/>
        <w:gridCol w:w="8206"/>
        <w:gridCol w:w="1774"/>
        <w:gridCol w:w="1507"/>
        <w:gridCol w:w="2161"/>
      </w:tblGrid>
      <w:tr w:rsidR="0018295B" w:rsidRPr="0018295B" w:rsidTr="0018295B">
        <w:trPr>
          <w:trHeight w:val="20"/>
          <w:tblHeader/>
          <w:jc w:val="center"/>
        </w:trPr>
        <w:tc>
          <w:tcPr>
            <w:tcW w:w="1195" w:type="dxa"/>
            <w:shd w:val="clear" w:color="000000" w:fill="C0C0C0"/>
            <w:vAlign w:val="center"/>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CÓDIGO</w:t>
            </w:r>
          </w:p>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(s/o/m/a)*</w:t>
            </w:r>
          </w:p>
        </w:tc>
        <w:tc>
          <w:tcPr>
            <w:tcW w:w="8206" w:type="dxa"/>
            <w:shd w:val="clear" w:color="000000" w:fill="C0C0C0"/>
            <w:vAlign w:val="center"/>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DESCRIÇÃO</w:t>
            </w:r>
          </w:p>
        </w:tc>
        <w:tc>
          <w:tcPr>
            <w:tcW w:w="1774" w:type="dxa"/>
            <w:shd w:val="clear" w:color="000000" w:fill="C0C0C0"/>
          </w:tcPr>
          <w:p w:rsidR="0018295B" w:rsidRPr="0018295B" w:rsidRDefault="0018295B" w:rsidP="0018295B">
            <w:pPr>
              <w:spacing w:line="240" w:lineRule="auto"/>
              <w:ind w:firstLine="72"/>
              <w:jc w:val="center"/>
              <w:rPr>
                <w:rFonts w:eastAsia="Times New Roman" w:cs="Arial"/>
                <w:b/>
                <w:bCs/>
                <w:sz w:val="20"/>
                <w:szCs w:val="20"/>
                <w:lang w:eastAsia="pt-BR"/>
              </w:rPr>
            </w:pPr>
            <w:r w:rsidRPr="0018295B">
              <w:rPr>
                <w:rFonts w:eastAsia="Times New Roman" w:cs="Arial"/>
                <w:b/>
                <w:bCs/>
                <w:sz w:val="20"/>
                <w:szCs w:val="20"/>
                <w:lang w:eastAsia="pt-BR"/>
              </w:rPr>
              <w:t>Período de desenvolvimento da ação</w:t>
            </w:r>
          </w:p>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(ano)</w:t>
            </w:r>
          </w:p>
        </w:tc>
        <w:tc>
          <w:tcPr>
            <w:tcW w:w="1507" w:type="dxa"/>
            <w:shd w:val="clear" w:color="000000" w:fill="C0C0C0"/>
          </w:tcPr>
          <w:p w:rsidR="0018295B" w:rsidRPr="0018295B" w:rsidRDefault="0018295B" w:rsidP="0018295B">
            <w:pPr>
              <w:spacing w:line="240" w:lineRule="auto"/>
              <w:ind w:left="64" w:firstLine="8"/>
              <w:jc w:val="center"/>
              <w:rPr>
                <w:rFonts w:eastAsia="Times New Roman" w:cs="Arial"/>
                <w:b/>
                <w:bCs/>
                <w:sz w:val="20"/>
                <w:szCs w:val="20"/>
                <w:lang w:eastAsia="pt-BR"/>
              </w:rPr>
            </w:pPr>
            <w:r w:rsidRPr="0018295B">
              <w:rPr>
                <w:rFonts w:eastAsia="Times New Roman" w:cs="Arial"/>
                <w:b/>
                <w:bCs/>
                <w:sz w:val="20"/>
                <w:szCs w:val="20"/>
                <w:lang w:eastAsia="pt-BR"/>
              </w:rPr>
              <w:t>Custo total na moeda de 2017</w:t>
            </w:r>
          </w:p>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(R$)</w:t>
            </w:r>
          </w:p>
        </w:tc>
        <w:tc>
          <w:tcPr>
            <w:tcW w:w="2161" w:type="dxa"/>
            <w:shd w:val="clear" w:color="000000" w:fill="C0C0C0"/>
          </w:tcPr>
          <w:p w:rsidR="0018295B" w:rsidRPr="0018295B" w:rsidRDefault="0018295B" w:rsidP="0018295B">
            <w:pPr>
              <w:spacing w:line="240" w:lineRule="auto"/>
              <w:ind w:left="64" w:firstLine="8"/>
              <w:jc w:val="center"/>
              <w:rPr>
                <w:rFonts w:eastAsia="Times New Roman" w:cs="Arial"/>
                <w:b/>
                <w:bCs/>
                <w:sz w:val="20"/>
                <w:szCs w:val="20"/>
                <w:lang w:eastAsia="pt-BR"/>
              </w:rPr>
            </w:pPr>
            <w:r w:rsidRPr="0018295B">
              <w:rPr>
                <w:rFonts w:eastAsia="Times New Roman" w:cs="Arial"/>
                <w:b/>
                <w:bCs/>
                <w:sz w:val="20"/>
                <w:szCs w:val="20"/>
                <w:lang w:eastAsia="pt-BR"/>
              </w:rPr>
              <w:t>Responsável pela ação</w:t>
            </w:r>
          </w:p>
          <w:p w:rsidR="0018295B" w:rsidRPr="0018295B" w:rsidRDefault="0018295B" w:rsidP="0018295B">
            <w:pPr>
              <w:spacing w:line="240" w:lineRule="auto"/>
              <w:ind w:left="64" w:firstLine="8"/>
              <w:jc w:val="center"/>
              <w:rPr>
                <w:rFonts w:eastAsia="Times New Roman" w:cs="Arial"/>
                <w:b/>
                <w:bCs/>
                <w:sz w:val="20"/>
                <w:szCs w:val="20"/>
                <w:lang w:eastAsia="pt-BR"/>
              </w:rPr>
            </w:pPr>
          </w:p>
        </w:tc>
      </w:tr>
      <w:tr w:rsidR="0018295B" w:rsidRPr="0018295B" w:rsidTr="0018295B">
        <w:trPr>
          <w:trHeight w:val="20"/>
          <w:jc w:val="center"/>
        </w:trPr>
        <w:tc>
          <w:tcPr>
            <w:tcW w:w="1195" w:type="dxa"/>
            <w:shd w:val="clear" w:color="auto" w:fill="auto"/>
            <w:vAlign w:val="center"/>
          </w:tcPr>
          <w:p w:rsidR="0018295B" w:rsidRPr="0018295B" w:rsidRDefault="0018295B" w:rsidP="0018295B">
            <w:pPr>
              <w:spacing w:line="240" w:lineRule="auto"/>
              <w:ind w:left="215"/>
              <w:jc w:val="center"/>
              <w:rPr>
                <w:rFonts w:cs="Arial"/>
                <w:sz w:val="20"/>
                <w:szCs w:val="20"/>
              </w:rPr>
            </w:pPr>
            <w:r w:rsidRPr="0018295B">
              <w:rPr>
                <w:rFonts w:cs="Arial"/>
                <w:sz w:val="20"/>
                <w:szCs w:val="20"/>
              </w:rPr>
              <w:t>0.2.1.11</w:t>
            </w:r>
          </w:p>
        </w:tc>
        <w:tc>
          <w:tcPr>
            <w:tcW w:w="8206" w:type="dxa"/>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Criar, no âmbito da nova Divisão, documentos normativos (procedimentos) que descrevam os cargos e suas respectivas funções, sejam operacionais ou gerenciais, definindo atribuições específicas de forma que as ações possam ser desempenhadas com segurança operacional e padronização gerencial por qualquer funcionário que assuma a responsabilidade por essas funções.</w:t>
            </w:r>
          </w:p>
        </w:tc>
        <w:tc>
          <w:tcPr>
            <w:tcW w:w="1774"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3º</w:t>
            </w:r>
          </w:p>
        </w:tc>
        <w:tc>
          <w:tcPr>
            <w:tcW w:w="1507" w:type="dxa"/>
            <w:shd w:val="clear" w:color="auto" w:fill="auto"/>
            <w:vAlign w:val="center"/>
          </w:tcPr>
          <w:p w:rsidR="0018295B" w:rsidRPr="0018295B" w:rsidRDefault="0018295B" w:rsidP="0018295B">
            <w:pPr>
              <w:spacing w:line="240" w:lineRule="auto"/>
              <w:jc w:val="right"/>
              <w:rPr>
                <w:rFonts w:eastAsia="Times New Roman" w:cs="Arial"/>
                <w:color w:val="000000"/>
                <w:sz w:val="20"/>
                <w:szCs w:val="20"/>
              </w:rPr>
            </w:pPr>
            <w:r w:rsidRPr="0018295B">
              <w:rPr>
                <w:rFonts w:cs="Arial"/>
                <w:color w:val="000000"/>
                <w:sz w:val="20"/>
                <w:szCs w:val="20"/>
              </w:rPr>
              <w:t>4.512,00</w:t>
            </w:r>
          </w:p>
        </w:tc>
        <w:tc>
          <w:tcPr>
            <w:tcW w:w="2161"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Prefeitura Municipal / Setor Geral</w:t>
            </w:r>
          </w:p>
        </w:tc>
      </w:tr>
      <w:tr w:rsidR="0018295B" w:rsidRPr="0018295B" w:rsidTr="0018295B">
        <w:trPr>
          <w:trHeight w:val="20"/>
          <w:jc w:val="center"/>
        </w:trPr>
        <w:tc>
          <w:tcPr>
            <w:tcW w:w="1195" w:type="dxa"/>
            <w:shd w:val="clear" w:color="auto" w:fill="auto"/>
            <w:vAlign w:val="center"/>
          </w:tcPr>
          <w:p w:rsidR="0018295B" w:rsidRPr="0018295B" w:rsidRDefault="0018295B" w:rsidP="0018295B">
            <w:pPr>
              <w:spacing w:line="240" w:lineRule="auto"/>
              <w:ind w:left="215"/>
              <w:jc w:val="center"/>
              <w:rPr>
                <w:rFonts w:cs="Arial"/>
                <w:sz w:val="20"/>
                <w:szCs w:val="20"/>
              </w:rPr>
            </w:pPr>
            <w:r w:rsidRPr="0018295B">
              <w:rPr>
                <w:rFonts w:cs="Arial"/>
                <w:sz w:val="20"/>
                <w:szCs w:val="20"/>
              </w:rPr>
              <w:t>0.2.1.12</w:t>
            </w:r>
          </w:p>
        </w:tc>
        <w:tc>
          <w:tcPr>
            <w:tcW w:w="8206" w:type="dxa"/>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Disponibilizar sistematicamente as conclusões do SMIS para os processos de tomadas de decisão e para a alimentação do Sistema Nacional de Informações sobre Saneamento (SNIS).</w:t>
            </w:r>
          </w:p>
        </w:tc>
        <w:tc>
          <w:tcPr>
            <w:tcW w:w="1774"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2º - 20º</w:t>
            </w:r>
          </w:p>
        </w:tc>
        <w:tc>
          <w:tcPr>
            <w:tcW w:w="1507" w:type="dxa"/>
            <w:shd w:val="clear" w:color="auto" w:fill="auto"/>
            <w:vAlign w:val="center"/>
          </w:tcPr>
          <w:p w:rsidR="0018295B" w:rsidRPr="0018295B" w:rsidRDefault="0018295B" w:rsidP="0018295B">
            <w:pPr>
              <w:spacing w:line="240" w:lineRule="auto"/>
              <w:jc w:val="center"/>
              <w:rPr>
                <w:rFonts w:eastAsia="Times New Roman" w:cs="Arial"/>
                <w:sz w:val="20"/>
                <w:szCs w:val="20"/>
              </w:rPr>
            </w:pPr>
            <w:r w:rsidRPr="0018295B">
              <w:rPr>
                <w:rFonts w:cs="Arial"/>
                <w:sz w:val="20"/>
                <w:szCs w:val="20"/>
              </w:rPr>
              <w:t>Custo já previsto no item 0.1.03</w:t>
            </w:r>
          </w:p>
        </w:tc>
        <w:tc>
          <w:tcPr>
            <w:tcW w:w="2161"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Prefeitura Municipal / Setor Geral</w:t>
            </w:r>
          </w:p>
        </w:tc>
      </w:tr>
      <w:tr w:rsidR="0018295B" w:rsidRPr="0018295B" w:rsidTr="0018295B">
        <w:trPr>
          <w:trHeight w:val="20"/>
          <w:jc w:val="center"/>
        </w:trPr>
        <w:tc>
          <w:tcPr>
            <w:tcW w:w="1195" w:type="dxa"/>
            <w:shd w:val="clear" w:color="auto" w:fill="auto"/>
            <w:vAlign w:val="center"/>
          </w:tcPr>
          <w:p w:rsidR="0018295B" w:rsidRPr="0018295B" w:rsidRDefault="0018295B" w:rsidP="0018295B">
            <w:pPr>
              <w:spacing w:line="240" w:lineRule="auto"/>
              <w:ind w:left="215"/>
              <w:jc w:val="center"/>
              <w:rPr>
                <w:rFonts w:cs="Arial"/>
                <w:sz w:val="20"/>
                <w:szCs w:val="20"/>
              </w:rPr>
            </w:pPr>
            <w:r w:rsidRPr="0018295B">
              <w:rPr>
                <w:rFonts w:cs="Arial"/>
                <w:sz w:val="20"/>
                <w:szCs w:val="20"/>
              </w:rPr>
              <w:t>0.2.1.13</w:t>
            </w:r>
          </w:p>
        </w:tc>
        <w:tc>
          <w:tcPr>
            <w:tcW w:w="8206" w:type="dxa"/>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810C89">
              <w:rPr>
                <w:rFonts w:cs="Arial"/>
                <w:sz w:val="20"/>
                <w:szCs w:val="20"/>
                <w:lang w:eastAsia="pt-BR"/>
              </w:rPr>
              <w:t>Organizar, junto aos responsáveis pelos eixos do saneamento, a revisão do PMSB com controle social, conforme disposto na Lei do Saneamento.</w:t>
            </w:r>
          </w:p>
        </w:tc>
        <w:tc>
          <w:tcPr>
            <w:tcW w:w="1774"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3º-8º</w:t>
            </w:r>
          </w:p>
        </w:tc>
        <w:tc>
          <w:tcPr>
            <w:tcW w:w="1507" w:type="dxa"/>
            <w:shd w:val="clear" w:color="auto" w:fill="auto"/>
            <w:vAlign w:val="center"/>
          </w:tcPr>
          <w:p w:rsidR="0018295B" w:rsidRPr="0018295B" w:rsidRDefault="0018295B" w:rsidP="0018295B">
            <w:pPr>
              <w:spacing w:line="240" w:lineRule="auto"/>
              <w:jc w:val="center"/>
              <w:rPr>
                <w:rFonts w:eastAsia="Times New Roman" w:cs="Arial"/>
                <w:sz w:val="20"/>
                <w:szCs w:val="20"/>
              </w:rPr>
            </w:pPr>
            <w:r w:rsidRPr="0018295B">
              <w:rPr>
                <w:rFonts w:cs="Arial"/>
                <w:sz w:val="20"/>
                <w:szCs w:val="20"/>
              </w:rPr>
              <w:t>Custo já previsto no item 0.1.03</w:t>
            </w:r>
          </w:p>
        </w:tc>
        <w:tc>
          <w:tcPr>
            <w:tcW w:w="2161"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Setor Geral / Setores de Água, Esgoto, Drenagem e Resíduos</w:t>
            </w:r>
          </w:p>
        </w:tc>
      </w:tr>
      <w:tr w:rsidR="0018295B" w:rsidRPr="0018295B" w:rsidTr="0018295B">
        <w:trPr>
          <w:trHeight w:val="20"/>
          <w:jc w:val="center"/>
        </w:trPr>
        <w:tc>
          <w:tcPr>
            <w:tcW w:w="1195" w:type="dxa"/>
            <w:shd w:val="clear" w:color="auto" w:fill="auto"/>
            <w:vAlign w:val="center"/>
          </w:tcPr>
          <w:p w:rsidR="0018295B" w:rsidRPr="0018295B" w:rsidRDefault="0018295B" w:rsidP="0018295B">
            <w:pPr>
              <w:spacing w:line="240" w:lineRule="auto"/>
              <w:ind w:left="215"/>
              <w:jc w:val="center"/>
              <w:rPr>
                <w:rFonts w:cs="Arial"/>
                <w:sz w:val="20"/>
                <w:szCs w:val="20"/>
              </w:rPr>
            </w:pPr>
            <w:r w:rsidRPr="0018295B">
              <w:rPr>
                <w:rFonts w:cs="Arial"/>
                <w:sz w:val="20"/>
                <w:szCs w:val="20"/>
              </w:rPr>
              <w:t>0.2.1.14</w:t>
            </w:r>
          </w:p>
        </w:tc>
        <w:tc>
          <w:tcPr>
            <w:tcW w:w="8206" w:type="dxa"/>
            <w:shd w:val="clear" w:color="auto" w:fill="auto"/>
            <w:vAlign w:val="center"/>
          </w:tcPr>
          <w:p w:rsidR="0018295B" w:rsidRPr="00810C89"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Indicar ao Poder Legislativo a necessidade de atualização da legislação municipal, visando ao estabelecimento de normas para o bom uso dos sistemas de saneamento básico a serem observadas pelos gestores públicos municipais, prestadores de serviços e usuários.</w:t>
            </w:r>
          </w:p>
        </w:tc>
        <w:tc>
          <w:tcPr>
            <w:tcW w:w="1774"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2º</w:t>
            </w:r>
          </w:p>
        </w:tc>
        <w:tc>
          <w:tcPr>
            <w:tcW w:w="1507" w:type="dxa"/>
            <w:shd w:val="clear" w:color="auto" w:fill="auto"/>
            <w:vAlign w:val="center"/>
          </w:tcPr>
          <w:p w:rsidR="0018295B" w:rsidRPr="0018295B" w:rsidRDefault="0018295B" w:rsidP="0018295B">
            <w:pPr>
              <w:spacing w:line="240" w:lineRule="auto"/>
              <w:jc w:val="center"/>
              <w:rPr>
                <w:rFonts w:eastAsia="Times New Roman" w:cs="Arial"/>
                <w:sz w:val="20"/>
                <w:szCs w:val="20"/>
              </w:rPr>
            </w:pPr>
            <w:r w:rsidRPr="0018295B">
              <w:rPr>
                <w:rFonts w:cs="Arial"/>
                <w:sz w:val="20"/>
                <w:szCs w:val="20"/>
              </w:rPr>
              <w:t>Custo já previsto no item 0.1.03</w:t>
            </w:r>
          </w:p>
        </w:tc>
        <w:tc>
          <w:tcPr>
            <w:tcW w:w="2161"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Prefeitura Municipal / Setor Geral / Câmara Municipal</w:t>
            </w:r>
          </w:p>
        </w:tc>
      </w:tr>
      <w:tr w:rsidR="0018295B" w:rsidRPr="0018295B" w:rsidTr="0018295B">
        <w:trPr>
          <w:trHeight w:val="20"/>
          <w:jc w:val="center"/>
        </w:trPr>
        <w:tc>
          <w:tcPr>
            <w:tcW w:w="1195" w:type="dxa"/>
            <w:shd w:val="clear" w:color="auto" w:fill="auto"/>
            <w:vAlign w:val="center"/>
          </w:tcPr>
          <w:p w:rsidR="0018295B" w:rsidRPr="0018295B" w:rsidRDefault="0018295B" w:rsidP="0018295B">
            <w:pPr>
              <w:spacing w:line="240" w:lineRule="auto"/>
              <w:ind w:left="215"/>
              <w:jc w:val="center"/>
              <w:rPr>
                <w:rFonts w:cs="Arial"/>
                <w:sz w:val="20"/>
                <w:szCs w:val="20"/>
              </w:rPr>
            </w:pPr>
            <w:r w:rsidRPr="0018295B">
              <w:rPr>
                <w:rFonts w:cs="Arial"/>
                <w:sz w:val="20"/>
                <w:szCs w:val="20"/>
              </w:rPr>
              <w:t>0.2.1.15</w:t>
            </w:r>
          </w:p>
        </w:tc>
        <w:tc>
          <w:tcPr>
            <w:tcW w:w="8206" w:type="dxa"/>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Estabelecer norma para que os quatro setores mantenham registros de ações operacionais visando à manutenção, ao conserto de equipamentos ou a quaisquer reformas ou ampliações na infraestrutura patrimonial.</w:t>
            </w:r>
          </w:p>
        </w:tc>
        <w:tc>
          <w:tcPr>
            <w:tcW w:w="1774"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2º</w:t>
            </w:r>
          </w:p>
        </w:tc>
        <w:tc>
          <w:tcPr>
            <w:tcW w:w="1507" w:type="dxa"/>
            <w:shd w:val="clear" w:color="auto" w:fill="auto"/>
            <w:vAlign w:val="center"/>
          </w:tcPr>
          <w:p w:rsidR="0018295B" w:rsidRPr="0018295B" w:rsidRDefault="0018295B" w:rsidP="0018295B">
            <w:pPr>
              <w:spacing w:line="240" w:lineRule="auto"/>
              <w:jc w:val="center"/>
              <w:rPr>
                <w:rFonts w:eastAsia="Times New Roman" w:cs="Arial"/>
                <w:sz w:val="20"/>
                <w:szCs w:val="20"/>
              </w:rPr>
            </w:pPr>
            <w:r w:rsidRPr="0018295B">
              <w:rPr>
                <w:rFonts w:cs="Arial"/>
                <w:sz w:val="20"/>
                <w:szCs w:val="20"/>
              </w:rPr>
              <w:t>Custo já previsto no item 0.1.03</w:t>
            </w:r>
          </w:p>
        </w:tc>
        <w:tc>
          <w:tcPr>
            <w:tcW w:w="2161"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Setor Geral /Setores de Água, Esgoto, Drenagem e Resíduos</w:t>
            </w:r>
          </w:p>
        </w:tc>
      </w:tr>
    </w:tbl>
    <w:p w:rsidR="0018295B" w:rsidRPr="0018295B" w:rsidRDefault="0018295B" w:rsidP="00810C89">
      <w:pPr>
        <w:pStyle w:val="Fonte"/>
      </w:pPr>
      <w:r w:rsidRPr="0018295B">
        <w:t>*(s/o/m/a) = nº do setor / nº do objetivo / nº da meta / nº da ação.</w:t>
      </w:r>
    </w:p>
    <w:p w:rsidR="0018295B" w:rsidRPr="0018295B" w:rsidRDefault="0018295B" w:rsidP="00810C89">
      <w:pPr>
        <w:pStyle w:val="Legenda"/>
      </w:pPr>
      <w:bookmarkStart w:id="602" w:name="_Toc505788331"/>
      <w:bookmarkStart w:id="603" w:name="_Toc509935827"/>
      <w:r w:rsidRPr="0018295B">
        <w:lastRenderedPageBreak/>
        <w:t xml:space="preserve">Quadro </w:t>
      </w:r>
      <w:r w:rsidR="000A1C78">
        <w:fldChar w:fldCharType="begin"/>
      </w:r>
      <w:r w:rsidR="000A1C78">
        <w:instrText xml:space="preserve"> SEQ Quadro \* ARABIC </w:instrText>
      </w:r>
      <w:r w:rsidR="000A1C78">
        <w:fldChar w:fldCharType="separate"/>
      </w:r>
      <w:r w:rsidR="001B481B">
        <w:rPr>
          <w:noProof/>
        </w:rPr>
        <w:t>50</w:t>
      </w:r>
      <w:r w:rsidR="000A1C78">
        <w:rPr>
          <w:noProof/>
        </w:rPr>
        <w:fldChar w:fldCharType="end"/>
      </w:r>
      <w:r w:rsidRPr="0018295B">
        <w:t xml:space="preserve"> - Programas e ações propostos para o SB Geral - Objetivo 3</w:t>
      </w:r>
      <w:bookmarkEnd w:id="602"/>
      <w:bookmarkEnd w:id="603"/>
    </w:p>
    <w:tbl>
      <w:tblPr>
        <w:tblW w:w="14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42"/>
        <w:gridCol w:w="285"/>
        <w:gridCol w:w="341"/>
        <w:gridCol w:w="9496"/>
        <w:gridCol w:w="1562"/>
        <w:gridCol w:w="1793"/>
      </w:tblGrid>
      <w:tr w:rsidR="0018295B" w:rsidRPr="0018295B" w:rsidTr="0018295B">
        <w:trPr>
          <w:trHeight w:val="20"/>
          <w:jc w:val="center"/>
        </w:trPr>
        <w:tc>
          <w:tcPr>
            <w:tcW w:w="453" w:type="pct"/>
            <w:shd w:val="clear" w:color="000000" w:fill="C0C0C0"/>
            <w:noWrap/>
            <w:vAlign w:val="center"/>
            <w:hideMark/>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SETOR</w:t>
            </w:r>
          </w:p>
        </w:tc>
        <w:tc>
          <w:tcPr>
            <w:tcW w:w="96" w:type="pct"/>
            <w:shd w:val="clear" w:color="auto" w:fill="auto"/>
            <w:noWrap/>
            <w:vAlign w:val="center"/>
            <w:hideMark/>
          </w:tcPr>
          <w:p w:rsidR="0018295B" w:rsidRPr="0018295B" w:rsidRDefault="0018295B" w:rsidP="0018295B">
            <w:pPr>
              <w:spacing w:line="240" w:lineRule="auto"/>
              <w:jc w:val="center"/>
              <w:rPr>
                <w:sz w:val="20"/>
                <w:szCs w:val="20"/>
              </w:rPr>
            </w:pPr>
            <w:r w:rsidRPr="0018295B">
              <w:rPr>
                <w:sz w:val="20"/>
                <w:szCs w:val="20"/>
              </w:rPr>
              <w:t>0</w:t>
            </w:r>
          </w:p>
        </w:tc>
        <w:tc>
          <w:tcPr>
            <w:tcW w:w="4451" w:type="pct"/>
            <w:gridSpan w:val="4"/>
            <w:shd w:val="clear" w:color="auto" w:fill="auto"/>
            <w:noWrap/>
            <w:vAlign w:val="center"/>
            <w:hideMark/>
          </w:tcPr>
          <w:p w:rsidR="0018295B" w:rsidRPr="0018295B" w:rsidRDefault="0018295B" w:rsidP="0018295B">
            <w:pPr>
              <w:spacing w:line="240" w:lineRule="auto"/>
              <w:rPr>
                <w:sz w:val="20"/>
                <w:szCs w:val="20"/>
              </w:rPr>
            </w:pPr>
            <w:r w:rsidRPr="0018295B">
              <w:rPr>
                <w:sz w:val="20"/>
                <w:szCs w:val="20"/>
              </w:rPr>
              <w:t>Referente aos quatro setores.</w:t>
            </w:r>
          </w:p>
        </w:tc>
      </w:tr>
      <w:tr w:rsidR="0018295B" w:rsidRPr="0018295B" w:rsidTr="0018295B">
        <w:trPr>
          <w:trHeight w:val="20"/>
          <w:jc w:val="center"/>
        </w:trPr>
        <w:tc>
          <w:tcPr>
            <w:tcW w:w="453" w:type="pct"/>
            <w:shd w:val="clear" w:color="000000" w:fill="C0C0C0"/>
            <w:vAlign w:val="center"/>
            <w:hideMark/>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OBJETIVO</w:t>
            </w:r>
          </w:p>
        </w:tc>
        <w:tc>
          <w:tcPr>
            <w:tcW w:w="96" w:type="pct"/>
            <w:shd w:val="clear" w:color="auto" w:fill="auto"/>
            <w:vAlign w:val="center"/>
            <w:hideMark/>
          </w:tcPr>
          <w:p w:rsidR="0018295B" w:rsidRPr="0018295B" w:rsidRDefault="0018295B" w:rsidP="0018295B">
            <w:pPr>
              <w:spacing w:line="240" w:lineRule="auto"/>
              <w:jc w:val="center"/>
              <w:rPr>
                <w:sz w:val="20"/>
                <w:szCs w:val="20"/>
              </w:rPr>
            </w:pPr>
            <w:r w:rsidRPr="0018295B">
              <w:rPr>
                <w:sz w:val="20"/>
                <w:szCs w:val="20"/>
              </w:rPr>
              <w:t>3</w:t>
            </w:r>
          </w:p>
        </w:tc>
        <w:tc>
          <w:tcPr>
            <w:tcW w:w="4451" w:type="pct"/>
            <w:gridSpan w:val="4"/>
            <w:shd w:val="clear" w:color="auto" w:fill="auto"/>
            <w:vAlign w:val="center"/>
            <w:hideMark/>
          </w:tcPr>
          <w:p w:rsidR="0018295B" w:rsidRPr="0018295B" w:rsidRDefault="0018295B" w:rsidP="0018295B">
            <w:pPr>
              <w:spacing w:line="240" w:lineRule="auto"/>
              <w:rPr>
                <w:sz w:val="20"/>
                <w:szCs w:val="20"/>
              </w:rPr>
            </w:pPr>
            <w:r w:rsidRPr="0018295B">
              <w:rPr>
                <w:rFonts w:eastAsia="Times New Roman" w:cs="Arial"/>
                <w:sz w:val="20"/>
                <w:szCs w:val="20"/>
                <w:lang w:eastAsia="pt-BR"/>
              </w:rPr>
              <w:t>Alcançar a sustentabilidade econômico-financeira para o setor do saneamento no município.</w:t>
            </w:r>
          </w:p>
        </w:tc>
      </w:tr>
      <w:tr w:rsidR="0018295B" w:rsidRPr="0018295B" w:rsidTr="0018295B">
        <w:trPr>
          <w:trHeight w:val="20"/>
          <w:jc w:val="center"/>
        </w:trPr>
        <w:tc>
          <w:tcPr>
            <w:tcW w:w="453" w:type="pct"/>
            <w:shd w:val="clear" w:color="000000" w:fill="C0C0C0"/>
            <w:vAlign w:val="center"/>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INDICADOR</w:t>
            </w:r>
          </w:p>
        </w:tc>
        <w:tc>
          <w:tcPr>
            <w:tcW w:w="4547" w:type="pct"/>
            <w:gridSpan w:val="5"/>
            <w:shd w:val="clear" w:color="auto" w:fill="auto"/>
            <w:vAlign w:val="center"/>
          </w:tcPr>
          <w:p w:rsidR="0018295B" w:rsidRPr="0018295B" w:rsidRDefault="0018295B" w:rsidP="0018295B">
            <w:pPr>
              <w:spacing w:line="240" w:lineRule="auto"/>
              <w:rPr>
                <w:rFonts w:eastAsia="Times New Roman" w:cs="Arial"/>
                <w:sz w:val="20"/>
                <w:szCs w:val="20"/>
                <w:lang w:eastAsia="pt-BR"/>
              </w:rPr>
            </w:pPr>
            <w:r w:rsidRPr="0018295B">
              <w:rPr>
                <w:rFonts w:eastAsia="Times New Roman" w:cs="Arial"/>
                <w:sz w:val="20"/>
                <w:szCs w:val="20"/>
                <w:lang w:eastAsia="pt-BR"/>
              </w:rPr>
              <w:t>Índice de sustentabilidade econômico-financeira do saneamento básico municipal, no ano (%).</w:t>
            </w:r>
          </w:p>
        </w:tc>
      </w:tr>
      <w:tr w:rsidR="0018295B" w:rsidRPr="0018295B" w:rsidTr="0018295B">
        <w:trPr>
          <w:trHeight w:val="20"/>
          <w:jc w:val="center"/>
        </w:trPr>
        <w:tc>
          <w:tcPr>
            <w:tcW w:w="5000" w:type="pct"/>
            <w:gridSpan w:val="6"/>
            <w:shd w:val="clear" w:color="auto" w:fill="auto"/>
            <w:noWrap/>
            <w:vAlign w:val="center"/>
            <w:hideMark/>
          </w:tcPr>
          <w:p w:rsidR="0018295B" w:rsidRPr="0018295B" w:rsidRDefault="0018295B" w:rsidP="0018295B">
            <w:pPr>
              <w:spacing w:before="20" w:after="20" w:line="240" w:lineRule="auto"/>
              <w:contextualSpacing/>
              <w:jc w:val="center"/>
              <w:rPr>
                <w:rFonts w:eastAsia="Times New Roman" w:cs="Arial"/>
                <w:sz w:val="20"/>
                <w:szCs w:val="20"/>
                <w:lang w:eastAsia="pt-BR"/>
              </w:rPr>
            </w:pPr>
          </w:p>
        </w:tc>
      </w:tr>
      <w:tr w:rsidR="0018295B" w:rsidRPr="0018295B" w:rsidTr="0018295B">
        <w:trPr>
          <w:trHeight w:val="20"/>
          <w:jc w:val="center"/>
        </w:trPr>
        <w:tc>
          <w:tcPr>
            <w:tcW w:w="5000" w:type="pct"/>
            <w:gridSpan w:val="6"/>
            <w:shd w:val="clear" w:color="000000" w:fill="C0C0C0"/>
            <w:noWrap/>
            <w:vAlign w:val="center"/>
            <w:hideMark/>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PRAZO DE ENTREGA DA META (ANOS)</w:t>
            </w:r>
          </w:p>
        </w:tc>
      </w:tr>
      <w:tr w:rsidR="0018295B" w:rsidRPr="0018295B" w:rsidTr="0018295B">
        <w:trPr>
          <w:trHeight w:val="20"/>
          <w:jc w:val="center"/>
        </w:trPr>
        <w:tc>
          <w:tcPr>
            <w:tcW w:w="664" w:type="pct"/>
            <w:gridSpan w:val="3"/>
            <w:shd w:val="clear" w:color="000000" w:fill="C0C0C0"/>
            <w:noWrap/>
            <w:vAlign w:val="center"/>
            <w:hideMark/>
          </w:tcPr>
          <w:p w:rsidR="0018295B" w:rsidRPr="0018295B" w:rsidRDefault="0018295B" w:rsidP="0018295B">
            <w:pPr>
              <w:spacing w:line="240" w:lineRule="auto"/>
              <w:jc w:val="center"/>
              <w:rPr>
                <w:rFonts w:eastAsia="Times New Roman" w:cs="Arial"/>
                <w:b/>
                <w:bCs/>
                <w:sz w:val="20"/>
                <w:szCs w:val="20"/>
                <w:lang w:eastAsia="pt-BR"/>
              </w:rPr>
            </w:pPr>
            <w:r w:rsidRPr="0018295B">
              <w:rPr>
                <w:rFonts w:eastAsia="Times New Roman" w:cs="Arial"/>
                <w:b/>
                <w:bCs/>
                <w:sz w:val="20"/>
                <w:szCs w:val="20"/>
                <w:lang w:eastAsia="pt-BR"/>
              </w:rPr>
              <w:t>IMEDIATO (0 a 3)</w:t>
            </w:r>
          </w:p>
        </w:tc>
        <w:tc>
          <w:tcPr>
            <w:tcW w:w="3204" w:type="pct"/>
            <w:shd w:val="clear" w:color="000000" w:fill="C0C0C0"/>
            <w:noWrap/>
            <w:vAlign w:val="center"/>
            <w:hideMark/>
          </w:tcPr>
          <w:p w:rsidR="0018295B" w:rsidRPr="0018295B" w:rsidRDefault="0018295B" w:rsidP="0018295B">
            <w:pPr>
              <w:spacing w:line="240" w:lineRule="auto"/>
              <w:jc w:val="center"/>
              <w:rPr>
                <w:rFonts w:eastAsia="Times New Roman" w:cs="Arial"/>
                <w:b/>
                <w:bCs/>
                <w:sz w:val="20"/>
                <w:szCs w:val="20"/>
                <w:lang w:eastAsia="pt-BR"/>
              </w:rPr>
            </w:pPr>
            <w:r w:rsidRPr="0018295B">
              <w:rPr>
                <w:rFonts w:eastAsia="Times New Roman" w:cs="Arial"/>
                <w:b/>
                <w:bCs/>
                <w:sz w:val="20"/>
                <w:szCs w:val="20"/>
                <w:lang w:eastAsia="pt-BR"/>
              </w:rPr>
              <w:t>CURTO (4 a 8)</w:t>
            </w:r>
          </w:p>
        </w:tc>
        <w:tc>
          <w:tcPr>
            <w:tcW w:w="527" w:type="pct"/>
            <w:shd w:val="clear" w:color="000000" w:fill="C0C0C0"/>
            <w:noWrap/>
            <w:vAlign w:val="center"/>
            <w:hideMark/>
          </w:tcPr>
          <w:p w:rsidR="0018295B" w:rsidRPr="0018295B" w:rsidRDefault="0018295B" w:rsidP="0018295B">
            <w:pPr>
              <w:spacing w:line="240" w:lineRule="auto"/>
              <w:jc w:val="center"/>
              <w:rPr>
                <w:rFonts w:eastAsia="Times New Roman" w:cs="Arial"/>
                <w:b/>
                <w:bCs/>
                <w:sz w:val="20"/>
                <w:szCs w:val="20"/>
                <w:lang w:eastAsia="pt-BR"/>
              </w:rPr>
            </w:pPr>
            <w:r w:rsidRPr="0018295B">
              <w:rPr>
                <w:rFonts w:eastAsia="Times New Roman" w:cs="Arial"/>
                <w:b/>
                <w:bCs/>
                <w:sz w:val="20"/>
                <w:szCs w:val="20"/>
                <w:lang w:eastAsia="pt-BR"/>
              </w:rPr>
              <w:t>MÉDIO (9 a 12)</w:t>
            </w:r>
          </w:p>
        </w:tc>
        <w:tc>
          <w:tcPr>
            <w:tcW w:w="605" w:type="pct"/>
            <w:shd w:val="clear" w:color="000000" w:fill="C0C0C0"/>
            <w:noWrap/>
            <w:vAlign w:val="center"/>
            <w:hideMark/>
          </w:tcPr>
          <w:p w:rsidR="0018295B" w:rsidRPr="0018295B" w:rsidRDefault="0018295B" w:rsidP="0018295B">
            <w:pPr>
              <w:spacing w:line="240" w:lineRule="auto"/>
              <w:jc w:val="center"/>
              <w:rPr>
                <w:rFonts w:eastAsia="Times New Roman" w:cs="Arial"/>
                <w:b/>
                <w:bCs/>
                <w:sz w:val="20"/>
                <w:szCs w:val="20"/>
                <w:lang w:eastAsia="pt-BR"/>
              </w:rPr>
            </w:pPr>
            <w:r w:rsidRPr="0018295B">
              <w:rPr>
                <w:rFonts w:eastAsia="Times New Roman" w:cs="Arial"/>
                <w:b/>
                <w:bCs/>
                <w:sz w:val="20"/>
                <w:szCs w:val="20"/>
                <w:lang w:eastAsia="pt-BR"/>
              </w:rPr>
              <w:t>LONGO (13 a 20)</w:t>
            </w:r>
          </w:p>
        </w:tc>
      </w:tr>
      <w:tr w:rsidR="0018295B" w:rsidRPr="0018295B" w:rsidTr="0018295B">
        <w:trPr>
          <w:trHeight w:val="20"/>
          <w:jc w:val="center"/>
        </w:trPr>
        <w:tc>
          <w:tcPr>
            <w:tcW w:w="664" w:type="pct"/>
            <w:gridSpan w:val="3"/>
            <w:shd w:val="clear" w:color="auto" w:fill="auto"/>
            <w:noWrap/>
            <w:vAlign w:val="center"/>
          </w:tcPr>
          <w:p w:rsidR="0018295B" w:rsidRPr="0018295B" w:rsidRDefault="0018295B" w:rsidP="0018295B">
            <w:pPr>
              <w:spacing w:before="20" w:after="20" w:line="240" w:lineRule="auto"/>
              <w:jc w:val="center"/>
              <w:rPr>
                <w:rFonts w:cs="Arial"/>
                <w:bCs/>
                <w:sz w:val="20"/>
                <w:szCs w:val="20"/>
              </w:rPr>
            </w:pPr>
          </w:p>
        </w:tc>
        <w:tc>
          <w:tcPr>
            <w:tcW w:w="3204" w:type="pct"/>
            <w:shd w:val="clear" w:color="auto" w:fill="auto"/>
            <w:noWrap/>
            <w:vAlign w:val="center"/>
            <w:hideMark/>
          </w:tcPr>
          <w:p w:rsidR="0018295B" w:rsidRPr="0018295B" w:rsidRDefault="0018295B" w:rsidP="0018295B">
            <w:pPr>
              <w:spacing w:before="20" w:after="20" w:line="240" w:lineRule="auto"/>
              <w:jc w:val="center"/>
              <w:rPr>
                <w:rFonts w:cs="Arial"/>
                <w:bCs/>
                <w:sz w:val="20"/>
                <w:szCs w:val="20"/>
              </w:rPr>
            </w:pPr>
            <w:r w:rsidRPr="0018295B">
              <w:rPr>
                <w:rFonts w:cs="Arial"/>
                <w:bCs/>
                <w:sz w:val="20"/>
                <w:szCs w:val="20"/>
              </w:rPr>
              <w:t>3.1. Instituir e sistematizar soluções operacionais e gerenciais que influenciem na melhoria da situação financeira dos setores.</w:t>
            </w:r>
          </w:p>
        </w:tc>
        <w:tc>
          <w:tcPr>
            <w:tcW w:w="527" w:type="pct"/>
            <w:shd w:val="clear" w:color="auto" w:fill="auto"/>
            <w:noWrap/>
            <w:vAlign w:val="center"/>
          </w:tcPr>
          <w:p w:rsidR="0018295B" w:rsidRPr="0018295B" w:rsidRDefault="0018295B" w:rsidP="0018295B">
            <w:pPr>
              <w:spacing w:before="20" w:after="20" w:line="240" w:lineRule="auto"/>
              <w:jc w:val="center"/>
              <w:rPr>
                <w:rFonts w:cs="Arial"/>
                <w:bCs/>
                <w:sz w:val="20"/>
                <w:szCs w:val="20"/>
              </w:rPr>
            </w:pPr>
          </w:p>
        </w:tc>
        <w:tc>
          <w:tcPr>
            <w:tcW w:w="605" w:type="pct"/>
            <w:shd w:val="clear" w:color="auto" w:fill="auto"/>
            <w:noWrap/>
            <w:vAlign w:val="center"/>
          </w:tcPr>
          <w:p w:rsidR="0018295B" w:rsidRPr="0018295B" w:rsidRDefault="0018295B" w:rsidP="0018295B">
            <w:pPr>
              <w:spacing w:before="20" w:after="20" w:line="240" w:lineRule="auto"/>
              <w:jc w:val="center"/>
              <w:rPr>
                <w:rFonts w:cs="Arial"/>
                <w:bCs/>
                <w:sz w:val="20"/>
                <w:szCs w:val="20"/>
              </w:rPr>
            </w:pPr>
          </w:p>
        </w:tc>
      </w:tr>
    </w:tbl>
    <w:p w:rsidR="0018295B" w:rsidRPr="0018295B" w:rsidRDefault="0018295B" w:rsidP="0018295B">
      <w:pPr>
        <w:jc w:val="center"/>
        <w:rPr>
          <w:sz w:val="2"/>
          <w:szCs w:val="2"/>
          <w:lang w:eastAsia="x-none"/>
        </w:rPr>
      </w:pPr>
    </w:p>
    <w:tbl>
      <w:tblPr>
        <w:tblW w:w="14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67"/>
        <w:gridCol w:w="7660"/>
        <w:gridCol w:w="1837"/>
        <w:gridCol w:w="1423"/>
        <w:gridCol w:w="2015"/>
      </w:tblGrid>
      <w:tr w:rsidR="0018295B" w:rsidRPr="0018295B" w:rsidTr="0018295B">
        <w:trPr>
          <w:trHeight w:val="20"/>
          <w:tblHeader/>
          <w:jc w:val="center"/>
        </w:trPr>
        <w:tc>
          <w:tcPr>
            <w:tcW w:w="1767" w:type="dxa"/>
            <w:shd w:val="clear" w:color="000000" w:fill="C0C0C0"/>
            <w:vAlign w:val="center"/>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CÓDIGO</w:t>
            </w:r>
          </w:p>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(s/o/m/a)*</w:t>
            </w:r>
          </w:p>
        </w:tc>
        <w:tc>
          <w:tcPr>
            <w:tcW w:w="7660" w:type="dxa"/>
            <w:shd w:val="clear" w:color="000000" w:fill="C0C0C0"/>
            <w:vAlign w:val="center"/>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DESCRIÇÃO</w:t>
            </w:r>
          </w:p>
        </w:tc>
        <w:tc>
          <w:tcPr>
            <w:tcW w:w="1837" w:type="dxa"/>
            <w:shd w:val="clear" w:color="000000" w:fill="C0C0C0"/>
          </w:tcPr>
          <w:p w:rsidR="0018295B" w:rsidRPr="0018295B" w:rsidRDefault="0018295B" w:rsidP="0018295B">
            <w:pPr>
              <w:spacing w:line="240" w:lineRule="auto"/>
              <w:ind w:firstLine="72"/>
              <w:jc w:val="center"/>
              <w:rPr>
                <w:rFonts w:eastAsia="Times New Roman" w:cs="Arial"/>
                <w:b/>
                <w:bCs/>
                <w:sz w:val="20"/>
                <w:szCs w:val="20"/>
                <w:lang w:eastAsia="pt-BR"/>
              </w:rPr>
            </w:pPr>
            <w:r w:rsidRPr="0018295B">
              <w:rPr>
                <w:rFonts w:eastAsia="Times New Roman" w:cs="Arial"/>
                <w:b/>
                <w:bCs/>
                <w:sz w:val="20"/>
                <w:szCs w:val="20"/>
                <w:lang w:eastAsia="pt-BR"/>
              </w:rPr>
              <w:t>Período de desenvolvimento da ação</w:t>
            </w:r>
          </w:p>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(ano)</w:t>
            </w:r>
          </w:p>
        </w:tc>
        <w:tc>
          <w:tcPr>
            <w:tcW w:w="1423" w:type="dxa"/>
            <w:shd w:val="clear" w:color="000000" w:fill="C0C0C0"/>
          </w:tcPr>
          <w:p w:rsidR="0018295B" w:rsidRPr="0018295B" w:rsidRDefault="0018295B" w:rsidP="0018295B">
            <w:pPr>
              <w:spacing w:line="240" w:lineRule="auto"/>
              <w:ind w:left="64" w:firstLine="8"/>
              <w:jc w:val="center"/>
              <w:rPr>
                <w:rFonts w:eastAsia="Times New Roman" w:cs="Arial"/>
                <w:b/>
                <w:bCs/>
                <w:sz w:val="20"/>
                <w:szCs w:val="20"/>
                <w:lang w:eastAsia="pt-BR"/>
              </w:rPr>
            </w:pPr>
            <w:r w:rsidRPr="0018295B">
              <w:rPr>
                <w:rFonts w:eastAsia="Times New Roman" w:cs="Arial"/>
                <w:b/>
                <w:bCs/>
                <w:sz w:val="20"/>
                <w:szCs w:val="20"/>
                <w:lang w:eastAsia="pt-BR"/>
              </w:rPr>
              <w:t>Custo total na moeda de 2017</w:t>
            </w:r>
          </w:p>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(R$)</w:t>
            </w:r>
          </w:p>
        </w:tc>
        <w:tc>
          <w:tcPr>
            <w:tcW w:w="2015" w:type="dxa"/>
            <w:shd w:val="clear" w:color="000000" w:fill="C0C0C0"/>
          </w:tcPr>
          <w:p w:rsidR="0018295B" w:rsidRPr="0018295B" w:rsidRDefault="0018295B" w:rsidP="0018295B">
            <w:pPr>
              <w:spacing w:line="240" w:lineRule="auto"/>
              <w:ind w:left="64" w:firstLine="8"/>
              <w:jc w:val="center"/>
              <w:rPr>
                <w:rFonts w:eastAsia="Times New Roman" w:cs="Arial"/>
                <w:b/>
                <w:bCs/>
                <w:sz w:val="20"/>
                <w:szCs w:val="20"/>
                <w:lang w:eastAsia="pt-BR"/>
              </w:rPr>
            </w:pPr>
            <w:r w:rsidRPr="0018295B">
              <w:rPr>
                <w:rFonts w:eastAsia="Times New Roman" w:cs="Arial"/>
                <w:b/>
                <w:bCs/>
                <w:sz w:val="20"/>
                <w:szCs w:val="20"/>
                <w:lang w:eastAsia="pt-BR"/>
              </w:rPr>
              <w:t>Responsável pela ação</w:t>
            </w:r>
          </w:p>
          <w:p w:rsidR="0018295B" w:rsidRPr="0018295B" w:rsidRDefault="0018295B" w:rsidP="0018295B">
            <w:pPr>
              <w:spacing w:line="240" w:lineRule="auto"/>
              <w:ind w:left="64" w:firstLine="8"/>
              <w:jc w:val="center"/>
              <w:rPr>
                <w:rFonts w:eastAsia="Times New Roman" w:cs="Arial"/>
                <w:b/>
                <w:bCs/>
                <w:sz w:val="20"/>
                <w:szCs w:val="20"/>
                <w:lang w:eastAsia="pt-BR"/>
              </w:rPr>
            </w:pPr>
          </w:p>
        </w:tc>
      </w:tr>
      <w:tr w:rsidR="0018295B" w:rsidRPr="0018295B" w:rsidTr="0018295B">
        <w:trPr>
          <w:trHeight w:val="20"/>
          <w:jc w:val="center"/>
        </w:trPr>
        <w:tc>
          <w:tcPr>
            <w:tcW w:w="1767"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0.3.1.16</w:t>
            </w:r>
          </w:p>
        </w:tc>
        <w:tc>
          <w:tcPr>
            <w:tcW w:w="7660" w:type="dxa"/>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Criar um documento específico, solicitando diversos indicadores financeiros aos quatro setores do saneamento básico municipal.</w:t>
            </w:r>
          </w:p>
        </w:tc>
        <w:tc>
          <w:tcPr>
            <w:tcW w:w="1837"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2º</w:t>
            </w:r>
          </w:p>
        </w:tc>
        <w:tc>
          <w:tcPr>
            <w:tcW w:w="1423"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Custo já previsto no item 0.1.03</w:t>
            </w:r>
          </w:p>
        </w:tc>
        <w:tc>
          <w:tcPr>
            <w:tcW w:w="2015"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Setor Geral /Setores de Água, Esgoto, Drenagem e Resíduos</w:t>
            </w:r>
          </w:p>
        </w:tc>
      </w:tr>
      <w:tr w:rsidR="0018295B" w:rsidRPr="0018295B" w:rsidTr="0018295B">
        <w:trPr>
          <w:trHeight w:val="20"/>
          <w:jc w:val="center"/>
        </w:trPr>
        <w:tc>
          <w:tcPr>
            <w:tcW w:w="1767"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0.3.1.17</w:t>
            </w:r>
          </w:p>
        </w:tc>
        <w:tc>
          <w:tcPr>
            <w:tcW w:w="7660" w:type="dxa"/>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Solicitar que os setores do saneamento municipal (água, esgoto, drenagem e resíduos) efetuem estudos técnicos para a avaliação da real necessidade da remuneração dos serviços através da cobrança de taxas, tarifas ou outros preços públicos, a serem pagos pelos usuários. Os estudos devem conter a indicação de valores passíveis de promover a sustentabilidade financeira da prestação dos serviços e indicar formas institucionais viáveis para implementar a cobrança. As conclusões desses estudos devem ser compartilhadas com a coordenação da Divisão de Saneamento.</w:t>
            </w:r>
          </w:p>
        </w:tc>
        <w:tc>
          <w:tcPr>
            <w:tcW w:w="1837"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3º -8º</w:t>
            </w:r>
          </w:p>
          <w:p w:rsidR="0018295B" w:rsidRPr="0018295B" w:rsidRDefault="0018295B" w:rsidP="0018295B">
            <w:pPr>
              <w:spacing w:before="120" w:line="240" w:lineRule="auto"/>
              <w:jc w:val="center"/>
              <w:rPr>
                <w:rFonts w:cs="Arial"/>
                <w:sz w:val="20"/>
                <w:szCs w:val="20"/>
              </w:rPr>
            </w:pPr>
          </w:p>
        </w:tc>
        <w:tc>
          <w:tcPr>
            <w:tcW w:w="1423"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Custo já previsto no item 0.1.03</w:t>
            </w:r>
          </w:p>
        </w:tc>
        <w:tc>
          <w:tcPr>
            <w:tcW w:w="2015"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Setor Geral /Setores de Água, Esgoto, Drenagem e Resíduos</w:t>
            </w:r>
          </w:p>
        </w:tc>
      </w:tr>
      <w:tr w:rsidR="0018295B" w:rsidRPr="0018295B" w:rsidTr="0018295B">
        <w:trPr>
          <w:trHeight w:val="20"/>
          <w:jc w:val="center"/>
        </w:trPr>
        <w:tc>
          <w:tcPr>
            <w:tcW w:w="1767"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0.3.1.18</w:t>
            </w:r>
          </w:p>
        </w:tc>
        <w:tc>
          <w:tcPr>
            <w:tcW w:w="7660" w:type="dxa"/>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Caso os estudos citados na ação anterior indiquem a necessidade de os usuários pagarem pela prestação dos serviços de saneamento básico, auxiliar os responsáveis de cada setor, com o cumprimento dos trâmites necessários para regulamentar a cobrança.</w:t>
            </w:r>
          </w:p>
        </w:tc>
        <w:tc>
          <w:tcPr>
            <w:tcW w:w="1837"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3º -8º</w:t>
            </w:r>
          </w:p>
          <w:p w:rsidR="0018295B" w:rsidRPr="0018295B" w:rsidRDefault="0018295B" w:rsidP="0018295B">
            <w:pPr>
              <w:spacing w:before="120" w:line="240" w:lineRule="auto"/>
              <w:jc w:val="center"/>
              <w:rPr>
                <w:rFonts w:cs="Arial"/>
                <w:sz w:val="20"/>
                <w:szCs w:val="20"/>
              </w:rPr>
            </w:pPr>
          </w:p>
        </w:tc>
        <w:tc>
          <w:tcPr>
            <w:tcW w:w="1423"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Custo já previsto no item 0.1.03</w:t>
            </w:r>
          </w:p>
        </w:tc>
        <w:tc>
          <w:tcPr>
            <w:tcW w:w="2015"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Setor Geral /Setores de Água, Esgoto, Drenagem e Resíduos / Setor Jurídico / Setor de Cobrança de Tarifas</w:t>
            </w:r>
          </w:p>
        </w:tc>
      </w:tr>
      <w:tr w:rsidR="0018295B" w:rsidRPr="0018295B" w:rsidTr="0018295B">
        <w:trPr>
          <w:trHeight w:val="20"/>
          <w:jc w:val="center"/>
        </w:trPr>
        <w:tc>
          <w:tcPr>
            <w:tcW w:w="1767"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0.3.1.19</w:t>
            </w:r>
          </w:p>
        </w:tc>
        <w:tc>
          <w:tcPr>
            <w:tcW w:w="7660" w:type="dxa"/>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Avaliar continuamente os gastos e os aumentos de receita, contemplando a necessidade de reajustar as tarifas dos serviços do saneamento básico.</w:t>
            </w:r>
          </w:p>
        </w:tc>
        <w:tc>
          <w:tcPr>
            <w:tcW w:w="1837"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4º-20º</w:t>
            </w:r>
          </w:p>
        </w:tc>
        <w:tc>
          <w:tcPr>
            <w:tcW w:w="1423"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Custo já previsto no item 0.1.03</w:t>
            </w:r>
          </w:p>
        </w:tc>
        <w:tc>
          <w:tcPr>
            <w:tcW w:w="2015"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Prefeitura Municipal / Setor Geral / Setor de Contas Públicas</w:t>
            </w:r>
          </w:p>
        </w:tc>
      </w:tr>
      <w:tr w:rsidR="0018295B" w:rsidRPr="0018295B" w:rsidTr="0018295B">
        <w:trPr>
          <w:trHeight w:val="20"/>
          <w:jc w:val="center"/>
        </w:trPr>
        <w:tc>
          <w:tcPr>
            <w:tcW w:w="1767"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lastRenderedPageBreak/>
              <w:t>0.3.1.20</w:t>
            </w:r>
          </w:p>
        </w:tc>
        <w:tc>
          <w:tcPr>
            <w:tcW w:w="7660" w:type="dxa"/>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Estabelecer formalmente as obrigações gerenciais e operacionais de cada um dos setores do saneamento, visando à obtenção de melhorias contínuas nos serviços (sugere-se a criação de um “Manual do Saneamento Básico Municipal”).</w:t>
            </w:r>
          </w:p>
        </w:tc>
        <w:tc>
          <w:tcPr>
            <w:tcW w:w="1837"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3º</w:t>
            </w:r>
          </w:p>
        </w:tc>
        <w:tc>
          <w:tcPr>
            <w:tcW w:w="1423"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Custo já previsto no item 0.1.03</w:t>
            </w:r>
          </w:p>
        </w:tc>
        <w:tc>
          <w:tcPr>
            <w:tcW w:w="2015"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Setor Geral /Setores de Água, Esgoto, Drenagem e Resíduos</w:t>
            </w:r>
          </w:p>
        </w:tc>
      </w:tr>
      <w:tr w:rsidR="0018295B" w:rsidRPr="0018295B" w:rsidTr="0018295B">
        <w:trPr>
          <w:trHeight w:val="20"/>
          <w:jc w:val="center"/>
        </w:trPr>
        <w:tc>
          <w:tcPr>
            <w:tcW w:w="1767"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0.3.1.21</w:t>
            </w:r>
          </w:p>
        </w:tc>
        <w:tc>
          <w:tcPr>
            <w:tcW w:w="7660" w:type="dxa"/>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Supervisionar os quatro setores quanto à implementação de seus respectivos planos de manutenção patrimonial.</w:t>
            </w:r>
          </w:p>
        </w:tc>
        <w:tc>
          <w:tcPr>
            <w:tcW w:w="1837"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3º-20º</w:t>
            </w:r>
          </w:p>
        </w:tc>
        <w:tc>
          <w:tcPr>
            <w:tcW w:w="1423"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Custo já previsto no item 0.1.03</w:t>
            </w:r>
          </w:p>
        </w:tc>
        <w:tc>
          <w:tcPr>
            <w:tcW w:w="2015"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Setor Geral /Setores de Água, Esgoto, Drenagem e Resíduos</w:t>
            </w:r>
          </w:p>
        </w:tc>
      </w:tr>
      <w:tr w:rsidR="0018295B" w:rsidRPr="0018295B" w:rsidTr="0018295B">
        <w:trPr>
          <w:trHeight w:val="20"/>
          <w:jc w:val="center"/>
        </w:trPr>
        <w:tc>
          <w:tcPr>
            <w:tcW w:w="1767"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0.3.1.22</w:t>
            </w:r>
          </w:p>
        </w:tc>
        <w:tc>
          <w:tcPr>
            <w:tcW w:w="7660" w:type="dxa"/>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Criar, com deliberação do Conselho Municipal de Saneamento, o Fundo Municipal de Saneamento, em conformidade com as disposições da Lei do Saneamento (Lei nº 11.445/07).</w:t>
            </w:r>
          </w:p>
        </w:tc>
        <w:tc>
          <w:tcPr>
            <w:tcW w:w="1837"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3º</w:t>
            </w:r>
          </w:p>
          <w:p w:rsidR="0018295B" w:rsidRPr="0018295B" w:rsidRDefault="0018295B" w:rsidP="0018295B">
            <w:pPr>
              <w:spacing w:before="120" w:line="240" w:lineRule="auto"/>
              <w:jc w:val="center"/>
              <w:rPr>
                <w:rFonts w:cs="Arial"/>
                <w:sz w:val="20"/>
                <w:szCs w:val="20"/>
              </w:rPr>
            </w:pPr>
          </w:p>
        </w:tc>
        <w:tc>
          <w:tcPr>
            <w:tcW w:w="1423"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Custo já previsto no item 0.1.03</w:t>
            </w:r>
          </w:p>
        </w:tc>
        <w:tc>
          <w:tcPr>
            <w:tcW w:w="2015"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Setor Geral / Setor Jurídico / Setor de Contas Públicas</w:t>
            </w:r>
          </w:p>
        </w:tc>
      </w:tr>
      <w:tr w:rsidR="0018295B" w:rsidRPr="0018295B" w:rsidTr="0018295B">
        <w:trPr>
          <w:trHeight w:val="20"/>
          <w:jc w:val="center"/>
        </w:trPr>
        <w:tc>
          <w:tcPr>
            <w:tcW w:w="1767"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0.3.1.23</w:t>
            </w:r>
          </w:p>
        </w:tc>
        <w:tc>
          <w:tcPr>
            <w:tcW w:w="7660" w:type="dxa"/>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Listar para os fiscais municipais os itens a serem checados nas suas rotinas de fiscalização, tais como: a apropriação indébita de serviços de saneamento básico (“gatos”); situações de desperdício de água, uso de coleta pública por geradores privados; erros na disponibilização de resíduos para as diferentes coletas, entre outras (manter revisões anuais quanto aos itens a serem fiscalizados).</w:t>
            </w:r>
          </w:p>
        </w:tc>
        <w:tc>
          <w:tcPr>
            <w:tcW w:w="1837"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3º</w:t>
            </w:r>
          </w:p>
        </w:tc>
        <w:tc>
          <w:tcPr>
            <w:tcW w:w="1423"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Custo já previsto no item 0.1.03</w:t>
            </w:r>
          </w:p>
        </w:tc>
        <w:tc>
          <w:tcPr>
            <w:tcW w:w="2015"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Setor Geral / Setor de Fiscalização</w:t>
            </w:r>
          </w:p>
        </w:tc>
      </w:tr>
      <w:tr w:rsidR="0018295B" w:rsidRPr="0018295B" w:rsidTr="0018295B">
        <w:trPr>
          <w:trHeight w:val="20"/>
          <w:jc w:val="center"/>
        </w:trPr>
        <w:tc>
          <w:tcPr>
            <w:tcW w:w="1767"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0.3.1.24</w:t>
            </w:r>
          </w:p>
        </w:tc>
        <w:tc>
          <w:tcPr>
            <w:tcW w:w="7660" w:type="dxa"/>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Avaliar periodicamente os quadros de funcionários dos setores de saneamento verificando a real eficiência das funções, além de necessidades de cortes, remanejamentos e/ou de novas contratações.</w:t>
            </w:r>
          </w:p>
        </w:tc>
        <w:tc>
          <w:tcPr>
            <w:tcW w:w="1837" w:type="dxa"/>
            <w:shd w:val="clear" w:color="auto" w:fill="auto"/>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3º-20º</w:t>
            </w:r>
          </w:p>
        </w:tc>
        <w:tc>
          <w:tcPr>
            <w:tcW w:w="1423"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Custo já previsto no item 0.1.03</w:t>
            </w:r>
          </w:p>
        </w:tc>
        <w:tc>
          <w:tcPr>
            <w:tcW w:w="2015" w:type="dxa"/>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Setor Geral / Setor de RH</w:t>
            </w:r>
          </w:p>
        </w:tc>
      </w:tr>
    </w:tbl>
    <w:p w:rsidR="0018295B" w:rsidRPr="0018295B" w:rsidRDefault="0018295B" w:rsidP="00810C89">
      <w:pPr>
        <w:pStyle w:val="Fonte"/>
      </w:pPr>
      <w:r w:rsidRPr="0018295B">
        <w:t>*(s/o/m/a) = nº do setor / nº do objetivo / nº da meta / nº da ação.</w:t>
      </w:r>
    </w:p>
    <w:p w:rsidR="0018295B" w:rsidRPr="0018295B" w:rsidRDefault="0018295B" w:rsidP="00810C89">
      <w:pPr>
        <w:pStyle w:val="Legenda"/>
      </w:pPr>
      <w:bookmarkStart w:id="604" w:name="_Toc498594117"/>
      <w:r w:rsidRPr="0018295B">
        <w:br w:type="page"/>
      </w:r>
      <w:bookmarkStart w:id="605" w:name="_Toc505788332"/>
      <w:bookmarkStart w:id="606" w:name="_Toc509935828"/>
      <w:r w:rsidRPr="0018295B">
        <w:lastRenderedPageBreak/>
        <w:t xml:space="preserve">Quadro </w:t>
      </w:r>
      <w:r w:rsidR="000A1C78">
        <w:fldChar w:fldCharType="begin"/>
      </w:r>
      <w:r w:rsidR="000A1C78">
        <w:instrText xml:space="preserve"> SEQ Quadro \* ARABIC </w:instrText>
      </w:r>
      <w:r w:rsidR="000A1C78">
        <w:fldChar w:fldCharType="separate"/>
      </w:r>
      <w:r w:rsidR="001B481B">
        <w:rPr>
          <w:noProof/>
        </w:rPr>
        <w:t>51</w:t>
      </w:r>
      <w:r w:rsidR="000A1C78">
        <w:rPr>
          <w:noProof/>
        </w:rPr>
        <w:fldChar w:fldCharType="end"/>
      </w:r>
      <w:r w:rsidRPr="0018295B">
        <w:t xml:space="preserve"> - Programas e ações propostos para o SB Geral - Objetivo 4</w:t>
      </w:r>
      <w:bookmarkEnd w:id="605"/>
      <w:bookmarkEnd w:id="606"/>
    </w:p>
    <w:tbl>
      <w:tblPr>
        <w:tblW w:w="14742"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59"/>
        <w:gridCol w:w="711"/>
        <w:gridCol w:w="280"/>
        <w:gridCol w:w="5245"/>
        <w:gridCol w:w="2978"/>
        <w:gridCol w:w="3969"/>
      </w:tblGrid>
      <w:tr w:rsidR="0018295B" w:rsidRPr="0018295B" w:rsidTr="0018295B">
        <w:trPr>
          <w:cantSplit/>
          <w:trHeight w:val="20"/>
        </w:trPr>
        <w:tc>
          <w:tcPr>
            <w:tcW w:w="770" w:type="pct"/>
            <w:gridSpan w:val="2"/>
            <w:shd w:val="clear" w:color="000000" w:fill="C0C0C0"/>
            <w:noWrap/>
            <w:vAlign w:val="center"/>
            <w:hideMark/>
          </w:tcPr>
          <w:p w:rsidR="0018295B" w:rsidRPr="0018295B" w:rsidRDefault="0018295B" w:rsidP="0018295B">
            <w:pPr>
              <w:spacing w:line="240" w:lineRule="auto"/>
              <w:jc w:val="center"/>
              <w:rPr>
                <w:b/>
                <w:bCs/>
                <w:sz w:val="20"/>
                <w:szCs w:val="20"/>
              </w:rPr>
            </w:pPr>
            <w:r w:rsidRPr="0018295B">
              <w:rPr>
                <w:b/>
                <w:bCs/>
                <w:sz w:val="20"/>
                <w:szCs w:val="20"/>
              </w:rPr>
              <w:t>SETOR</w:t>
            </w:r>
          </w:p>
        </w:tc>
        <w:tc>
          <w:tcPr>
            <w:tcW w:w="95" w:type="pct"/>
            <w:shd w:val="clear" w:color="auto" w:fill="auto"/>
            <w:noWrap/>
            <w:vAlign w:val="center"/>
            <w:hideMark/>
          </w:tcPr>
          <w:p w:rsidR="0018295B" w:rsidRPr="0018295B" w:rsidRDefault="0018295B" w:rsidP="0018295B">
            <w:pPr>
              <w:spacing w:line="240" w:lineRule="auto"/>
              <w:jc w:val="center"/>
              <w:rPr>
                <w:sz w:val="20"/>
                <w:szCs w:val="20"/>
              </w:rPr>
            </w:pPr>
            <w:r w:rsidRPr="0018295B">
              <w:rPr>
                <w:sz w:val="20"/>
                <w:szCs w:val="20"/>
              </w:rPr>
              <w:t>0</w:t>
            </w:r>
          </w:p>
        </w:tc>
        <w:tc>
          <w:tcPr>
            <w:tcW w:w="4135" w:type="pct"/>
            <w:gridSpan w:val="3"/>
            <w:shd w:val="clear" w:color="auto" w:fill="auto"/>
            <w:noWrap/>
            <w:vAlign w:val="center"/>
          </w:tcPr>
          <w:p w:rsidR="0018295B" w:rsidRPr="0018295B" w:rsidRDefault="0018295B" w:rsidP="0018295B">
            <w:pPr>
              <w:spacing w:line="240" w:lineRule="auto"/>
              <w:rPr>
                <w:rFonts w:cs="Arial"/>
                <w:sz w:val="20"/>
                <w:szCs w:val="20"/>
              </w:rPr>
            </w:pPr>
            <w:r w:rsidRPr="0018295B">
              <w:rPr>
                <w:rFonts w:cs="Arial"/>
                <w:sz w:val="20"/>
                <w:szCs w:val="20"/>
              </w:rPr>
              <w:t>Referente aos quatro setores.</w:t>
            </w:r>
          </w:p>
        </w:tc>
      </w:tr>
      <w:tr w:rsidR="0018295B" w:rsidRPr="0018295B" w:rsidTr="0018295B">
        <w:trPr>
          <w:cantSplit/>
          <w:trHeight w:val="20"/>
        </w:trPr>
        <w:tc>
          <w:tcPr>
            <w:tcW w:w="770" w:type="pct"/>
            <w:gridSpan w:val="2"/>
            <w:shd w:val="clear" w:color="000000" w:fill="C0C0C0"/>
            <w:vAlign w:val="center"/>
            <w:hideMark/>
          </w:tcPr>
          <w:p w:rsidR="0018295B" w:rsidRPr="0018295B" w:rsidRDefault="0018295B" w:rsidP="0018295B">
            <w:pPr>
              <w:spacing w:line="240" w:lineRule="auto"/>
              <w:ind w:left="6" w:hanging="6"/>
              <w:jc w:val="center"/>
              <w:rPr>
                <w:b/>
                <w:bCs/>
                <w:sz w:val="20"/>
                <w:szCs w:val="20"/>
              </w:rPr>
            </w:pPr>
            <w:r w:rsidRPr="0018295B">
              <w:rPr>
                <w:b/>
                <w:bCs/>
                <w:sz w:val="20"/>
                <w:szCs w:val="20"/>
              </w:rPr>
              <w:t>OBJETIVO</w:t>
            </w:r>
          </w:p>
        </w:tc>
        <w:tc>
          <w:tcPr>
            <w:tcW w:w="95" w:type="pct"/>
            <w:shd w:val="clear" w:color="auto" w:fill="auto"/>
            <w:vAlign w:val="center"/>
            <w:hideMark/>
          </w:tcPr>
          <w:p w:rsidR="0018295B" w:rsidRPr="0018295B" w:rsidRDefault="0018295B" w:rsidP="0018295B">
            <w:pPr>
              <w:spacing w:line="240" w:lineRule="auto"/>
              <w:jc w:val="center"/>
              <w:rPr>
                <w:sz w:val="20"/>
                <w:szCs w:val="20"/>
              </w:rPr>
            </w:pPr>
            <w:r w:rsidRPr="0018295B">
              <w:rPr>
                <w:sz w:val="20"/>
                <w:szCs w:val="20"/>
              </w:rPr>
              <w:t>4</w:t>
            </w:r>
          </w:p>
        </w:tc>
        <w:tc>
          <w:tcPr>
            <w:tcW w:w="4135" w:type="pct"/>
            <w:gridSpan w:val="3"/>
            <w:shd w:val="clear" w:color="auto" w:fill="auto"/>
            <w:vAlign w:val="center"/>
          </w:tcPr>
          <w:p w:rsidR="0018295B" w:rsidRPr="0018295B" w:rsidRDefault="0018295B" w:rsidP="0018295B">
            <w:pPr>
              <w:spacing w:line="240" w:lineRule="auto"/>
              <w:rPr>
                <w:rFonts w:cs="Arial"/>
                <w:sz w:val="20"/>
                <w:szCs w:val="20"/>
              </w:rPr>
            </w:pPr>
            <w:r w:rsidRPr="0018295B">
              <w:rPr>
                <w:rFonts w:eastAsia="Times New Roman" w:cs="Arial"/>
                <w:sz w:val="20"/>
                <w:szCs w:val="20"/>
                <w:lang w:eastAsia="pt-BR"/>
              </w:rPr>
              <w:t>Submeter os quatro eixos do saneamento básico municipal a uma entidade reguladora, cujas atribuições são definidas pela Lei nº 11.445/07 e pelo decreto que a regulamenta.</w:t>
            </w:r>
          </w:p>
        </w:tc>
      </w:tr>
      <w:tr w:rsidR="0018295B" w:rsidRPr="0018295B" w:rsidTr="0018295B">
        <w:trPr>
          <w:cantSplit/>
          <w:trHeight w:val="20"/>
        </w:trPr>
        <w:tc>
          <w:tcPr>
            <w:tcW w:w="770" w:type="pct"/>
            <w:gridSpan w:val="2"/>
            <w:shd w:val="clear" w:color="000000" w:fill="C0C0C0"/>
            <w:vAlign w:val="center"/>
          </w:tcPr>
          <w:p w:rsidR="0018295B" w:rsidRPr="0018295B" w:rsidRDefault="0018295B" w:rsidP="0018295B">
            <w:pPr>
              <w:spacing w:line="240" w:lineRule="auto"/>
              <w:jc w:val="center"/>
              <w:rPr>
                <w:b/>
                <w:bCs/>
                <w:sz w:val="20"/>
                <w:szCs w:val="20"/>
              </w:rPr>
            </w:pPr>
            <w:r w:rsidRPr="0018295B">
              <w:rPr>
                <w:b/>
                <w:bCs/>
                <w:sz w:val="20"/>
                <w:szCs w:val="20"/>
              </w:rPr>
              <w:t>INDICADOR</w:t>
            </w:r>
          </w:p>
        </w:tc>
        <w:tc>
          <w:tcPr>
            <w:tcW w:w="95" w:type="pct"/>
            <w:shd w:val="clear" w:color="auto" w:fill="auto"/>
            <w:vAlign w:val="center"/>
          </w:tcPr>
          <w:p w:rsidR="0018295B" w:rsidRPr="0018295B" w:rsidRDefault="0018295B" w:rsidP="0018295B">
            <w:pPr>
              <w:spacing w:line="240" w:lineRule="auto"/>
              <w:jc w:val="center"/>
              <w:rPr>
                <w:sz w:val="20"/>
                <w:szCs w:val="20"/>
              </w:rPr>
            </w:pPr>
            <w:r w:rsidRPr="0018295B">
              <w:rPr>
                <w:sz w:val="20"/>
                <w:szCs w:val="20"/>
              </w:rPr>
              <w:t>-</w:t>
            </w:r>
          </w:p>
        </w:tc>
        <w:tc>
          <w:tcPr>
            <w:tcW w:w="4135" w:type="pct"/>
            <w:gridSpan w:val="3"/>
            <w:shd w:val="clear" w:color="auto" w:fill="auto"/>
            <w:vAlign w:val="center"/>
          </w:tcPr>
          <w:p w:rsidR="0018295B" w:rsidRPr="0018295B" w:rsidRDefault="0018295B" w:rsidP="0018295B">
            <w:pPr>
              <w:spacing w:line="240" w:lineRule="auto"/>
              <w:rPr>
                <w:rFonts w:eastAsia="Times New Roman" w:cs="Arial"/>
                <w:sz w:val="20"/>
                <w:szCs w:val="20"/>
                <w:lang w:eastAsia="pt-BR"/>
              </w:rPr>
            </w:pPr>
            <w:r w:rsidRPr="0018295B">
              <w:rPr>
                <w:rFonts w:eastAsia="Times New Roman" w:cs="Arial"/>
                <w:sz w:val="20"/>
                <w:szCs w:val="20"/>
                <w:lang w:eastAsia="pt-BR"/>
              </w:rPr>
              <w:t>Índice de regulação do setor de saneamento.</w:t>
            </w:r>
          </w:p>
        </w:tc>
      </w:tr>
      <w:tr w:rsidR="0018295B" w:rsidRPr="0018295B" w:rsidTr="0018295B">
        <w:trPr>
          <w:cantSplit/>
          <w:trHeight w:val="20"/>
        </w:trPr>
        <w:tc>
          <w:tcPr>
            <w:tcW w:w="5000" w:type="pct"/>
            <w:gridSpan w:val="6"/>
            <w:shd w:val="clear" w:color="000000" w:fill="C0C0C0"/>
            <w:noWrap/>
            <w:vAlign w:val="center"/>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PRAZO DE ENTREGA DA META (ANOS)</w:t>
            </w:r>
          </w:p>
        </w:tc>
      </w:tr>
      <w:tr w:rsidR="0018295B" w:rsidRPr="0018295B" w:rsidTr="0018295B">
        <w:trPr>
          <w:cantSplit/>
          <w:trHeight w:val="20"/>
        </w:trPr>
        <w:tc>
          <w:tcPr>
            <w:tcW w:w="529" w:type="pct"/>
            <w:shd w:val="clear" w:color="000000" w:fill="C0C0C0"/>
            <w:noWrap/>
            <w:vAlign w:val="center"/>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IMEDIATO (1º ao 3º)</w:t>
            </w:r>
          </w:p>
        </w:tc>
        <w:tc>
          <w:tcPr>
            <w:tcW w:w="2115" w:type="pct"/>
            <w:gridSpan w:val="3"/>
            <w:shd w:val="clear" w:color="000000" w:fill="C0C0C0"/>
            <w:noWrap/>
            <w:vAlign w:val="center"/>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CURTO (4º ao 8º)</w:t>
            </w:r>
          </w:p>
        </w:tc>
        <w:tc>
          <w:tcPr>
            <w:tcW w:w="1010" w:type="pct"/>
            <w:shd w:val="clear" w:color="000000" w:fill="C0C0C0"/>
            <w:noWrap/>
            <w:vAlign w:val="center"/>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MÉDIO (9º ao 12º)</w:t>
            </w:r>
          </w:p>
        </w:tc>
        <w:tc>
          <w:tcPr>
            <w:tcW w:w="1346" w:type="pct"/>
            <w:shd w:val="clear" w:color="000000" w:fill="C0C0C0"/>
            <w:noWrap/>
            <w:vAlign w:val="center"/>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LONGO (13º ao 20º)</w:t>
            </w:r>
          </w:p>
        </w:tc>
      </w:tr>
      <w:tr w:rsidR="0018295B" w:rsidRPr="0018295B" w:rsidTr="0018295B">
        <w:trPr>
          <w:cantSplit/>
          <w:trHeight w:val="20"/>
        </w:trPr>
        <w:tc>
          <w:tcPr>
            <w:tcW w:w="529" w:type="pct"/>
            <w:shd w:val="clear" w:color="auto" w:fill="auto"/>
            <w:noWrap/>
            <w:vAlign w:val="center"/>
          </w:tcPr>
          <w:p w:rsidR="0018295B" w:rsidRPr="0018295B" w:rsidRDefault="0018295B" w:rsidP="0018295B">
            <w:pPr>
              <w:spacing w:before="60" w:after="60" w:line="240" w:lineRule="auto"/>
              <w:jc w:val="center"/>
              <w:rPr>
                <w:bCs/>
                <w:sz w:val="20"/>
                <w:szCs w:val="20"/>
              </w:rPr>
            </w:pPr>
          </w:p>
        </w:tc>
        <w:tc>
          <w:tcPr>
            <w:tcW w:w="2115" w:type="pct"/>
            <w:gridSpan w:val="3"/>
            <w:shd w:val="clear" w:color="auto" w:fill="auto"/>
            <w:noWrap/>
            <w:vAlign w:val="center"/>
          </w:tcPr>
          <w:p w:rsidR="0018295B" w:rsidRPr="0018295B" w:rsidRDefault="0018295B" w:rsidP="0018295B">
            <w:pPr>
              <w:spacing w:before="20" w:after="20" w:line="240" w:lineRule="auto"/>
              <w:jc w:val="center"/>
              <w:rPr>
                <w:rFonts w:cs="Arial"/>
                <w:bCs/>
                <w:sz w:val="20"/>
                <w:szCs w:val="20"/>
              </w:rPr>
            </w:pPr>
            <w:r w:rsidRPr="0018295B">
              <w:rPr>
                <w:rFonts w:eastAsia="Times New Roman" w:cs="Arial"/>
                <w:sz w:val="20"/>
                <w:szCs w:val="20"/>
              </w:rPr>
              <w:t>4.1. Garantir que a função reguladora de cada setor seja exercida por um órgão institucional regulamentado.</w:t>
            </w:r>
          </w:p>
        </w:tc>
        <w:tc>
          <w:tcPr>
            <w:tcW w:w="1010" w:type="pct"/>
            <w:shd w:val="clear" w:color="auto" w:fill="auto"/>
            <w:noWrap/>
            <w:vAlign w:val="center"/>
            <w:hideMark/>
          </w:tcPr>
          <w:p w:rsidR="0018295B" w:rsidRPr="0018295B" w:rsidRDefault="0018295B" w:rsidP="0018295B">
            <w:pPr>
              <w:spacing w:before="20" w:after="20" w:line="240" w:lineRule="auto"/>
              <w:jc w:val="center"/>
              <w:rPr>
                <w:rFonts w:cs="Arial"/>
                <w:bCs/>
                <w:sz w:val="20"/>
                <w:szCs w:val="20"/>
              </w:rPr>
            </w:pPr>
          </w:p>
        </w:tc>
        <w:tc>
          <w:tcPr>
            <w:tcW w:w="1346" w:type="pct"/>
            <w:shd w:val="clear" w:color="auto" w:fill="auto"/>
            <w:noWrap/>
            <w:vAlign w:val="center"/>
            <w:hideMark/>
          </w:tcPr>
          <w:p w:rsidR="0018295B" w:rsidRPr="0018295B" w:rsidRDefault="0018295B" w:rsidP="0018295B">
            <w:pPr>
              <w:spacing w:before="20" w:after="20" w:line="240" w:lineRule="auto"/>
              <w:jc w:val="center"/>
              <w:rPr>
                <w:sz w:val="20"/>
                <w:szCs w:val="20"/>
              </w:rPr>
            </w:pPr>
          </w:p>
        </w:tc>
      </w:tr>
    </w:tbl>
    <w:p w:rsidR="0018295B" w:rsidRPr="0018295B" w:rsidRDefault="0018295B" w:rsidP="0018295B">
      <w:pPr>
        <w:jc w:val="center"/>
        <w:rPr>
          <w:sz w:val="2"/>
          <w:szCs w:val="2"/>
        </w:rPr>
      </w:pPr>
    </w:p>
    <w:tbl>
      <w:tblPr>
        <w:tblW w:w="14742"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61"/>
        <w:gridCol w:w="7369"/>
        <w:gridCol w:w="1985"/>
        <w:gridCol w:w="1418"/>
        <w:gridCol w:w="2409"/>
      </w:tblGrid>
      <w:tr w:rsidR="0018295B" w:rsidRPr="0018295B" w:rsidTr="0018295B">
        <w:trPr>
          <w:cantSplit/>
          <w:trHeight w:val="348"/>
          <w:tblHeader/>
        </w:trPr>
        <w:tc>
          <w:tcPr>
            <w:tcW w:w="529" w:type="pct"/>
            <w:shd w:val="clear" w:color="000000" w:fill="C0C0C0"/>
            <w:vAlign w:val="center"/>
          </w:tcPr>
          <w:p w:rsidR="0018295B" w:rsidRPr="0018295B" w:rsidRDefault="0018295B" w:rsidP="0018295B">
            <w:pPr>
              <w:spacing w:line="240" w:lineRule="auto"/>
              <w:jc w:val="center"/>
              <w:rPr>
                <w:rFonts w:cs="Arial"/>
                <w:b/>
                <w:bCs/>
                <w:sz w:val="20"/>
                <w:szCs w:val="20"/>
              </w:rPr>
            </w:pPr>
            <w:r w:rsidRPr="0018295B">
              <w:rPr>
                <w:rFonts w:cs="Arial"/>
                <w:b/>
                <w:bCs/>
                <w:sz w:val="20"/>
                <w:szCs w:val="20"/>
              </w:rPr>
              <w:t>CÓDIGO</w:t>
            </w:r>
          </w:p>
          <w:p w:rsidR="0018295B" w:rsidRPr="0018295B" w:rsidRDefault="0018295B" w:rsidP="0018295B">
            <w:pPr>
              <w:spacing w:line="240" w:lineRule="auto"/>
              <w:ind w:left="141" w:hanging="141"/>
              <w:jc w:val="center"/>
              <w:rPr>
                <w:rFonts w:cs="Arial"/>
                <w:b/>
                <w:bCs/>
                <w:sz w:val="20"/>
                <w:szCs w:val="20"/>
              </w:rPr>
            </w:pPr>
            <w:r w:rsidRPr="0018295B">
              <w:rPr>
                <w:rFonts w:cs="Arial"/>
                <w:b/>
                <w:bCs/>
                <w:sz w:val="20"/>
                <w:szCs w:val="20"/>
              </w:rPr>
              <w:t>(s/o/m/a)*</w:t>
            </w:r>
          </w:p>
        </w:tc>
        <w:tc>
          <w:tcPr>
            <w:tcW w:w="2499" w:type="pct"/>
            <w:shd w:val="clear" w:color="000000" w:fill="C0C0C0"/>
            <w:vAlign w:val="center"/>
          </w:tcPr>
          <w:p w:rsidR="0018295B" w:rsidRPr="0018295B" w:rsidRDefault="0018295B" w:rsidP="0018295B">
            <w:pPr>
              <w:spacing w:line="240" w:lineRule="auto"/>
              <w:jc w:val="center"/>
              <w:rPr>
                <w:rFonts w:cs="Arial"/>
                <w:b/>
                <w:bCs/>
                <w:sz w:val="20"/>
                <w:szCs w:val="20"/>
              </w:rPr>
            </w:pPr>
            <w:r w:rsidRPr="0018295B">
              <w:rPr>
                <w:rFonts w:cs="Arial"/>
                <w:b/>
                <w:bCs/>
                <w:sz w:val="20"/>
                <w:szCs w:val="20"/>
              </w:rPr>
              <w:t>Descrição da ação</w:t>
            </w:r>
          </w:p>
        </w:tc>
        <w:tc>
          <w:tcPr>
            <w:tcW w:w="673" w:type="pct"/>
            <w:shd w:val="clear" w:color="000000" w:fill="C0C0C0"/>
          </w:tcPr>
          <w:p w:rsidR="0018295B" w:rsidRPr="0018295B" w:rsidRDefault="0018295B" w:rsidP="0018295B">
            <w:pPr>
              <w:spacing w:line="240" w:lineRule="auto"/>
              <w:ind w:firstLine="72"/>
              <w:jc w:val="center"/>
              <w:rPr>
                <w:rFonts w:eastAsia="Times New Roman" w:cs="Arial"/>
                <w:b/>
                <w:bCs/>
                <w:sz w:val="20"/>
                <w:szCs w:val="20"/>
                <w:lang w:eastAsia="pt-BR"/>
              </w:rPr>
            </w:pPr>
            <w:r w:rsidRPr="0018295B">
              <w:rPr>
                <w:rFonts w:eastAsia="Times New Roman" w:cs="Arial"/>
                <w:b/>
                <w:bCs/>
                <w:sz w:val="20"/>
                <w:szCs w:val="20"/>
                <w:lang w:eastAsia="pt-BR"/>
              </w:rPr>
              <w:t>Período de desenvolvimento da ação</w:t>
            </w:r>
          </w:p>
          <w:p w:rsidR="0018295B" w:rsidRPr="0018295B" w:rsidRDefault="0018295B" w:rsidP="0018295B">
            <w:pPr>
              <w:spacing w:line="240" w:lineRule="auto"/>
              <w:ind w:firstLine="72"/>
              <w:jc w:val="center"/>
              <w:rPr>
                <w:rFonts w:eastAsia="Times New Roman" w:cs="Arial"/>
                <w:b/>
                <w:bCs/>
                <w:sz w:val="20"/>
                <w:szCs w:val="20"/>
                <w:lang w:eastAsia="pt-BR"/>
              </w:rPr>
            </w:pPr>
            <w:r w:rsidRPr="0018295B">
              <w:rPr>
                <w:rFonts w:eastAsia="Times New Roman" w:cs="Arial"/>
                <w:b/>
                <w:bCs/>
                <w:sz w:val="20"/>
                <w:szCs w:val="20"/>
                <w:lang w:eastAsia="pt-BR"/>
              </w:rPr>
              <w:t>(ano)</w:t>
            </w:r>
          </w:p>
        </w:tc>
        <w:tc>
          <w:tcPr>
            <w:tcW w:w="481" w:type="pct"/>
            <w:shd w:val="clear" w:color="auto" w:fill="BFBFBF"/>
          </w:tcPr>
          <w:p w:rsidR="0018295B" w:rsidRPr="0018295B" w:rsidRDefault="0018295B" w:rsidP="0018295B">
            <w:pPr>
              <w:spacing w:line="240" w:lineRule="auto"/>
              <w:ind w:left="64" w:firstLine="8"/>
              <w:jc w:val="center"/>
              <w:rPr>
                <w:rFonts w:eastAsia="Times New Roman" w:cs="Arial"/>
                <w:b/>
                <w:bCs/>
                <w:sz w:val="20"/>
                <w:szCs w:val="20"/>
                <w:lang w:eastAsia="pt-BR"/>
              </w:rPr>
            </w:pPr>
            <w:r w:rsidRPr="0018295B">
              <w:rPr>
                <w:rFonts w:eastAsia="Times New Roman" w:cs="Arial"/>
                <w:b/>
                <w:bCs/>
                <w:sz w:val="20"/>
                <w:szCs w:val="20"/>
                <w:lang w:eastAsia="pt-BR"/>
              </w:rPr>
              <w:t>Custo total na moeda de 2017</w:t>
            </w:r>
          </w:p>
          <w:p w:rsidR="0018295B" w:rsidRPr="0018295B" w:rsidRDefault="0018295B" w:rsidP="0018295B">
            <w:pPr>
              <w:spacing w:line="240" w:lineRule="auto"/>
              <w:ind w:firstLine="72"/>
              <w:jc w:val="center"/>
              <w:rPr>
                <w:rFonts w:eastAsia="Times New Roman" w:cs="Arial"/>
                <w:b/>
                <w:bCs/>
                <w:sz w:val="20"/>
                <w:szCs w:val="20"/>
                <w:lang w:eastAsia="pt-BR"/>
              </w:rPr>
            </w:pPr>
            <w:r w:rsidRPr="0018295B">
              <w:rPr>
                <w:rFonts w:eastAsia="Times New Roman" w:cs="Arial"/>
                <w:b/>
                <w:bCs/>
                <w:sz w:val="20"/>
                <w:szCs w:val="20"/>
                <w:lang w:eastAsia="pt-BR"/>
              </w:rPr>
              <w:t>(R$)</w:t>
            </w:r>
          </w:p>
        </w:tc>
        <w:tc>
          <w:tcPr>
            <w:tcW w:w="817" w:type="pct"/>
            <w:shd w:val="clear" w:color="auto" w:fill="BFBFBF"/>
          </w:tcPr>
          <w:p w:rsidR="0018295B" w:rsidRPr="0018295B" w:rsidRDefault="0018295B" w:rsidP="0018295B">
            <w:pPr>
              <w:spacing w:line="240" w:lineRule="auto"/>
              <w:ind w:left="64" w:firstLine="8"/>
              <w:jc w:val="center"/>
              <w:rPr>
                <w:rFonts w:eastAsia="Times New Roman" w:cs="Arial"/>
                <w:b/>
                <w:bCs/>
                <w:sz w:val="20"/>
                <w:szCs w:val="20"/>
                <w:lang w:eastAsia="pt-BR"/>
              </w:rPr>
            </w:pPr>
            <w:r w:rsidRPr="0018295B">
              <w:rPr>
                <w:rFonts w:eastAsia="Times New Roman" w:cs="Arial"/>
                <w:b/>
                <w:bCs/>
                <w:sz w:val="20"/>
                <w:szCs w:val="20"/>
                <w:lang w:eastAsia="pt-BR"/>
              </w:rPr>
              <w:t>Responsável pela ação</w:t>
            </w:r>
          </w:p>
          <w:p w:rsidR="0018295B" w:rsidRPr="0018295B" w:rsidRDefault="0018295B" w:rsidP="0018295B">
            <w:pPr>
              <w:spacing w:line="240" w:lineRule="auto"/>
              <w:ind w:left="64" w:firstLine="8"/>
              <w:jc w:val="center"/>
              <w:rPr>
                <w:rFonts w:eastAsia="Times New Roman" w:cs="Arial"/>
                <w:b/>
                <w:bCs/>
                <w:sz w:val="20"/>
                <w:szCs w:val="20"/>
                <w:lang w:eastAsia="pt-BR"/>
              </w:rPr>
            </w:pPr>
          </w:p>
        </w:tc>
      </w:tr>
      <w:tr w:rsidR="0018295B" w:rsidRPr="0018295B" w:rsidTr="0018295B">
        <w:trPr>
          <w:cantSplit/>
          <w:trHeight w:val="1077"/>
        </w:trPr>
        <w:tc>
          <w:tcPr>
            <w:tcW w:w="529" w:type="pct"/>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0.4.1.25</w:t>
            </w:r>
          </w:p>
        </w:tc>
        <w:tc>
          <w:tcPr>
            <w:tcW w:w="2499" w:type="pct"/>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Realizar levantamento das agências existentes no estado, que tenham competência legal para assumir a regulação dos serviços de saneamento no município.</w:t>
            </w:r>
          </w:p>
        </w:tc>
        <w:tc>
          <w:tcPr>
            <w:tcW w:w="673" w:type="pct"/>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2º</w:t>
            </w:r>
          </w:p>
        </w:tc>
        <w:tc>
          <w:tcPr>
            <w:tcW w:w="481" w:type="pct"/>
            <w:shd w:val="clear" w:color="auto" w:fill="FFFFFF"/>
            <w:vAlign w:val="center"/>
          </w:tcPr>
          <w:p w:rsidR="0018295B" w:rsidRPr="0018295B" w:rsidRDefault="0018295B" w:rsidP="0018295B">
            <w:pPr>
              <w:spacing w:line="240" w:lineRule="auto"/>
              <w:jc w:val="center"/>
              <w:rPr>
                <w:rFonts w:cs="Arial"/>
                <w:sz w:val="20"/>
                <w:szCs w:val="20"/>
              </w:rPr>
            </w:pPr>
            <w:r w:rsidRPr="0018295B">
              <w:rPr>
                <w:rFonts w:cs="Arial"/>
                <w:sz w:val="20"/>
                <w:szCs w:val="20"/>
              </w:rPr>
              <w:t>Custo já previsto no item 0.1.03</w:t>
            </w:r>
          </w:p>
        </w:tc>
        <w:tc>
          <w:tcPr>
            <w:tcW w:w="817" w:type="pct"/>
            <w:shd w:val="clear" w:color="auto" w:fill="FFFFFF"/>
            <w:vAlign w:val="center"/>
          </w:tcPr>
          <w:p w:rsidR="0018295B" w:rsidRPr="0018295B" w:rsidRDefault="0018295B" w:rsidP="0018295B">
            <w:pPr>
              <w:spacing w:before="120" w:line="240" w:lineRule="auto"/>
              <w:jc w:val="center"/>
              <w:rPr>
                <w:rFonts w:cs="Arial"/>
                <w:color w:val="000000"/>
                <w:sz w:val="20"/>
                <w:szCs w:val="20"/>
              </w:rPr>
            </w:pPr>
            <w:r w:rsidRPr="0018295B">
              <w:rPr>
                <w:rFonts w:cs="Arial"/>
                <w:sz w:val="20"/>
                <w:szCs w:val="20"/>
              </w:rPr>
              <w:t>Prefeitura Municipal / Setor Geral</w:t>
            </w:r>
          </w:p>
        </w:tc>
      </w:tr>
      <w:tr w:rsidR="0018295B" w:rsidRPr="0018295B" w:rsidTr="0018295B">
        <w:trPr>
          <w:cantSplit/>
          <w:trHeight w:val="1077"/>
        </w:trPr>
        <w:tc>
          <w:tcPr>
            <w:tcW w:w="529" w:type="pct"/>
            <w:shd w:val="clear" w:color="auto" w:fill="auto"/>
            <w:vAlign w:val="center"/>
          </w:tcPr>
          <w:p w:rsidR="0018295B" w:rsidRPr="0018295B" w:rsidRDefault="0018295B" w:rsidP="0018295B">
            <w:pPr>
              <w:jc w:val="center"/>
              <w:rPr>
                <w:rFonts w:cs="Arial"/>
                <w:sz w:val="20"/>
                <w:szCs w:val="20"/>
              </w:rPr>
            </w:pPr>
            <w:r w:rsidRPr="0018295B">
              <w:rPr>
                <w:rFonts w:cs="Arial"/>
                <w:sz w:val="20"/>
                <w:szCs w:val="20"/>
              </w:rPr>
              <w:t>0.4.1.26</w:t>
            </w:r>
          </w:p>
        </w:tc>
        <w:tc>
          <w:tcPr>
            <w:tcW w:w="2499" w:type="pct"/>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Considerar todas as possibilidades institucionais que sejam jurídica e legalmente competentes para cumprir a função de agência reguladora (Agências Reguladoras, Conselhos, Consórcios, etc.).</w:t>
            </w:r>
          </w:p>
        </w:tc>
        <w:tc>
          <w:tcPr>
            <w:tcW w:w="673" w:type="pct"/>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3º</w:t>
            </w:r>
          </w:p>
        </w:tc>
        <w:tc>
          <w:tcPr>
            <w:tcW w:w="481" w:type="pct"/>
            <w:shd w:val="clear" w:color="auto" w:fill="FFFFFF"/>
            <w:vAlign w:val="center"/>
          </w:tcPr>
          <w:p w:rsidR="0018295B" w:rsidRPr="0018295B" w:rsidRDefault="0018295B" w:rsidP="0018295B">
            <w:pPr>
              <w:spacing w:line="240" w:lineRule="auto"/>
              <w:jc w:val="center"/>
              <w:rPr>
                <w:rFonts w:cs="Arial"/>
                <w:sz w:val="20"/>
                <w:szCs w:val="20"/>
              </w:rPr>
            </w:pPr>
            <w:r w:rsidRPr="0018295B">
              <w:rPr>
                <w:rFonts w:cs="Arial"/>
                <w:sz w:val="20"/>
                <w:szCs w:val="20"/>
              </w:rPr>
              <w:t>Custo já previsto no item 0.1.03</w:t>
            </w:r>
          </w:p>
        </w:tc>
        <w:tc>
          <w:tcPr>
            <w:tcW w:w="817" w:type="pct"/>
            <w:shd w:val="clear" w:color="auto" w:fill="FFFFFF"/>
            <w:vAlign w:val="center"/>
          </w:tcPr>
          <w:p w:rsidR="0018295B" w:rsidRPr="0018295B" w:rsidRDefault="0018295B" w:rsidP="0018295B">
            <w:pPr>
              <w:spacing w:before="120" w:line="240" w:lineRule="auto"/>
              <w:jc w:val="center"/>
              <w:rPr>
                <w:rFonts w:cs="Arial"/>
                <w:color w:val="000000"/>
                <w:sz w:val="20"/>
                <w:szCs w:val="20"/>
              </w:rPr>
            </w:pPr>
            <w:r w:rsidRPr="0018295B">
              <w:rPr>
                <w:rFonts w:cs="Arial"/>
                <w:sz w:val="20"/>
                <w:szCs w:val="20"/>
              </w:rPr>
              <w:t>Prefeitura Municipal / Setor Geral / Setor Jurídico</w:t>
            </w:r>
          </w:p>
        </w:tc>
      </w:tr>
      <w:tr w:rsidR="0018295B" w:rsidRPr="0018295B" w:rsidTr="0018295B">
        <w:trPr>
          <w:cantSplit/>
          <w:trHeight w:val="1077"/>
        </w:trPr>
        <w:tc>
          <w:tcPr>
            <w:tcW w:w="529" w:type="pct"/>
            <w:shd w:val="clear" w:color="auto" w:fill="auto"/>
            <w:vAlign w:val="center"/>
          </w:tcPr>
          <w:p w:rsidR="0018295B" w:rsidRPr="0018295B" w:rsidRDefault="0018295B" w:rsidP="0018295B">
            <w:pPr>
              <w:jc w:val="center"/>
              <w:rPr>
                <w:rFonts w:cs="Arial"/>
                <w:sz w:val="20"/>
                <w:szCs w:val="20"/>
              </w:rPr>
            </w:pPr>
            <w:r w:rsidRPr="0018295B">
              <w:rPr>
                <w:rFonts w:cs="Arial"/>
                <w:sz w:val="20"/>
                <w:szCs w:val="20"/>
              </w:rPr>
              <w:t>0.4.1.27</w:t>
            </w:r>
          </w:p>
        </w:tc>
        <w:tc>
          <w:tcPr>
            <w:tcW w:w="2499" w:type="pct"/>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Definir as agências reguladoras de cada setor do saneamento básico.</w:t>
            </w:r>
          </w:p>
        </w:tc>
        <w:tc>
          <w:tcPr>
            <w:tcW w:w="673" w:type="pct"/>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4º-8º</w:t>
            </w:r>
          </w:p>
        </w:tc>
        <w:tc>
          <w:tcPr>
            <w:tcW w:w="481" w:type="pct"/>
            <w:shd w:val="clear" w:color="auto" w:fill="FFFFFF"/>
            <w:vAlign w:val="center"/>
          </w:tcPr>
          <w:p w:rsidR="0018295B" w:rsidRPr="0018295B" w:rsidRDefault="0018295B" w:rsidP="0018295B">
            <w:pPr>
              <w:spacing w:line="240" w:lineRule="auto"/>
              <w:jc w:val="center"/>
              <w:rPr>
                <w:rFonts w:cs="Arial"/>
                <w:sz w:val="20"/>
                <w:szCs w:val="20"/>
              </w:rPr>
            </w:pPr>
            <w:r w:rsidRPr="0018295B">
              <w:rPr>
                <w:rFonts w:cs="Arial"/>
                <w:sz w:val="20"/>
                <w:szCs w:val="20"/>
              </w:rPr>
              <w:t>Custo já previsto no item 0.1.03</w:t>
            </w:r>
          </w:p>
        </w:tc>
        <w:tc>
          <w:tcPr>
            <w:tcW w:w="817" w:type="pct"/>
            <w:shd w:val="clear" w:color="auto" w:fill="FFFFFF"/>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Prefeitura Municipal / Setor Geral / Setor Jurídico</w:t>
            </w:r>
          </w:p>
        </w:tc>
      </w:tr>
      <w:tr w:rsidR="0018295B" w:rsidRPr="0018295B" w:rsidTr="0018295B">
        <w:trPr>
          <w:cantSplit/>
          <w:trHeight w:val="1077"/>
        </w:trPr>
        <w:tc>
          <w:tcPr>
            <w:tcW w:w="529" w:type="pct"/>
            <w:shd w:val="clear" w:color="auto" w:fill="auto"/>
            <w:vAlign w:val="center"/>
          </w:tcPr>
          <w:p w:rsidR="0018295B" w:rsidRPr="0018295B" w:rsidRDefault="0018295B" w:rsidP="0018295B">
            <w:pPr>
              <w:jc w:val="center"/>
              <w:rPr>
                <w:rFonts w:cs="Arial"/>
                <w:sz w:val="20"/>
                <w:szCs w:val="20"/>
              </w:rPr>
            </w:pPr>
            <w:r w:rsidRPr="0018295B">
              <w:rPr>
                <w:rFonts w:cs="Arial"/>
                <w:sz w:val="20"/>
                <w:szCs w:val="20"/>
              </w:rPr>
              <w:t>0.4.1.28</w:t>
            </w:r>
          </w:p>
        </w:tc>
        <w:tc>
          <w:tcPr>
            <w:tcW w:w="2499" w:type="pct"/>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Constituir legalmente a função de regulação às entidades escolhidas, pormenorizando suas atribuições (entre as exigências do órgão regulador incluir, como obrigação dos quatro setores do saneamento, alimentar o Sistema Municipal de Informações em Saneamento (SMIS) com os indicadores preconizados no PMSB, obedecendo à periodicidade de coleta indicada no Plano).</w:t>
            </w:r>
          </w:p>
        </w:tc>
        <w:tc>
          <w:tcPr>
            <w:tcW w:w="673" w:type="pct"/>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4º-8º</w:t>
            </w:r>
          </w:p>
        </w:tc>
        <w:tc>
          <w:tcPr>
            <w:tcW w:w="481" w:type="pct"/>
            <w:shd w:val="clear" w:color="auto" w:fill="auto"/>
            <w:vAlign w:val="center"/>
          </w:tcPr>
          <w:p w:rsidR="0018295B" w:rsidRPr="0018295B" w:rsidRDefault="0018295B" w:rsidP="0018295B">
            <w:pPr>
              <w:spacing w:line="240" w:lineRule="auto"/>
              <w:jc w:val="right"/>
              <w:rPr>
                <w:rFonts w:cs="Arial"/>
                <w:color w:val="000000"/>
                <w:sz w:val="20"/>
                <w:szCs w:val="20"/>
              </w:rPr>
            </w:pPr>
            <w:r w:rsidRPr="0018295B">
              <w:rPr>
                <w:rFonts w:cs="Arial"/>
                <w:color w:val="000000"/>
                <w:sz w:val="20"/>
                <w:szCs w:val="20"/>
              </w:rPr>
              <w:t>80.000,00</w:t>
            </w:r>
          </w:p>
          <w:p w:rsidR="0018295B" w:rsidRPr="0018295B" w:rsidRDefault="0018295B" w:rsidP="0018295B">
            <w:pPr>
              <w:spacing w:before="120" w:line="240" w:lineRule="auto"/>
              <w:jc w:val="right"/>
              <w:rPr>
                <w:rFonts w:cs="Arial"/>
                <w:sz w:val="20"/>
                <w:szCs w:val="20"/>
              </w:rPr>
            </w:pPr>
          </w:p>
        </w:tc>
        <w:tc>
          <w:tcPr>
            <w:tcW w:w="817" w:type="pct"/>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Prefeitura Municipal / Setor Geral / Setor Jurídico</w:t>
            </w:r>
          </w:p>
        </w:tc>
      </w:tr>
      <w:tr w:rsidR="0018295B" w:rsidRPr="0018295B" w:rsidTr="0018295B">
        <w:trPr>
          <w:cantSplit/>
          <w:trHeight w:val="1077"/>
        </w:trPr>
        <w:tc>
          <w:tcPr>
            <w:tcW w:w="529" w:type="pct"/>
            <w:shd w:val="clear" w:color="auto" w:fill="auto"/>
            <w:vAlign w:val="center"/>
          </w:tcPr>
          <w:p w:rsidR="0018295B" w:rsidRPr="0018295B" w:rsidRDefault="0018295B" w:rsidP="0018295B">
            <w:pPr>
              <w:jc w:val="center"/>
              <w:rPr>
                <w:rFonts w:cs="Arial"/>
                <w:sz w:val="20"/>
                <w:szCs w:val="20"/>
              </w:rPr>
            </w:pPr>
            <w:r w:rsidRPr="0018295B">
              <w:rPr>
                <w:rFonts w:cs="Arial"/>
                <w:sz w:val="20"/>
                <w:szCs w:val="20"/>
              </w:rPr>
              <w:lastRenderedPageBreak/>
              <w:t>0.4.1.29</w:t>
            </w:r>
          </w:p>
        </w:tc>
        <w:tc>
          <w:tcPr>
            <w:tcW w:w="2499" w:type="pct"/>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Acompanhar o atendimento às diretrizes e procedimentos estabelecidos pela(s) entidade(s) reguladora(s) dos serviços do saneamento básico municipal, ao longo da vigência do PMSB.</w:t>
            </w:r>
          </w:p>
        </w:tc>
        <w:tc>
          <w:tcPr>
            <w:tcW w:w="673" w:type="pct"/>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4º-20º</w:t>
            </w:r>
          </w:p>
        </w:tc>
        <w:tc>
          <w:tcPr>
            <w:tcW w:w="481" w:type="pct"/>
            <w:shd w:val="clear" w:color="auto" w:fill="auto"/>
            <w:vAlign w:val="center"/>
          </w:tcPr>
          <w:p w:rsidR="0018295B" w:rsidRPr="0018295B" w:rsidRDefault="0018295B" w:rsidP="0018295B">
            <w:pPr>
              <w:spacing w:line="240" w:lineRule="auto"/>
              <w:jc w:val="right"/>
              <w:rPr>
                <w:rFonts w:cs="Arial"/>
                <w:color w:val="000000"/>
                <w:sz w:val="20"/>
                <w:szCs w:val="20"/>
              </w:rPr>
            </w:pPr>
            <w:r w:rsidRPr="0018295B">
              <w:rPr>
                <w:rFonts w:cs="Arial"/>
                <w:color w:val="000000"/>
                <w:sz w:val="20"/>
                <w:szCs w:val="20"/>
              </w:rPr>
              <w:t>9.968,00</w:t>
            </w:r>
          </w:p>
          <w:p w:rsidR="0018295B" w:rsidRPr="0018295B" w:rsidRDefault="0018295B" w:rsidP="0018295B">
            <w:pPr>
              <w:spacing w:before="120" w:line="240" w:lineRule="auto"/>
              <w:jc w:val="right"/>
              <w:rPr>
                <w:rFonts w:cs="Arial"/>
                <w:sz w:val="20"/>
                <w:szCs w:val="20"/>
              </w:rPr>
            </w:pPr>
          </w:p>
        </w:tc>
        <w:tc>
          <w:tcPr>
            <w:tcW w:w="817" w:type="pct"/>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Prefeitura Municipal / Setor Geral</w:t>
            </w:r>
          </w:p>
        </w:tc>
      </w:tr>
      <w:tr w:rsidR="0018295B" w:rsidRPr="0018295B" w:rsidTr="0018295B">
        <w:trPr>
          <w:cantSplit/>
          <w:trHeight w:val="1077"/>
        </w:trPr>
        <w:tc>
          <w:tcPr>
            <w:tcW w:w="529" w:type="pct"/>
            <w:shd w:val="clear" w:color="auto" w:fill="auto"/>
            <w:vAlign w:val="center"/>
          </w:tcPr>
          <w:p w:rsidR="0018295B" w:rsidRPr="0018295B" w:rsidRDefault="0018295B" w:rsidP="0018295B">
            <w:pPr>
              <w:jc w:val="center"/>
              <w:rPr>
                <w:rFonts w:cs="Arial"/>
                <w:sz w:val="20"/>
                <w:szCs w:val="20"/>
              </w:rPr>
            </w:pPr>
            <w:r w:rsidRPr="0018295B">
              <w:rPr>
                <w:rFonts w:cs="Arial"/>
                <w:sz w:val="20"/>
                <w:szCs w:val="20"/>
              </w:rPr>
              <w:t>0.4.1.30</w:t>
            </w:r>
          </w:p>
        </w:tc>
        <w:tc>
          <w:tcPr>
            <w:tcW w:w="2499" w:type="pct"/>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Entregar todos os anos, pelo menos um relatório sobre a eficácia e eficiência dos setores de saneamento básico à Agência Reguladora.</w:t>
            </w:r>
          </w:p>
        </w:tc>
        <w:tc>
          <w:tcPr>
            <w:tcW w:w="673" w:type="pct"/>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4º-20º</w:t>
            </w:r>
          </w:p>
        </w:tc>
        <w:tc>
          <w:tcPr>
            <w:tcW w:w="481" w:type="pct"/>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Custo já previsto no item 0.1.02</w:t>
            </w:r>
          </w:p>
        </w:tc>
        <w:tc>
          <w:tcPr>
            <w:tcW w:w="817" w:type="pct"/>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Prefeitura Municipal / Setor Geral</w:t>
            </w:r>
          </w:p>
        </w:tc>
      </w:tr>
    </w:tbl>
    <w:p w:rsidR="0018295B" w:rsidRPr="0018295B" w:rsidRDefault="0018295B" w:rsidP="00810C89">
      <w:pPr>
        <w:pStyle w:val="Fonte"/>
        <w:rPr>
          <w:b/>
        </w:rPr>
      </w:pPr>
      <w:bookmarkStart w:id="607" w:name="_Toc372031141"/>
      <w:bookmarkStart w:id="608" w:name="_Toc373139203"/>
      <w:bookmarkStart w:id="609" w:name="_Toc379959512"/>
      <w:bookmarkStart w:id="610" w:name="_Toc391476995"/>
      <w:bookmarkStart w:id="611" w:name="_Toc399853576"/>
      <w:bookmarkEnd w:id="604"/>
      <w:r w:rsidRPr="0018295B">
        <w:t>*(s/o/m/a) = nº do setor / nº do objetivo / nº da meta / nº da ação.</w:t>
      </w:r>
      <w:r w:rsidRPr="0018295B">
        <w:rPr>
          <w:b/>
        </w:rPr>
        <w:br w:type="page"/>
      </w:r>
    </w:p>
    <w:p w:rsidR="0018295B" w:rsidRPr="0018295B" w:rsidRDefault="0018295B" w:rsidP="00810C89">
      <w:pPr>
        <w:pStyle w:val="Legenda"/>
      </w:pPr>
      <w:bookmarkStart w:id="612" w:name="_Toc505788333"/>
      <w:bookmarkStart w:id="613" w:name="_Toc509935829"/>
      <w:r w:rsidRPr="0018295B">
        <w:lastRenderedPageBreak/>
        <w:t xml:space="preserve">Quadro </w:t>
      </w:r>
      <w:r w:rsidR="000A1C78">
        <w:fldChar w:fldCharType="begin"/>
      </w:r>
      <w:r w:rsidR="000A1C78">
        <w:instrText xml:space="preserve"> SEQ Quadro \* ARABIC </w:instrText>
      </w:r>
      <w:r w:rsidR="000A1C78">
        <w:fldChar w:fldCharType="separate"/>
      </w:r>
      <w:r w:rsidR="001B481B">
        <w:rPr>
          <w:noProof/>
        </w:rPr>
        <w:t>52</w:t>
      </w:r>
      <w:r w:rsidR="000A1C78">
        <w:rPr>
          <w:noProof/>
        </w:rPr>
        <w:fldChar w:fldCharType="end"/>
      </w:r>
      <w:r w:rsidRPr="0018295B">
        <w:t xml:space="preserve"> - Programas e ações propostos para o SB Geral - Objetivo 5</w:t>
      </w:r>
      <w:bookmarkEnd w:id="612"/>
      <w:bookmarkEnd w:id="613"/>
    </w:p>
    <w:tbl>
      <w:tblPr>
        <w:tblW w:w="14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22"/>
        <w:gridCol w:w="264"/>
        <w:gridCol w:w="179"/>
        <w:gridCol w:w="2269"/>
        <w:gridCol w:w="2576"/>
        <w:gridCol w:w="6988"/>
      </w:tblGrid>
      <w:tr w:rsidR="0018295B" w:rsidRPr="0018295B" w:rsidTr="0018295B">
        <w:trPr>
          <w:cantSplit/>
          <w:trHeight w:val="20"/>
          <w:jc w:val="center"/>
        </w:trPr>
        <w:tc>
          <w:tcPr>
            <w:tcW w:w="677" w:type="pct"/>
            <w:shd w:val="clear" w:color="000000" w:fill="C0C0C0"/>
            <w:noWrap/>
            <w:vAlign w:val="center"/>
            <w:hideMark/>
          </w:tcPr>
          <w:p w:rsidR="0018295B" w:rsidRPr="0018295B" w:rsidRDefault="0018295B" w:rsidP="0018295B">
            <w:pPr>
              <w:spacing w:line="240" w:lineRule="auto"/>
              <w:ind w:left="17" w:hanging="17"/>
              <w:jc w:val="center"/>
              <w:rPr>
                <w:b/>
                <w:bCs/>
                <w:sz w:val="20"/>
                <w:szCs w:val="20"/>
              </w:rPr>
            </w:pPr>
            <w:r w:rsidRPr="0018295B">
              <w:rPr>
                <w:b/>
                <w:bCs/>
                <w:sz w:val="20"/>
                <w:szCs w:val="20"/>
              </w:rPr>
              <w:t>SETOR</w:t>
            </w:r>
          </w:p>
        </w:tc>
        <w:tc>
          <w:tcPr>
            <w:tcW w:w="93" w:type="pct"/>
            <w:shd w:val="clear" w:color="auto" w:fill="auto"/>
            <w:noWrap/>
            <w:vAlign w:val="center"/>
            <w:hideMark/>
          </w:tcPr>
          <w:p w:rsidR="0018295B" w:rsidRPr="0018295B" w:rsidRDefault="0018295B" w:rsidP="0018295B">
            <w:pPr>
              <w:spacing w:line="240" w:lineRule="auto"/>
              <w:jc w:val="center"/>
              <w:rPr>
                <w:sz w:val="20"/>
                <w:szCs w:val="20"/>
              </w:rPr>
            </w:pPr>
            <w:r w:rsidRPr="0018295B">
              <w:rPr>
                <w:sz w:val="20"/>
                <w:szCs w:val="20"/>
              </w:rPr>
              <w:t>0</w:t>
            </w:r>
          </w:p>
        </w:tc>
        <w:tc>
          <w:tcPr>
            <w:tcW w:w="4230" w:type="pct"/>
            <w:gridSpan w:val="4"/>
            <w:shd w:val="clear" w:color="auto" w:fill="auto"/>
            <w:noWrap/>
            <w:vAlign w:val="center"/>
          </w:tcPr>
          <w:p w:rsidR="0018295B" w:rsidRPr="0018295B" w:rsidRDefault="0018295B" w:rsidP="0018295B">
            <w:pPr>
              <w:spacing w:line="240" w:lineRule="auto"/>
              <w:rPr>
                <w:rFonts w:cs="Arial"/>
                <w:sz w:val="20"/>
                <w:szCs w:val="20"/>
              </w:rPr>
            </w:pPr>
            <w:r w:rsidRPr="0018295B">
              <w:rPr>
                <w:rFonts w:cs="Arial"/>
                <w:sz w:val="20"/>
                <w:szCs w:val="20"/>
              </w:rPr>
              <w:t>Referente aos quatro setores.</w:t>
            </w:r>
          </w:p>
        </w:tc>
      </w:tr>
      <w:tr w:rsidR="0018295B" w:rsidRPr="0018295B" w:rsidTr="0018295B">
        <w:trPr>
          <w:cantSplit/>
          <w:trHeight w:val="20"/>
          <w:jc w:val="center"/>
        </w:trPr>
        <w:tc>
          <w:tcPr>
            <w:tcW w:w="677" w:type="pct"/>
            <w:shd w:val="clear" w:color="000000" w:fill="C0C0C0"/>
            <w:vAlign w:val="center"/>
            <w:hideMark/>
          </w:tcPr>
          <w:p w:rsidR="0018295B" w:rsidRPr="0018295B" w:rsidRDefault="0018295B" w:rsidP="0018295B">
            <w:pPr>
              <w:spacing w:line="240" w:lineRule="auto"/>
              <w:ind w:left="159" w:hanging="159"/>
              <w:jc w:val="center"/>
              <w:rPr>
                <w:b/>
                <w:bCs/>
                <w:sz w:val="20"/>
                <w:szCs w:val="20"/>
              </w:rPr>
            </w:pPr>
            <w:r w:rsidRPr="0018295B">
              <w:rPr>
                <w:b/>
                <w:bCs/>
                <w:sz w:val="20"/>
                <w:szCs w:val="20"/>
              </w:rPr>
              <w:t>OBJETIVO</w:t>
            </w:r>
          </w:p>
        </w:tc>
        <w:tc>
          <w:tcPr>
            <w:tcW w:w="93" w:type="pct"/>
            <w:shd w:val="clear" w:color="auto" w:fill="auto"/>
            <w:vAlign w:val="center"/>
            <w:hideMark/>
          </w:tcPr>
          <w:p w:rsidR="0018295B" w:rsidRPr="0018295B" w:rsidRDefault="0018295B" w:rsidP="0018295B">
            <w:pPr>
              <w:spacing w:line="240" w:lineRule="auto"/>
              <w:jc w:val="center"/>
              <w:rPr>
                <w:sz w:val="20"/>
                <w:szCs w:val="20"/>
              </w:rPr>
            </w:pPr>
            <w:r w:rsidRPr="0018295B">
              <w:rPr>
                <w:sz w:val="20"/>
                <w:szCs w:val="20"/>
              </w:rPr>
              <w:t>5</w:t>
            </w:r>
          </w:p>
        </w:tc>
        <w:tc>
          <w:tcPr>
            <w:tcW w:w="4230" w:type="pct"/>
            <w:gridSpan w:val="4"/>
            <w:shd w:val="clear" w:color="auto" w:fill="auto"/>
            <w:vAlign w:val="center"/>
          </w:tcPr>
          <w:p w:rsidR="0018295B" w:rsidRPr="0018295B" w:rsidRDefault="0018295B" w:rsidP="0018295B">
            <w:pPr>
              <w:spacing w:line="240" w:lineRule="auto"/>
              <w:rPr>
                <w:rFonts w:cs="Arial"/>
                <w:sz w:val="20"/>
                <w:szCs w:val="20"/>
              </w:rPr>
            </w:pPr>
            <w:r w:rsidRPr="0018295B">
              <w:rPr>
                <w:rFonts w:eastAsia="Times New Roman" w:cs="Arial"/>
                <w:sz w:val="20"/>
                <w:szCs w:val="20"/>
                <w:lang w:eastAsia="pt-BR"/>
              </w:rPr>
              <w:t>Apresentar conformidade com a legislação ambiental vigente.</w:t>
            </w:r>
          </w:p>
        </w:tc>
      </w:tr>
      <w:tr w:rsidR="0018295B" w:rsidRPr="0018295B" w:rsidTr="0018295B">
        <w:trPr>
          <w:cantSplit/>
          <w:trHeight w:val="20"/>
          <w:jc w:val="center"/>
        </w:trPr>
        <w:tc>
          <w:tcPr>
            <w:tcW w:w="677" w:type="pct"/>
            <w:shd w:val="clear" w:color="000000" w:fill="C0C0C0"/>
            <w:vAlign w:val="center"/>
          </w:tcPr>
          <w:p w:rsidR="0018295B" w:rsidRPr="0018295B" w:rsidRDefault="0018295B" w:rsidP="0018295B">
            <w:pPr>
              <w:spacing w:line="240" w:lineRule="auto"/>
              <w:ind w:left="159" w:hanging="159"/>
              <w:jc w:val="center"/>
              <w:rPr>
                <w:b/>
                <w:bCs/>
                <w:sz w:val="20"/>
                <w:szCs w:val="20"/>
              </w:rPr>
            </w:pPr>
            <w:r w:rsidRPr="0018295B">
              <w:rPr>
                <w:b/>
                <w:bCs/>
                <w:sz w:val="20"/>
                <w:szCs w:val="20"/>
              </w:rPr>
              <w:t>INDICADOR</w:t>
            </w:r>
          </w:p>
        </w:tc>
        <w:tc>
          <w:tcPr>
            <w:tcW w:w="93" w:type="pct"/>
            <w:shd w:val="clear" w:color="auto" w:fill="auto"/>
            <w:vAlign w:val="center"/>
          </w:tcPr>
          <w:p w:rsidR="0018295B" w:rsidRPr="0018295B" w:rsidRDefault="0018295B" w:rsidP="0018295B">
            <w:pPr>
              <w:spacing w:line="240" w:lineRule="auto"/>
              <w:jc w:val="center"/>
              <w:rPr>
                <w:sz w:val="20"/>
                <w:szCs w:val="20"/>
              </w:rPr>
            </w:pPr>
            <w:r w:rsidRPr="0018295B">
              <w:rPr>
                <w:sz w:val="20"/>
                <w:szCs w:val="20"/>
              </w:rPr>
              <w:t>-</w:t>
            </w:r>
          </w:p>
        </w:tc>
        <w:tc>
          <w:tcPr>
            <w:tcW w:w="4230" w:type="pct"/>
            <w:gridSpan w:val="4"/>
            <w:shd w:val="clear" w:color="auto" w:fill="auto"/>
            <w:vAlign w:val="center"/>
          </w:tcPr>
          <w:p w:rsidR="0018295B" w:rsidRPr="0018295B" w:rsidRDefault="0018295B" w:rsidP="0018295B">
            <w:pPr>
              <w:spacing w:line="240" w:lineRule="auto"/>
              <w:rPr>
                <w:rFonts w:eastAsia="Times New Roman" w:cs="Arial"/>
                <w:sz w:val="20"/>
                <w:szCs w:val="20"/>
                <w:lang w:eastAsia="pt-BR"/>
              </w:rPr>
            </w:pPr>
            <w:r w:rsidRPr="0018295B">
              <w:rPr>
                <w:rFonts w:eastAsia="Times New Roman" w:cs="Arial"/>
                <w:sz w:val="20"/>
                <w:szCs w:val="20"/>
                <w:lang w:eastAsia="pt-BR"/>
              </w:rPr>
              <w:t>Índice de atendimento à legislação ambiental do setor de saneamento básico.</w:t>
            </w:r>
          </w:p>
        </w:tc>
      </w:tr>
      <w:tr w:rsidR="0018295B" w:rsidRPr="0018295B" w:rsidTr="0018295B">
        <w:trPr>
          <w:cantSplit/>
          <w:trHeight w:val="20"/>
          <w:jc w:val="center"/>
        </w:trPr>
        <w:tc>
          <w:tcPr>
            <w:tcW w:w="5000" w:type="pct"/>
            <w:gridSpan w:val="6"/>
            <w:shd w:val="clear" w:color="000000" w:fill="C0C0C0"/>
            <w:noWrap/>
            <w:vAlign w:val="center"/>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PRAZO DE ENTREGA DA META (ANOS)</w:t>
            </w:r>
          </w:p>
        </w:tc>
      </w:tr>
      <w:tr w:rsidR="0018295B" w:rsidRPr="0018295B" w:rsidTr="0018295B">
        <w:trPr>
          <w:cantSplit/>
          <w:trHeight w:val="20"/>
          <w:jc w:val="center"/>
        </w:trPr>
        <w:tc>
          <w:tcPr>
            <w:tcW w:w="833" w:type="pct"/>
            <w:gridSpan w:val="3"/>
            <w:shd w:val="clear" w:color="000000" w:fill="C0C0C0"/>
            <w:noWrap/>
            <w:vAlign w:val="center"/>
          </w:tcPr>
          <w:p w:rsidR="0018295B" w:rsidRPr="0018295B" w:rsidRDefault="0018295B" w:rsidP="0018295B">
            <w:pPr>
              <w:spacing w:before="20" w:after="20" w:line="240" w:lineRule="auto"/>
              <w:ind w:left="159" w:hanging="159"/>
              <w:contextualSpacing/>
              <w:jc w:val="center"/>
              <w:rPr>
                <w:rFonts w:eastAsia="Times New Roman" w:cs="Arial"/>
                <w:b/>
                <w:bCs/>
                <w:sz w:val="20"/>
                <w:szCs w:val="20"/>
                <w:lang w:eastAsia="pt-BR"/>
              </w:rPr>
            </w:pPr>
            <w:r w:rsidRPr="0018295B">
              <w:rPr>
                <w:rFonts w:eastAsia="Times New Roman" w:cs="Arial"/>
                <w:b/>
                <w:bCs/>
                <w:sz w:val="20"/>
                <w:szCs w:val="20"/>
                <w:lang w:eastAsia="pt-BR"/>
              </w:rPr>
              <w:t>IMEDIATO (1º ao 3º)</w:t>
            </w:r>
          </w:p>
        </w:tc>
        <w:tc>
          <w:tcPr>
            <w:tcW w:w="799" w:type="pct"/>
            <w:shd w:val="clear" w:color="000000" w:fill="C0C0C0"/>
            <w:noWrap/>
            <w:vAlign w:val="center"/>
          </w:tcPr>
          <w:p w:rsidR="0018295B" w:rsidRPr="0018295B" w:rsidRDefault="0018295B" w:rsidP="0018295B">
            <w:pPr>
              <w:spacing w:before="20" w:after="20" w:line="240" w:lineRule="auto"/>
              <w:ind w:left="-266" w:firstLine="266"/>
              <w:contextualSpacing/>
              <w:jc w:val="center"/>
              <w:rPr>
                <w:rFonts w:eastAsia="Times New Roman" w:cs="Arial"/>
                <w:b/>
                <w:bCs/>
                <w:sz w:val="20"/>
                <w:szCs w:val="20"/>
                <w:lang w:eastAsia="pt-BR"/>
              </w:rPr>
            </w:pPr>
            <w:r w:rsidRPr="0018295B">
              <w:rPr>
                <w:rFonts w:eastAsia="Times New Roman" w:cs="Arial"/>
                <w:b/>
                <w:bCs/>
                <w:sz w:val="20"/>
                <w:szCs w:val="20"/>
                <w:lang w:eastAsia="pt-BR"/>
              </w:rPr>
              <w:t>CURTO (4º ao 8º)</w:t>
            </w:r>
          </w:p>
        </w:tc>
        <w:tc>
          <w:tcPr>
            <w:tcW w:w="907" w:type="pct"/>
            <w:shd w:val="clear" w:color="000000" w:fill="C0C0C0"/>
            <w:noWrap/>
            <w:vAlign w:val="center"/>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MÉDIO (9º ao 12º)</w:t>
            </w:r>
          </w:p>
        </w:tc>
        <w:tc>
          <w:tcPr>
            <w:tcW w:w="2461" w:type="pct"/>
            <w:shd w:val="clear" w:color="000000" w:fill="C0C0C0"/>
            <w:noWrap/>
            <w:vAlign w:val="center"/>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LONGO (13º ao 20º)</w:t>
            </w:r>
          </w:p>
        </w:tc>
      </w:tr>
      <w:tr w:rsidR="0018295B" w:rsidRPr="0018295B" w:rsidTr="0018295B">
        <w:trPr>
          <w:cantSplit/>
          <w:trHeight w:val="20"/>
          <w:jc w:val="center"/>
        </w:trPr>
        <w:tc>
          <w:tcPr>
            <w:tcW w:w="833" w:type="pct"/>
            <w:gridSpan w:val="3"/>
            <w:shd w:val="clear" w:color="auto" w:fill="auto"/>
            <w:noWrap/>
            <w:vAlign w:val="center"/>
          </w:tcPr>
          <w:p w:rsidR="0018295B" w:rsidRPr="0018295B" w:rsidRDefault="0018295B" w:rsidP="0018295B">
            <w:pPr>
              <w:spacing w:before="60" w:after="60" w:line="240" w:lineRule="auto"/>
              <w:ind w:left="159" w:hanging="17"/>
              <w:jc w:val="center"/>
              <w:rPr>
                <w:bCs/>
                <w:sz w:val="20"/>
                <w:szCs w:val="20"/>
              </w:rPr>
            </w:pPr>
          </w:p>
        </w:tc>
        <w:tc>
          <w:tcPr>
            <w:tcW w:w="799" w:type="pct"/>
            <w:shd w:val="clear" w:color="auto" w:fill="auto"/>
            <w:noWrap/>
            <w:vAlign w:val="center"/>
          </w:tcPr>
          <w:p w:rsidR="0018295B" w:rsidRPr="0018295B" w:rsidRDefault="0018295B" w:rsidP="0018295B">
            <w:pPr>
              <w:spacing w:before="20" w:after="20" w:line="240" w:lineRule="auto"/>
              <w:ind w:left="-266" w:firstLine="266"/>
              <w:jc w:val="center"/>
              <w:rPr>
                <w:rFonts w:cs="Arial"/>
                <w:bCs/>
                <w:sz w:val="20"/>
                <w:szCs w:val="20"/>
              </w:rPr>
            </w:pPr>
          </w:p>
        </w:tc>
        <w:tc>
          <w:tcPr>
            <w:tcW w:w="907" w:type="pct"/>
            <w:shd w:val="clear" w:color="auto" w:fill="auto"/>
            <w:noWrap/>
            <w:vAlign w:val="center"/>
            <w:hideMark/>
          </w:tcPr>
          <w:p w:rsidR="0018295B" w:rsidRPr="0018295B" w:rsidRDefault="0018295B" w:rsidP="0018295B">
            <w:pPr>
              <w:spacing w:before="20" w:after="20" w:line="240" w:lineRule="auto"/>
              <w:jc w:val="center"/>
              <w:rPr>
                <w:rFonts w:cs="Arial"/>
                <w:bCs/>
                <w:sz w:val="20"/>
                <w:szCs w:val="20"/>
              </w:rPr>
            </w:pPr>
          </w:p>
        </w:tc>
        <w:tc>
          <w:tcPr>
            <w:tcW w:w="2461" w:type="pct"/>
            <w:shd w:val="clear" w:color="auto" w:fill="auto"/>
            <w:noWrap/>
            <w:vAlign w:val="center"/>
            <w:hideMark/>
          </w:tcPr>
          <w:p w:rsidR="0018295B" w:rsidRPr="0018295B" w:rsidRDefault="0018295B" w:rsidP="0018295B">
            <w:pPr>
              <w:spacing w:before="20" w:after="20" w:line="240" w:lineRule="auto"/>
              <w:jc w:val="center"/>
              <w:rPr>
                <w:sz w:val="20"/>
                <w:szCs w:val="20"/>
              </w:rPr>
            </w:pPr>
            <w:r w:rsidRPr="0018295B">
              <w:rPr>
                <w:rFonts w:eastAsia="Times New Roman" w:cs="Arial"/>
                <w:bCs/>
                <w:sz w:val="20"/>
                <w:szCs w:val="20"/>
              </w:rPr>
              <w:t>5.1. Fornecer continuamente apoio técnico e institucional para que</w:t>
            </w:r>
            <w:r w:rsidRPr="0018295B">
              <w:rPr>
                <w:rFonts w:eastAsia="Times New Roman" w:cs="Arial"/>
                <w:sz w:val="20"/>
                <w:szCs w:val="20"/>
              </w:rPr>
              <w:t xml:space="preserve"> os setores providenciem o licenciamento ambiental dos processos que sejam passíveis</w:t>
            </w:r>
            <w:r w:rsidRPr="0018295B">
              <w:rPr>
                <w:sz w:val="20"/>
                <w:szCs w:val="20"/>
              </w:rPr>
              <w:t xml:space="preserve"> de causar impacto ambiental.</w:t>
            </w:r>
          </w:p>
        </w:tc>
      </w:tr>
    </w:tbl>
    <w:p w:rsidR="0018295B" w:rsidRPr="0018295B" w:rsidRDefault="0018295B" w:rsidP="0018295B">
      <w:pPr>
        <w:jc w:val="center"/>
        <w:rPr>
          <w:sz w:val="2"/>
          <w:szCs w:val="2"/>
        </w:rPr>
      </w:pPr>
    </w:p>
    <w:tbl>
      <w:tblPr>
        <w:tblW w:w="14249"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50"/>
        <w:gridCol w:w="5671"/>
        <w:gridCol w:w="2058"/>
        <w:gridCol w:w="1562"/>
        <w:gridCol w:w="2408"/>
      </w:tblGrid>
      <w:tr w:rsidR="0018295B" w:rsidRPr="0018295B" w:rsidTr="0018295B">
        <w:trPr>
          <w:cantSplit/>
          <w:trHeight w:val="348"/>
          <w:tblHeader/>
        </w:trPr>
        <w:tc>
          <w:tcPr>
            <w:tcW w:w="895" w:type="pct"/>
            <w:shd w:val="clear" w:color="000000" w:fill="C0C0C0"/>
            <w:vAlign w:val="center"/>
          </w:tcPr>
          <w:p w:rsidR="0018295B" w:rsidRPr="0018295B" w:rsidRDefault="0018295B" w:rsidP="0018295B">
            <w:pPr>
              <w:spacing w:line="240" w:lineRule="auto"/>
              <w:jc w:val="center"/>
              <w:rPr>
                <w:rFonts w:cs="Arial"/>
                <w:b/>
                <w:bCs/>
                <w:sz w:val="20"/>
                <w:szCs w:val="20"/>
              </w:rPr>
            </w:pPr>
            <w:r w:rsidRPr="0018295B">
              <w:rPr>
                <w:rFonts w:cs="Arial"/>
                <w:b/>
                <w:bCs/>
                <w:sz w:val="20"/>
                <w:szCs w:val="20"/>
              </w:rPr>
              <w:t>CÓDIGO</w:t>
            </w:r>
          </w:p>
          <w:p w:rsidR="0018295B" w:rsidRPr="0018295B" w:rsidRDefault="0018295B" w:rsidP="0018295B">
            <w:pPr>
              <w:spacing w:line="240" w:lineRule="auto"/>
              <w:jc w:val="center"/>
              <w:rPr>
                <w:rFonts w:cs="Arial"/>
                <w:b/>
                <w:bCs/>
                <w:sz w:val="20"/>
                <w:szCs w:val="20"/>
              </w:rPr>
            </w:pPr>
            <w:r w:rsidRPr="0018295B">
              <w:rPr>
                <w:rFonts w:cs="Arial"/>
                <w:b/>
                <w:bCs/>
                <w:sz w:val="20"/>
                <w:szCs w:val="20"/>
              </w:rPr>
              <w:t>(s/o/m/a)*</w:t>
            </w:r>
          </w:p>
        </w:tc>
        <w:tc>
          <w:tcPr>
            <w:tcW w:w="1990" w:type="pct"/>
            <w:shd w:val="clear" w:color="000000" w:fill="C0C0C0"/>
            <w:vAlign w:val="center"/>
          </w:tcPr>
          <w:p w:rsidR="0018295B" w:rsidRPr="0018295B" w:rsidRDefault="0018295B" w:rsidP="0018295B">
            <w:pPr>
              <w:spacing w:line="240" w:lineRule="auto"/>
              <w:jc w:val="center"/>
              <w:rPr>
                <w:rFonts w:cs="Arial"/>
                <w:b/>
                <w:bCs/>
                <w:sz w:val="20"/>
                <w:szCs w:val="20"/>
              </w:rPr>
            </w:pPr>
            <w:r w:rsidRPr="0018295B">
              <w:rPr>
                <w:rFonts w:cs="Arial"/>
                <w:b/>
                <w:bCs/>
                <w:sz w:val="20"/>
                <w:szCs w:val="20"/>
              </w:rPr>
              <w:t>Descrição da ação</w:t>
            </w:r>
          </w:p>
        </w:tc>
        <w:tc>
          <w:tcPr>
            <w:tcW w:w="722" w:type="pct"/>
            <w:shd w:val="clear" w:color="000000" w:fill="C0C0C0"/>
          </w:tcPr>
          <w:p w:rsidR="0018295B" w:rsidRPr="0018295B" w:rsidRDefault="0018295B" w:rsidP="0018295B">
            <w:pPr>
              <w:spacing w:line="240" w:lineRule="auto"/>
              <w:ind w:firstLine="72"/>
              <w:jc w:val="center"/>
              <w:rPr>
                <w:rFonts w:eastAsia="Times New Roman" w:cs="Arial"/>
                <w:b/>
                <w:bCs/>
                <w:sz w:val="20"/>
                <w:szCs w:val="20"/>
                <w:lang w:eastAsia="pt-BR"/>
              </w:rPr>
            </w:pPr>
            <w:r w:rsidRPr="0018295B">
              <w:rPr>
                <w:rFonts w:eastAsia="Times New Roman" w:cs="Arial"/>
                <w:b/>
                <w:bCs/>
                <w:sz w:val="20"/>
                <w:szCs w:val="20"/>
                <w:lang w:eastAsia="pt-BR"/>
              </w:rPr>
              <w:t>Período de desenvolvimento da ação</w:t>
            </w:r>
          </w:p>
          <w:p w:rsidR="0018295B" w:rsidRPr="0018295B" w:rsidRDefault="0018295B" w:rsidP="0018295B">
            <w:pPr>
              <w:spacing w:line="240" w:lineRule="auto"/>
              <w:ind w:firstLine="72"/>
              <w:jc w:val="center"/>
              <w:rPr>
                <w:rFonts w:eastAsia="Times New Roman" w:cs="Arial"/>
                <w:b/>
                <w:bCs/>
                <w:sz w:val="20"/>
                <w:szCs w:val="20"/>
                <w:lang w:eastAsia="pt-BR"/>
              </w:rPr>
            </w:pPr>
            <w:r w:rsidRPr="0018295B">
              <w:rPr>
                <w:rFonts w:eastAsia="Times New Roman" w:cs="Arial"/>
                <w:b/>
                <w:bCs/>
                <w:sz w:val="20"/>
                <w:szCs w:val="20"/>
                <w:lang w:eastAsia="pt-BR"/>
              </w:rPr>
              <w:t>(ano)</w:t>
            </w:r>
          </w:p>
        </w:tc>
        <w:tc>
          <w:tcPr>
            <w:tcW w:w="548" w:type="pct"/>
            <w:shd w:val="clear" w:color="auto" w:fill="BFBFBF"/>
          </w:tcPr>
          <w:p w:rsidR="0018295B" w:rsidRPr="0018295B" w:rsidRDefault="0018295B" w:rsidP="0018295B">
            <w:pPr>
              <w:spacing w:line="240" w:lineRule="auto"/>
              <w:ind w:left="64" w:firstLine="8"/>
              <w:jc w:val="center"/>
              <w:rPr>
                <w:rFonts w:eastAsia="Times New Roman" w:cs="Arial"/>
                <w:b/>
                <w:bCs/>
                <w:sz w:val="20"/>
                <w:szCs w:val="20"/>
                <w:lang w:eastAsia="pt-BR"/>
              </w:rPr>
            </w:pPr>
            <w:r w:rsidRPr="0018295B">
              <w:rPr>
                <w:rFonts w:eastAsia="Times New Roman" w:cs="Arial"/>
                <w:b/>
                <w:bCs/>
                <w:sz w:val="20"/>
                <w:szCs w:val="20"/>
                <w:lang w:eastAsia="pt-BR"/>
              </w:rPr>
              <w:t>Custo total na moeda de 2017</w:t>
            </w:r>
          </w:p>
          <w:p w:rsidR="0018295B" w:rsidRPr="0018295B" w:rsidRDefault="0018295B" w:rsidP="0018295B">
            <w:pPr>
              <w:spacing w:line="240" w:lineRule="auto"/>
              <w:ind w:firstLine="72"/>
              <w:jc w:val="center"/>
              <w:rPr>
                <w:rFonts w:eastAsia="Times New Roman" w:cs="Arial"/>
                <w:b/>
                <w:bCs/>
                <w:sz w:val="20"/>
                <w:szCs w:val="20"/>
                <w:lang w:eastAsia="pt-BR"/>
              </w:rPr>
            </w:pPr>
            <w:r w:rsidRPr="0018295B">
              <w:rPr>
                <w:rFonts w:eastAsia="Times New Roman" w:cs="Arial"/>
                <w:b/>
                <w:bCs/>
                <w:sz w:val="20"/>
                <w:szCs w:val="20"/>
                <w:lang w:eastAsia="pt-BR"/>
              </w:rPr>
              <w:t>(R$)</w:t>
            </w:r>
          </w:p>
        </w:tc>
        <w:tc>
          <w:tcPr>
            <w:tcW w:w="845" w:type="pct"/>
            <w:shd w:val="clear" w:color="auto" w:fill="BFBFBF"/>
          </w:tcPr>
          <w:p w:rsidR="0018295B" w:rsidRPr="0018295B" w:rsidRDefault="0018295B" w:rsidP="0018295B">
            <w:pPr>
              <w:spacing w:line="240" w:lineRule="auto"/>
              <w:ind w:left="64" w:firstLine="8"/>
              <w:jc w:val="center"/>
              <w:rPr>
                <w:rFonts w:eastAsia="Times New Roman" w:cs="Arial"/>
                <w:b/>
                <w:bCs/>
                <w:sz w:val="20"/>
                <w:szCs w:val="20"/>
                <w:lang w:eastAsia="pt-BR"/>
              </w:rPr>
            </w:pPr>
            <w:r w:rsidRPr="0018295B">
              <w:rPr>
                <w:rFonts w:eastAsia="Times New Roman" w:cs="Arial"/>
                <w:b/>
                <w:bCs/>
                <w:sz w:val="20"/>
                <w:szCs w:val="20"/>
                <w:lang w:eastAsia="pt-BR"/>
              </w:rPr>
              <w:t>Responsável pela ação</w:t>
            </w:r>
          </w:p>
          <w:p w:rsidR="0018295B" w:rsidRPr="0018295B" w:rsidRDefault="0018295B" w:rsidP="0018295B">
            <w:pPr>
              <w:spacing w:line="240" w:lineRule="auto"/>
              <w:ind w:left="64" w:firstLine="8"/>
              <w:jc w:val="center"/>
              <w:rPr>
                <w:rFonts w:eastAsia="Times New Roman" w:cs="Arial"/>
                <w:b/>
                <w:bCs/>
                <w:sz w:val="20"/>
                <w:szCs w:val="20"/>
                <w:lang w:eastAsia="pt-BR"/>
              </w:rPr>
            </w:pPr>
          </w:p>
        </w:tc>
      </w:tr>
      <w:tr w:rsidR="0018295B" w:rsidRPr="0018295B" w:rsidTr="0018295B">
        <w:trPr>
          <w:cantSplit/>
          <w:trHeight w:val="113"/>
        </w:trPr>
        <w:tc>
          <w:tcPr>
            <w:tcW w:w="895" w:type="pct"/>
            <w:shd w:val="clear" w:color="auto" w:fill="auto"/>
            <w:vAlign w:val="center"/>
          </w:tcPr>
          <w:p w:rsidR="0018295B" w:rsidRPr="0018295B" w:rsidRDefault="0018295B" w:rsidP="0018295B">
            <w:pPr>
              <w:spacing w:line="240" w:lineRule="auto"/>
              <w:ind w:left="638"/>
              <w:jc w:val="center"/>
              <w:rPr>
                <w:rFonts w:cs="Arial"/>
                <w:sz w:val="20"/>
                <w:szCs w:val="20"/>
              </w:rPr>
            </w:pPr>
            <w:r w:rsidRPr="0018295B">
              <w:rPr>
                <w:rFonts w:cs="Arial"/>
                <w:sz w:val="20"/>
                <w:szCs w:val="20"/>
              </w:rPr>
              <w:t>0.5.1.31</w:t>
            </w:r>
          </w:p>
        </w:tc>
        <w:tc>
          <w:tcPr>
            <w:tcW w:w="1990" w:type="pct"/>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Contratar técnico(s) especializado(s) em legislação ambiental para elaborar um Plano de Ações visando à adequação dos quatro eixos do saneamento básico à legislação ambiental vigente sobre os setores.</w:t>
            </w:r>
          </w:p>
        </w:tc>
        <w:tc>
          <w:tcPr>
            <w:tcW w:w="722" w:type="pct"/>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3º</w:t>
            </w:r>
          </w:p>
        </w:tc>
        <w:tc>
          <w:tcPr>
            <w:tcW w:w="548" w:type="pct"/>
            <w:shd w:val="clear" w:color="auto" w:fill="FFFFFF"/>
            <w:vAlign w:val="center"/>
          </w:tcPr>
          <w:p w:rsidR="0018295B" w:rsidRPr="0018295B" w:rsidRDefault="0018295B" w:rsidP="0018295B">
            <w:pPr>
              <w:spacing w:line="240" w:lineRule="auto"/>
              <w:jc w:val="center"/>
              <w:rPr>
                <w:rFonts w:eastAsia="Times New Roman" w:cs="Arial"/>
                <w:sz w:val="20"/>
                <w:szCs w:val="20"/>
              </w:rPr>
            </w:pPr>
            <w:r w:rsidRPr="0018295B">
              <w:rPr>
                <w:rFonts w:cs="Arial"/>
                <w:sz w:val="20"/>
                <w:szCs w:val="20"/>
              </w:rPr>
              <w:t>Custo já previsto no item 0.1.03</w:t>
            </w:r>
          </w:p>
        </w:tc>
        <w:tc>
          <w:tcPr>
            <w:tcW w:w="845" w:type="pct"/>
            <w:shd w:val="clear" w:color="auto" w:fill="FFFFFF"/>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Prefeitura Municipal / Setor Geral</w:t>
            </w:r>
          </w:p>
        </w:tc>
      </w:tr>
      <w:tr w:rsidR="0018295B" w:rsidRPr="0018295B" w:rsidTr="0018295B">
        <w:trPr>
          <w:cantSplit/>
          <w:trHeight w:val="113"/>
        </w:trPr>
        <w:tc>
          <w:tcPr>
            <w:tcW w:w="895" w:type="pct"/>
            <w:shd w:val="clear" w:color="auto" w:fill="auto"/>
            <w:vAlign w:val="center"/>
          </w:tcPr>
          <w:p w:rsidR="0018295B" w:rsidRPr="0018295B" w:rsidRDefault="0018295B" w:rsidP="0018295B">
            <w:pPr>
              <w:jc w:val="center"/>
              <w:rPr>
                <w:rFonts w:cs="Arial"/>
                <w:sz w:val="20"/>
                <w:szCs w:val="20"/>
              </w:rPr>
            </w:pPr>
            <w:r w:rsidRPr="0018295B">
              <w:rPr>
                <w:rFonts w:cs="Arial"/>
                <w:sz w:val="20"/>
                <w:szCs w:val="20"/>
              </w:rPr>
              <w:t>0.5.1.32</w:t>
            </w:r>
          </w:p>
        </w:tc>
        <w:tc>
          <w:tcPr>
            <w:tcW w:w="1990" w:type="pct"/>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Orientar os setores para que providenciem a documentação necessária para o atendimento à Portaria de Outorga de Direito de Uso dos Recursos Hídricos e à legislação visando ao licenciamento ambiental das unidades dos sistemas de saneamento básico municipal.</w:t>
            </w:r>
          </w:p>
        </w:tc>
        <w:tc>
          <w:tcPr>
            <w:tcW w:w="722" w:type="pct"/>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4º-8º</w:t>
            </w:r>
          </w:p>
        </w:tc>
        <w:tc>
          <w:tcPr>
            <w:tcW w:w="548" w:type="pct"/>
            <w:shd w:val="clear" w:color="auto" w:fill="FFFFFF"/>
            <w:vAlign w:val="center"/>
          </w:tcPr>
          <w:p w:rsidR="0018295B" w:rsidRPr="0018295B" w:rsidRDefault="0018295B" w:rsidP="0018295B">
            <w:pPr>
              <w:spacing w:line="240" w:lineRule="auto"/>
              <w:jc w:val="center"/>
              <w:rPr>
                <w:rFonts w:eastAsia="Times New Roman" w:cs="Arial"/>
                <w:sz w:val="20"/>
                <w:szCs w:val="20"/>
              </w:rPr>
            </w:pPr>
            <w:r w:rsidRPr="0018295B">
              <w:rPr>
                <w:rFonts w:cs="Arial"/>
                <w:sz w:val="20"/>
                <w:szCs w:val="20"/>
              </w:rPr>
              <w:t>Custo já previsto no item 0.1.03</w:t>
            </w:r>
          </w:p>
          <w:p w:rsidR="0018295B" w:rsidRPr="0018295B" w:rsidRDefault="0018295B" w:rsidP="0018295B">
            <w:pPr>
              <w:spacing w:before="120"/>
              <w:jc w:val="center"/>
              <w:rPr>
                <w:rFonts w:cs="Arial"/>
                <w:sz w:val="20"/>
                <w:szCs w:val="20"/>
              </w:rPr>
            </w:pPr>
          </w:p>
        </w:tc>
        <w:tc>
          <w:tcPr>
            <w:tcW w:w="845" w:type="pct"/>
            <w:shd w:val="clear" w:color="auto" w:fill="FFFFFF"/>
            <w:vAlign w:val="center"/>
          </w:tcPr>
          <w:p w:rsidR="0018295B" w:rsidRPr="0018295B" w:rsidRDefault="0018295B" w:rsidP="0018295B">
            <w:pPr>
              <w:spacing w:before="120" w:line="240" w:lineRule="auto"/>
              <w:jc w:val="center"/>
              <w:rPr>
                <w:rFonts w:cs="Arial"/>
                <w:color w:val="000000"/>
                <w:sz w:val="20"/>
                <w:szCs w:val="20"/>
              </w:rPr>
            </w:pPr>
            <w:r w:rsidRPr="0018295B">
              <w:rPr>
                <w:rFonts w:cs="Arial"/>
                <w:sz w:val="20"/>
                <w:szCs w:val="20"/>
              </w:rPr>
              <w:t>Prefeitura Municipal / Setor Geral</w:t>
            </w:r>
          </w:p>
        </w:tc>
      </w:tr>
      <w:tr w:rsidR="0018295B" w:rsidRPr="0018295B" w:rsidTr="0018295B">
        <w:trPr>
          <w:cantSplit/>
          <w:trHeight w:val="20"/>
        </w:trPr>
        <w:tc>
          <w:tcPr>
            <w:tcW w:w="895" w:type="pct"/>
            <w:shd w:val="clear" w:color="auto" w:fill="auto"/>
            <w:vAlign w:val="center"/>
          </w:tcPr>
          <w:p w:rsidR="0018295B" w:rsidRPr="0018295B" w:rsidRDefault="0018295B" w:rsidP="0018295B">
            <w:pPr>
              <w:jc w:val="center"/>
              <w:rPr>
                <w:rFonts w:cs="Arial"/>
                <w:sz w:val="20"/>
                <w:szCs w:val="20"/>
              </w:rPr>
            </w:pPr>
            <w:r w:rsidRPr="0018295B">
              <w:rPr>
                <w:rFonts w:cs="Arial"/>
                <w:sz w:val="20"/>
                <w:szCs w:val="20"/>
              </w:rPr>
              <w:t>0.5.1.33</w:t>
            </w:r>
          </w:p>
        </w:tc>
        <w:tc>
          <w:tcPr>
            <w:tcW w:w="1990" w:type="pct"/>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Alimentar anualmente o banco de dados do SMIS com o indicador que controle a validade das licenças ambientais.</w:t>
            </w:r>
          </w:p>
        </w:tc>
        <w:tc>
          <w:tcPr>
            <w:tcW w:w="722" w:type="pct"/>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3º-20º</w:t>
            </w:r>
          </w:p>
        </w:tc>
        <w:tc>
          <w:tcPr>
            <w:tcW w:w="548" w:type="pct"/>
            <w:shd w:val="clear" w:color="auto" w:fill="FFFFFF"/>
            <w:vAlign w:val="center"/>
          </w:tcPr>
          <w:p w:rsidR="0018295B" w:rsidRPr="0018295B" w:rsidRDefault="0018295B" w:rsidP="0018295B">
            <w:pPr>
              <w:spacing w:line="240" w:lineRule="auto"/>
              <w:jc w:val="center"/>
              <w:rPr>
                <w:rFonts w:eastAsia="Times New Roman" w:cs="Arial"/>
                <w:sz w:val="20"/>
                <w:szCs w:val="20"/>
              </w:rPr>
            </w:pPr>
            <w:r w:rsidRPr="0018295B">
              <w:rPr>
                <w:rFonts w:cs="Arial"/>
                <w:sz w:val="20"/>
                <w:szCs w:val="20"/>
              </w:rPr>
              <w:t>Custo já previsto no item 0.1.03</w:t>
            </w:r>
          </w:p>
        </w:tc>
        <w:tc>
          <w:tcPr>
            <w:tcW w:w="845" w:type="pct"/>
            <w:shd w:val="clear" w:color="auto" w:fill="FFFFFF"/>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Prefeitura Municipal / Setor Geral</w:t>
            </w:r>
          </w:p>
        </w:tc>
      </w:tr>
      <w:tr w:rsidR="0018295B" w:rsidRPr="0018295B" w:rsidTr="0018295B">
        <w:trPr>
          <w:cantSplit/>
          <w:trHeight w:val="20"/>
        </w:trPr>
        <w:tc>
          <w:tcPr>
            <w:tcW w:w="895" w:type="pct"/>
            <w:shd w:val="clear" w:color="auto" w:fill="auto"/>
            <w:vAlign w:val="center"/>
          </w:tcPr>
          <w:p w:rsidR="0018295B" w:rsidRPr="0018295B" w:rsidRDefault="0018295B" w:rsidP="0018295B">
            <w:pPr>
              <w:jc w:val="center"/>
              <w:rPr>
                <w:rFonts w:cs="Arial"/>
                <w:sz w:val="20"/>
                <w:szCs w:val="20"/>
              </w:rPr>
            </w:pPr>
            <w:r w:rsidRPr="0018295B">
              <w:rPr>
                <w:rFonts w:cs="Arial"/>
                <w:sz w:val="20"/>
                <w:szCs w:val="20"/>
              </w:rPr>
              <w:t>0.5.1.34</w:t>
            </w:r>
          </w:p>
        </w:tc>
        <w:tc>
          <w:tcPr>
            <w:tcW w:w="1990" w:type="pct"/>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810C89">
              <w:rPr>
                <w:rFonts w:cs="Arial"/>
                <w:sz w:val="20"/>
                <w:szCs w:val="20"/>
                <w:lang w:eastAsia="pt-BR"/>
              </w:rPr>
              <w:t>Redigir um checklist com os aspectos a serem observados pelos fiscais, a fim de colaborar na regularização ambiental dos quatro setores do saneamento básico municipal.</w:t>
            </w:r>
          </w:p>
        </w:tc>
        <w:tc>
          <w:tcPr>
            <w:tcW w:w="722" w:type="pct"/>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4º-20º</w:t>
            </w:r>
          </w:p>
        </w:tc>
        <w:tc>
          <w:tcPr>
            <w:tcW w:w="548" w:type="pct"/>
            <w:shd w:val="clear" w:color="auto" w:fill="auto"/>
            <w:vAlign w:val="center"/>
          </w:tcPr>
          <w:p w:rsidR="0018295B" w:rsidRPr="0018295B" w:rsidRDefault="0018295B" w:rsidP="0018295B">
            <w:pPr>
              <w:spacing w:line="240" w:lineRule="auto"/>
              <w:jc w:val="center"/>
              <w:rPr>
                <w:rFonts w:eastAsia="Times New Roman" w:cs="Arial"/>
                <w:sz w:val="20"/>
                <w:szCs w:val="20"/>
              </w:rPr>
            </w:pPr>
            <w:r w:rsidRPr="0018295B">
              <w:rPr>
                <w:rFonts w:cs="Arial"/>
                <w:sz w:val="20"/>
                <w:szCs w:val="20"/>
              </w:rPr>
              <w:t>Custo já previsto no item 0.1.03</w:t>
            </w:r>
          </w:p>
          <w:p w:rsidR="0018295B" w:rsidRPr="0018295B" w:rsidRDefault="0018295B" w:rsidP="0018295B">
            <w:pPr>
              <w:spacing w:before="120" w:line="240" w:lineRule="auto"/>
              <w:jc w:val="center"/>
              <w:rPr>
                <w:rFonts w:cs="Arial"/>
                <w:sz w:val="20"/>
                <w:szCs w:val="20"/>
              </w:rPr>
            </w:pPr>
          </w:p>
        </w:tc>
        <w:tc>
          <w:tcPr>
            <w:tcW w:w="845" w:type="pct"/>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Prefeitura Municipal / Setor Geral</w:t>
            </w:r>
          </w:p>
        </w:tc>
      </w:tr>
    </w:tbl>
    <w:p w:rsidR="0018295B" w:rsidRPr="0018295B" w:rsidRDefault="0018295B" w:rsidP="00810C89">
      <w:pPr>
        <w:pStyle w:val="Fonte"/>
      </w:pPr>
      <w:r w:rsidRPr="0018295B">
        <w:t>*(s/o/m/a) = nº do setor / nº do objetivo / nº da meta / nº da ação.</w:t>
      </w:r>
    </w:p>
    <w:p w:rsidR="0018295B" w:rsidRPr="0018295B" w:rsidRDefault="0018295B" w:rsidP="00810C89">
      <w:pPr>
        <w:pStyle w:val="Legenda"/>
      </w:pPr>
      <w:bookmarkStart w:id="614" w:name="_Toc505788334"/>
      <w:bookmarkStart w:id="615" w:name="_Toc509935830"/>
      <w:r w:rsidRPr="0018295B">
        <w:lastRenderedPageBreak/>
        <w:t xml:space="preserve">Quadro </w:t>
      </w:r>
      <w:r w:rsidR="000A1C78">
        <w:fldChar w:fldCharType="begin"/>
      </w:r>
      <w:r w:rsidR="000A1C78">
        <w:instrText xml:space="preserve"> SEQ Quadro \* ARABIC </w:instrText>
      </w:r>
      <w:r w:rsidR="000A1C78">
        <w:fldChar w:fldCharType="separate"/>
      </w:r>
      <w:r w:rsidR="001B481B">
        <w:rPr>
          <w:noProof/>
        </w:rPr>
        <w:t>53</w:t>
      </w:r>
      <w:r w:rsidR="000A1C78">
        <w:rPr>
          <w:noProof/>
        </w:rPr>
        <w:fldChar w:fldCharType="end"/>
      </w:r>
      <w:r w:rsidRPr="0018295B">
        <w:t xml:space="preserve"> - Programas e ações propostos para o SB Geral - Objetivo 6</w:t>
      </w:r>
      <w:bookmarkEnd w:id="614"/>
      <w:bookmarkEnd w:id="615"/>
    </w:p>
    <w:tbl>
      <w:tblPr>
        <w:tblW w:w="14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51"/>
        <w:gridCol w:w="939"/>
        <w:gridCol w:w="262"/>
        <w:gridCol w:w="5598"/>
        <w:gridCol w:w="3545"/>
        <w:gridCol w:w="2606"/>
      </w:tblGrid>
      <w:tr w:rsidR="0018295B" w:rsidRPr="0018295B" w:rsidTr="0018295B">
        <w:trPr>
          <w:cantSplit/>
          <w:trHeight w:val="20"/>
          <w:jc w:val="center"/>
        </w:trPr>
        <w:tc>
          <w:tcPr>
            <w:tcW w:w="741" w:type="pct"/>
            <w:gridSpan w:val="2"/>
            <w:shd w:val="clear" w:color="000000" w:fill="C0C0C0"/>
            <w:noWrap/>
            <w:vAlign w:val="center"/>
            <w:hideMark/>
          </w:tcPr>
          <w:p w:rsidR="0018295B" w:rsidRPr="0018295B" w:rsidRDefault="0018295B" w:rsidP="0018295B">
            <w:pPr>
              <w:spacing w:line="240" w:lineRule="auto"/>
              <w:jc w:val="center"/>
              <w:rPr>
                <w:b/>
                <w:bCs/>
                <w:sz w:val="20"/>
                <w:szCs w:val="20"/>
              </w:rPr>
            </w:pPr>
            <w:r w:rsidRPr="0018295B">
              <w:rPr>
                <w:b/>
                <w:bCs/>
                <w:sz w:val="20"/>
                <w:szCs w:val="20"/>
              </w:rPr>
              <w:t>SETOR</w:t>
            </w:r>
          </w:p>
        </w:tc>
        <w:tc>
          <w:tcPr>
            <w:tcW w:w="93" w:type="pct"/>
            <w:shd w:val="clear" w:color="auto" w:fill="auto"/>
            <w:noWrap/>
            <w:vAlign w:val="center"/>
            <w:hideMark/>
          </w:tcPr>
          <w:p w:rsidR="0018295B" w:rsidRPr="0018295B" w:rsidRDefault="0018295B" w:rsidP="0018295B">
            <w:pPr>
              <w:spacing w:line="240" w:lineRule="auto"/>
              <w:jc w:val="center"/>
              <w:rPr>
                <w:sz w:val="20"/>
                <w:szCs w:val="20"/>
              </w:rPr>
            </w:pPr>
            <w:r w:rsidRPr="0018295B">
              <w:rPr>
                <w:sz w:val="20"/>
                <w:szCs w:val="20"/>
              </w:rPr>
              <w:t>0</w:t>
            </w:r>
          </w:p>
        </w:tc>
        <w:tc>
          <w:tcPr>
            <w:tcW w:w="4166" w:type="pct"/>
            <w:gridSpan w:val="3"/>
            <w:shd w:val="clear" w:color="auto" w:fill="auto"/>
            <w:noWrap/>
            <w:vAlign w:val="center"/>
          </w:tcPr>
          <w:p w:rsidR="0018295B" w:rsidRPr="0018295B" w:rsidRDefault="0018295B" w:rsidP="0018295B">
            <w:pPr>
              <w:spacing w:line="240" w:lineRule="auto"/>
              <w:rPr>
                <w:rFonts w:cs="Arial"/>
                <w:sz w:val="20"/>
                <w:szCs w:val="20"/>
              </w:rPr>
            </w:pPr>
            <w:r w:rsidRPr="0018295B">
              <w:rPr>
                <w:rFonts w:cs="Arial"/>
                <w:sz w:val="20"/>
                <w:szCs w:val="20"/>
              </w:rPr>
              <w:t>Referente aos quatro setores.</w:t>
            </w:r>
          </w:p>
        </w:tc>
      </w:tr>
      <w:tr w:rsidR="0018295B" w:rsidRPr="0018295B" w:rsidTr="0018295B">
        <w:trPr>
          <w:cantSplit/>
          <w:trHeight w:val="20"/>
          <w:jc w:val="center"/>
        </w:trPr>
        <w:tc>
          <w:tcPr>
            <w:tcW w:w="741" w:type="pct"/>
            <w:gridSpan w:val="2"/>
            <w:shd w:val="clear" w:color="000000" w:fill="C0C0C0"/>
            <w:vAlign w:val="center"/>
            <w:hideMark/>
          </w:tcPr>
          <w:p w:rsidR="0018295B" w:rsidRPr="0018295B" w:rsidRDefault="0018295B" w:rsidP="0018295B">
            <w:pPr>
              <w:spacing w:line="240" w:lineRule="auto"/>
              <w:jc w:val="center"/>
              <w:rPr>
                <w:b/>
                <w:bCs/>
                <w:sz w:val="20"/>
                <w:szCs w:val="20"/>
              </w:rPr>
            </w:pPr>
            <w:r w:rsidRPr="0018295B">
              <w:rPr>
                <w:b/>
                <w:bCs/>
                <w:sz w:val="20"/>
                <w:szCs w:val="20"/>
              </w:rPr>
              <w:t>OBJETIVO</w:t>
            </w:r>
          </w:p>
        </w:tc>
        <w:tc>
          <w:tcPr>
            <w:tcW w:w="93" w:type="pct"/>
            <w:shd w:val="clear" w:color="auto" w:fill="auto"/>
            <w:vAlign w:val="center"/>
            <w:hideMark/>
          </w:tcPr>
          <w:p w:rsidR="0018295B" w:rsidRPr="0018295B" w:rsidRDefault="0018295B" w:rsidP="0018295B">
            <w:pPr>
              <w:spacing w:line="240" w:lineRule="auto"/>
              <w:jc w:val="center"/>
              <w:rPr>
                <w:sz w:val="20"/>
                <w:szCs w:val="20"/>
              </w:rPr>
            </w:pPr>
            <w:r w:rsidRPr="0018295B">
              <w:rPr>
                <w:sz w:val="20"/>
                <w:szCs w:val="20"/>
              </w:rPr>
              <w:t>6</w:t>
            </w:r>
          </w:p>
        </w:tc>
        <w:tc>
          <w:tcPr>
            <w:tcW w:w="4166" w:type="pct"/>
            <w:gridSpan w:val="3"/>
            <w:shd w:val="clear" w:color="auto" w:fill="auto"/>
            <w:vAlign w:val="center"/>
          </w:tcPr>
          <w:p w:rsidR="0018295B" w:rsidRPr="0018295B" w:rsidRDefault="0018295B" w:rsidP="0018295B">
            <w:pPr>
              <w:spacing w:line="240" w:lineRule="auto"/>
              <w:rPr>
                <w:rFonts w:cs="Arial"/>
                <w:sz w:val="20"/>
                <w:szCs w:val="20"/>
              </w:rPr>
            </w:pPr>
            <w:r w:rsidRPr="0018295B">
              <w:rPr>
                <w:sz w:val="20"/>
                <w:szCs w:val="20"/>
              </w:rPr>
              <w:t>Introduzir, na gestão do saneamento básico municipal, mecanismos que garantam o acesso a informações e a participação da população na formulação da política local de saneamento básico, além de promover avaliações relacionadas aos serviços prestados.</w:t>
            </w:r>
          </w:p>
        </w:tc>
      </w:tr>
      <w:tr w:rsidR="0018295B" w:rsidRPr="0018295B" w:rsidTr="0018295B">
        <w:trPr>
          <w:cantSplit/>
          <w:trHeight w:val="20"/>
          <w:jc w:val="center"/>
        </w:trPr>
        <w:tc>
          <w:tcPr>
            <w:tcW w:w="741" w:type="pct"/>
            <w:gridSpan w:val="2"/>
            <w:shd w:val="clear" w:color="000000" w:fill="C0C0C0"/>
            <w:vAlign w:val="center"/>
          </w:tcPr>
          <w:p w:rsidR="0018295B" w:rsidRPr="0018295B" w:rsidRDefault="0018295B" w:rsidP="0018295B">
            <w:pPr>
              <w:spacing w:line="240" w:lineRule="auto"/>
              <w:jc w:val="center"/>
              <w:rPr>
                <w:b/>
                <w:bCs/>
                <w:sz w:val="20"/>
                <w:szCs w:val="20"/>
              </w:rPr>
            </w:pPr>
            <w:r w:rsidRPr="0018295B">
              <w:rPr>
                <w:b/>
                <w:bCs/>
                <w:sz w:val="20"/>
                <w:szCs w:val="20"/>
              </w:rPr>
              <w:t>INDICADOR</w:t>
            </w:r>
          </w:p>
        </w:tc>
        <w:tc>
          <w:tcPr>
            <w:tcW w:w="93" w:type="pct"/>
            <w:shd w:val="clear" w:color="auto" w:fill="auto"/>
            <w:vAlign w:val="center"/>
          </w:tcPr>
          <w:p w:rsidR="0018295B" w:rsidRPr="0018295B" w:rsidRDefault="0018295B" w:rsidP="0018295B">
            <w:pPr>
              <w:spacing w:line="240" w:lineRule="auto"/>
              <w:jc w:val="center"/>
              <w:rPr>
                <w:sz w:val="20"/>
                <w:szCs w:val="20"/>
              </w:rPr>
            </w:pPr>
            <w:r w:rsidRPr="0018295B">
              <w:rPr>
                <w:sz w:val="20"/>
                <w:szCs w:val="20"/>
              </w:rPr>
              <w:t>-</w:t>
            </w:r>
          </w:p>
        </w:tc>
        <w:tc>
          <w:tcPr>
            <w:tcW w:w="4166" w:type="pct"/>
            <w:gridSpan w:val="3"/>
            <w:shd w:val="clear" w:color="auto" w:fill="auto"/>
            <w:vAlign w:val="center"/>
          </w:tcPr>
          <w:p w:rsidR="0018295B" w:rsidRPr="0018295B" w:rsidRDefault="0018295B" w:rsidP="0018295B">
            <w:pPr>
              <w:spacing w:line="240" w:lineRule="auto"/>
              <w:jc w:val="both"/>
              <w:rPr>
                <w:rFonts w:eastAsia="Times New Roman" w:cs="Arial"/>
                <w:sz w:val="20"/>
                <w:szCs w:val="20"/>
                <w:lang w:eastAsia="pt-BR"/>
              </w:rPr>
            </w:pPr>
            <w:r w:rsidRPr="0018295B">
              <w:rPr>
                <w:rFonts w:eastAsia="Times New Roman" w:cs="Arial"/>
                <w:sz w:val="20"/>
                <w:szCs w:val="20"/>
                <w:lang w:eastAsia="pt-BR"/>
              </w:rPr>
              <w:t>Índice de controle social do saneamento básico.</w:t>
            </w:r>
          </w:p>
        </w:tc>
      </w:tr>
      <w:tr w:rsidR="0018295B" w:rsidRPr="0018295B" w:rsidTr="0018295B">
        <w:trPr>
          <w:cantSplit/>
          <w:trHeight w:val="20"/>
          <w:jc w:val="center"/>
        </w:trPr>
        <w:tc>
          <w:tcPr>
            <w:tcW w:w="5000" w:type="pct"/>
            <w:gridSpan w:val="6"/>
            <w:shd w:val="clear" w:color="000000" w:fill="C0C0C0"/>
            <w:noWrap/>
            <w:vAlign w:val="center"/>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PRAZO DE ENTREGA DA META (ANOS)</w:t>
            </w:r>
          </w:p>
        </w:tc>
      </w:tr>
      <w:tr w:rsidR="0018295B" w:rsidRPr="0018295B" w:rsidTr="0018295B">
        <w:trPr>
          <w:cantSplit/>
          <w:trHeight w:val="20"/>
          <w:jc w:val="center"/>
        </w:trPr>
        <w:tc>
          <w:tcPr>
            <w:tcW w:w="408" w:type="pct"/>
            <w:shd w:val="clear" w:color="000000" w:fill="C0C0C0"/>
            <w:noWrap/>
            <w:vAlign w:val="center"/>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IMEDIATO (1º ao 3º)</w:t>
            </w:r>
          </w:p>
        </w:tc>
        <w:tc>
          <w:tcPr>
            <w:tcW w:w="2411" w:type="pct"/>
            <w:gridSpan w:val="3"/>
            <w:shd w:val="clear" w:color="000000" w:fill="C0C0C0"/>
            <w:noWrap/>
            <w:vAlign w:val="center"/>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 xml:space="preserve">CURTO (4º ao 8º) </w:t>
            </w:r>
          </w:p>
        </w:tc>
        <w:tc>
          <w:tcPr>
            <w:tcW w:w="1257" w:type="pct"/>
            <w:shd w:val="clear" w:color="000000" w:fill="C0C0C0"/>
            <w:noWrap/>
            <w:vAlign w:val="center"/>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MÉDIO (9º ao 12º)</w:t>
            </w:r>
          </w:p>
        </w:tc>
        <w:tc>
          <w:tcPr>
            <w:tcW w:w="925" w:type="pct"/>
            <w:shd w:val="clear" w:color="000000" w:fill="C0C0C0"/>
            <w:noWrap/>
            <w:vAlign w:val="center"/>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LONGO (13º ao 20º)</w:t>
            </w:r>
          </w:p>
        </w:tc>
      </w:tr>
      <w:tr w:rsidR="0018295B" w:rsidRPr="0018295B" w:rsidTr="0018295B">
        <w:trPr>
          <w:cantSplit/>
          <w:trHeight w:val="20"/>
          <w:jc w:val="center"/>
        </w:trPr>
        <w:tc>
          <w:tcPr>
            <w:tcW w:w="408" w:type="pct"/>
            <w:shd w:val="clear" w:color="auto" w:fill="auto"/>
            <w:noWrap/>
            <w:vAlign w:val="center"/>
          </w:tcPr>
          <w:p w:rsidR="0018295B" w:rsidRPr="0018295B" w:rsidRDefault="0018295B" w:rsidP="0018295B">
            <w:pPr>
              <w:spacing w:before="60" w:after="60" w:line="240" w:lineRule="auto"/>
              <w:jc w:val="both"/>
              <w:rPr>
                <w:bCs/>
                <w:sz w:val="20"/>
                <w:szCs w:val="20"/>
              </w:rPr>
            </w:pPr>
          </w:p>
        </w:tc>
        <w:tc>
          <w:tcPr>
            <w:tcW w:w="2411" w:type="pct"/>
            <w:gridSpan w:val="3"/>
            <w:shd w:val="clear" w:color="auto" w:fill="auto"/>
            <w:noWrap/>
            <w:vAlign w:val="center"/>
          </w:tcPr>
          <w:p w:rsidR="0018295B" w:rsidRPr="0018295B" w:rsidRDefault="0018295B" w:rsidP="0018295B">
            <w:pPr>
              <w:spacing w:line="240" w:lineRule="auto"/>
              <w:rPr>
                <w:sz w:val="20"/>
                <w:szCs w:val="20"/>
              </w:rPr>
            </w:pPr>
            <w:r w:rsidRPr="0018295B">
              <w:rPr>
                <w:sz w:val="20"/>
                <w:szCs w:val="20"/>
              </w:rPr>
              <w:t>6.1. Implementar canais de comunicação entre os setores e a sociedade (ex.: SAC-Água, SAC-Esgoto, SAC-Drenagem, SAC-Resíduos).</w:t>
            </w:r>
          </w:p>
          <w:p w:rsidR="0018295B" w:rsidRPr="0018295B" w:rsidRDefault="0018295B" w:rsidP="0018295B">
            <w:pPr>
              <w:spacing w:line="240" w:lineRule="auto"/>
              <w:rPr>
                <w:sz w:val="20"/>
                <w:szCs w:val="20"/>
              </w:rPr>
            </w:pPr>
            <w:r w:rsidRPr="0018295B">
              <w:rPr>
                <w:sz w:val="20"/>
                <w:szCs w:val="20"/>
              </w:rPr>
              <w:t>6.2. Promover ações para a avaliação periódica da satisfação dos usuários (ex.: pesquisas de satisfação).</w:t>
            </w:r>
          </w:p>
          <w:p w:rsidR="0018295B" w:rsidRPr="0018295B" w:rsidRDefault="0018295B" w:rsidP="0018295B">
            <w:pPr>
              <w:spacing w:before="20" w:after="20" w:line="240" w:lineRule="auto"/>
              <w:jc w:val="both"/>
              <w:rPr>
                <w:rFonts w:cs="Arial"/>
                <w:bCs/>
                <w:sz w:val="20"/>
                <w:szCs w:val="20"/>
              </w:rPr>
            </w:pPr>
            <w:r w:rsidRPr="0018295B">
              <w:rPr>
                <w:sz w:val="20"/>
                <w:szCs w:val="20"/>
              </w:rPr>
              <w:t>6.3. Viabilizar a participação dos usuários no planejamento do setor (ex.: reuniões públicas).</w:t>
            </w:r>
          </w:p>
        </w:tc>
        <w:tc>
          <w:tcPr>
            <w:tcW w:w="1257" w:type="pct"/>
            <w:shd w:val="clear" w:color="auto" w:fill="auto"/>
            <w:noWrap/>
            <w:vAlign w:val="center"/>
            <w:hideMark/>
          </w:tcPr>
          <w:p w:rsidR="0018295B" w:rsidRPr="0018295B" w:rsidRDefault="0018295B" w:rsidP="0018295B">
            <w:pPr>
              <w:spacing w:line="240" w:lineRule="auto"/>
              <w:rPr>
                <w:rFonts w:cs="Arial"/>
                <w:bCs/>
                <w:sz w:val="20"/>
                <w:szCs w:val="20"/>
              </w:rPr>
            </w:pPr>
          </w:p>
        </w:tc>
        <w:tc>
          <w:tcPr>
            <w:tcW w:w="925" w:type="pct"/>
            <w:shd w:val="clear" w:color="auto" w:fill="auto"/>
            <w:noWrap/>
            <w:vAlign w:val="center"/>
          </w:tcPr>
          <w:p w:rsidR="0018295B" w:rsidRPr="0018295B" w:rsidRDefault="0018295B" w:rsidP="0018295B">
            <w:pPr>
              <w:spacing w:before="20" w:after="20" w:line="240" w:lineRule="auto"/>
              <w:ind w:right="127"/>
              <w:rPr>
                <w:sz w:val="20"/>
                <w:szCs w:val="20"/>
              </w:rPr>
            </w:pPr>
          </w:p>
        </w:tc>
      </w:tr>
    </w:tbl>
    <w:p w:rsidR="0018295B" w:rsidRPr="0018295B" w:rsidRDefault="0018295B" w:rsidP="0018295B">
      <w:pPr>
        <w:rPr>
          <w:sz w:val="2"/>
          <w:szCs w:val="2"/>
        </w:rPr>
      </w:pPr>
    </w:p>
    <w:tbl>
      <w:tblPr>
        <w:tblW w:w="14033" w:type="dxa"/>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83"/>
        <w:gridCol w:w="6382"/>
        <w:gridCol w:w="1903"/>
        <w:gridCol w:w="1706"/>
        <w:gridCol w:w="2259"/>
      </w:tblGrid>
      <w:tr w:rsidR="0018295B" w:rsidRPr="0018295B" w:rsidTr="0018295B">
        <w:trPr>
          <w:cantSplit/>
          <w:trHeight w:val="348"/>
          <w:tblHeader/>
        </w:trPr>
        <w:tc>
          <w:tcPr>
            <w:tcW w:w="635" w:type="pct"/>
            <w:shd w:val="clear" w:color="000000" w:fill="C0C0C0"/>
            <w:vAlign w:val="center"/>
          </w:tcPr>
          <w:p w:rsidR="0018295B" w:rsidRPr="0018295B" w:rsidRDefault="0018295B" w:rsidP="0018295B">
            <w:pPr>
              <w:spacing w:line="240" w:lineRule="auto"/>
              <w:jc w:val="center"/>
              <w:rPr>
                <w:rFonts w:cs="Arial"/>
                <w:b/>
                <w:bCs/>
                <w:sz w:val="20"/>
                <w:szCs w:val="20"/>
              </w:rPr>
            </w:pPr>
            <w:r w:rsidRPr="0018295B">
              <w:rPr>
                <w:rFonts w:cs="Arial"/>
                <w:b/>
                <w:bCs/>
                <w:sz w:val="20"/>
                <w:szCs w:val="20"/>
              </w:rPr>
              <w:t>CÓDIGO</w:t>
            </w:r>
          </w:p>
          <w:p w:rsidR="0018295B" w:rsidRPr="0018295B" w:rsidRDefault="0018295B" w:rsidP="0018295B">
            <w:pPr>
              <w:spacing w:line="240" w:lineRule="auto"/>
              <w:ind w:left="288" w:hanging="288"/>
              <w:jc w:val="center"/>
              <w:rPr>
                <w:rFonts w:cs="Arial"/>
                <w:b/>
                <w:bCs/>
                <w:sz w:val="20"/>
                <w:szCs w:val="20"/>
              </w:rPr>
            </w:pPr>
            <w:r w:rsidRPr="0018295B">
              <w:rPr>
                <w:rFonts w:cs="Arial"/>
                <w:b/>
                <w:bCs/>
                <w:sz w:val="20"/>
                <w:szCs w:val="20"/>
              </w:rPr>
              <w:t>(s/o/m/a)*</w:t>
            </w:r>
          </w:p>
        </w:tc>
        <w:tc>
          <w:tcPr>
            <w:tcW w:w="2274" w:type="pct"/>
            <w:shd w:val="clear" w:color="000000" w:fill="C0C0C0"/>
            <w:vAlign w:val="center"/>
          </w:tcPr>
          <w:p w:rsidR="0018295B" w:rsidRPr="0018295B" w:rsidRDefault="0018295B" w:rsidP="0018295B">
            <w:pPr>
              <w:spacing w:line="240" w:lineRule="auto"/>
              <w:jc w:val="center"/>
              <w:rPr>
                <w:rFonts w:cs="Arial"/>
                <w:b/>
                <w:bCs/>
                <w:sz w:val="20"/>
                <w:szCs w:val="20"/>
              </w:rPr>
            </w:pPr>
            <w:r w:rsidRPr="0018295B">
              <w:rPr>
                <w:rFonts w:cs="Arial"/>
                <w:b/>
                <w:bCs/>
                <w:sz w:val="20"/>
                <w:szCs w:val="20"/>
              </w:rPr>
              <w:t>Descrição da ação</w:t>
            </w:r>
          </w:p>
        </w:tc>
        <w:tc>
          <w:tcPr>
            <w:tcW w:w="678" w:type="pct"/>
            <w:shd w:val="clear" w:color="000000" w:fill="C0C0C0"/>
          </w:tcPr>
          <w:p w:rsidR="0018295B" w:rsidRPr="0018295B" w:rsidRDefault="0018295B" w:rsidP="0018295B">
            <w:pPr>
              <w:spacing w:line="240" w:lineRule="auto"/>
              <w:ind w:firstLine="72"/>
              <w:jc w:val="center"/>
              <w:rPr>
                <w:rFonts w:eastAsia="Times New Roman" w:cs="Arial"/>
                <w:b/>
                <w:bCs/>
                <w:sz w:val="20"/>
                <w:szCs w:val="20"/>
                <w:lang w:eastAsia="pt-BR"/>
              </w:rPr>
            </w:pPr>
            <w:r w:rsidRPr="0018295B">
              <w:rPr>
                <w:rFonts w:eastAsia="Times New Roman" w:cs="Arial"/>
                <w:b/>
                <w:bCs/>
                <w:sz w:val="20"/>
                <w:szCs w:val="20"/>
                <w:lang w:eastAsia="pt-BR"/>
              </w:rPr>
              <w:t>Período de desenvolvimento da ação</w:t>
            </w:r>
          </w:p>
          <w:p w:rsidR="0018295B" w:rsidRPr="0018295B" w:rsidRDefault="0018295B" w:rsidP="0018295B">
            <w:pPr>
              <w:spacing w:line="240" w:lineRule="auto"/>
              <w:ind w:firstLine="72"/>
              <w:jc w:val="center"/>
              <w:rPr>
                <w:rFonts w:eastAsia="Times New Roman" w:cs="Arial"/>
                <w:b/>
                <w:bCs/>
                <w:sz w:val="20"/>
                <w:szCs w:val="20"/>
                <w:lang w:eastAsia="pt-BR"/>
              </w:rPr>
            </w:pPr>
            <w:r w:rsidRPr="0018295B">
              <w:rPr>
                <w:rFonts w:eastAsia="Times New Roman" w:cs="Arial"/>
                <w:b/>
                <w:bCs/>
                <w:sz w:val="20"/>
                <w:szCs w:val="20"/>
                <w:lang w:eastAsia="pt-BR"/>
              </w:rPr>
              <w:t>(ano)</w:t>
            </w:r>
          </w:p>
        </w:tc>
        <w:tc>
          <w:tcPr>
            <w:tcW w:w="608" w:type="pct"/>
            <w:shd w:val="clear" w:color="auto" w:fill="BFBFBF"/>
          </w:tcPr>
          <w:p w:rsidR="0018295B" w:rsidRPr="0018295B" w:rsidRDefault="0018295B" w:rsidP="0018295B">
            <w:pPr>
              <w:spacing w:line="240" w:lineRule="auto"/>
              <w:ind w:left="64" w:firstLine="8"/>
              <w:jc w:val="center"/>
              <w:rPr>
                <w:rFonts w:eastAsia="Times New Roman" w:cs="Arial"/>
                <w:b/>
                <w:bCs/>
                <w:sz w:val="20"/>
                <w:szCs w:val="20"/>
                <w:lang w:eastAsia="pt-BR"/>
              </w:rPr>
            </w:pPr>
            <w:r w:rsidRPr="0018295B">
              <w:rPr>
                <w:rFonts w:eastAsia="Times New Roman" w:cs="Arial"/>
                <w:b/>
                <w:bCs/>
                <w:sz w:val="20"/>
                <w:szCs w:val="20"/>
                <w:lang w:eastAsia="pt-BR"/>
              </w:rPr>
              <w:t>Custo total na moeda de 2017</w:t>
            </w:r>
          </w:p>
          <w:p w:rsidR="0018295B" w:rsidRPr="0018295B" w:rsidRDefault="0018295B" w:rsidP="0018295B">
            <w:pPr>
              <w:spacing w:line="240" w:lineRule="auto"/>
              <w:ind w:firstLine="72"/>
              <w:jc w:val="center"/>
              <w:rPr>
                <w:rFonts w:eastAsia="Times New Roman" w:cs="Arial"/>
                <w:b/>
                <w:bCs/>
                <w:sz w:val="20"/>
                <w:szCs w:val="20"/>
                <w:lang w:eastAsia="pt-BR"/>
              </w:rPr>
            </w:pPr>
            <w:r w:rsidRPr="0018295B">
              <w:rPr>
                <w:rFonts w:eastAsia="Times New Roman" w:cs="Arial"/>
                <w:b/>
                <w:bCs/>
                <w:sz w:val="20"/>
                <w:szCs w:val="20"/>
                <w:lang w:eastAsia="pt-BR"/>
              </w:rPr>
              <w:t>(R$)</w:t>
            </w:r>
          </w:p>
        </w:tc>
        <w:tc>
          <w:tcPr>
            <w:tcW w:w="805" w:type="pct"/>
            <w:shd w:val="clear" w:color="auto" w:fill="BFBFBF"/>
          </w:tcPr>
          <w:p w:rsidR="0018295B" w:rsidRPr="0018295B" w:rsidRDefault="0018295B" w:rsidP="0018295B">
            <w:pPr>
              <w:spacing w:line="240" w:lineRule="auto"/>
              <w:ind w:left="64" w:firstLine="8"/>
              <w:jc w:val="center"/>
              <w:rPr>
                <w:rFonts w:eastAsia="Times New Roman" w:cs="Arial"/>
                <w:b/>
                <w:bCs/>
                <w:sz w:val="20"/>
                <w:szCs w:val="20"/>
                <w:lang w:eastAsia="pt-BR"/>
              </w:rPr>
            </w:pPr>
            <w:r w:rsidRPr="0018295B">
              <w:rPr>
                <w:rFonts w:eastAsia="Times New Roman" w:cs="Arial"/>
                <w:b/>
                <w:bCs/>
                <w:sz w:val="20"/>
                <w:szCs w:val="20"/>
                <w:lang w:eastAsia="pt-BR"/>
              </w:rPr>
              <w:t>Responsável pela ação</w:t>
            </w:r>
          </w:p>
          <w:p w:rsidR="0018295B" w:rsidRPr="0018295B" w:rsidRDefault="0018295B" w:rsidP="0018295B">
            <w:pPr>
              <w:spacing w:line="240" w:lineRule="auto"/>
              <w:ind w:left="64" w:firstLine="8"/>
              <w:jc w:val="center"/>
              <w:rPr>
                <w:rFonts w:eastAsia="Times New Roman" w:cs="Arial"/>
                <w:b/>
                <w:bCs/>
                <w:sz w:val="20"/>
                <w:szCs w:val="20"/>
                <w:lang w:eastAsia="pt-BR"/>
              </w:rPr>
            </w:pPr>
          </w:p>
        </w:tc>
      </w:tr>
      <w:tr w:rsidR="0018295B" w:rsidRPr="0018295B" w:rsidTr="0018295B">
        <w:trPr>
          <w:cantSplit/>
          <w:trHeight w:val="113"/>
        </w:trPr>
        <w:tc>
          <w:tcPr>
            <w:tcW w:w="635" w:type="pct"/>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0.6.1.35</w:t>
            </w:r>
          </w:p>
        </w:tc>
        <w:tc>
          <w:tcPr>
            <w:tcW w:w="2274" w:type="pct"/>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810C89">
              <w:rPr>
                <w:rFonts w:cs="Arial"/>
                <w:sz w:val="20"/>
                <w:szCs w:val="20"/>
                <w:lang w:eastAsia="pt-BR"/>
              </w:rPr>
              <w:t xml:space="preserve">Criar uma página no site oficial da Prefeitura ou em rede social ou, ainda, conta em aplicativo de mensagens instantâneas que permita a interação com a população sobre saneamento básico, incluindo disponibilização de informações pertinentes aos quatro eixos do saneamento básico que possibilitem o controle social. </w:t>
            </w:r>
          </w:p>
        </w:tc>
        <w:tc>
          <w:tcPr>
            <w:tcW w:w="678" w:type="pct"/>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2º</w:t>
            </w:r>
          </w:p>
        </w:tc>
        <w:tc>
          <w:tcPr>
            <w:tcW w:w="608" w:type="pct"/>
            <w:shd w:val="clear" w:color="auto" w:fill="FFFFFF"/>
            <w:vAlign w:val="center"/>
          </w:tcPr>
          <w:p w:rsidR="0018295B" w:rsidRPr="0018295B" w:rsidRDefault="0018295B" w:rsidP="0018295B">
            <w:pPr>
              <w:spacing w:line="240" w:lineRule="auto"/>
              <w:jc w:val="center"/>
              <w:rPr>
                <w:rFonts w:eastAsia="Times New Roman" w:cs="Arial"/>
                <w:sz w:val="20"/>
                <w:szCs w:val="20"/>
              </w:rPr>
            </w:pPr>
            <w:r w:rsidRPr="0018295B">
              <w:rPr>
                <w:rFonts w:cs="Arial"/>
                <w:sz w:val="20"/>
                <w:szCs w:val="20"/>
              </w:rPr>
              <w:t>Custo já previsto no item 0.1.03</w:t>
            </w:r>
          </w:p>
          <w:p w:rsidR="0018295B" w:rsidRPr="0018295B" w:rsidRDefault="0018295B" w:rsidP="0018295B">
            <w:pPr>
              <w:spacing w:before="120"/>
              <w:jc w:val="center"/>
              <w:rPr>
                <w:rFonts w:cs="Arial"/>
                <w:color w:val="000000"/>
                <w:sz w:val="20"/>
                <w:szCs w:val="20"/>
              </w:rPr>
            </w:pPr>
          </w:p>
        </w:tc>
        <w:tc>
          <w:tcPr>
            <w:tcW w:w="805" w:type="pct"/>
            <w:shd w:val="clear" w:color="auto" w:fill="FFFFFF"/>
            <w:vAlign w:val="center"/>
          </w:tcPr>
          <w:p w:rsidR="0018295B" w:rsidRPr="0018295B" w:rsidRDefault="0018295B" w:rsidP="0018295B">
            <w:pPr>
              <w:spacing w:before="120" w:line="240" w:lineRule="auto"/>
              <w:jc w:val="center"/>
              <w:rPr>
                <w:rFonts w:cs="Arial"/>
                <w:color w:val="000000"/>
                <w:sz w:val="20"/>
                <w:szCs w:val="20"/>
              </w:rPr>
            </w:pPr>
            <w:r w:rsidRPr="0018295B">
              <w:rPr>
                <w:rFonts w:cs="Arial"/>
                <w:sz w:val="20"/>
                <w:szCs w:val="20"/>
              </w:rPr>
              <w:t>Prefeitura Municipal / Setor Geral / Setor De Jornalismo E Relações Públicas</w:t>
            </w:r>
          </w:p>
        </w:tc>
      </w:tr>
      <w:tr w:rsidR="0018295B" w:rsidRPr="0018295B" w:rsidTr="0018295B">
        <w:trPr>
          <w:cantSplit/>
          <w:trHeight w:val="113"/>
        </w:trPr>
        <w:tc>
          <w:tcPr>
            <w:tcW w:w="635" w:type="pct"/>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0.6.1.36</w:t>
            </w:r>
          </w:p>
        </w:tc>
        <w:tc>
          <w:tcPr>
            <w:tcW w:w="2274" w:type="pct"/>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Implementar e manter um Sistema de Atendimento ao Cidadão (SAC) que seja operacionalmente relacionado ao Plano de Manutenção Preventiva e Corretiva do setor, mantendo registros de todas as chamadas efetuadas que evoluam para ações operacionais e ou gerenciais.</w:t>
            </w:r>
          </w:p>
        </w:tc>
        <w:tc>
          <w:tcPr>
            <w:tcW w:w="678" w:type="pct"/>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4º-20º</w:t>
            </w:r>
          </w:p>
        </w:tc>
        <w:tc>
          <w:tcPr>
            <w:tcW w:w="608" w:type="pct"/>
            <w:shd w:val="clear" w:color="auto" w:fill="FFFFFF"/>
            <w:vAlign w:val="center"/>
          </w:tcPr>
          <w:p w:rsidR="0018295B" w:rsidRPr="0018295B" w:rsidRDefault="0018295B" w:rsidP="0018295B">
            <w:pPr>
              <w:spacing w:line="240" w:lineRule="auto"/>
              <w:jc w:val="right"/>
              <w:rPr>
                <w:rFonts w:cs="Arial"/>
                <w:color w:val="000000"/>
                <w:sz w:val="20"/>
                <w:szCs w:val="20"/>
              </w:rPr>
            </w:pPr>
            <w:r w:rsidRPr="0018295B">
              <w:rPr>
                <w:rFonts w:cs="Arial"/>
                <w:color w:val="000000"/>
                <w:sz w:val="20"/>
                <w:szCs w:val="20"/>
              </w:rPr>
              <w:t>119.000,00</w:t>
            </w:r>
          </w:p>
          <w:p w:rsidR="0018295B" w:rsidRPr="0018295B" w:rsidRDefault="0018295B" w:rsidP="0018295B">
            <w:pPr>
              <w:spacing w:before="120"/>
              <w:jc w:val="center"/>
              <w:rPr>
                <w:rFonts w:cs="Arial"/>
                <w:color w:val="000000"/>
                <w:sz w:val="20"/>
                <w:szCs w:val="20"/>
              </w:rPr>
            </w:pPr>
          </w:p>
        </w:tc>
        <w:tc>
          <w:tcPr>
            <w:tcW w:w="805" w:type="pct"/>
            <w:shd w:val="clear" w:color="auto" w:fill="FFFFFF"/>
            <w:vAlign w:val="center"/>
          </w:tcPr>
          <w:p w:rsidR="0018295B" w:rsidRPr="0018295B" w:rsidRDefault="0018295B" w:rsidP="0018295B">
            <w:pPr>
              <w:spacing w:before="120" w:line="240" w:lineRule="auto"/>
              <w:jc w:val="center"/>
              <w:rPr>
                <w:rFonts w:cs="Arial"/>
                <w:color w:val="000000"/>
                <w:sz w:val="20"/>
                <w:szCs w:val="20"/>
              </w:rPr>
            </w:pPr>
            <w:r w:rsidRPr="0018295B">
              <w:rPr>
                <w:rFonts w:cs="Arial"/>
                <w:sz w:val="20"/>
                <w:szCs w:val="20"/>
              </w:rPr>
              <w:t>Prefeitura Municipal / Setor Geral</w:t>
            </w:r>
          </w:p>
        </w:tc>
      </w:tr>
      <w:tr w:rsidR="0018295B" w:rsidRPr="0018295B" w:rsidTr="0018295B">
        <w:trPr>
          <w:cantSplit/>
          <w:trHeight w:val="1531"/>
        </w:trPr>
        <w:tc>
          <w:tcPr>
            <w:tcW w:w="635" w:type="pct"/>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lastRenderedPageBreak/>
              <w:t>0.6.2.37</w:t>
            </w:r>
          </w:p>
        </w:tc>
        <w:tc>
          <w:tcPr>
            <w:tcW w:w="2274" w:type="pct"/>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 xml:space="preserve">Realizar periodicamente pesquisas de satisfação com a população para obter </w:t>
            </w:r>
            <w:r w:rsidRPr="00810C89">
              <w:rPr>
                <w:rFonts w:cs="Arial"/>
                <w:sz w:val="20"/>
                <w:szCs w:val="20"/>
                <w:lang w:eastAsia="pt-BR"/>
              </w:rPr>
              <w:t>feedbacks</w:t>
            </w:r>
            <w:r w:rsidRPr="0018295B">
              <w:rPr>
                <w:rFonts w:cs="Arial"/>
                <w:sz w:val="20"/>
                <w:szCs w:val="20"/>
                <w:lang w:eastAsia="pt-BR"/>
              </w:rPr>
              <w:t xml:space="preserve"> dos serviços prestados, de maneira a verificar os pontos passíveis de melhorias.</w:t>
            </w:r>
          </w:p>
        </w:tc>
        <w:tc>
          <w:tcPr>
            <w:tcW w:w="678" w:type="pct"/>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4º-20º</w:t>
            </w:r>
          </w:p>
        </w:tc>
        <w:tc>
          <w:tcPr>
            <w:tcW w:w="608" w:type="pct"/>
            <w:shd w:val="clear" w:color="auto" w:fill="FFFFFF"/>
            <w:vAlign w:val="center"/>
          </w:tcPr>
          <w:p w:rsidR="0018295B" w:rsidRPr="0018295B" w:rsidRDefault="0018295B" w:rsidP="0018295B">
            <w:pPr>
              <w:spacing w:line="240" w:lineRule="auto"/>
              <w:jc w:val="center"/>
              <w:rPr>
                <w:rFonts w:cs="Arial"/>
                <w:sz w:val="20"/>
                <w:szCs w:val="20"/>
              </w:rPr>
            </w:pPr>
            <w:r w:rsidRPr="0018295B">
              <w:rPr>
                <w:rFonts w:cs="Arial"/>
                <w:sz w:val="20"/>
                <w:szCs w:val="20"/>
              </w:rPr>
              <w:t>Custo já previsto no item 0.1.03</w:t>
            </w:r>
          </w:p>
        </w:tc>
        <w:tc>
          <w:tcPr>
            <w:tcW w:w="805" w:type="pct"/>
            <w:shd w:val="clear" w:color="auto" w:fill="FFFFFF"/>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Prefeitura Municipal Setor Geral / Setor De Jornalismo E Relações Públicas</w:t>
            </w:r>
          </w:p>
        </w:tc>
      </w:tr>
      <w:tr w:rsidR="0018295B" w:rsidRPr="0018295B" w:rsidTr="0018295B">
        <w:trPr>
          <w:cantSplit/>
          <w:trHeight w:val="20"/>
        </w:trPr>
        <w:tc>
          <w:tcPr>
            <w:tcW w:w="635" w:type="pct"/>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0.6.3.38</w:t>
            </w:r>
          </w:p>
        </w:tc>
        <w:tc>
          <w:tcPr>
            <w:tcW w:w="2274" w:type="pct"/>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Realizar eventos públicos (como conferências, audiências, oficinas, mesas redondas, mutirões, visitas relâmpagos a salas de aulas, gabinetes públicos, etc.) periodicamente, com o intuito de informar diversos públicos-alvo sobre a situação dos sistemas de saneamento básico do município e receber sugestões/reclamações.</w:t>
            </w:r>
          </w:p>
        </w:tc>
        <w:tc>
          <w:tcPr>
            <w:tcW w:w="678" w:type="pct"/>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3º-20º</w:t>
            </w:r>
          </w:p>
        </w:tc>
        <w:tc>
          <w:tcPr>
            <w:tcW w:w="608" w:type="pct"/>
            <w:shd w:val="clear" w:color="auto" w:fill="auto"/>
            <w:vAlign w:val="center"/>
          </w:tcPr>
          <w:p w:rsidR="0018295B" w:rsidRPr="0018295B" w:rsidRDefault="0018295B" w:rsidP="0018295B">
            <w:pPr>
              <w:spacing w:line="240" w:lineRule="auto"/>
              <w:jc w:val="center"/>
              <w:rPr>
                <w:rFonts w:eastAsia="Times New Roman" w:cs="Arial"/>
                <w:sz w:val="20"/>
                <w:szCs w:val="20"/>
              </w:rPr>
            </w:pPr>
            <w:r w:rsidRPr="0018295B">
              <w:rPr>
                <w:rFonts w:cs="Arial"/>
                <w:sz w:val="20"/>
                <w:szCs w:val="20"/>
              </w:rPr>
              <w:t>Custo já previsto no item 0.1.03</w:t>
            </w:r>
          </w:p>
          <w:p w:rsidR="0018295B" w:rsidRPr="0018295B" w:rsidRDefault="0018295B" w:rsidP="0018295B">
            <w:pPr>
              <w:spacing w:before="120" w:line="240" w:lineRule="auto"/>
              <w:jc w:val="center"/>
              <w:rPr>
                <w:rFonts w:cs="Arial"/>
                <w:sz w:val="20"/>
                <w:szCs w:val="20"/>
              </w:rPr>
            </w:pPr>
          </w:p>
        </w:tc>
        <w:tc>
          <w:tcPr>
            <w:tcW w:w="805" w:type="pct"/>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Prefeitura Municipal / Setor Geral / Setor De Jornalismo E Relações Públicas</w:t>
            </w:r>
          </w:p>
        </w:tc>
      </w:tr>
    </w:tbl>
    <w:p w:rsidR="0018295B" w:rsidRPr="0018295B" w:rsidRDefault="0018295B" w:rsidP="00810C89">
      <w:pPr>
        <w:pStyle w:val="Fonte"/>
      </w:pPr>
      <w:r w:rsidRPr="0018295B">
        <w:t>*(s/o/m/a) = nº do setor / nº do objetivo / nº da meta / nº da ação.</w:t>
      </w:r>
    </w:p>
    <w:p w:rsidR="0018295B" w:rsidRPr="0018295B" w:rsidRDefault="0018295B" w:rsidP="0018295B">
      <w:pPr>
        <w:jc w:val="center"/>
        <w:rPr>
          <w:sz w:val="20"/>
          <w:szCs w:val="20"/>
        </w:rPr>
      </w:pPr>
    </w:p>
    <w:p w:rsidR="0018295B" w:rsidRPr="0018295B" w:rsidRDefault="0018295B" w:rsidP="0018295B"/>
    <w:p w:rsidR="0018295B" w:rsidRPr="0018295B" w:rsidRDefault="0018295B" w:rsidP="0018295B"/>
    <w:p w:rsidR="0018295B" w:rsidRPr="0018295B" w:rsidRDefault="0018295B" w:rsidP="00810C89">
      <w:pPr>
        <w:pStyle w:val="Legenda"/>
      </w:pPr>
      <w:r w:rsidRPr="0018295B">
        <w:br w:type="page"/>
      </w:r>
      <w:bookmarkStart w:id="616" w:name="_Ref503195058"/>
      <w:bookmarkStart w:id="617" w:name="_Toc505788335"/>
      <w:bookmarkStart w:id="618" w:name="_Toc509935831"/>
      <w:r w:rsidRPr="0018295B">
        <w:lastRenderedPageBreak/>
        <w:t xml:space="preserve">Quadro </w:t>
      </w:r>
      <w:r w:rsidR="000A1C78">
        <w:fldChar w:fldCharType="begin"/>
      </w:r>
      <w:r w:rsidR="000A1C78">
        <w:instrText xml:space="preserve"> SEQ Quadro \* ARABIC </w:instrText>
      </w:r>
      <w:r w:rsidR="000A1C78">
        <w:fldChar w:fldCharType="separate"/>
      </w:r>
      <w:r w:rsidR="001B481B">
        <w:rPr>
          <w:noProof/>
        </w:rPr>
        <w:t>54</w:t>
      </w:r>
      <w:r w:rsidR="000A1C78">
        <w:rPr>
          <w:noProof/>
        </w:rPr>
        <w:fldChar w:fldCharType="end"/>
      </w:r>
      <w:bookmarkEnd w:id="616"/>
      <w:r w:rsidRPr="0018295B">
        <w:t xml:space="preserve"> - Programas e ações propostos para o SB Geral - Objetivo 7</w:t>
      </w:r>
      <w:bookmarkEnd w:id="617"/>
      <w:bookmarkEnd w:id="618"/>
    </w:p>
    <w:tbl>
      <w:tblPr>
        <w:tblW w:w="14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8"/>
        <w:gridCol w:w="2174"/>
        <w:gridCol w:w="266"/>
        <w:gridCol w:w="1634"/>
        <w:gridCol w:w="4406"/>
        <w:gridCol w:w="3244"/>
        <w:gridCol w:w="2504"/>
      </w:tblGrid>
      <w:tr w:rsidR="0018295B" w:rsidRPr="0018295B" w:rsidTr="0018295B">
        <w:trPr>
          <w:gridBefore w:val="1"/>
          <w:wBefore w:w="79" w:type="pct"/>
          <w:cantSplit/>
          <w:trHeight w:val="20"/>
          <w:jc w:val="center"/>
        </w:trPr>
        <w:tc>
          <w:tcPr>
            <w:tcW w:w="752" w:type="pct"/>
            <w:shd w:val="clear" w:color="000000" w:fill="C0C0C0"/>
            <w:noWrap/>
            <w:vAlign w:val="center"/>
            <w:hideMark/>
          </w:tcPr>
          <w:bookmarkEnd w:id="607"/>
          <w:bookmarkEnd w:id="608"/>
          <w:bookmarkEnd w:id="609"/>
          <w:bookmarkEnd w:id="610"/>
          <w:bookmarkEnd w:id="611"/>
          <w:p w:rsidR="0018295B" w:rsidRPr="0018295B" w:rsidRDefault="0018295B" w:rsidP="0018295B">
            <w:pPr>
              <w:spacing w:line="240" w:lineRule="auto"/>
              <w:ind w:left="105" w:hanging="105"/>
              <w:jc w:val="center"/>
              <w:rPr>
                <w:b/>
                <w:bCs/>
                <w:sz w:val="20"/>
                <w:szCs w:val="20"/>
              </w:rPr>
            </w:pPr>
            <w:r w:rsidRPr="0018295B">
              <w:rPr>
                <w:b/>
                <w:bCs/>
                <w:sz w:val="20"/>
                <w:szCs w:val="20"/>
              </w:rPr>
              <w:t>SETOR</w:t>
            </w:r>
          </w:p>
        </w:tc>
        <w:tc>
          <w:tcPr>
            <w:tcW w:w="92" w:type="pct"/>
            <w:shd w:val="clear" w:color="auto" w:fill="auto"/>
            <w:noWrap/>
            <w:vAlign w:val="center"/>
            <w:hideMark/>
          </w:tcPr>
          <w:p w:rsidR="0018295B" w:rsidRPr="0018295B" w:rsidRDefault="0018295B" w:rsidP="0018295B">
            <w:pPr>
              <w:spacing w:line="240" w:lineRule="auto"/>
              <w:jc w:val="center"/>
              <w:rPr>
                <w:sz w:val="20"/>
                <w:szCs w:val="20"/>
              </w:rPr>
            </w:pPr>
            <w:r w:rsidRPr="0018295B">
              <w:rPr>
                <w:sz w:val="20"/>
                <w:szCs w:val="20"/>
              </w:rPr>
              <w:t>0</w:t>
            </w:r>
          </w:p>
        </w:tc>
        <w:tc>
          <w:tcPr>
            <w:tcW w:w="4078" w:type="pct"/>
            <w:gridSpan w:val="4"/>
            <w:shd w:val="clear" w:color="auto" w:fill="auto"/>
            <w:noWrap/>
            <w:vAlign w:val="center"/>
          </w:tcPr>
          <w:p w:rsidR="0018295B" w:rsidRPr="0018295B" w:rsidRDefault="0018295B" w:rsidP="0018295B">
            <w:pPr>
              <w:spacing w:line="240" w:lineRule="auto"/>
              <w:rPr>
                <w:rFonts w:cs="Arial"/>
                <w:sz w:val="20"/>
                <w:szCs w:val="20"/>
              </w:rPr>
            </w:pPr>
            <w:r w:rsidRPr="0018295B">
              <w:rPr>
                <w:rFonts w:cs="Arial"/>
                <w:sz w:val="20"/>
                <w:szCs w:val="20"/>
              </w:rPr>
              <w:t>Referente aos quatro setores.</w:t>
            </w:r>
          </w:p>
        </w:tc>
      </w:tr>
      <w:tr w:rsidR="0018295B" w:rsidRPr="0018295B" w:rsidTr="0018295B">
        <w:trPr>
          <w:gridBefore w:val="1"/>
          <w:wBefore w:w="79" w:type="pct"/>
          <w:cantSplit/>
          <w:trHeight w:val="20"/>
          <w:jc w:val="center"/>
        </w:trPr>
        <w:tc>
          <w:tcPr>
            <w:tcW w:w="752" w:type="pct"/>
            <w:shd w:val="clear" w:color="000000" w:fill="C0C0C0"/>
            <w:vAlign w:val="center"/>
            <w:hideMark/>
          </w:tcPr>
          <w:p w:rsidR="0018295B" w:rsidRPr="0018295B" w:rsidRDefault="0018295B" w:rsidP="0018295B">
            <w:pPr>
              <w:spacing w:line="240" w:lineRule="auto"/>
              <w:jc w:val="center"/>
              <w:rPr>
                <w:b/>
                <w:bCs/>
                <w:sz w:val="20"/>
                <w:szCs w:val="20"/>
              </w:rPr>
            </w:pPr>
            <w:r w:rsidRPr="0018295B">
              <w:rPr>
                <w:b/>
                <w:bCs/>
                <w:sz w:val="20"/>
                <w:szCs w:val="20"/>
              </w:rPr>
              <w:t>OBJETIVO</w:t>
            </w:r>
          </w:p>
        </w:tc>
        <w:tc>
          <w:tcPr>
            <w:tcW w:w="92" w:type="pct"/>
            <w:shd w:val="clear" w:color="auto" w:fill="auto"/>
            <w:vAlign w:val="center"/>
            <w:hideMark/>
          </w:tcPr>
          <w:p w:rsidR="0018295B" w:rsidRPr="0018295B" w:rsidRDefault="0018295B" w:rsidP="0018295B">
            <w:pPr>
              <w:spacing w:line="240" w:lineRule="auto"/>
              <w:jc w:val="center"/>
              <w:rPr>
                <w:sz w:val="20"/>
                <w:szCs w:val="20"/>
              </w:rPr>
            </w:pPr>
            <w:r w:rsidRPr="0018295B">
              <w:rPr>
                <w:sz w:val="20"/>
                <w:szCs w:val="20"/>
              </w:rPr>
              <w:t>7</w:t>
            </w:r>
          </w:p>
        </w:tc>
        <w:tc>
          <w:tcPr>
            <w:tcW w:w="4078" w:type="pct"/>
            <w:gridSpan w:val="4"/>
            <w:shd w:val="clear" w:color="auto" w:fill="auto"/>
            <w:vAlign w:val="center"/>
          </w:tcPr>
          <w:p w:rsidR="0018295B" w:rsidRPr="0018295B" w:rsidRDefault="0018295B" w:rsidP="0018295B">
            <w:pPr>
              <w:spacing w:line="240" w:lineRule="auto"/>
              <w:ind w:right="-211"/>
              <w:rPr>
                <w:rFonts w:cs="Arial"/>
                <w:sz w:val="20"/>
                <w:szCs w:val="20"/>
              </w:rPr>
            </w:pPr>
            <w:r w:rsidRPr="0018295B">
              <w:rPr>
                <w:rFonts w:eastAsia="Times New Roman" w:cs="Arial"/>
                <w:bCs/>
                <w:sz w:val="20"/>
                <w:szCs w:val="20"/>
                <w:lang w:eastAsia="pt-BR"/>
              </w:rPr>
              <w:t>Incentivar que escolas públicas do município tratem de questões relacionadas aos quatro sistemas do saneamento básico em suas disciplinas oficiais, incluindo conteúdos que promovam a economia de água pelos usuários.</w:t>
            </w:r>
          </w:p>
        </w:tc>
      </w:tr>
      <w:tr w:rsidR="0018295B" w:rsidRPr="0018295B" w:rsidTr="0018295B">
        <w:trPr>
          <w:gridBefore w:val="1"/>
          <w:wBefore w:w="79" w:type="pct"/>
          <w:cantSplit/>
          <w:trHeight w:val="20"/>
          <w:jc w:val="center"/>
        </w:trPr>
        <w:tc>
          <w:tcPr>
            <w:tcW w:w="752" w:type="pct"/>
            <w:shd w:val="clear" w:color="000000" w:fill="C0C0C0"/>
            <w:vAlign w:val="center"/>
          </w:tcPr>
          <w:p w:rsidR="0018295B" w:rsidRPr="0018295B" w:rsidRDefault="0018295B" w:rsidP="0018295B">
            <w:pPr>
              <w:spacing w:line="240" w:lineRule="auto"/>
              <w:jc w:val="center"/>
              <w:rPr>
                <w:b/>
                <w:bCs/>
                <w:sz w:val="20"/>
                <w:szCs w:val="20"/>
              </w:rPr>
            </w:pPr>
            <w:r w:rsidRPr="0018295B">
              <w:rPr>
                <w:b/>
                <w:bCs/>
                <w:sz w:val="20"/>
                <w:szCs w:val="20"/>
              </w:rPr>
              <w:t>INDICADOR</w:t>
            </w:r>
          </w:p>
        </w:tc>
        <w:tc>
          <w:tcPr>
            <w:tcW w:w="92" w:type="pct"/>
            <w:shd w:val="clear" w:color="auto" w:fill="auto"/>
            <w:vAlign w:val="center"/>
          </w:tcPr>
          <w:p w:rsidR="0018295B" w:rsidRPr="0018295B" w:rsidRDefault="0018295B" w:rsidP="0018295B">
            <w:pPr>
              <w:spacing w:line="240" w:lineRule="auto"/>
              <w:jc w:val="center"/>
              <w:rPr>
                <w:sz w:val="20"/>
                <w:szCs w:val="20"/>
              </w:rPr>
            </w:pPr>
            <w:r w:rsidRPr="0018295B">
              <w:rPr>
                <w:sz w:val="20"/>
                <w:szCs w:val="20"/>
              </w:rPr>
              <w:t>-</w:t>
            </w:r>
          </w:p>
        </w:tc>
        <w:tc>
          <w:tcPr>
            <w:tcW w:w="4078" w:type="pct"/>
            <w:gridSpan w:val="4"/>
            <w:shd w:val="clear" w:color="auto" w:fill="auto"/>
            <w:vAlign w:val="center"/>
          </w:tcPr>
          <w:p w:rsidR="0018295B" w:rsidRPr="0018295B" w:rsidRDefault="0018295B" w:rsidP="0018295B">
            <w:pPr>
              <w:spacing w:line="240" w:lineRule="auto"/>
              <w:jc w:val="both"/>
              <w:rPr>
                <w:rFonts w:eastAsia="Times New Roman" w:cs="Arial"/>
                <w:sz w:val="20"/>
                <w:szCs w:val="20"/>
                <w:lang w:eastAsia="pt-BR"/>
              </w:rPr>
            </w:pPr>
            <w:r w:rsidRPr="0018295B">
              <w:rPr>
                <w:rFonts w:eastAsia="Times New Roman" w:cs="Arial"/>
                <w:sz w:val="20"/>
                <w:szCs w:val="20"/>
                <w:lang w:eastAsia="pt-BR"/>
              </w:rPr>
              <w:t>Índice de educação em saneamento no município.</w:t>
            </w:r>
          </w:p>
        </w:tc>
      </w:tr>
      <w:tr w:rsidR="0018295B" w:rsidRPr="0018295B" w:rsidTr="0018295B">
        <w:trPr>
          <w:cantSplit/>
          <w:trHeight w:val="20"/>
          <w:jc w:val="center"/>
        </w:trPr>
        <w:tc>
          <w:tcPr>
            <w:tcW w:w="5000" w:type="pct"/>
            <w:gridSpan w:val="7"/>
            <w:shd w:val="clear" w:color="auto" w:fill="auto"/>
            <w:noWrap/>
            <w:vAlign w:val="center"/>
            <w:hideMark/>
          </w:tcPr>
          <w:p w:rsidR="0018295B" w:rsidRPr="0018295B" w:rsidRDefault="0018295B" w:rsidP="0018295B">
            <w:pPr>
              <w:spacing w:line="240" w:lineRule="auto"/>
              <w:jc w:val="center"/>
              <w:rPr>
                <w:sz w:val="20"/>
                <w:szCs w:val="20"/>
              </w:rPr>
            </w:pPr>
          </w:p>
        </w:tc>
      </w:tr>
      <w:tr w:rsidR="0018295B" w:rsidRPr="0018295B" w:rsidTr="0018295B">
        <w:trPr>
          <w:gridBefore w:val="1"/>
          <w:wBefore w:w="79" w:type="pct"/>
          <w:cantSplit/>
          <w:trHeight w:val="20"/>
          <w:jc w:val="center"/>
        </w:trPr>
        <w:tc>
          <w:tcPr>
            <w:tcW w:w="4921" w:type="pct"/>
            <w:gridSpan w:val="6"/>
            <w:shd w:val="clear" w:color="000000" w:fill="C0C0C0"/>
            <w:noWrap/>
            <w:vAlign w:val="center"/>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PRAZO DE ENTREGA DA META (ANOS)</w:t>
            </w:r>
          </w:p>
        </w:tc>
      </w:tr>
      <w:tr w:rsidR="0018295B" w:rsidRPr="0018295B" w:rsidTr="0018295B">
        <w:trPr>
          <w:gridBefore w:val="1"/>
          <w:wBefore w:w="79" w:type="pct"/>
          <w:cantSplit/>
          <w:trHeight w:val="20"/>
          <w:jc w:val="center"/>
        </w:trPr>
        <w:tc>
          <w:tcPr>
            <w:tcW w:w="1409" w:type="pct"/>
            <w:gridSpan w:val="3"/>
            <w:shd w:val="clear" w:color="000000" w:fill="C0C0C0"/>
            <w:noWrap/>
            <w:vAlign w:val="center"/>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IMEDIATO (1º ao 3º)</w:t>
            </w:r>
          </w:p>
        </w:tc>
        <w:tc>
          <w:tcPr>
            <w:tcW w:w="1524" w:type="pct"/>
            <w:shd w:val="clear" w:color="000000" w:fill="C0C0C0"/>
            <w:noWrap/>
            <w:vAlign w:val="center"/>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 xml:space="preserve">CURTO (4º ao 8º) </w:t>
            </w:r>
          </w:p>
        </w:tc>
        <w:tc>
          <w:tcPr>
            <w:tcW w:w="1122" w:type="pct"/>
            <w:shd w:val="clear" w:color="000000" w:fill="C0C0C0"/>
            <w:noWrap/>
            <w:vAlign w:val="center"/>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MÉDIO (9º ao 12º)</w:t>
            </w:r>
          </w:p>
        </w:tc>
        <w:tc>
          <w:tcPr>
            <w:tcW w:w="866" w:type="pct"/>
            <w:shd w:val="clear" w:color="000000" w:fill="C0C0C0"/>
            <w:noWrap/>
            <w:vAlign w:val="center"/>
          </w:tcPr>
          <w:p w:rsidR="0018295B" w:rsidRPr="0018295B" w:rsidRDefault="0018295B" w:rsidP="0018295B">
            <w:pPr>
              <w:spacing w:before="20" w:after="20" w:line="240" w:lineRule="auto"/>
              <w:contextualSpacing/>
              <w:jc w:val="center"/>
              <w:rPr>
                <w:rFonts w:eastAsia="Times New Roman" w:cs="Arial"/>
                <w:b/>
                <w:bCs/>
                <w:sz w:val="20"/>
                <w:szCs w:val="20"/>
                <w:lang w:eastAsia="pt-BR"/>
              </w:rPr>
            </w:pPr>
            <w:r w:rsidRPr="0018295B">
              <w:rPr>
                <w:rFonts w:eastAsia="Times New Roman" w:cs="Arial"/>
                <w:b/>
                <w:bCs/>
                <w:sz w:val="20"/>
                <w:szCs w:val="20"/>
                <w:lang w:eastAsia="pt-BR"/>
              </w:rPr>
              <w:t>LONGO (13º ao 20º)</w:t>
            </w:r>
          </w:p>
        </w:tc>
      </w:tr>
      <w:tr w:rsidR="0018295B" w:rsidRPr="0018295B" w:rsidTr="0018295B">
        <w:trPr>
          <w:gridBefore w:val="1"/>
          <w:wBefore w:w="79" w:type="pct"/>
          <w:cantSplit/>
          <w:trHeight w:val="20"/>
          <w:jc w:val="center"/>
        </w:trPr>
        <w:tc>
          <w:tcPr>
            <w:tcW w:w="1409" w:type="pct"/>
            <w:gridSpan w:val="3"/>
            <w:shd w:val="clear" w:color="auto" w:fill="auto"/>
            <w:noWrap/>
            <w:vAlign w:val="center"/>
          </w:tcPr>
          <w:p w:rsidR="0018295B" w:rsidRPr="0018295B" w:rsidRDefault="0018295B" w:rsidP="0018295B">
            <w:pPr>
              <w:spacing w:before="60" w:after="60" w:line="240" w:lineRule="auto"/>
              <w:jc w:val="both"/>
              <w:rPr>
                <w:bCs/>
                <w:sz w:val="20"/>
                <w:szCs w:val="20"/>
              </w:rPr>
            </w:pPr>
            <w:r w:rsidRPr="0018295B">
              <w:rPr>
                <w:rFonts w:eastAsia="Times New Roman" w:cs="Arial"/>
                <w:iCs/>
                <w:sz w:val="20"/>
                <w:szCs w:val="20"/>
              </w:rPr>
              <w:t>7.1. Implementar atividades do Programa de Educação em Saneamento Básico nas escolas públicas do município.</w:t>
            </w:r>
          </w:p>
        </w:tc>
        <w:tc>
          <w:tcPr>
            <w:tcW w:w="1524" w:type="pct"/>
            <w:shd w:val="clear" w:color="auto" w:fill="auto"/>
            <w:noWrap/>
            <w:vAlign w:val="center"/>
          </w:tcPr>
          <w:p w:rsidR="0018295B" w:rsidRPr="0018295B" w:rsidRDefault="0018295B" w:rsidP="0018295B">
            <w:pPr>
              <w:spacing w:before="20" w:after="20" w:line="240" w:lineRule="auto"/>
              <w:jc w:val="both"/>
              <w:rPr>
                <w:rFonts w:cs="Arial"/>
                <w:bCs/>
                <w:sz w:val="20"/>
                <w:szCs w:val="20"/>
              </w:rPr>
            </w:pPr>
          </w:p>
        </w:tc>
        <w:tc>
          <w:tcPr>
            <w:tcW w:w="1122" w:type="pct"/>
            <w:shd w:val="clear" w:color="auto" w:fill="auto"/>
            <w:noWrap/>
            <w:vAlign w:val="center"/>
          </w:tcPr>
          <w:p w:rsidR="0018295B" w:rsidRPr="0018295B" w:rsidRDefault="0018295B" w:rsidP="0018295B">
            <w:pPr>
              <w:spacing w:before="20" w:after="20" w:line="240" w:lineRule="auto"/>
              <w:jc w:val="both"/>
              <w:rPr>
                <w:rFonts w:cs="Arial"/>
                <w:bCs/>
                <w:sz w:val="20"/>
                <w:szCs w:val="20"/>
              </w:rPr>
            </w:pPr>
          </w:p>
        </w:tc>
        <w:tc>
          <w:tcPr>
            <w:tcW w:w="866" w:type="pct"/>
            <w:shd w:val="clear" w:color="auto" w:fill="auto"/>
            <w:noWrap/>
            <w:vAlign w:val="center"/>
          </w:tcPr>
          <w:p w:rsidR="0018295B" w:rsidRPr="0018295B" w:rsidRDefault="0018295B" w:rsidP="0018295B">
            <w:pPr>
              <w:spacing w:before="20" w:after="20" w:line="240" w:lineRule="auto"/>
              <w:rPr>
                <w:sz w:val="20"/>
                <w:szCs w:val="20"/>
              </w:rPr>
            </w:pPr>
          </w:p>
        </w:tc>
      </w:tr>
    </w:tbl>
    <w:p w:rsidR="0018295B" w:rsidRPr="0018295B" w:rsidRDefault="0018295B" w:rsidP="0018295B">
      <w:pPr>
        <w:rPr>
          <w:sz w:val="2"/>
          <w:szCs w:val="2"/>
        </w:rPr>
      </w:pPr>
    </w:p>
    <w:tbl>
      <w:tblPr>
        <w:tblW w:w="14317" w:type="dxa"/>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17"/>
        <w:gridCol w:w="7230"/>
        <w:gridCol w:w="2062"/>
        <w:gridCol w:w="1483"/>
        <w:gridCol w:w="2125"/>
      </w:tblGrid>
      <w:tr w:rsidR="0018295B" w:rsidRPr="0018295B" w:rsidTr="0018295B">
        <w:trPr>
          <w:cantSplit/>
          <w:trHeight w:val="348"/>
          <w:tblHeader/>
        </w:trPr>
        <w:tc>
          <w:tcPr>
            <w:tcW w:w="495" w:type="pct"/>
            <w:shd w:val="clear" w:color="000000" w:fill="C0C0C0"/>
            <w:vAlign w:val="center"/>
          </w:tcPr>
          <w:p w:rsidR="0018295B" w:rsidRPr="0018295B" w:rsidRDefault="0018295B" w:rsidP="0018295B">
            <w:pPr>
              <w:spacing w:line="240" w:lineRule="auto"/>
              <w:jc w:val="center"/>
              <w:rPr>
                <w:rFonts w:cs="Arial"/>
                <w:b/>
                <w:bCs/>
                <w:sz w:val="20"/>
                <w:szCs w:val="20"/>
              </w:rPr>
            </w:pPr>
            <w:r w:rsidRPr="0018295B">
              <w:rPr>
                <w:rFonts w:cs="Arial"/>
                <w:b/>
                <w:bCs/>
                <w:sz w:val="20"/>
                <w:szCs w:val="20"/>
              </w:rPr>
              <w:t>CÓDIGO</w:t>
            </w:r>
          </w:p>
          <w:p w:rsidR="0018295B" w:rsidRPr="0018295B" w:rsidRDefault="0018295B" w:rsidP="0018295B">
            <w:pPr>
              <w:spacing w:line="240" w:lineRule="auto"/>
              <w:jc w:val="center"/>
              <w:rPr>
                <w:rFonts w:cs="Arial"/>
                <w:b/>
                <w:bCs/>
                <w:sz w:val="20"/>
                <w:szCs w:val="20"/>
              </w:rPr>
            </w:pPr>
            <w:r w:rsidRPr="0018295B">
              <w:rPr>
                <w:rFonts w:cs="Arial"/>
                <w:b/>
                <w:bCs/>
                <w:sz w:val="20"/>
                <w:szCs w:val="20"/>
              </w:rPr>
              <w:t>(s/o/m/a)*</w:t>
            </w:r>
          </w:p>
        </w:tc>
        <w:tc>
          <w:tcPr>
            <w:tcW w:w="2525" w:type="pct"/>
            <w:shd w:val="clear" w:color="000000" w:fill="C0C0C0"/>
            <w:vAlign w:val="center"/>
          </w:tcPr>
          <w:p w:rsidR="0018295B" w:rsidRPr="0018295B" w:rsidRDefault="0018295B" w:rsidP="0018295B">
            <w:pPr>
              <w:spacing w:line="240" w:lineRule="auto"/>
              <w:jc w:val="center"/>
              <w:rPr>
                <w:rFonts w:cs="Arial"/>
                <w:b/>
                <w:bCs/>
                <w:sz w:val="20"/>
                <w:szCs w:val="20"/>
              </w:rPr>
            </w:pPr>
            <w:r w:rsidRPr="0018295B">
              <w:rPr>
                <w:rFonts w:cs="Arial"/>
                <w:b/>
                <w:bCs/>
                <w:sz w:val="20"/>
                <w:szCs w:val="20"/>
              </w:rPr>
              <w:t>Descrição da ação</w:t>
            </w:r>
          </w:p>
        </w:tc>
        <w:tc>
          <w:tcPr>
            <w:tcW w:w="720" w:type="pct"/>
            <w:shd w:val="clear" w:color="000000" w:fill="C0C0C0"/>
          </w:tcPr>
          <w:p w:rsidR="0018295B" w:rsidRPr="0018295B" w:rsidRDefault="0018295B" w:rsidP="0018295B">
            <w:pPr>
              <w:spacing w:line="240" w:lineRule="auto"/>
              <w:ind w:firstLine="72"/>
              <w:jc w:val="center"/>
              <w:rPr>
                <w:rFonts w:eastAsia="Times New Roman" w:cs="Arial"/>
                <w:b/>
                <w:bCs/>
                <w:sz w:val="20"/>
                <w:szCs w:val="20"/>
                <w:lang w:eastAsia="pt-BR"/>
              </w:rPr>
            </w:pPr>
            <w:r w:rsidRPr="0018295B">
              <w:rPr>
                <w:rFonts w:eastAsia="Times New Roman" w:cs="Arial"/>
                <w:b/>
                <w:bCs/>
                <w:sz w:val="20"/>
                <w:szCs w:val="20"/>
                <w:lang w:eastAsia="pt-BR"/>
              </w:rPr>
              <w:t>Período de desenvolvimento da ação</w:t>
            </w:r>
          </w:p>
          <w:p w:rsidR="0018295B" w:rsidRPr="0018295B" w:rsidRDefault="0018295B" w:rsidP="0018295B">
            <w:pPr>
              <w:spacing w:line="240" w:lineRule="auto"/>
              <w:ind w:firstLine="72"/>
              <w:jc w:val="center"/>
              <w:rPr>
                <w:rFonts w:eastAsia="Times New Roman" w:cs="Arial"/>
                <w:b/>
                <w:bCs/>
                <w:sz w:val="20"/>
                <w:szCs w:val="20"/>
                <w:lang w:eastAsia="pt-BR"/>
              </w:rPr>
            </w:pPr>
            <w:r w:rsidRPr="0018295B">
              <w:rPr>
                <w:rFonts w:eastAsia="Times New Roman" w:cs="Arial"/>
                <w:b/>
                <w:bCs/>
                <w:sz w:val="20"/>
                <w:szCs w:val="20"/>
                <w:lang w:eastAsia="pt-BR"/>
              </w:rPr>
              <w:t>(ano)</w:t>
            </w:r>
          </w:p>
        </w:tc>
        <w:tc>
          <w:tcPr>
            <w:tcW w:w="518" w:type="pct"/>
            <w:shd w:val="clear" w:color="auto" w:fill="BFBFBF"/>
          </w:tcPr>
          <w:p w:rsidR="0018295B" w:rsidRPr="0018295B" w:rsidRDefault="0018295B" w:rsidP="0018295B">
            <w:pPr>
              <w:spacing w:line="240" w:lineRule="auto"/>
              <w:ind w:left="64" w:firstLine="8"/>
              <w:jc w:val="center"/>
              <w:rPr>
                <w:rFonts w:eastAsia="Times New Roman" w:cs="Arial"/>
                <w:b/>
                <w:bCs/>
                <w:sz w:val="20"/>
                <w:szCs w:val="20"/>
                <w:lang w:eastAsia="pt-BR"/>
              </w:rPr>
            </w:pPr>
            <w:r w:rsidRPr="0018295B">
              <w:rPr>
                <w:rFonts w:eastAsia="Times New Roman" w:cs="Arial"/>
                <w:b/>
                <w:bCs/>
                <w:sz w:val="20"/>
                <w:szCs w:val="20"/>
                <w:lang w:eastAsia="pt-BR"/>
              </w:rPr>
              <w:t>Custo total na moeda de 2017</w:t>
            </w:r>
          </w:p>
          <w:p w:rsidR="0018295B" w:rsidRPr="0018295B" w:rsidRDefault="0018295B" w:rsidP="0018295B">
            <w:pPr>
              <w:spacing w:line="240" w:lineRule="auto"/>
              <w:ind w:firstLine="72"/>
              <w:jc w:val="center"/>
              <w:rPr>
                <w:rFonts w:eastAsia="Times New Roman" w:cs="Arial"/>
                <w:b/>
                <w:bCs/>
                <w:sz w:val="20"/>
                <w:szCs w:val="20"/>
                <w:lang w:eastAsia="pt-BR"/>
              </w:rPr>
            </w:pPr>
            <w:r w:rsidRPr="0018295B">
              <w:rPr>
                <w:rFonts w:eastAsia="Times New Roman" w:cs="Arial"/>
                <w:b/>
                <w:bCs/>
                <w:sz w:val="20"/>
                <w:szCs w:val="20"/>
                <w:lang w:eastAsia="pt-BR"/>
              </w:rPr>
              <w:t>(R$)</w:t>
            </w:r>
          </w:p>
        </w:tc>
        <w:tc>
          <w:tcPr>
            <w:tcW w:w="742" w:type="pct"/>
            <w:shd w:val="clear" w:color="auto" w:fill="BFBFBF"/>
          </w:tcPr>
          <w:p w:rsidR="0018295B" w:rsidRPr="0018295B" w:rsidRDefault="0018295B" w:rsidP="0018295B">
            <w:pPr>
              <w:spacing w:line="240" w:lineRule="auto"/>
              <w:ind w:left="64" w:firstLine="8"/>
              <w:jc w:val="center"/>
              <w:rPr>
                <w:rFonts w:eastAsia="Times New Roman" w:cs="Arial"/>
                <w:b/>
                <w:bCs/>
                <w:sz w:val="20"/>
                <w:szCs w:val="20"/>
                <w:lang w:eastAsia="pt-BR"/>
              </w:rPr>
            </w:pPr>
            <w:r w:rsidRPr="0018295B">
              <w:rPr>
                <w:rFonts w:eastAsia="Times New Roman" w:cs="Arial"/>
                <w:b/>
                <w:bCs/>
                <w:sz w:val="20"/>
                <w:szCs w:val="20"/>
                <w:lang w:eastAsia="pt-BR"/>
              </w:rPr>
              <w:t>Responsável pela ação</w:t>
            </w:r>
          </w:p>
          <w:p w:rsidR="0018295B" w:rsidRPr="0018295B" w:rsidRDefault="0018295B" w:rsidP="0018295B">
            <w:pPr>
              <w:spacing w:line="240" w:lineRule="auto"/>
              <w:ind w:left="64" w:firstLine="8"/>
              <w:jc w:val="center"/>
              <w:rPr>
                <w:rFonts w:eastAsia="Times New Roman" w:cs="Arial"/>
                <w:b/>
                <w:bCs/>
                <w:sz w:val="20"/>
                <w:szCs w:val="20"/>
                <w:lang w:eastAsia="pt-BR"/>
              </w:rPr>
            </w:pPr>
          </w:p>
        </w:tc>
      </w:tr>
      <w:tr w:rsidR="0018295B" w:rsidRPr="0018295B" w:rsidTr="0018295B">
        <w:trPr>
          <w:cantSplit/>
          <w:trHeight w:val="113"/>
        </w:trPr>
        <w:tc>
          <w:tcPr>
            <w:tcW w:w="495" w:type="pct"/>
            <w:shd w:val="clear" w:color="auto" w:fill="auto"/>
            <w:vAlign w:val="center"/>
          </w:tcPr>
          <w:p w:rsidR="0018295B" w:rsidRPr="0018295B" w:rsidRDefault="0018295B" w:rsidP="0018295B">
            <w:pPr>
              <w:spacing w:line="240" w:lineRule="auto"/>
              <w:jc w:val="center"/>
              <w:rPr>
                <w:rFonts w:cs="Arial"/>
                <w:sz w:val="20"/>
                <w:szCs w:val="20"/>
              </w:rPr>
            </w:pPr>
            <w:r w:rsidRPr="0018295B">
              <w:rPr>
                <w:rFonts w:cs="Arial"/>
                <w:sz w:val="20"/>
                <w:szCs w:val="20"/>
              </w:rPr>
              <w:t>0.7.1.39</w:t>
            </w:r>
          </w:p>
        </w:tc>
        <w:tc>
          <w:tcPr>
            <w:tcW w:w="2525" w:type="pct"/>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Entregar o Programa de Educação em Saneamento Básico do PMSB, pelo menos em versão digital, para todas as escolas do município solicitando que estas o ajustem às especificidades da instituição para implementá-lo.</w:t>
            </w:r>
          </w:p>
        </w:tc>
        <w:tc>
          <w:tcPr>
            <w:tcW w:w="720" w:type="pct"/>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1º</w:t>
            </w:r>
          </w:p>
        </w:tc>
        <w:tc>
          <w:tcPr>
            <w:tcW w:w="518" w:type="pct"/>
            <w:shd w:val="clear" w:color="auto" w:fill="FFFFFF"/>
            <w:vAlign w:val="center"/>
          </w:tcPr>
          <w:p w:rsidR="0018295B" w:rsidRPr="0018295B" w:rsidRDefault="0018295B" w:rsidP="0018295B">
            <w:pPr>
              <w:spacing w:line="240" w:lineRule="auto"/>
              <w:jc w:val="center"/>
              <w:rPr>
                <w:rFonts w:eastAsia="Times New Roman" w:cs="Arial"/>
                <w:sz w:val="20"/>
                <w:szCs w:val="20"/>
              </w:rPr>
            </w:pPr>
            <w:r w:rsidRPr="0018295B">
              <w:rPr>
                <w:rFonts w:cs="Arial"/>
                <w:sz w:val="20"/>
                <w:szCs w:val="20"/>
              </w:rPr>
              <w:t>Custo já previsto no item 0.1.03</w:t>
            </w:r>
          </w:p>
          <w:p w:rsidR="0018295B" w:rsidRPr="0018295B" w:rsidRDefault="0018295B" w:rsidP="0018295B">
            <w:pPr>
              <w:spacing w:before="120"/>
              <w:jc w:val="center"/>
              <w:rPr>
                <w:rFonts w:cs="Arial"/>
                <w:sz w:val="20"/>
                <w:szCs w:val="20"/>
              </w:rPr>
            </w:pPr>
          </w:p>
        </w:tc>
        <w:tc>
          <w:tcPr>
            <w:tcW w:w="742" w:type="pct"/>
            <w:shd w:val="clear" w:color="auto" w:fill="FFFFFF"/>
            <w:vAlign w:val="center"/>
          </w:tcPr>
          <w:p w:rsidR="0018295B" w:rsidRPr="0018295B" w:rsidRDefault="0018295B" w:rsidP="0018295B">
            <w:pPr>
              <w:spacing w:before="120" w:line="240" w:lineRule="auto"/>
              <w:jc w:val="center"/>
              <w:rPr>
                <w:rFonts w:cs="Arial"/>
                <w:color w:val="000000"/>
                <w:sz w:val="20"/>
                <w:szCs w:val="20"/>
              </w:rPr>
            </w:pPr>
            <w:r w:rsidRPr="0018295B">
              <w:rPr>
                <w:rFonts w:cs="Arial"/>
                <w:sz w:val="20"/>
                <w:szCs w:val="20"/>
              </w:rPr>
              <w:t>Prefeitura Municipal / Setor Geral / Secretaria de Educação</w:t>
            </w:r>
          </w:p>
        </w:tc>
      </w:tr>
      <w:tr w:rsidR="0018295B" w:rsidRPr="0018295B" w:rsidTr="0018295B">
        <w:trPr>
          <w:cantSplit/>
          <w:trHeight w:val="113"/>
        </w:trPr>
        <w:tc>
          <w:tcPr>
            <w:tcW w:w="495" w:type="pct"/>
            <w:shd w:val="clear" w:color="auto" w:fill="auto"/>
            <w:vAlign w:val="center"/>
          </w:tcPr>
          <w:p w:rsidR="0018295B" w:rsidRPr="0018295B" w:rsidRDefault="0018295B" w:rsidP="0018295B">
            <w:pPr>
              <w:jc w:val="center"/>
              <w:rPr>
                <w:rFonts w:cs="Arial"/>
                <w:sz w:val="20"/>
                <w:szCs w:val="20"/>
              </w:rPr>
            </w:pPr>
            <w:r w:rsidRPr="0018295B">
              <w:rPr>
                <w:rFonts w:cs="Arial"/>
                <w:sz w:val="20"/>
                <w:szCs w:val="20"/>
              </w:rPr>
              <w:t>0.7.1.40</w:t>
            </w:r>
          </w:p>
        </w:tc>
        <w:tc>
          <w:tcPr>
            <w:tcW w:w="2525" w:type="pct"/>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18295B">
              <w:rPr>
                <w:rFonts w:cs="Arial"/>
                <w:sz w:val="20"/>
                <w:szCs w:val="20"/>
                <w:lang w:eastAsia="pt-BR"/>
              </w:rPr>
              <w:t xml:space="preserve">Solicitar das escolas públicas um relatório anual sobre os conceitos apresentados e atividades realizadas no último ano letivo, sobre temas referentes ao saneamento básico municipal. </w:t>
            </w:r>
          </w:p>
        </w:tc>
        <w:tc>
          <w:tcPr>
            <w:tcW w:w="720" w:type="pct"/>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2º-20º</w:t>
            </w:r>
          </w:p>
        </w:tc>
        <w:tc>
          <w:tcPr>
            <w:tcW w:w="518" w:type="pct"/>
            <w:shd w:val="clear" w:color="auto" w:fill="FFFFFF"/>
            <w:vAlign w:val="center"/>
          </w:tcPr>
          <w:p w:rsidR="0018295B" w:rsidRPr="0018295B" w:rsidRDefault="0018295B" w:rsidP="0018295B">
            <w:pPr>
              <w:spacing w:line="240" w:lineRule="auto"/>
              <w:jc w:val="center"/>
              <w:rPr>
                <w:rFonts w:eastAsia="Times New Roman" w:cs="Arial"/>
                <w:sz w:val="20"/>
                <w:szCs w:val="20"/>
              </w:rPr>
            </w:pPr>
            <w:r w:rsidRPr="0018295B">
              <w:rPr>
                <w:rFonts w:cs="Arial"/>
                <w:sz w:val="20"/>
                <w:szCs w:val="20"/>
              </w:rPr>
              <w:t>Custo já previsto no item 0.1.03</w:t>
            </w:r>
          </w:p>
          <w:p w:rsidR="0018295B" w:rsidRPr="0018295B" w:rsidRDefault="0018295B" w:rsidP="0018295B">
            <w:pPr>
              <w:spacing w:before="120"/>
              <w:jc w:val="center"/>
              <w:rPr>
                <w:rFonts w:cs="Arial"/>
                <w:sz w:val="20"/>
                <w:szCs w:val="20"/>
              </w:rPr>
            </w:pPr>
          </w:p>
        </w:tc>
        <w:tc>
          <w:tcPr>
            <w:tcW w:w="742" w:type="pct"/>
            <w:shd w:val="clear" w:color="auto" w:fill="FFFFFF"/>
            <w:vAlign w:val="center"/>
          </w:tcPr>
          <w:p w:rsidR="0018295B" w:rsidRPr="0018295B" w:rsidRDefault="0018295B" w:rsidP="0018295B">
            <w:pPr>
              <w:spacing w:before="120" w:line="240" w:lineRule="auto"/>
              <w:jc w:val="center"/>
              <w:rPr>
                <w:rFonts w:cs="Arial"/>
                <w:color w:val="000000"/>
                <w:sz w:val="20"/>
                <w:szCs w:val="20"/>
              </w:rPr>
            </w:pPr>
            <w:r w:rsidRPr="0018295B">
              <w:rPr>
                <w:rFonts w:cs="Arial"/>
                <w:sz w:val="20"/>
                <w:szCs w:val="20"/>
              </w:rPr>
              <w:t>Prefeitura Municipal / Setor Geral / Secretaria de Educação</w:t>
            </w:r>
          </w:p>
        </w:tc>
      </w:tr>
      <w:tr w:rsidR="0018295B" w:rsidRPr="0018295B" w:rsidTr="0018295B">
        <w:trPr>
          <w:cantSplit/>
          <w:trHeight w:val="20"/>
        </w:trPr>
        <w:tc>
          <w:tcPr>
            <w:tcW w:w="495" w:type="pct"/>
            <w:shd w:val="clear" w:color="auto" w:fill="auto"/>
            <w:vAlign w:val="center"/>
          </w:tcPr>
          <w:p w:rsidR="0018295B" w:rsidRPr="0018295B" w:rsidRDefault="0018295B" w:rsidP="0018295B">
            <w:pPr>
              <w:jc w:val="center"/>
              <w:rPr>
                <w:rFonts w:cs="Arial"/>
                <w:sz w:val="20"/>
                <w:szCs w:val="20"/>
              </w:rPr>
            </w:pPr>
            <w:r w:rsidRPr="0018295B">
              <w:rPr>
                <w:rFonts w:cs="Arial"/>
                <w:sz w:val="20"/>
                <w:szCs w:val="20"/>
              </w:rPr>
              <w:t>0.7.1.41</w:t>
            </w:r>
          </w:p>
        </w:tc>
        <w:tc>
          <w:tcPr>
            <w:tcW w:w="2525" w:type="pct"/>
            <w:shd w:val="clear" w:color="auto" w:fill="auto"/>
            <w:vAlign w:val="center"/>
          </w:tcPr>
          <w:p w:rsidR="0018295B" w:rsidRPr="0018295B" w:rsidRDefault="0018295B" w:rsidP="00810C89">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810C89">
              <w:rPr>
                <w:rFonts w:cs="Arial"/>
                <w:sz w:val="20"/>
                <w:szCs w:val="20"/>
                <w:lang w:eastAsia="pt-BR"/>
              </w:rPr>
              <w:t>Disponibilizar anualmente os relatórios do SMIS às escolas locais.</w:t>
            </w:r>
          </w:p>
        </w:tc>
        <w:tc>
          <w:tcPr>
            <w:tcW w:w="720" w:type="pct"/>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2º-20º</w:t>
            </w:r>
          </w:p>
        </w:tc>
        <w:tc>
          <w:tcPr>
            <w:tcW w:w="518" w:type="pct"/>
            <w:shd w:val="clear" w:color="auto" w:fill="FFFFFF"/>
            <w:vAlign w:val="center"/>
          </w:tcPr>
          <w:p w:rsidR="0018295B" w:rsidRPr="0018295B" w:rsidRDefault="0018295B" w:rsidP="0018295B">
            <w:pPr>
              <w:spacing w:line="240" w:lineRule="auto"/>
              <w:jc w:val="center"/>
              <w:rPr>
                <w:rFonts w:eastAsia="Times New Roman" w:cs="Arial"/>
                <w:sz w:val="20"/>
                <w:szCs w:val="20"/>
              </w:rPr>
            </w:pPr>
            <w:r w:rsidRPr="0018295B">
              <w:rPr>
                <w:rFonts w:cs="Arial"/>
                <w:sz w:val="20"/>
                <w:szCs w:val="20"/>
              </w:rPr>
              <w:t>Custo já previsto no item 0.1.03</w:t>
            </w:r>
          </w:p>
          <w:p w:rsidR="0018295B" w:rsidRPr="0018295B" w:rsidRDefault="0018295B" w:rsidP="0018295B">
            <w:pPr>
              <w:spacing w:before="120" w:line="240" w:lineRule="auto"/>
              <w:jc w:val="center"/>
              <w:rPr>
                <w:rFonts w:cs="Arial"/>
                <w:sz w:val="20"/>
                <w:szCs w:val="20"/>
              </w:rPr>
            </w:pPr>
          </w:p>
        </w:tc>
        <w:tc>
          <w:tcPr>
            <w:tcW w:w="742" w:type="pct"/>
            <w:shd w:val="clear" w:color="auto" w:fill="FFFFFF"/>
            <w:vAlign w:val="center"/>
          </w:tcPr>
          <w:p w:rsidR="0018295B" w:rsidRPr="0018295B" w:rsidRDefault="0018295B" w:rsidP="0018295B">
            <w:pPr>
              <w:spacing w:before="120" w:line="240" w:lineRule="auto"/>
              <w:jc w:val="center"/>
              <w:rPr>
                <w:rFonts w:cs="Arial"/>
                <w:sz w:val="20"/>
                <w:szCs w:val="20"/>
              </w:rPr>
            </w:pPr>
            <w:r w:rsidRPr="0018295B">
              <w:rPr>
                <w:rFonts w:cs="Arial"/>
                <w:sz w:val="20"/>
                <w:szCs w:val="20"/>
              </w:rPr>
              <w:t>Prefeitura Municipal Setor Geral / Secretaria de Educação</w:t>
            </w:r>
          </w:p>
        </w:tc>
      </w:tr>
    </w:tbl>
    <w:p w:rsidR="00AB0C1B" w:rsidRDefault="0018295B" w:rsidP="00810C89">
      <w:pPr>
        <w:pStyle w:val="Fonte"/>
      </w:pPr>
      <w:r w:rsidRPr="0018295B">
        <w:t>*(s/o/m/a) = nº do setor / nº do obj</w:t>
      </w:r>
      <w:r>
        <w:t>etivo / nº da meta / nº da ação.</w:t>
      </w:r>
    </w:p>
    <w:p w:rsidR="0018295B" w:rsidRDefault="0018295B" w:rsidP="00810C89">
      <w:pPr>
        <w:pStyle w:val="Fonte"/>
        <w:sectPr w:rsidR="0018295B" w:rsidSect="0018295B">
          <w:footerReference w:type="default" r:id="rId44"/>
          <w:pgSz w:w="16838" w:h="11906" w:orient="landscape" w:code="9"/>
          <w:pgMar w:top="1134" w:right="1134" w:bottom="1418" w:left="1134" w:header="709" w:footer="709" w:gutter="0"/>
          <w:cols w:space="720"/>
          <w:docGrid w:linePitch="326"/>
        </w:sectPr>
      </w:pPr>
    </w:p>
    <w:p w:rsidR="00977ED4" w:rsidRPr="009C4806" w:rsidRDefault="00977ED4" w:rsidP="00BC01B1">
      <w:pPr>
        <w:pStyle w:val="Ttulo3"/>
      </w:pPr>
      <w:bookmarkStart w:id="619" w:name="_Toc434591748"/>
      <w:bookmarkStart w:id="620" w:name="_Toc439682520"/>
      <w:bookmarkStart w:id="621" w:name="_Toc440617413"/>
      <w:bookmarkStart w:id="622" w:name="_Toc488920046"/>
      <w:bookmarkStart w:id="623" w:name="_Toc498594018"/>
      <w:bookmarkStart w:id="624" w:name="_Toc509935508"/>
      <w:bookmarkEnd w:id="586"/>
      <w:bookmarkEnd w:id="587"/>
      <w:r w:rsidRPr="009C4806">
        <w:lastRenderedPageBreak/>
        <w:t xml:space="preserve">Detalhamento de </w:t>
      </w:r>
      <w:bookmarkEnd w:id="619"/>
      <w:bookmarkEnd w:id="620"/>
      <w:bookmarkEnd w:id="621"/>
      <w:bookmarkEnd w:id="622"/>
      <w:bookmarkEnd w:id="623"/>
      <w:r w:rsidR="000B79E4" w:rsidRPr="009C4806">
        <w:t>programas, projetos e ações</w:t>
      </w:r>
      <w:bookmarkEnd w:id="624"/>
      <w:r w:rsidR="000B79E4" w:rsidRPr="009C4806">
        <w:t xml:space="preserve"> </w:t>
      </w:r>
    </w:p>
    <w:p w:rsidR="00977ED4" w:rsidRPr="00810C89" w:rsidRDefault="00977ED4" w:rsidP="00BC01B1">
      <w:pPr>
        <w:pStyle w:val="Ttulo4"/>
      </w:pPr>
      <w:bookmarkStart w:id="625" w:name="_Toc440617414"/>
      <w:bookmarkStart w:id="626" w:name="_Toc488920047"/>
      <w:bookmarkStart w:id="627" w:name="_Toc498594019"/>
      <w:bookmarkStart w:id="628" w:name="_Toc509935509"/>
      <w:r w:rsidRPr="00810C89">
        <w:t>Centralização da gestão do saneamento básico</w:t>
      </w:r>
      <w:bookmarkEnd w:id="625"/>
      <w:bookmarkEnd w:id="626"/>
      <w:bookmarkEnd w:id="627"/>
      <w:bookmarkEnd w:id="628"/>
    </w:p>
    <w:p w:rsidR="00977ED4" w:rsidRPr="009C4806" w:rsidRDefault="00977ED4" w:rsidP="00977ED4">
      <w:pPr>
        <w:spacing w:before="120" w:after="120"/>
        <w:ind w:firstLine="709"/>
        <w:contextualSpacing/>
        <w:jc w:val="both"/>
        <w:rPr>
          <w:rFonts w:cs="Arial"/>
        </w:rPr>
      </w:pPr>
      <w:r w:rsidRPr="002A6452">
        <w:rPr>
          <w:rFonts w:cs="Arial"/>
        </w:rPr>
        <w:t xml:space="preserve">De acordo com </w:t>
      </w:r>
      <w:r w:rsidRPr="005C1452">
        <w:rPr>
          <w:rFonts w:cs="Arial"/>
        </w:rPr>
        <w:t xml:space="preserve">a Lei do Saneamento Básico, o titular dos serviços de saneamento básico é </w:t>
      </w:r>
      <w:r w:rsidRPr="009C4806">
        <w:rPr>
          <w:rFonts w:cs="Arial"/>
        </w:rPr>
        <w:t>a Prefeitura Municipal, portanto ela é responsável por prestar os serviços e gerenciá-los.</w:t>
      </w:r>
    </w:p>
    <w:p w:rsidR="00977ED4" w:rsidRDefault="00B71958" w:rsidP="00977ED4">
      <w:pPr>
        <w:spacing w:before="120" w:after="120"/>
        <w:ind w:firstLine="709"/>
        <w:contextualSpacing/>
        <w:jc w:val="both"/>
        <w:rPr>
          <w:rFonts w:cs="Arial"/>
        </w:rPr>
      </w:pPr>
      <w:r w:rsidRPr="005A2847">
        <w:rPr>
          <w:rFonts w:cs="Arial"/>
        </w:rPr>
        <w:t xml:space="preserve">No município de </w:t>
      </w:r>
      <w:r w:rsidRPr="005A2847">
        <w:rPr>
          <w:rFonts w:cs="Arial"/>
          <w:szCs w:val="24"/>
          <w:lang w:eastAsia="pt-BR"/>
        </w:rPr>
        <w:t>Córrego Novo</w:t>
      </w:r>
      <w:r w:rsidRPr="005A2847">
        <w:rPr>
          <w:rFonts w:cs="Arial"/>
        </w:rPr>
        <w:t>, a prestação dos serviços de abastecimento de água é assumida pela COPASA. Os serviços de esgotamento sanitário,</w:t>
      </w:r>
      <w:r>
        <w:rPr>
          <w:rFonts w:cs="Arial"/>
        </w:rPr>
        <w:t xml:space="preserve"> </w:t>
      </w:r>
      <w:r w:rsidRPr="005A2847">
        <w:rPr>
          <w:rFonts w:cs="Arial"/>
        </w:rPr>
        <w:t>drenagem urbana e limpeza urbana e manejo de resíduos sólidos são de responsabilidade da Prefeitura Municipal</w:t>
      </w:r>
      <w:r>
        <w:rPr>
          <w:rFonts w:cs="Arial"/>
        </w:rPr>
        <w:t xml:space="preserve">, </w:t>
      </w:r>
      <w:r w:rsidR="00977ED4" w:rsidRPr="009C4806">
        <w:rPr>
          <w:rFonts w:cs="Arial"/>
        </w:rPr>
        <w:t>todavia a gestão dos serviços sofre dificuldades por falta de infraestrutura, recursos materiais e recursos humanos para atender às demandas do município com eficácia e eficiência. Mesmo assim, considera-se importante que o prefeito, seus secretários e profissionais das áreas jurídica e financeira se reúnam para, juntos, avaliarem a possibilidade de se criar uma Secretaria ou Departamento Municipal de Saneamento Básico ou apenas uma Divisão de Saneamento Básico, subordinada a uma ou mais Secretarias Municipais.</w:t>
      </w:r>
      <w:r w:rsidR="003C78E1" w:rsidRPr="009C4806">
        <w:rPr>
          <w:rFonts w:cs="Arial"/>
        </w:rPr>
        <w:t xml:space="preserve"> </w:t>
      </w:r>
    </w:p>
    <w:p w:rsidR="00977ED4" w:rsidRPr="002A6452" w:rsidRDefault="00977ED4" w:rsidP="00977ED4">
      <w:pPr>
        <w:spacing w:before="120" w:after="120"/>
        <w:ind w:firstLine="709"/>
        <w:contextualSpacing/>
        <w:jc w:val="both"/>
        <w:rPr>
          <w:rFonts w:cs="Arial"/>
        </w:rPr>
      </w:pPr>
      <w:r w:rsidRPr="009C4806">
        <w:rPr>
          <w:rFonts w:cs="Arial"/>
        </w:rPr>
        <w:t xml:space="preserve">Esse </w:t>
      </w:r>
      <w:r w:rsidR="005E21DE" w:rsidRPr="009C4806">
        <w:rPr>
          <w:rFonts w:cs="Arial"/>
        </w:rPr>
        <w:t xml:space="preserve">novo </w:t>
      </w:r>
      <w:r w:rsidRPr="009C4806">
        <w:rPr>
          <w:rFonts w:cs="Arial"/>
        </w:rPr>
        <w:t xml:space="preserve">órgão teria como missão </w:t>
      </w:r>
      <w:r w:rsidRPr="002A6452">
        <w:rPr>
          <w:rFonts w:cs="Arial"/>
        </w:rPr>
        <w:t>buscar a gestão integrada do sistema de saneamento básico municipal, tanto no que diz respeito aos serviços operacionais quanto aos gerenciais.</w:t>
      </w:r>
    </w:p>
    <w:p w:rsidR="00977ED4" w:rsidRPr="002A6452" w:rsidRDefault="00977ED4" w:rsidP="00977ED4">
      <w:pPr>
        <w:spacing w:before="120" w:after="120"/>
        <w:ind w:firstLine="709"/>
        <w:contextualSpacing/>
        <w:jc w:val="both"/>
        <w:rPr>
          <w:rFonts w:cs="Arial"/>
        </w:rPr>
      </w:pPr>
      <w:r w:rsidRPr="002A6452">
        <w:rPr>
          <w:rFonts w:cs="Arial"/>
        </w:rPr>
        <w:t>Após a escolha do formato legal da organização responsável pela gestão integrada do saneamento básico, haverá a necessidade de se pensar na estruturação física e funcional da mesma. Dever-se-á, portanto, providenciar sala(s), equipamentos e recursos humanos com habilitação técnica compatível com as necessidades da gestão, e planejar o funcionamento desse novo setor, através do estabelecimento de procedimentos técnicos.</w:t>
      </w:r>
    </w:p>
    <w:p w:rsidR="00977ED4" w:rsidRPr="002A6452" w:rsidRDefault="00977ED4" w:rsidP="00977ED4">
      <w:pPr>
        <w:spacing w:before="120" w:after="120"/>
        <w:ind w:firstLine="709"/>
        <w:contextualSpacing/>
        <w:jc w:val="both"/>
        <w:rPr>
          <w:rFonts w:cs="Arial"/>
        </w:rPr>
      </w:pPr>
      <w:r w:rsidRPr="002A6452">
        <w:rPr>
          <w:rFonts w:cs="Arial"/>
        </w:rPr>
        <w:t>Considera-se que os recursos humanos mínimos para atender às demandas de um Departamento / Divisão de Saneamento sejam:</w:t>
      </w:r>
    </w:p>
    <w:p w:rsidR="00977ED4" w:rsidRPr="002A6452" w:rsidRDefault="00977ED4" w:rsidP="0066661F">
      <w:pPr>
        <w:numPr>
          <w:ilvl w:val="0"/>
          <w:numId w:val="46"/>
        </w:numPr>
        <w:ind w:left="1134" w:hanging="283"/>
        <w:jc w:val="both"/>
        <w:rPr>
          <w:rFonts w:cs="Arial"/>
        </w:rPr>
      </w:pPr>
      <w:r w:rsidRPr="002A6452">
        <w:rPr>
          <w:rFonts w:cs="Arial"/>
        </w:rPr>
        <w:t>Um secretário/diretor, preferencialmente com formação de nível superior em área específica de meio ambiente ou sanitária, para exercer funções predominantemente gerenciais.</w:t>
      </w:r>
    </w:p>
    <w:p w:rsidR="00977ED4" w:rsidRPr="002A6452" w:rsidRDefault="00977ED4" w:rsidP="0066661F">
      <w:pPr>
        <w:numPr>
          <w:ilvl w:val="0"/>
          <w:numId w:val="46"/>
        </w:numPr>
        <w:ind w:left="1134" w:hanging="283"/>
        <w:jc w:val="both"/>
        <w:rPr>
          <w:rFonts w:cs="Arial"/>
        </w:rPr>
      </w:pPr>
      <w:r w:rsidRPr="002A6452">
        <w:rPr>
          <w:rFonts w:cs="Arial"/>
        </w:rPr>
        <w:lastRenderedPageBreak/>
        <w:t>Um funcionário com formação de nível superior em área específica de meio ambiente ou sanitária, para exercer funções predominantemente relacionadas à supervisão operacional.</w:t>
      </w:r>
    </w:p>
    <w:p w:rsidR="00977ED4" w:rsidRPr="002A6452" w:rsidRDefault="00977ED4" w:rsidP="0066661F">
      <w:pPr>
        <w:numPr>
          <w:ilvl w:val="0"/>
          <w:numId w:val="46"/>
        </w:numPr>
        <w:ind w:left="1134" w:hanging="283"/>
        <w:jc w:val="both"/>
        <w:rPr>
          <w:rFonts w:cs="Arial"/>
        </w:rPr>
      </w:pPr>
      <w:r w:rsidRPr="002A6452">
        <w:rPr>
          <w:rFonts w:cs="Arial"/>
        </w:rPr>
        <w:t>Dois funcionários com formação de nível técnico em área específica de meio ambiente ou sanitária, para exercer funções operacionais e relacionadas à coleta de dados e manutenção de registros.</w:t>
      </w:r>
    </w:p>
    <w:p w:rsidR="00977ED4" w:rsidRPr="002A6452" w:rsidRDefault="00977ED4" w:rsidP="0066661F">
      <w:pPr>
        <w:numPr>
          <w:ilvl w:val="0"/>
          <w:numId w:val="46"/>
        </w:numPr>
        <w:ind w:left="1134" w:hanging="283"/>
        <w:jc w:val="both"/>
        <w:rPr>
          <w:rFonts w:cs="Arial"/>
        </w:rPr>
      </w:pPr>
      <w:r w:rsidRPr="002A6452">
        <w:rPr>
          <w:rFonts w:cs="Arial"/>
        </w:rPr>
        <w:t>Um funcionário com formação de nível técnico em TI, para operar o SMIS.</w:t>
      </w:r>
    </w:p>
    <w:p w:rsidR="00977ED4" w:rsidRPr="002A6452" w:rsidRDefault="00977ED4" w:rsidP="00977ED4">
      <w:pPr>
        <w:ind w:left="1134"/>
        <w:jc w:val="both"/>
        <w:rPr>
          <w:rFonts w:cs="Arial"/>
        </w:rPr>
      </w:pPr>
    </w:p>
    <w:p w:rsidR="00977ED4" w:rsidRPr="002A6452" w:rsidRDefault="00977ED4" w:rsidP="00977ED4">
      <w:pPr>
        <w:ind w:firstLine="708"/>
        <w:jc w:val="both"/>
        <w:rPr>
          <w:rFonts w:cs="Arial"/>
        </w:rPr>
      </w:pPr>
      <w:r w:rsidRPr="002A6452">
        <w:rPr>
          <w:rFonts w:cs="Arial"/>
        </w:rPr>
        <w:t xml:space="preserve">Além dos recursos humanos, será necessário, para um bom funcionamento do setor: </w:t>
      </w:r>
    </w:p>
    <w:p w:rsidR="00977ED4" w:rsidRPr="002A6452" w:rsidRDefault="00977ED4" w:rsidP="0066661F">
      <w:pPr>
        <w:numPr>
          <w:ilvl w:val="0"/>
          <w:numId w:val="48"/>
        </w:numPr>
        <w:jc w:val="both"/>
        <w:rPr>
          <w:rFonts w:cs="Arial"/>
        </w:rPr>
      </w:pPr>
      <w:r w:rsidRPr="002A6452">
        <w:rPr>
          <w:rFonts w:cs="Arial"/>
        </w:rPr>
        <w:t xml:space="preserve">Espaço físico com estrutura básica de escritório (mesas, cadeiras, armários, etc.), considerando a necessidade frequente da realização de reuniões entre os técnicos desse setor e os de vários outros setores da administração municipal. </w:t>
      </w:r>
    </w:p>
    <w:p w:rsidR="00977ED4" w:rsidRPr="002A6452" w:rsidRDefault="00977ED4" w:rsidP="0066661F">
      <w:pPr>
        <w:numPr>
          <w:ilvl w:val="0"/>
          <w:numId w:val="48"/>
        </w:numPr>
        <w:jc w:val="both"/>
        <w:rPr>
          <w:rFonts w:cs="Arial"/>
        </w:rPr>
      </w:pPr>
      <w:r w:rsidRPr="002A6452">
        <w:rPr>
          <w:rFonts w:cs="Arial"/>
        </w:rPr>
        <w:t>Equipamentos (computadores para cada um dos funcionários do setor, telefones, impressora, calculadoras, máquina fotográfica, aparelho de GPS, etc.).</w:t>
      </w:r>
    </w:p>
    <w:p w:rsidR="00977ED4" w:rsidRPr="002A6452" w:rsidRDefault="00977ED4" w:rsidP="0066661F">
      <w:pPr>
        <w:numPr>
          <w:ilvl w:val="0"/>
          <w:numId w:val="48"/>
        </w:numPr>
        <w:jc w:val="both"/>
        <w:rPr>
          <w:rFonts w:cs="Arial"/>
        </w:rPr>
      </w:pPr>
      <w:r w:rsidRPr="002A6452">
        <w:rPr>
          <w:rFonts w:cs="Arial"/>
        </w:rPr>
        <w:t>Estrutura de rede de computadores com servidor e acesso à internet.</w:t>
      </w:r>
    </w:p>
    <w:p w:rsidR="00977ED4" w:rsidRPr="002A6452" w:rsidRDefault="00977ED4" w:rsidP="0066661F">
      <w:pPr>
        <w:numPr>
          <w:ilvl w:val="0"/>
          <w:numId w:val="48"/>
        </w:numPr>
        <w:jc w:val="both"/>
        <w:rPr>
          <w:rFonts w:cs="Arial"/>
        </w:rPr>
      </w:pPr>
      <w:r w:rsidRPr="002A6452">
        <w:rPr>
          <w:rFonts w:cs="Arial"/>
        </w:rPr>
        <w:t xml:space="preserve">Materiais básicos de escritório (papel, lápis, canetas, pastas, clipes, réguas, etc.). </w:t>
      </w:r>
    </w:p>
    <w:p w:rsidR="00977ED4" w:rsidRPr="002A6452" w:rsidRDefault="00977ED4" w:rsidP="0066661F">
      <w:pPr>
        <w:numPr>
          <w:ilvl w:val="0"/>
          <w:numId w:val="48"/>
        </w:numPr>
        <w:jc w:val="both"/>
        <w:rPr>
          <w:rFonts w:cs="Arial"/>
        </w:rPr>
      </w:pPr>
      <w:r w:rsidRPr="002A6452">
        <w:rPr>
          <w:rFonts w:cs="Arial"/>
        </w:rPr>
        <w:t>Veículos: carro(s), moto(s).</w:t>
      </w:r>
    </w:p>
    <w:p w:rsidR="00977ED4" w:rsidRPr="002A6452" w:rsidRDefault="00977ED4" w:rsidP="00977ED4">
      <w:pPr>
        <w:spacing w:before="120" w:after="120"/>
        <w:ind w:firstLine="709"/>
        <w:contextualSpacing/>
        <w:jc w:val="both"/>
        <w:rPr>
          <w:rFonts w:cs="Arial"/>
        </w:rPr>
      </w:pPr>
      <w:r w:rsidRPr="002A6452">
        <w:rPr>
          <w:rFonts w:cs="Arial"/>
        </w:rPr>
        <w:t>A seguir são propostas algumas das principais atribuições da gestão integrada do saneamento básico:</w:t>
      </w:r>
    </w:p>
    <w:p w:rsidR="00977ED4" w:rsidRPr="002A6452" w:rsidRDefault="00977ED4" w:rsidP="0066661F">
      <w:pPr>
        <w:numPr>
          <w:ilvl w:val="0"/>
          <w:numId w:val="47"/>
        </w:numPr>
        <w:jc w:val="both"/>
        <w:rPr>
          <w:rFonts w:cs="Arial"/>
        </w:rPr>
      </w:pPr>
      <w:r w:rsidRPr="002A6452">
        <w:rPr>
          <w:rFonts w:cs="Arial"/>
        </w:rPr>
        <w:t>Formular, coordenar e fazer executar a política municipal de saneamento básico, com regulação, fiscalização e controle social dos serviços prestados.</w:t>
      </w:r>
    </w:p>
    <w:p w:rsidR="00977ED4" w:rsidRPr="002A6452" w:rsidRDefault="00977ED4" w:rsidP="0066661F">
      <w:pPr>
        <w:numPr>
          <w:ilvl w:val="0"/>
          <w:numId w:val="47"/>
        </w:numPr>
        <w:jc w:val="both"/>
        <w:rPr>
          <w:rFonts w:cs="Arial"/>
        </w:rPr>
      </w:pPr>
      <w:r w:rsidRPr="002A6452">
        <w:rPr>
          <w:rFonts w:cs="Arial"/>
        </w:rPr>
        <w:t>Executar atividades administrativas no âmbito do saneamento básico municipal.</w:t>
      </w:r>
    </w:p>
    <w:p w:rsidR="00977ED4" w:rsidRPr="002A6452" w:rsidRDefault="00977ED4" w:rsidP="0066661F">
      <w:pPr>
        <w:numPr>
          <w:ilvl w:val="0"/>
          <w:numId w:val="47"/>
        </w:numPr>
        <w:jc w:val="both"/>
        <w:rPr>
          <w:rFonts w:cs="Arial"/>
        </w:rPr>
      </w:pPr>
      <w:r w:rsidRPr="002A6452">
        <w:rPr>
          <w:rFonts w:cs="Arial"/>
        </w:rPr>
        <w:t>Acompanhar o planejamento anual e plurianual dos quatro setores.</w:t>
      </w:r>
    </w:p>
    <w:p w:rsidR="00977ED4" w:rsidRPr="002A6452" w:rsidRDefault="00977ED4" w:rsidP="0066661F">
      <w:pPr>
        <w:numPr>
          <w:ilvl w:val="0"/>
          <w:numId w:val="47"/>
        </w:numPr>
        <w:jc w:val="both"/>
        <w:rPr>
          <w:rFonts w:cs="Arial"/>
        </w:rPr>
      </w:pPr>
      <w:r w:rsidRPr="002A6452">
        <w:rPr>
          <w:rFonts w:cs="Arial"/>
        </w:rPr>
        <w:t>Fiscalizar áreas de interesse dos serviços de saneamento básico.</w:t>
      </w:r>
    </w:p>
    <w:p w:rsidR="00977ED4" w:rsidRPr="002A6452" w:rsidRDefault="00977ED4" w:rsidP="0066661F">
      <w:pPr>
        <w:numPr>
          <w:ilvl w:val="0"/>
          <w:numId w:val="47"/>
        </w:numPr>
        <w:jc w:val="both"/>
        <w:rPr>
          <w:rFonts w:cs="Arial"/>
        </w:rPr>
      </w:pPr>
      <w:r w:rsidRPr="002A6452">
        <w:rPr>
          <w:rFonts w:cs="Arial"/>
        </w:rPr>
        <w:lastRenderedPageBreak/>
        <w:t>Incentivar a elaboração de projetos necessários aos sistemas do saneamento básico municipal para captação de recursos junto a órgãos estaduais, federais e internacionais.</w:t>
      </w:r>
    </w:p>
    <w:p w:rsidR="00977ED4" w:rsidRPr="002A6452" w:rsidRDefault="00977ED4" w:rsidP="0066661F">
      <w:pPr>
        <w:numPr>
          <w:ilvl w:val="0"/>
          <w:numId w:val="47"/>
        </w:numPr>
        <w:jc w:val="both"/>
        <w:rPr>
          <w:rFonts w:cs="Arial"/>
        </w:rPr>
      </w:pPr>
      <w:r w:rsidRPr="002A6452">
        <w:rPr>
          <w:rFonts w:cs="Arial"/>
        </w:rPr>
        <w:t>Desenvolver ações integradas com as Secretarias Municipais.</w:t>
      </w:r>
    </w:p>
    <w:p w:rsidR="00977ED4" w:rsidRPr="002A6452" w:rsidRDefault="00977ED4" w:rsidP="0066661F">
      <w:pPr>
        <w:numPr>
          <w:ilvl w:val="0"/>
          <w:numId w:val="47"/>
        </w:numPr>
        <w:jc w:val="both"/>
        <w:rPr>
          <w:rFonts w:cs="Arial"/>
        </w:rPr>
      </w:pPr>
      <w:r w:rsidRPr="002A6452">
        <w:rPr>
          <w:rFonts w:cs="Arial"/>
        </w:rPr>
        <w:t>Exercer o controle orçamentário no âmbito do Saneamento Básico Municipal.</w:t>
      </w:r>
    </w:p>
    <w:p w:rsidR="00977ED4" w:rsidRPr="002A6452" w:rsidRDefault="00977ED4" w:rsidP="0066661F">
      <w:pPr>
        <w:numPr>
          <w:ilvl w:val="0"/>
          <w:numId w:val="47"/>
        </w:numPr>
        <w:jc w:val="both"/>
        <w:rPr>
          <w:rFonts w:cs="Arial"/>
        </w:rPr>
      </w:pPr>
      <w:r w:rsidRPr="002A6452">
        <w:rPr>
          <w:rFonts w:cs="Arial"/>
        </w:rPr>
        <w:t>Manter mecanismos que atuem no controle do cumprimento de leis federais, estaduais e municipais relativas ao saneamento básico e meio ambiente.</w:t>
      </w:r>
    </w:p>
    <w:p w:rsidR="00977ED4" w:rsidRPr="002A6452" w:rsidRDefault="00977ED4" w:rsidP="0066661F">
      <w:pPr>
        <w:numPr>
          <w:ilvl w:val="0"/>
          <w:numId w:val="47"/>
        </w:numPr>
        <w:jc w:val="both"/>
        <w:rPr>
          <w:rFonts w:cs="Arial"/>
        </w:rPr>
      </w:pPr>
      <w:r w:rsidRPr="002A6452">
        <w:rPr>
          <w:rFonts w:cs="Arial"/>
        </w:rPr>
        <w:t>Zelar pelo patrimônio físico alocado na unidade.</w:t>
      </w:r>
    </w:p>
    <w:p w:rsidR="00977ED4" w:rsidRPr="002A6452" w:rsidRDefault="00977ED4" w:rsidP="0066661F">
      <w:pPr>
        <w:numPr>
          <w:ilvl w:val="0"/>
          <w:numId w:val="47"/>
        </w:numPr>
        <w:jc w:val="both"/>
        <w:rPr>
          <w:rFonts w:cs="Arial"/>
        </w:rPr>
      </w:pPr>
      <w:r w:rsidRPr="002A6452">
        <w:rPr>
          <w:rFonts w:cs="Arial"/>
        </w:rPr>
        <w:t>Intermediar convênios, acordos, ajustes, termos de cooperação técnica e/ou financeira ou instrumentos congêneres, com entidades privadas sem fins lucrativos e órgãos da administração direta e indireta da União, Estados e outros Municípios.</w:t>
      </w:r>
    </w:p>
    <w:p w:rsidR="00977ED4" w:rsidRPr="002A6452" w:rsidRDefault="00977ED4" w:rsidP="0066661F">
      <w:pPr>
        <w:numPr>
          <w:ilvl w:val="0"/>
          <w:numId w:val="47"/>
        </w:numPr>
        <w:jc w:val="both"/>
        <w:rPr>
          <w:rFonts w:cs="Arial"/>
        </w:rPr>
      </w:pPr>
      <w:r w:rsidRPr="002A6452">
        <w:rPr>
          <w:rFonts w:cs="Arial"/>
        </w:rPr>
        <w:t>Estabelecer a cooperação técnica e científica com instituições nacionais e internacionais de defesa e proteção do meio ambiente.</w:t>
      </w:r>
    </w:p>
    <w:p w:rsidR="00977ED4" w:rsidRPr="002A6452" w:rsidRDefault="00977ED4" w:rsidP="0066661F">
      <w:pPr>
        <w:numPr>
          <w:ilvl w:val="0"/>
          <w:numId w:val="47"/>
        </w:numPr>
        <w:jc w:val="both"/>
        <w:rPr>
          <w:rFonts w:cs="Arial"/>
        </w:rPr>
      </w:pPr>
      <w:r w:rsidRPr="002A6452">
        <w:rPr>
          <w:rFonts w:cs="Arial"/>
        </w:rPr>
        <w:t>Realizar ou auxiliar os responsáveis pelos setores, com atividades de regularização e licenciamento ambiental de empreendimentos e atividades passíveis de causar impactos locais, ou seja, aqueles que se circunscrevam aos limites do território municipal, e outras que lhes forem delegadas pelo Estado, através de instrumentos legais e convênios, considerando as disposições legais e regulamentares e as normas técnicas aplicáveis.</w:t>
      </w:r>
    </w:p>
    <w:p w:rsidR="00977ED4" w:rsidRPr="002A6452" w:rsidRDefault="00977ED4" w:rsidP="0066661F">
      <w:pPr>
        <w:numPr>
          <w:ilvl w:val="0"/>
          <w:numId w:val="47"/>
        </w:numPr>
        <w:jc w:val="both"/>
        <w:rPr>
          <w:rFonts w:cs="Arial"/>
        </w:rPr>
      </w:pPr>
      <w:r w:rsidRPr="002A6452">
        <w:rPr>
          <w:rFonts w:cs="Arial"/>
        </w:rPr>
        <w:t>Discutir com as instâncias envolvidas e, com base nessas discussões, definir as formas de gestão para cada um dos eixos de saneamento básico.</w:t>
      </w:r>
    </w:p>
    <w:p w:rsidR="00977ED4" w:rsidRDefault="00977ED4" w:rsidP="00977ED4">
      <w:pPr>
        <w:ind w:firstLine="709"/>
        <w:jc w:val="both"/>
        <w:rPr>
          <w:rFonts w:cs="Arial"/>
        </w:rPr>
      </w:pPr>
      <w:r w:rsidRPr="002A6452">
        <w:rPr>
          <w:rFonts w:cs="Arial"/>
        </w:rPr>
        <w:t xml:space="preserve">Ressalta-se que o setor criado seria responsável </w:t>
      </w:r>
      <w:r>
        <w:rPr>
          <w:rFonts w:cs="Arial"/>
        </w:rPr>
        <w:t xml:space="preserve">pela supervisão </w:t>
      </w:r>
      <w:r w:rsidRPr="002A6452">
        <w:rPr>
          <w:rFonts w:cs="Arial"/>
        </w:rPr>
        <w:t xml:space="preserve">dos serviços, sendo que a prestação dos mesmos seria feita por outros setores como Secretaria de Obras, Secretaria de Meio Ambiente, </w:t>
      </w:r>
      <w:r w:rsidRPr="009C4806">
        <w:rPr>
          <w:rFonts w:cs="Arial"/>
        </w:rPr>
        <w:t>concessionárias, cooperativas e associações, etc.</w:t>
      </w:r>
    </w:p>
    <w:p w:rsidR="00810C89" w:rsidRDefault="00810C89" w:rsidP="00977ED4">
      <w:pPr>
        <w:ind w:firstLine="709"/>
        <w:jc w:val="both"/>
        <w:rPr>
          <w:rFonts w:cs="Arial"/>
        </w:rPr>
      </w:pPr>
    </w:p>
    <w:p w:rsidR="00810C89" w:rsidRDefault="00810C89" w:rsidP="00977ED4">
      <w:pPr>
        <w:ind w:firstLine="709"/>
        <w:jc w:val="both"/>
        <w:rPr>
          <w:rFonts w:cs="Arial"/>
        </w:rPr>
      </w:pPr>
    </w:p>
    <w:p w:rsidR="00977ED4" w:rsidRDefault="00977ED4" w:rsidP="00BC01B1">
      <w:pPr>
        <w:pStyle w:val="Ttulo4"/>
        <w:rPr>
          <w:lang w:val="pt-BR"/>
        </w:rPr>
      </w:pPr>
      <w:bookmarkStart w:id="629" w:name="_Toc488920048"/>
      <w:bookmarkStart w:id="630" w:name="_Toc498594020"/>
      <w:bookmarkStart w:id="631" w:name="_Toc509935510"/>
      <w:r w:rsidRPr="009C4806">
        <w:lastRenderedPageBreak/>
        <w:t>Regulação</w:t>
      </w:r>
      <w:bookmarkEnd w:id="629"/>
      <w:bookmarkEnd w:id="630"/>
      <w:bookmarkEnd w:id="631"/>
      <w:r w:rsidRPr="009C4806">
        <w:t xml:space="preserve"> </w:t>
      </w:r>
    </w:p>
    <w:p w:rsidR="00B71958" w:rsidRPr="002A6452" w:rsidRDefault="00B71958" w:rsidP="00B71958">
      <w:pPr>
        <w:ind w:firstLine="709"/>
        <w:jc w:val="both"/>
        <w:rPr>
          <w:rFonts w:cs="Arial"/>
        </w:rPr>
      </w:pPr>
      <w:r w:rsidRPr="002A6452">
        <w:rPr>
          <w:rFonts w:cs="Arial"/>
        </w:rPr>
        <w:t xml:space="preserve">No município </w:t>
      </w:r>
      <w:r w:rsidRPr="00D47734">
        <w:rPr>
          <w:rFonts w:cs="Arial"/>
        </w:rPr>
        <w:t xml:space="preserve">de </w:t>
      </w:r>
      <w:r w:rsidRPr="00D47734">
        <w:rPr>
          <w:rFonts w:cs="Arial"/>
          <w:szCs w:val="24"/>
          <w:lang w:eastAsia="pt-BR"/>
        </w:rPr>
        <w:t>Córrego Novo</w:t>
      </w:r>
      <w:r w:rsidRPr="00D47734">
        <w:rPr>
          <w:rFonts w:cs="Arial"/>
        </w:rPr>
        <w:t>,</w:t>
      </w:r>
      <w:r w:rsidRPr="002A6452">
        <w:rPr>
          <w:rFonts w:cs="Arial"/>
        </w:rPr>
        <w:t xml:space="preserve"> somente os serviços de abastecimento de água são sujeitos à regulação de uma agência desse tipo, a ARSAE, já que o sistema de água da sede municipal é assumido pela COPASA e a ARSAE é sua reguladora oficial. </w:t>
      </w:r>
    </w:p>
    <w:p w:rsidR="00B71958" w:rsidRPr="002A6452" w:rsidRDefault="00B71958" w:rsidP="00B71958">
      <w:pPr>
        <w:ind w:firstLine="709"/>
        <w:jc w:val="both"/>
        <w:rPr>
          <w:rFonts w:cs="Arial"/>
        </w:rPr>
      </w:pPr>
      <w:r w:rsidRPr="002A6452">
        <w:rPr>
          <w:rFonts w:cs="Arial"/>
        </w:rPr>
        <w:t xml:space="preserve">Conforme o Instituto Trata Brasil, a estruturação das agências reguladoras é fundamental, pois são elas que verificam o cumprimento dos PMSBs por parte dos prestadores de serviços. </w:t>
      </w:r>
    </w:p>
    <w:p w:rsidR="00B71958" w:rsidRPr="002A6452" w:rsidRDefault="00B71958" w:rsidP="00B71958">
      <w:pPr>
        <w:ind w:firstLine="709"/>
        <w:jc w:val="both"/>
        <w:rPr>
          <w:rFonts w:cs="Arial"/>
        </w:rPr>
      </w:pPr>
      <w:r w:rsidRPr="002A6452">
        <w:rPr>
          <w:rFonts w:cs="Arial"/>
        </w:rPr>
        <w:t>Nesse sentido, é necessário que o prefeito, secretários e profissionais das áreas jurídica e financeira se reúnam para avaliarem as possibilidades de o município:</w:t>
      </w:r>
    </w:p>
    <w:p w:rsidR="00B71958" w:rsidRPr="00D30A9D" w:rsidRDefault="00B71958" w:rsidP="00B71958">
      <w:pPr>
        <w:numPr>
          <w:ilvl w:val="0"/>
          <w:numId w:val="7"/>
        </w:numPr>
        <w:jc w:val="both"/>
        <w:rPr>
          <w:rFonts w:cs="Arial"/>
        </w:rPr>
      </w:pPr>
      <w:r w:rsidRPr="00D30A9D">
        <w:rPr>
          <w:rFonts w:cs="Arial"/>
        </w:rPr>
        <w:t>Contratar uma agência reguladora estabelecida, ex.: ARSAE-MG.</w:t>
      </w:r>
    </w:p>
    <w:p w:rsidR="00B71958" w:rsidRPr="00D30A9D" w:rsidRDefault="00B71958" w:rsidP="00B71958">
      <w:pPr>
        <w:numPr>
          <w:ilvl w:val="0"/>
          <w:numId w:val="7"/>
        </w:numPr>
        <w:jc w:val="both"/>
        <w:rPr>
          <w:rFonts w:cs="Arial"/>
        </w:rPr>
      </w:pPr>
      <w:r w:rsidRPr="00D30A9D">
        <w:rPr>
          <w:rFonts w:cs="Arial"/>
        </w:rPr>
        <w:t>Criar uma agência reguladora municipal.</w:t>
      </w:r>
    </w:p>
    <w:p w:rsidR="00B71958" w:rsidRPr="00D30A9D" w:rsidRDefault="00B71958" w:rsidP="00B71958">
      <w:pPr>
        <w:numPr>
          <w:ilvl w:val="0"/>
          <w:numId w:val="7"/>
        </w:numPr>
        <w:jc w:val="both"/>
        <w:rPr>
          <w:rFonts w:cs="Arial"/>
        </w:rPr>
      </w:pPr>
      <w:r w:rsidRPr="00D30A9D">
        <w:rPr>
          <w:rFonts w:cs="Arial"/>
        </w:rPr>
        <w:t xml:space="preserve">Buscar ação consorciada para contratação de agência reguladora intermunicipal com os municípios da mesma sub-bacia hidrográfica (ex.: Agência Reguladora dos serviços de saneamento dos municípios da bacia hidrográfica do Piranga) ou, considerando uma abrangência maior, contratar uma agência reguladora dos serviços de saneamento de municípios pertencentes à bacia do rio Doce. </w:t>
      </w:r>
    </w:p>
    <w:p w:rsidR="00B71958" w:rsidRDefault="00B71958" w:rsidP="00B71958">
      <w:pPr>
        <w:numPr>
          <w:ilvl w:val="0"/>
          <w:numId w:val="7"/>
        </w:numPr>
        <w:jc w:val="both"/>
        <w:rPr>
          <w:rFonts w:cs="Arial"/>
        </w:rPr>
      </w:pPr>
      <w:r w:rsidRPr="00D30A9D">
        <w:rPr>
          <w:rFonts w:cs="Arial"/>
        </w:rPr>
        <w:t>Associar-se a uma agência reguladora intermunicipal já existente.</w:t>
      </w:r>
    </w:p>
    <w:p w:rsidR="00B71958" w:rsidRPr="00B97B63" w:rsidRDefault="00B71958" w:rsidP="00B71958">
      <w:pPr>
        <w:numPr>
          <w:ilvl w:val="0"/>
          <w:numId w:val="7"/>
        </w:numPr>
        <w:jc w:val="both"/>
        <w:rPr>
          <w:rFonts w:cs="Arial"/>
        </w:rPr>
      </w:pPr>
      <w:r w:rsidRPr="00B97B63">
        <w:rPr>
          <w:rFonts w:cs="Arial"/>
        </w:rPr>
        <w:t>Outro arranjo.</w:t>
      </w:r>
    </w:p>
    <w:p w:rsidR="00977ED4" w:rsidRDefault="00977ED4" w:rsidP="00BC01B1">
      <w:pPr>
        <w:pStyle w:val="Ttulo4"/>
      </w:pPr>
      <w:bookmarkStart w:id="632" w:name="_Toc498594021"/>
      <w:bookmarkStart w:id="633" w:name="_Toc509935511"/>
      <w:bookmarkStart w:id="634" w:name="_Toc488920049"/>
      <w:r w:rsidRPr="009C4806">
        <w:t xml:space="preserve">Aspectos passíveis de regulamentação através de leis </w:t>
      </w:r>
      <w:r w:rsidRPr="0093173F">
        <w:t>municipais</w:t>
      </w:r>
      <w:bookmarkEnd w:id="632"/>
      <w:bookmarkEnd w:id="633"/>
      <w:r w:rsidRPr="0093173F">
        <w:t xml:space="preserve"> </w:t>
      </w:r>
    </w:p>
    <w:p w:rsidR="00977ED4" w:rsidRPr="000D7E03" w:rsidRDefault="00977ED4" w:rsidP="00977ED4">
      <w:pPr>
        <w:tabs>
          <w:tab w:val="left" w:pos="2552"/>
        </w:tabs>
        <w:ind w:firstLine="709"/>
        <w:jc w:val="both"/>
      </w:pPr>
      <w:r w:rsidRPr="0093173F">
        <w:t xml:space="preserve">Para que o uso dos quatro sistemas que integram o saneamento básico municipal possa ser </w:t>
      </w:r>
      <w:r w:rsidRPr="000D7E03">
        <w:t>otimizado, é importante que sejam regulamentados, na forma de lei, alguns procedimentos dos gestores públicos, dos prestadores de serviços e, principalmente, dos usuários.</w:t>
      </w:r>
    </w:p>
    <w:p w:rsidR="00977ED4" w:rsidRPr="000D7E03" w:rsidRDefault="00977ED4" w:rsidP="00977ED4">
      <w:pPr>
        <w:tabs>
          <w:tab w:val="left" w:pos="2552"/>
        </w:tabs>
        <w:ind w:firstLine="709"/>
        <w:jc w:val="both"/>
      </w:pPr>
      <w:r w:rsidRPr="000D7E03">
        <w:t xml:space="preserve">Para o Sistema de Abastecimento de Água (SAA) sugere-se que a legislação municipal ou os instrumentos legais inseridos na gestão do sistema, como normas, contratos e convênios, busquem garantir minimamente o fornecimento de um serviço adequado. Tal fundamento </w:t>
      </w:r>
      <w:r w:rsidRPr="00E34125">
        <w:t>também pode ser conseguido</w:t>
      </w:r>
      <w:r w:rsidRPr="000D7E03">
        <w:t xml:space="preserve"> através do atendimento à legislação vigente referente à qualidade e quantidade da água fornecida para o consumo da população e do atendimento às necessidades básicas locais, garantindo </w:t>
      </w:r>
      <w:r w:rsidRPr="000D7E03">
        <w:lastRenderedPageBreak/>
        <w:t>uma operacionalidade mínima através da presença dos seguintes componentes, também esses em quantidade e qualidade suficientes:</w:t>
      </w:r>
    </w:p>
    <w:p w:rsidR="00977ED4" w:rsidRPr="000D7E03" w:rsidRDefault="00977ED4" w:rsidP="008D743A">
      <w:pPr>
        <w:numPr>
          <w:ilvl w:val="0"/>
          <w:numId w:val="7"/>
        </w:numPr>
        <w:jc w:val="both"/>
        <w:rPr>
          <w:rFonts w:cs="Arial"/>
        </w:rPr>
      </w:pPr>
      <w:r w:rsidRPr="000D7E03">
        <w:rPr>
          <w:rFonts w:cs="Arial"/>
        </w:rPr>
        <w:t>Recursos humanos: técnicos gerenciais e operacionais devidamente habilitados e capacitados, em número suficiente para garantir que o sistema apresente uma produtividade mínima estabelecida por um estudo técnico simples.</w:t>
      </w:r>
    </w:p>
    <w:p w:rsidR="00977ED4" w:rsidRPr="000D7E03" w:rsidRDefault="00977ED4" w:rsidP="008D743A">
      <w:pPr>
        <w:numPr>
          <w:ilvl w:val="0"/>
          <w:numId w:val="7"/>
        </w:numPr>
        <w:jc w:val="both"/>
        <w:rPr>
          <w:rFonts w:cs="Arial"/>
        </w:rPr>
      </w:pPr>
      <w:r w:rsidRPr="000D7E03">
        <w:rPr>
          <w:rFonts w:cs="Arial"/>
        </w:rPr>
        <w:t>Recursos patrimoniais devidamente sujeitos a procedimentos sistemáticos de manutenção: consistem em toda a infraestrutura física do SAA, contanto com escritórios, dispositivos de captação de água, estações de bombeamento, estações de tratamento de água, reservatórios, locais adequados para armazenamento de produtos químicos, entre outros.</w:t>
      </w:r>
    </w:p>
    <w:p w:rsidR="00977ED4" w:rsidRPr="000D7E03" w:rsidRDefault="00977ED4" w:rsidP="008D743A">
      <w:pPr>
        <w:numPr>
          <w:ilvl w:val="0"/>
          <w:numId w:val="7"/>
        </w:numPr>
        <w:jc w:val="both"/>
        <w:rPr>
          <w:rFonts w:cs="Arial"/>
        </w:rPr>
      </w:pPr>
      <w:r w:rsidRPr="000D7E03">
        <w:rPr>
          <w:rFonts w:cs="Arial"/>
        </w:rPr>
        <w:t>Equipamentos: veículos, equipamentos eletrônicos (computadores, impressoras, GPS, máquina fotográfica, etc.), telefones, medidores de vazão, ferramentas para consertos genéricos, etc.</w:t>
      </w:r>
    </w:p>
    <w:p w:rsidR="00977ED4" w:rsidRPr="000D7E03" w:rsidRDefault="00977ED4" w:rsidP="008D743A">
      <w:pPr>
        <w:numPr>
          <w:ilvl w:val="0"/>
          <w:numId w:val="7"/>
        </w:numPr>
        <w:jc w:val="both"/>
      </w:pPr>
      <w:r w:rsidRPr="000D7E03">
        <w:t>Recursos materiais e insumos, tais como: energia elétrica, produtos químicos, material de consumo de escritórios, material de limpeza, etc.</w:t>
      </w:r>
    </w:p>
    <w:p w:rsidR="00977ED4" w:rsidRPr="000D7E03" w:rsidRDefault="00977ED4" w:rsidP="00977ED4">
      <w:pPr>
        <w:tabs>
          <w:tab w:val="left" w:pos="2552"/>
        </w:tabs>
        <w:ind w:firstLine="709"/>
        <w:jc w:val="both"/>
      </w:pPr>
      <w:r w:rsidRPr="000D7E03">
        <w:t>Outra questão que pode ser tratada através da legislação municipal é o desperdício de água. Uma lei municipal pode disciplinar o uso da água pelos pequenos e grandes usuários (desde que defina esses segmentos), coibindo o uso de água tratada para fins menos nobres como lavagem de veículos e de pavimentos, irrigação de jardins e hortas, usos ornamentais e para o lazer. Pode-se ainda determinar que instituições públicas adotem procedimentos e/ou equipamentos que otimizem o uso da água como a sua reutilização, a instalação de válvulas de contenção de vazão nas torneiras de prédios públicos, etc.</w:t>
      </w:r>
    </w:p>
    <w:p w:rsidR="00977ED4" w:rsidRPr="000D7E03" w:rsidRDefault="00977ED4" w:rsidP="00977ED4">
      <w:pPr>
        <w:tabs>
          <w:tab w:val="left" w:pos="2552"/>
        </w:tabs>
        <w:ind w:firstLine="709"/>
        <w:jc w:val="both"/>
      </w:pPr>
      <w:r w:rsidRPr="000D7E03">
        <w:t>Para o sistema de esgotamento sanitário a legislação municipal pode regulamentar, entre outros, alguns mecanismos que permitam:</w:t>
      </w:r>
    </w:p>
    <w:p w:rsidR="00977ED4" w:rsidRPr="000D7E03" w:rsidRDefault="00977ED4" w:rsidP="008D743A">
      <w:pPr>
        <w:numPr>
          <w:ilvl w:val="0"/>
          <w:numId w:val="7"/>
        </w:numPr>
        <w:jc w:val="both"/>
      </w:pPr>
      <w:r w:rsidRPr="000D7E03">
        <w:t>A coibição, a fiscalização e a penalização do lançamento de águas pluviais nas redes de esgotos e de esgotos na rede de águas pluviais.</w:t>
      </w:r>
    </w:p>
    <w:p w:rsidR="00977ED4" w:rsidRPr="000D7E03" w:rsidRDefault="00977ED4" w:rsidP="008D743A">
      <w:pPr>
        <w:numPr>
          <w:ilvl w:val="0"/>
          <w:numId w:val="7"/>
        </w:numPr>
        <w:jc w:val="both"/>
      </w:pPr>
      <w:r>
        <w:t>A regulamentação</w:t>
      </w:r>
      <w:r w:rsidRPr="000D7E03">
        <w:t xml:space="preserve"> da colocação da tubulação de distribuição de água e da rede de esgotos</w:t>
      </w:r>
      <w:r>
        <w:t xml:space="preserve"> visando à proibição do uso d</w:t>
      </w:r>
      <w:r w:rsidRPr="000D7E03">
        <w:t>a mesma vala</w:t>
      </w:r>
      <w:r>
        <w:t xml:space="preserve"> para esses dois dispositivos, de forma a</w:t>
      </w:r>
      <w:r w:rsidRPr="000D7E03">
        <w:t xml:space="preserve"> prevenir risco de danos à saúde pública.</w:t>
      </w:r>
    </w:p>
    <w:p w:rsidR="00977ED4" w:rsidRPr="000D7E03" w:rsidRDefault="00977ED4" w:rsidP="008D743A">
      <w:pPr>
        <w:numPr>
          <w:ilvl w:val="0"/>
          <w:numId w:val="7"/>
        </w:numPr>
        <w:jc w:val="both"/>
      </w:pPr>
      <w:r w:rsidRPr="000D7E03">
        <w:lastRenderedPageBreak/>
        <w:t>O estabelecimento de um índice anual mínimo de recuperação da rede de esgotos.</w:t>
      </w:r>
    </w:p>
    <w:p w:rsidR="00977ED4" w:rsidRPr="000D7E03" w:rsidRDefault="00977ED4" w:rsidP="008D743A">
      <w:pPr>
        <w:numPr>
          <w:ilvl w:val="0"/>
          <w:numId w:val="7"/>
        </w:numPr>
        <w:jc w:val="both"/>
      </w:pPr>
      <w:r w:rsidRPr="000D7E03">
        <w:t>A recomendação, para fins de aprovação na Prefeitura, de projetos de redes de esgotos que adotem índices de segurança contra o subdimensionamento precoce das mesmas.</w:t>
      </w:r>
    </w:p>
    <w:p w:rsidR="00977ED4" w:rsidRPr="000D7E03" w:rsidRDefault="00977ED4" w:rsidP="00977ED4">
      <w:pPr>
        <w:tabs>
          <w:tab w:val="left" w:pos="2552"/>
        </w:tabs>
        <w:ind w:firstLine="709"/>
        <w:jc w:val="both"/>
      </w:pPr>
      <w:r w:rsidRPr="000D7E03">
        <w:t>Com relação ao setor de drenagem, a legislação municipal pode regulamentar mecanismos que permitam aumentar o índice de infiltração de água na bacia hidrográfica.</w:t>
      </w:r>
    </w:p>
    <w:p w:rsidR="00977ED4" w:rsidRPr="000D7E03" w:rsidRDefault="00977ED4" w:rsidP="00977ED4">
      <w:pPr>
        <w:tabs>
          <w:tab w:val="left" w:pos="2552"/>
        </w:tabs>
        <w:ind w:firstLine="709"/>
        <w:jc w:val="both"/>
      </w:pPr>
      <w:r w:rsidRPr="000D7E03">
        <w:t>Já para o sistema de manejo de resíduos sólidos, leis municipais podem regulamentar mecanismos que permitam:</w:t>
      </w:r>
    </w:p>
    <w:p w:rsidR="00977ED4" w:rsidRPr="000D7E03" w:rsidRDefault="00977ED4" w:rsidP="008D743A">
      <w:pPr>
        <w:numPr>
          <w:ilvl w:val="0"/>
          <w:numId w:val="7"/>
        </w:numPr>
        <w:jc w:val="both"/>
      </w:pPr>
      <w:r w:rsidRPr="000D7E03">
        <w:t>O disciplinamento da segregação de origem dos resíduos sólidos recicláveis e não recicláveis para disponibilização ao sistema público de coletas (convencional e seletiva), com base no art. 28 da Lei nº 12.305/10.</w:t>
      </w:r>
    </w:p>
    <w:p w:rsidR="00977ED4" w:rsidRPr="000D7E03" w:rsidRDefault="00977ED4" w:rsidP="008D743A">
      <w:pPr>
        <w:numPr>
          <w:ilvl w:val="0"/>
          <w:numId w:val="7"/>
        </w:numPr>
        <w:jc w:val="both"/>
      </w:pPr>
      <w:r w:rsidRPr="000D7E03">
        <w:t>A obrigatoriedade da entrega anual de cópia do Plano de Gerenciamento de Resíduos Sólidos (PGRS) pelos geradores dos resíduos sólidos mencionados no art. 23 da Lei nº 12.305/10 à Prefeitura Municipal.</w:t>
      </w:r>
    </w:p>
    <w:p w:rsidR="00977ED4" w:rsidRPr="000D7E03" w:rsidRDefault="00977ED4" w:rsidP="008D743A">
      <w:pPr>
        <w:numPr>
          <w:ilvl w:val="0"/>
          <w:numId w:val="7"/>
        </w:numPr>
        <w:jc w:val="both"/>
      </w:pPr>
      <w:r w:rsidRPr="000D7E03">
        <w:t xml:space="preserve">Coibir o descarte de RCCs em terrenos baldios, APPs, beiras de estradas vicinais, etc. </w:t>
      </w:r>
    </w:p>
    <w:p w:rsidR="00977ED4" w:rsidRPr="000D7E03" w:rsidRDefault="00977ED4" w:rsidP="008D743A">
      <w:pPr>
        <w:numPr>
          <w:ilvl w:val="0"/>
          <w:numId w:val="7"/>
        </w:numPr>
        <w:jc w:val="both"/>
      </w:pPr>
      <w:r w:rsidRPr="000D7E03">
        <w:t>Incentivar a administração pública a utilizar produtos oriundos da reciclagem de RCC em obras e serviços executados ou contratados pela Prefeitura.</w:t>
      </w:r>
    </w:p>
    <w:p w:rsidR="00977ED4" w:rsidRPr="000D7E03" w:rsidRDefault="00977ED4" w:rsidP="008D743A">
      <w:pPr>
        <w:numPr>
          <w:ilvl w:val="0"/>
          <w:numId w:val="7"/>
        </w:numPr>
        <w:jc w:val="both"/>
      </w:pPr>
      <w:r w:rsidRPr="000D7E03">
        <w:t>Incentivar o estabelecimento de Plantas de Reciclagem de RCC na região.</w:t>
      </w:r>
    </w:p>
    <w:p w:rsidR="00977ED4" w:rsidRPr="00A62363" w:rsidRDefault="00977ED4" w:rsidP="008D743A">
      <w:pPr>
        <w:numPr>
          <w:ilvl w:val="0"/>
          <w:numId w:val="7"/>
        </w:numPr>
        <w:jc w:val="both"/>
      </w:pPr>
      <w:r w:rsidRPr="000D7E03">
        <w:t xml:space="preserve">O disciplinamento da </w:t>
      </w:r>
      <w:r w:rsidRPr="00A62363">
        <w:t>atividade de caçambe</w:t>
      </w:r>
      <w:r>
        <w:t>iros, incluindo o cadastramento dos mesmos, a definição de atribuições dos diversos atores envolvidos na geração de RCC, a</w:t>
      </w:r>
      <w:r w:rsidRPr="00A62363">
        <w:t xml:space="preserve"> liberação de locais a</w:t>
      </w:r>
      <w:r>
        <w:t>propriados para a destinação dos resíduos, etc.</w:t>
      </w:r>
      <w:r w:rsidRPr="00A62363">
        <w:t xml:space="preserve"> </w:t>
      </w:r>
    </w:p>
    <w:p w:rsidR="00977ED4" w:rsidRPr="00A62363" w:rsidRDefault="00977ED4" w:rsidP="00BC01B1">
      <w:pPr>
        <w:pStyle w:val="Ttulo4"/>
      </w:pPr>
      <w:bookmarkStart w:id="635" w:name="_Toc498594022"/>
      <w:bookmarkStart w:id="636" w:name="_Toc509935512"/>
      <w:r w:rsidRPr="00A62363">
        <w:t>Controle social</w:t>
      </w:r>
      <w:bookmarkEnd w:id="634"/>
      <w:bookmarkEnd w:id="635"/>
      <w:bookmarkEnd w:id="636"/>
    </w:p>
    <w:p w:rsidR="00977ED4" w:rsidRPr="00A62363" w:rsidRDefault="00977ED4" w:rsidP="00977ED4">
      <w:pPr>
        <w:tabs>
          <w:tab w:val="left" w:pos="2552"/>
        </w:tabs>
        <w:ind w:firstLine="709"/>
        <w:jc w:val="both"/>
      </w:pPr>
      <w:r w:rsidRPr="00A62363">
        <w:t xml:space="preserve">Para que o presente PMSB atenda a todas as especificidades do município é fundamental que haja participação da sociedade civil, uma vez que é seu papel exercer </w:t>
      </w:r>
      <w:r w:rsidRPr="00A62363">
        <w:lastRenderedPageBreak/>
        <w:t>o controle social para que as demandas referentes aos quatro eixos sejam atendidas plenamente.</w:t>
      </w:r>
    </w:p>
    <w:p w:rsidR="00977ED4" w:rsidRPr="00A62363" w:rsidRDefault="00977ED4" w:rsidP="00977ED4">
      <w:pPr>
        <w:ind w:firstLine="709"/>
        <w:jc w:val="both"/>
      </w:pPr>
      <w:r w:rsidRPr="00A62363">
        <w:t xml:space="preserve">Através do conhecimento acumulado pela convivência diária com as deficiências do saneamento no município, os cidadãos são aptos a identificarem os problemas e colaborarem na proposição de soluções para os eixos. Assim, faz-se necessário criar entidades ou canais de interação e comunicação entre usuários e prestadores de serviços, para que os primeiros possam se manifestar sobre o não atendimento de algumas demandas e também para poder conhecer a realidade da gestão pública desses serviços. </w:t>
      </w:r>
    </w:p>
    <w:p w:rsidR="00977ED4" w:rsidRPr="00A62363" w:rsidRDefault="00977ED4" w:rsidP="00977ED4">
      <w:pPr>
        <w:ind w:firstLine="709"/>
        <w:jc w:val="both"/>
      </w:pPr>
      <w:r w:rsidRPr="00A62363">
        <w:t xml:space="preserve">Esses canais ou entidades podem ser instituídos para abranger diversos níveis de deliberação dentro do setor, podendo abranger desde a comunicação de uma avaria em um componente do sistema até a coparticipação de gestores e munícipes em atividades como o planejamento de investimentos para o setor ou deliberações sobre a prestação de serviços, sua regulação e fiscalização. </w:t>
      </w:r>
    </w:p>
    <w:p w:rsidR="00977ED4" w:rsidRPr="00A62363" w:rsidRDefault="00977ED4" w:rsidP="00977ED4">
      <w:pPr>
        <w:ind w:firstLine="709"/>
        <w:jc w:val="both"/>
      </w:pPr>
      <w:r w:rsidRPr="00A62363">
        <w:t>Assim, pode-se considerar como eficientes na função de controle social, iniciativas como:</w:t>
      </w:r>
    </w:p>
    <w:p w:rsidR="00977ED4" w:rsidRPr="00A62363" w:rsidRDefault="00977ED4" w:rsidP="008D743A">
      <w:pPr>
        <w:numPr>
          <w:ilvl w:val="0"/>
          <w:numId w:val="7"/>
        </w:numPr>
        <w:jc w:val="both"/>
      </w:pPr>
      <w:r w:rsidRPr="00A62363">
        <w:t>Conselho Municipal de Saneamento Básico: esse órgão consultivo deve contar com representantes, em condições paritárias, de Secretarias Municipais, de setores sociais como associações de moradores ou de categorias afins com o saneamento (associação de famílias reassentadas, associação de atingidos por desastres ecológicos ou por barramentos, associação ou cooperativa de catadores de resíduos, etc.), sindicatos de empregados e de empregadores, entre outros. A Lei do Saneamento dispõe sobre a criação do Conselho Municipal de Saneamento.</w:t>
      </w:r>
    </w:p>
    <w:p w:rsidR="00977ED4" w:rsidRPr="00A62363" w:rsidRDefault="00977ED4" w:rsidP="008D743A">
      <w:pPr>
        <w:numPr>
          <w:ilvl w:val="0"/>
          <w:numId w:val="7"/>
        </w:numPr>
        <w:jc w:val="both"/>
      </w:pPr>
      <w:r w:rsidRPr="00A62363">
        <w:t>Balcão de Atendimento, onde gestores públicos e munícipes possam tratar de temas de interesse do setor, buscando a eficácia e a eficiência dos serviços de saneamento básico.</w:t>
      </w:r>
    </w:p>
    <w:p w:rsidR="00977ED4" w:rsidRDefault="00977ED4" w:rsidP="008D743A">
      <w:pPr>
        <w:numPr>
          <w:ilvl w:val="0"/>
          <w:numId w:val="7"/>
        </w:numPr>
        <w:jc w:val="both"/>
      </w:pPr>
      <w:r w:rsidRPr="00A62363">
        <w:t xml:space="preserve">Serviço de Atendimento ao Cidadão (SAC) considerando a viabilidade da abertura de linhas telefônicas de interesse público. </w:t>
      </w:r>
    </w:p>
    <w:p w:rsidR="00810C89" w:rsidRDefault="00810C89" w:rsidP="00810C89">
      <w:pPr>
        <w:ind w:left="1429"/>
        <w:jc w:val="both"/>
      </w:pPr>
    </w:p>
    <w:p w:rsidR="009E33B1" w:rsidRPr="00423877" w:rsidRDefault="009E33B1" w:rsidP="00BC01B1">
      <w:pPr>
        <w:pStyle w:val="Ttulo4"/>
      </w:pPr>
      <w:bookmarkStart w:id="637" w:name="_Toc447184804"/>
      <w:bookmarkStart w:id="638" w:name="_Toc503949356"/>
      <w:bookmarkStart w:id="639" w:name="_Toc509935513"/>
      <w:r w:rsidRPr="00423877">
        <w:lastRenderedPageBreak/>
        <w:t>Programa de Educação em Saneamento Básico (PESB)</w:t>
      </w:r>
      <w:bookmarkEnd w:id="637"/>
      <w:bookmarkEnd w:id="638"/>
      <w:bookmarkEnd w:id="639"/>
    </w:p>
    <w:p w:rsidR="009E33B1" w:rsidRDefault="009E33B1" w:rsidP="009E33B1">
      <w:pPr>
        <w:ind w:firstLine="708"/>
        <w:jc w:val="both"/>
      </w:pPr>
      <w:r w:rsidRPr="00044A69">
        <w:t>O Programa de Edu</w:t>
      </w:r>
      <w:r w:rsidR="00044A69" w:rsidRPr="00044A69">
        <w:t xml:space="preserve">cação em Saneamento Básico, </w:t>
      </w:r>
      <w:r w:rsidRPr="00044A69">
        <w:t xml:space="preserve">disponibilizado na versão digital deste PMSB, oferece sugestões de atividades e conceitos que abordam questões relacionadas aos quatro eixos do saneamento básico (abastecimento de água, esgotamento sanitário, manejo de águas de chuva e limpeza urbana e manejo de resíduos sólidos). Trata-se de um recurso pedagógico que orienta </w:t>
      </w:r>
      <w:r w:rsidR="00044A69" w:rsidRPr="00044A69">
        <w:t xml:space="preserve">as escolas </w:t>
      </w:r>
      <w:r w:rsidRPr="00044A69">
        <w:t>para a preparação, desenvolvimento e avaliação da</w:t>
      </w:r>
      <w:r w:rsidR="00044A69" w:rsidRPr="00044A69">
        <w:t xml:space="preserve">s </w:t>
      </w:r>
      <w:r w:rsidRPr="00044A69">
        <w:t>atividades propostas</w:t>
      </w:r>
      <w:r w:rsidR="00044A69" w:rsidRPr="00044A69">
        <w:t>. O</w:t>
      </w:r>
      <w:r w:rsidRPr="00044A69">
        <w:t xml:space="preserve"> programa abrange os seguintes níveis de ensino: Educação Infantil, Ensinos Fundamental I e II e Ensino Médio.</w:t>
      </w:r>
    </w:p>
    <w:p w:rsidR="00977ED4" w:rsidRDefault="009E33B1" w:rsidP="00216619">
      <w:pPr>
        <w:ind w:firstLine="708"/>
        <w:jc w:val="both"/>
        <w:rPr>
          <w:color w:val="FF0000"/>
          <w:highlight w:val="cyan"/>
        </w:rPr>
      </w:pPr>
      <w:r>
        <w:t>Caberá à Administração Pública entregar este PESB às instituições de ensino de seu município para que estas, conhecedoras de seu espaço de atuação e de suas possibilidades funcionais e humanas, possam adequar as atividades propostas à sua realidade.</w:t>
      </w:r>
    </w:p>
    <w:p w:rsidR="0081570C" w:rsidRPr="008044FA" w:rsidRDefault="0081570C" w:rsidP="00BC01B1">
      <w:pPr>
        <w:pStyle w:val="SHS-Ttulo02"/>
      </w:pPr>
      <w:bookmarkStart w:id="640" w:name="_Toc484422550"/>
      <w:bookmarkStart w:id="641" w:name="_Toc484611627"/>
      <w:bookmarkStart w:id="642" w:name="_Toc498593491"/>
      <w:bookmarkStart w:id="643" w:name="_Toc509935514"/>
      <w:bookmarkStart w:id="644" w:name="_Toc484422553"/>
      <w:bookmarkStart w:id="645" w:name="_Toc484611630"/>
      <w:bookmarkStart w:id="646" w:name="_Toc484422556"/>
      <w:bookmarkStart w:id="647" w:name="_Toc484611633"/>
      <w:r w:rsidRPr="008044FA">
        <w:t>Sistema de Abastecimento de Água</w:t>
      </w:r>
      <w:r>
        <w:t xml:space="preserve"> (SAA)</w:t>
      </w:r>
      <w:bookmarkEnd w:id="640"/>
      <w:bookmarkEnd w:id="641"/>
      <w:bookmarkEnd w:id="642"/>
      <w:bookmarkEnd w:id="643"/>
    </w:p>
    <w:p w:rsidR="0081570C" w:rsidRDefault="0081570C" w:rsidP="00BC01B1">
      <w:pPr>
        <w:pStyle w:val="Ttulo3"/>
        <w:rPr>
          <w:color w:val="FF0000"/>
          <w:lang w:val="pt-BR"/>
        </w:rPr>
      </w:pPr>
      <w:bookmarkStart w:id="648" w:name="_Toc484422551"/>
      <w:bookmarkStart w:id="649" w:name="_Toc484611628"/>
      <w:bookmarkStart w:id="650" w:name="_Toc498593492"/>
      <w:bookmarkStart w:id="651" w:name="_Toc509935515"/>
      <w:r w:rsidRPr="008044FA">
        <w:t>Proposição de cenários</w:t>
      </w:r>
      <w:bookmarkEnd w:id="648"/>
      <w:bookmarkEnd w:id="649"/>
      <w:bookmarkEnd w:id="650"/>
      <w:bookmarkEnd w:id="651"/>
    </w:p>
    <w:p w:rsidR="00B71958" w:rsidRDefault="00B71958" w:rsidP="00B71958">
      <w:pPr>
        <w:spacing w:before="120" w:after="120"/>
        <w:ind w:firstLine="708"/>
        <w:contextualSpacing/>
        <w:rPr>
          <w:rFonts w:cs="Arial"/>
          <w:szCs w:val="24"/>
        </w:rPr>
      </w:pPr>
      <w:r w:rsidRPr="00AC3904">
        <w:rPr>
          <w:rFonts w:cs="Arial"/>
          <w:szCs w:val="24"/>
        </w:rPr>
        <w:t>Considerando</w:t>
      </w:r>
      <w:r>
        <w:rPr>
          <w:rFonts w:cs="Arial"/>
          <w:szCs w:val="24"/>
        </w:rPr>
        <w:t xml:space="preserve"> </w:t>
      </w:r>
      <w:r w:rsidRPr="00AC3904">
        <w:rPr>
          <w:rFonts w:cs="Arial"/>
          <w:szCs w:val="24"/>
        </w:rPr>
        <w:t>a metodologia apresentada anteriormente, o setor de abastecimento de água foi submetido à análise SWOT que subsidiou a configuração dos cenários previsível e normativo para este eixo, adotando-se o cenário normativo para a</w:t>
      </w:r>
      <w:r>
        <w:rPr>
          <w:rFonts w:cs="Arial"/>
          <w:szCs w:val="24"/>
        </w:rPr>
        <w:t xml:space="preserve"> proposição de objetivos e metas</w:t>
      </w:r>
      <w:r w:rsidRPr="00AC3904">
        <w:rPr>
          <w:rFonts w:cs="Arial"/>
          <w:szCs w:val="24"/>
        </w:rPr>
        <w:t>.</w:t>
      </w:r>
      <w:r>
        <w:rPr>
          <w:rFonts w:cs="Arial"/>
          <w:szCs w:val="24"/>
        </w:rPr>
        <w:t xml:space="preserve"> A seguir</w:t>
      </w:r>
      <w:r w:rsidRPr="0053225F">
        <w:rPr>
          <w:rFonts w:cs="Arial"/>
          <w:szCs w:val="24"/>
        </w:rPr>
        <w:t xml:space="preserve">, no </w:t>
      </w:r>
      <w:r>
        <w:rPr>
          <w:rFonts w:cs="Arial"/>
          <w:szCs w:val="24"/>
        </w:rPr>
        <w:fldChar w:fldCharType="begin"/>
      </w:r>
      <w:r>
        <w:rPr>
          <w:rFonts w:cs="Arial"/>
          <w:szCs w:val="24"/>
        </w:rPr>
        <w:instrText xml:space="preserve"> REF _Ref507602048 \h </w:instrText>
      </w:r>
      <w:r>
        <w:rPr>
          <w:rFonts w:cs="Arial"/>
          <w:szCs w:val="24"/>
        </w:rPr>
      </w:r>
      <w:r>
        <w:rPr>
          <w:rFonts w:cs="Arial"/>
          <w:szCs w:val="24"/>
        </w:rPr>
        <w:fldChar w:fldCharType="separate"/>
      </w:r>
      <w:r w:rsidR="001B481B">
        <w:t xml:space="preserve">Quadro </w:t>
      </w:r>
      <w:r w:rsidR="001B481B">
        <w:rPr>
          <w:noProof/>
        </w:rPr>
        <w:t>55</w:t>
      </w:r>
      <w:r>
        <w:rPr>
          <w:rFonts w:cs="Arial"/>
          <w:szCs w:val="24"/>
        </w:rPr>
        <w:fldChar w:fldCharType="end"/>
      </w:r>
      <w:r w:rsidRPr="0053225F">
        <w:rPr>
          <w:rFonts w:cs="Arial"/>
          <w:szCs w:val="24"/>
        </w:rPr>
        <w:t>, é apresentada</w:t>
      </w:r>
      <w:r>
        <w:rPr>
          <w:rFonts w:cs="Arial"/>
          <w:szCs w:val="24"/>
        </w:rPr>
        <w:t xml:space="preserve"> a Matriz SWOT do SAA do município.</w:t>
      </w:r>
    </w:p>
    <w:p w:rsidR="00B71958" w:rsidRDefault="00B71958" w:rsidP="00B71958">
      <w:pPr>
        <w:spacing w:before="120" w:after="120"/>
        <w:ind w:firstLine="708"/>
        <w:contextualSpacing/>
        <w:rPr>
          <w:rFonts w:cs="Arial"/>
          <w:szCs w:val="24"/>
        </w:rPr>
        <w:sectPr w:rsidR="00B71958" w:rsidSect="00B71958">
          <w:footerReference w:type="default" r:id="rId45"/>
          <w:pgSz w:w="11906" w:h="16838"/>
          <w:pgMar w:top="1134" w:right="1134" w:bottom="1134" w:left="1418" w:header="709" w:footer="709" w:gutter="0"/>
          <w:cols w:space="708"/>
          <w:docGrid w:linePitch="360"/>
        </w:sectPr>
      </w:pPr>
    </w:p>
    <w:p w:rsidR="00B71958" w:rsidRDefault="00B71958" w:rsidP="00B71958">
      <w:pPr>
        <w:pStyle w:val="Legenda"/>
        <w:rPr>
          <w:lang w:val="pt-BR"/>
        </w:rPr>
      </w:pPr>
      <w:bookmarkStart w:id="652" w:name="_Ref507602048"/>
      <w:bookmarkStart w:id="653" w:name="_Toc378691289"/>
      <w:bookmarkStart w:id="654" w:name="_Toc394478279"/>
      <w:bookmarkStart w:id="655" w:name="_Toc398040313"/>
      <w:bookmarkStart w:id="656" w:name="_Toc441657165"/>
      <w:bookmarkStart w:id="657" w:name="_Toc484423915"/>
      <w:bookmarkStart w:id="658" w:name="_Toc484532477"/>
      <w:bookmarkStart w:id="659" w:name="_Toc498099251"/>
      <w:bookmarkStart w:id="660" w:name="_Toc509935832"/>
      <w:r>
        <w:lastRenderedPageBreak/>
        <w:t xml:space="preserve">Quadro </w:t>
      </w:r>
      <w:r w:rsidR="000A1C78">
        <w:fldChar w:fldCharType="begin"/>
      </w:r>
      <w:r w:rsidR="000A1C78">
        <w:instrText xml:space="preserve"> SEQ Quadro \* ARABIC </w:instrText>
      </w:r>
      <w:r w:rsidR="000A1C78">
        <w:fldChar w:fldCharType="separate"/>
      </w:r>
      <w:r w:rsidR="001B481B">
        <w:rPr>
          <w:noProof/>
        </w:rPr>
        <w:t>55</w:t>
      </w:r>
      <w:r w:rsidR="000A1C78">
        <w:rPr>
          <w:noProof/>
        </w:rPr>
        <w:fldChar w:fldCharType="end"/>
      </w:r>
      <w:bookmarkEnd w:id="652"/>
      <w:r w:rsidRPr="00182A97">
        <w:t xml:space="preserve"> - Matriz SWOT do Sistema de Abastecimento de Água (SAA)</w:t>
      </w:r>
      <w:bookmarkEnd w:id="653"/>
      <w:bookmarkEnd w:id="654"/>
      <w:bookmarkEnd w:id="655"/>
      <w:bookmarkEnd w:id="656"/>
      <w:bookmarkEnd w:id="657"/>
      <w:bookmarkEnd w:id="658"/>
      <w:bookmarkEnd w:id="659"/>
      <w:bookmarkEnd w:id="660"/>
    </w:p>
    <w:tbl>
      <w:tblPr>
        <w:tblW w:w="1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8"/>
        <w:gridCol w:w="3253"/>
        <w:gridCol w:w="3402"/>
        <w:gridCol w:w="7378"/>
      </w:tblGrid>
      <w:tr w:rsidR="00B71958" w:rsidRPr="00C75729" w:rsidTr="00B71958">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B71958" w:rsidRPr="00C75729" w:rsidRDefault="00B71958" w:rsidP="00B71958">
            <w:pPr>
              <w:autoSpaceDE w:val="0"/>
              <w:autoSpaceDN w:val="0"/>
              <w:adjustRightInd w:val="0"/>
              <w:spacing w:before="60" w:after="60" w:line="240" w:lineRule="auto"/>
              <w:rPr>
                <w:rFonts w:cs="Arial"/>
                <w:sz w:val="20"/>
                <w:szCs w:val="20"/>
              </w:rPr>
            </w:pPr>
          </w:p>
        </w:tc>
        <w:tc>
          <w:tcPr>
            <w:tcW w:w="3253" w:type="dxa"/>
            <w:tcBorders>
              <w:top w:val="single" w:sz="4" w:space="0" w:color="auto"/>
              <w:left w:val="single" w:sz="4" w:space="0" w:color="auto"/>
              <w:bottom w:val="single" w:sz="4" w:space="0" w:color="auto"/>
              <w:right w:val="single" w:sz="4" w:space="0" w:color="auto"/>
            </w:tcBorders>
            <w:shd w:val="clear" w:color="auto" w:fill="95B3D7"/>
            <w:vAlign w:val="center"/>
            <w:hideMark/>
          </w:tcPr>
          <w:p w:rsidR="00B71958" w:rsidRPr="00C75729" w:rsidRDefault="00B71958" w:rsidP="00B71958">
            <w:pPr>
              <w:autoSpaceDE w:val="0"/>
              <w:autoSpaceDN w:val="0"/>
              <w:adjustRightInd w:val="0"/>
              <w:spacing w:before="60" w:after="60" w:line="240" w:lineRule="auto"/>
              <w:jc w:val="center"/>
              <w:rPr>
                <w:rFonts w:cs="Arial"/>
                <w:b/>
                <w:sz w:val="20"/>
                <w:szCs w:val="20"/>
              </w:rPr>
            </w:pPr>
            <w:r w:rsidRPr="00C75729">
              <w:rPr>
                <w:rFonts w:cs="Arial"/>
                <w:b/>
                <w:sz w:val="20"/>
                <w:szCs w:val="20"/>
              </w:rPr>
              <w:t>PONTOS POSITIVOS</w:t>
            </w:r>
          </w:p>
        </w:tc>
        <w:tc>
          <w:tcPr>
            <w:tcW w:w="3402" w:type="dxa"/>
            <w:tcBorders>
              <w:top w:val="single" w:sz="4" w:space="0" w:color="auto"/>
              <w:left w:val="single" w:sz="4" w:space="0" w:color="auto"/>
              <w:bottom w:val="single" w:sz="4" w:space="0" w:color="auto"/>
              <w:right w:val="single" w:sz="4" w:space="0" w:color="auto"/>
            </w:tcBorders>
            <w:shd w:val="clear" w:color="auto" w:fill="95B3D7"/>
            <w:vAlign w:val="center"/>
          </w:tcPr>
          <w:p w:rsidR="00B71958" w:rsidRPr="00C75729" w:rsidRDefault="00B71958" w:rsidP="00B71958">
            <w:pPr>
              <w:autoSpaceDE w:val="0"/>
              <w:autoSpaceDN w:val="0"/>
              <w:adjustRightInd w:val="0"/>
              <w:spacing w:before="60" w:after="60" w:line="240" w:lineRule="auto"/>
              <w:jc w:val="center"/>
              <w:rPr>
                <w:rFonts w:cs="Arial"/>
                <w:b/>
                <w:sz w:val="20"/>
                <w:szCs w:val="20"/>
              </w:rPr>
            </w:pPr>
            <w:r w:rsidRPr="00C75729">
              <w:rPr>
                <w:rFonts w:cs="Arial"/>
                <w:b/>
                <w:sz w:val="20"/>
                <w:szCs w:val="20"/>
              </w:rPr>
              <w:t>ITENS DE REFLEXÃO</w:t>
            </w:r>
          </w:p>
        </w:tc>
        <w:tc>
          <w:tcPr>
            <w:tcW w:w="7378" w:type="dxa"/>
            <w:tcBorders>
              <w:top w:val="single" w:sz="4" w:space="0" w:color="auto"/>
              <w:left w:val="single" w:sz="4" w:space="0" w:color="auto"/>
              <w:bottom w:val="single" w:sz="4" w:space="0" w:color="auto"/>
              <w:right w:val="single" w:sz="4" w:space="0" w:color="auto"/>
            </w:tcBorders>
            <w:shd w:val="clear" w:color="auto" w:fill="95B3D7"/>
            <w:vAlign w:val="center"/>
            <w:hideMark/>
          </w:tcPr>
          <w:p w:rsidR="00B71958" w:rsidRPr="00C75729" w:rsidRDefault="00B71958" w:rsidP="00B71958">
            <w:pPr>
              <w:autoSpaceDE w:val="0"/>
              <w:autoSpaceDN w:val="0"/>
              <w:adjustRightInd w:val="0"/>
              <w:spacing w:before="60" w:after="60" w:line="240" w:lineRule="auto"/>
              <w:jc w:val="center"/>
              <w:rPr>
                <w:rFonts w:cs="Arial"/>
                <w:b/>
                <w:sz w:val="20"/>
                <w:szCs w:val="20"/>
              </w:rPr>
            </w:pPr>
            <w:r w:rsidRPr="00C75729">
              <w:rPr>
                <w:rFonts w:cs="Arial"/>
                <w:b/>
                <w:sz w:val="20"/>
                <w:szCs w:val="20"/>
              </w:rPr>
              <w:t>PONTOS NEGATIVOS</w:t>
            </w:r>
          </w:p>
        </w:tc>
      </w:tr>
      <w:tr w:rsidR="00B71958" w:rsidRPr="00C75729" w:rsidTr="00B71958">
        <w:trPr>
          <w:trHeight w:val="1115"/>
          <w:jc w:val="center"/>
        </w:trPr>
        <w:tc>
          <w:tcPr>
            <w:tcW w:w="0" w:type="auto"/>
            <w:tcBorders>
              <w:top w:val="single" w:sz="4" w:space="0" w:color="auto"/>
              <w:left w:val="single" w:sz="4" w:space="0" w:color="auto"/>
              <w:bottom w:val="single" w:sz="4" w:space="0" w:color="auto"/>
              <w:right w:val="single" w:sz="4" w:space="0" w:color="auto"/>
            </w:tcBorders>
            <w:shd w:val="clear" w:color="auto" w:fill="365F91"/>
            <w:vAlign w:val="center"/>
            <w:hideMark/>
          </w:tcPr>
          <w:p w:rsidR="00B71958" w:rsidRPr="00C75729" w:rsidRDefault="00B71958" w:rsidP="00B71958">
            <w:pPr>
              <w:autoSpaceDE w:val="0"/>
              <w:autoSpaceDN w:val="0"/>
              <w:adjustRightInd w:val="0"/>
              <w:spacing w:before="60" w:after="60" w:line="240" w:lineRule="auto"/>
              <w:jc w:val="center"/>
              <w:rPr>
                <w:rFonts w:cs="Arial"/>
                <w:color w:val="FFFFFF"/>
                <w:sz w:val="20"/>
                <w:szCs w:val="20"/>
              </w:rPr>
            </w:pPr>
            <w:r w:rsidRPr="00C75729">
              <w:rPr>
                <w:rFonts w:cs="Arial"/>
                <w:color w:val="FFFFFF"/>
                <w:sz w:val="20"/>
                <w:szCs w:val="20"/>
              </w:rPr>
              <w:t>Ambiente Interno</w:t>
            </w:r>
          </w:p>
        </w:tc>
        <w:tc>
          <w:tcPr>
            <w:tcW w:w="3253" w:type="dxa"/>
            <w:tcBorders>
              <w:top w:val="single" w:sz="4" w:space="0" w:color="auto"/>
              <w:left w:val="single" w:sz="4" w:space="0" w:color="auto"/>
              <w:bottom w:val="single" w:sz="4" w:space="0" w:color="auto"/>
              <w:right w:val="single" w:sz="4" w:space="0" w:color="auto"/>
            </w:tcBorders>
            <w:shd w:val="clear" w:color="auto" w:fill="B8CCE4"/>
          </w:tcPr>
          <w:p w:rsidR="00B71958" w:rsidRPr="00C75729" w:rsidRDefault="00B71958" w:rsidP="00B71958">
            <w:pPr>
              <w:autoSpaceDE w:val="0"/>
              <w:autoSpaceDN w:val="0"/>
              <w:adjustRightInd w:val="0"/>
              <w:spacing w:before="60" w:after="60" w:line="240" w:lineRule="auto"/>
              <w:jc w:val="center"/>
              <w:rPr>
                <w:rFonts w:cs="Arial"/>
                <w:b/>
                <w:sz w:val="20"/>
                <w:szCs w:val="20"/>
              </w:rPr>
            </w:pPr>
            <w:r w:rsidRPr="00C75729">
              <w:rPr>
                <w:rFonts w:cs="Arial"/>
                <w:b/>
                <w:sz w:val="20"/>
                <w:szCs w:val="20"/>
              </w:rPr>
              <w:t>FORÇAS</w:t>
            </w:r>
          </w:p>
          <w:p w:rsidR="00B71958" w:rsidRPr="00C75729" w:rsidRDefault="00B71958" w:rsidP="00B71958">
            <w:pPr>
              <w:autoSpaceDE w:val="0"/>
              <w:autoSpaceDN w:val="0"/>
              <w:adjustRightInd w:val="0"/>
              <w:spacing w:before="60" w:after="60" w:line="240" w:lineRule="auto"/>
              <w:jc w:val="center"/>
              <w:rPr>
                <w:rFonts w:cs="Arial"/>
                <w:b/>
                <w:sz w:val="20"/>
                <w:szCs w:val="20"/>
              </w:rPr>
            </w:pPr>
          </w:p>
          <w:p w:rsidR="00B71958" w:rsidRPr="00C75729" w:rsidRDefault="00B71958" w:rsidP="00B71958">
            <w:pPr>
              <w:autoSpaceDE w:val="0"/>
              <w:autoSpaceDN w:val="0"/>
              <w:adjustRightInd w:val="0"/>
              <w:spacing w:before="60" w:after="60" w:line="240" w:lineRule="auto"/>
              <w:rPr>
                <w:rFonts w:cs="Arial"/>
                <w:b/>
                <w:sz w:val="20"/>
                <w:szCs w:val="20"/>
              </w:rPr>
            </w:pPr>
            <w:r w:rsidRPr="00C75729">
              <w:rPr>
                <w:rFonts w:cs="Arial"/>
                <w:b/>
                <w:sz w:val="20"/>
                <w:szCs w:val="20"/>
              </w:rPr>
              <w:t>1. Atendimento da demanda</w:t>
            </w:r>
          </w:p>
          <w:p w:rsidR="00B71958" w:rsidRPr="00C75729" w:rsidRDefault="00B71958" w:rsidP="00B71958">
            <w:pPr>
              <w:autoSpaceDE w:val="0"/>
              <w:autoSpaceDN w:val="0"/>
              <w:adjustRightInd w:val="0"/>
              <w:spacing w:before="60" w:after="60" w:line="240" w:lineRule="auto"/>
              <w:rPr>
                <w:rFonts w:cs="Arial"/>
                <w:sz w:val="20"/>
                <w:szCs w:val="20"/>
              </w:rPr>
            </w:pPr>
            <w:r w:rsidRPr="00C75729">
              <w:rPr>
                <w:rFonts w:cs="Arial"/>
                <w:sz w:val="20"/>
                <w:szCs w:val="20"/>
              </w:rPr>
              <w:t>- A totalidade da população urbana é atendida.</w:t>
            </w:r>
          </w:p>
          <w:p w:rsidR="00B71958" w:rsidRPr="00C75729" w:rsidRDefault="00B71958" w:rsidP="00B71958">
            <w:pPr>
              <w:autoSpaceDE w:val="0"/>
              <w:autoSpaceDN w:val="0"/>
              <w:adjustRightInd w:val="0"/>
              <w:spacing w:before="60" w:after="60" w:line="240" w:lineRule="auto"/>
              <w:rPr>
                <w:rFonts w:cs="Arial"/>
                <w:sz w:val="20"/>
                <w:szCs w:val="20"/>
              </w:rPr>
            </w:pPr>
          </w:p>
          <w:p w:rsidR="00B71958" w:rsidRPr="00C75729" w:rsidRDefault="00B71958" w:rsidP="00B71958">
            <w:pPr>
              <w:autoSpaceDE w:val="0"/>
              <w:autoSpaceDN w:val="0"/>
              <w:adjustRightInd w:val="0"/>
              <w:spacing w:before="60" w:after="60" w:line="240" w:lineRule="auto"/>
              <w:rPr>
                <w:rFonts w:cs="Arial"/>
                <w:b/>
                <w:sz w:val="20"/>
                <w:szCs w:val="20"/>
              </w:rPr>
            </w:pPr>
            <w:r w:rsidRPr="00C75729">
              <w:rPr>
                <w:rFonts w:cs="Arial"/>
                <w:b/>
                <w:sz w:val="20"/>
                <w:szCs w:val="20"/>
              </w:rPr>
              <w:t xml:space="preserve">2. Perfil </w:t>
            </w:r>
            <w:r>
              <w:rPr>
                <w:rFonts w:cs="Arial"/>
                <w:b/>
                <w:sz w:val="20"/>
                <w:szCs w:val="20"/>
              </w:rPr>
              <w:t>i</w:t>
            </w:r>
            <w:r w:rsidRPr="00C75729">
              <w:rPr>
                <w:rFonts w:cs="Arial"/>
                <w:b/>
                <w:sz w:val="20"/>
                <w:szCs w:val="20"/>
              </w:rPr>
              <w:t>nstitucional</w:t>
            </w:r>
          </w:p>
          <w:p w:rsidR="00B71958" w:rsidRPr="00C75729" w:rsidRDefault="00B71958" w:rsidP="00B71958">
            <w:pPr>
              <w:autoSpaceDE w:val="0"/>
              <w:autoSpaceDN w:val="0"/>
              <w:adjustRightInd w:val="0"/>
              <w:spacing w:before="60" w:after="60" w:line="240" w:lineRule="auto"/>
              <w:rPr>
                <w:rFonts w:cs="Arial"/>
                <w:sz w:val="20"/>
                <w:szCs w:val="20"/>
              </w:rPr>
            </w:pPr>
            <w:r w:rsidRPr="00C75729">
              <w:rPr>
                <w:rFonts w:cs="Arial"/>
                <w:sz w:val="20"/>
                <w:szCs w:val="20"/>
              </w:rPr>
              <w:t>- Gestão do abastecimento da sede efetuada pela COPASA.</w:t>
            </w:r>
          </w:p>
          <w:p w:rsidR="00B71958" w:rsidRPr="00C75729" w:rsidRDefault="00B71958" w:rsidP="00B71958">
            <w:pPr>
              <w:autoSpaceDE w:val="0"/>
              <w:autoSpaceDN w:val="0"/>
              <w:adjustRightInd w:val="0"/>
              <w:spacing w:before="60" w:after="60" w:line="240" w:lineRule="auto"/>
              <w:rPr>
                <w:rFonts w:cs="Arial"/>
                <w:sz w:val="20"/>
                <w:szCs w:val="20"/>
              </w:rPr>
            </w:pPr>
          </w:p>
          <w:p w:rsidR="00B71958" w:rsidRPr="00C75729" w:rsidRDefault="00B71958" w:rsidP="00B71958">
            <w:pPr>
              <w:autoSpaceDE w:val="0"/>
              <w:autoSpaceDN w:val="0"/>
              <w:adjustRightInd w:val="0"/>
              <w:spacing w:before="60" w:after="60" w:line="240" w:lineRule="auto"/>
              <w:rPr>
                <w:rFonts w:cs="Arial"/>
                <w:b/>
                <w:sz w:val="20"/>
                <w:szCs w:val="20"/>
              </w:rPr>
            </w:pPr>
            <w:r w:rsidRPr="00C75729">
              <w:rPr>
                <w:rFonts w:cs="Arial"/>
                <w:b/>
                <w:sz w:val="20"/>
                <w:szCs w:val="20"/>
              </w:rPr>
              <w:t>3. Sistema Operacional</w:t>
            </w:r>
          </w:p>
          <w:p w:rsidR="00B71958" w:rsidRPr="00C75729" w:rsidRDefault="00B71958" w:rsidP="00B71958">
            <w:pPr>
              <w:autoSpaceDE w:val="0"/>
              <w:autoSpaceDN w:val="0"/>
              <w:adjustRightInd w:val="0"/>
              <w:spacing w:before="60" w:after="60" w:line="240" w:lineRule="auto"/>
              <w:rPr>
                <w:rFonts w:cs="Arial"/>
                <w:sz w:val="20"/>
                <w:szCs w:val="20"/>
              </w:rPr>
            </w:pPr>
            <w:r w:rsidRPr="00C75729">
              <w:rPr>
                <w:rFonts w:cs="Arial"/>
                <w:sz w:val="20"/>
                <w:szCs w:val="20"/>
              </w:rPr>
              <w:t>- Existência de ETA na sede.</w:t>
            </w:r>
          </w:p>
          <w:p w:rsidR="00B71958" w:rsidRPr="00C75729" w:rsidRDefault="00B71958" w:rsidP="00B71958">
            <w:pPr>
              <w:autoSpaceDE w:val="0"/>
              <w:autoSpaceDN w:val="0"/>
              <w:adjustRightInd w:val="0"/>
              <w:spacing w:before="60" w:after="60" w:line="240" w:lineRule="auto"/>
              <w:rPr>
                <w:rFonts w:cs="Arial"/>
                <w:sz w:val="20"/>
                <w:szCs w:val="20"/>
              </w:rPr>
            </w:pPr>
          </w:p>
          <w:p w:rsidR="00B71958" w:rsidRPr="00C75729" w:rsidRDefault="00B71958" w:rsidP="00B71958">
            <w:pPr>
              <w:autoSpaceDE w:val="0"/>
              <w:autoSpaceDN w:val="0"/>
              <w:adjustRightInd w:val="0"/>
              <w:spacing w:before="60" w:after="60" w:line="240" w:lineRule="auto"/>
              <w:rPr>
                <w:rFonts w:cs="Arial"/>
                <w:b/>
                <w:sz w:val="20"/>
                <w:szCs w:val="20"/>
              </w:rPr>
            </w:pPr>
            <w:r w:rsidRPr="00C75729">
              <w:rPr>
                <w:rFonts w:cs="Arial"/>
                <w:b/>
                <w:sz w:val="20"/>
                <w:szCs w:val="20"/>
              </w:rPr>
              <w:t>4. Sistema de Informações</w:t>
            </w:r>
          </w:p>
          <w:p w:rsidR="00B71958" w:rsidRPr="00C75729" w:rsidRDefault="00B71958" w:rsidP="00B71958">
            <w:pPr>
              <w:autoSpaceDE w:val="0"/>
              <w:autoSpaceDN w:val="0"/>
              <w:adjustRightInd w:val="0"/>
              <w:spacing w:before="60" w:after="60" w:line="240" w:lineRule="auto"/>
              <w:rPr>
                <w:rFonts w:cs="Arial"/>
                <w:sz w:val="20"/>
                <w:szCs w:val="20"/>
              </w:rPr>
            </w:pPr>
            <w:r w:rsidRPr="00C75729">
              <w:rPr>
                <w:rFonts w:cs="Arial"/>
                <w:sz w:val="20"/>
                <w:szCs w:val="20"/>
              </w:rPr>
              <w:t>- COPASA possui um Sistema de Informações Operacionais (SIOP)</w:t>
            </w:r>
            <w:r>
              <w:rPr>
                <w:rFonts w:cs="Arial"/>
                <w:sz w:val="20"/>
                <w:szCs w:val="20"/>
              </w:rPr>
              <w:t>.</w:t>
            </w:r>
          </w:p>
          <w:p w:rsidR="00B71958" w:rsidRPr="00C75729" w:rsidRDefault="00B71958" w:rsidP="00B71958">
            <w:pPr>
              <w:autoSpaceDE w:val="0"/>
              <w:autoSpaceDN w:val="0"/>
              <w:adjustRightInd w:val="0"/>
              <w:spacing w:before="60" w:after="60" w:line="240" w:lineRule="auto"/>
              <w:rPr>
                <w:rFonts w:cs="Arial"/>
                <w:sz w:val="20"/>
                <w:szCs w:val="20"/>
              </w:rPr>
            </w:pPr>
            <w:r w:rsidRPr="00C75729">
              <w:rPr>
                <w:rFonts w:cs="Arial"/>
                <w:sz w:val="20"/>
                <w:szCs w:val="20"/>
              </w:rPr>
              <w:t>- Existem Relatórios Anuais de Qualidade</w:t>
            </w:r>
            <w:r>
              <w:rPr>
                <w:rFonts w:cs="Arial"/>
                <w:sz w:val="20"/>
                <w:szCs w:val="20"/>
              </w:rPr>
              <w:t>.</w:t>
            </w:r>
          </w:p>
          <w:p w:rsidR="00B71958" w:rsidRPr="00C75729" w:rsidRDefault="00B71958" w:rsidP="00B71958">
            <w:pPr>
              <w:autoSpaceDE w:val="0"/>
              <w:autoSpaceDN w:val="0"/>
              <w:adjustRightInd w:val="0"/>
              <w:spacing w:before="60" w:after="60" w:line="240" w:lineRule="auto"/>
              <w:rPr>
                <w:rFonts w:cs="Arial"/>
                <w:b/>
                <w:sz w:val="20"/>
                <w:szCs w:val="20"/>
              </w:rPr>
            </w:pPr>
          </w:p>
          <w:p w:rsidR="00B71958" w:rsidRPr="00C75729" w:rsidRDefault="00B71958" w:rsidP="00B71958">
            <w:pPr>
              <w:autoSpaceDE w:val="0"/>
              <w:autoSpaceDN w:val="0"/>
              <w:adjustRightInd w:val="0"/>
              <w:spacing w:before="60" w:after="60" w:line="240" w:lineRule="auto"/>
              <w:rPr>
                <w:rFonts w:cs="Arial"/>
                <w:b/>
                <w:sz w:val="20"/>
                <w:szCs w:val="20"/>
              </w:rPr>
            </w:pPr>
            <w:r w:rsidRPr="00C75729">
              <w:rPr>
                <w:rFonts w:cs="Arial"/>
                <w:b/>
                <w:sz w:val="20"/>
                <w:szCs w:val="20"/>
              </w:rPr>
              <w:t>6. Sustentabilidade econômica</w:t>
            </w:r>
          </w:p>
          <w:p w:rsidR="00B71958" w:rsidRPr="00C75729" w:rsidRDefault="00B71958" w:rsidP="00B71958">
            <w:pPr>
              <w:autoSpaceDE w:val="0"/>
              <w:autoSpaceDN w:val="0"/>
              <w:adjustRightInd w:val="0"/>
              <w:spacing w:before="60" w:after="60" w:line="240" w:lineRule="auto"/>
              <w:rPr>
                <w:rFonts w:cs="Arial"/>
                <w:sz w:val="20"/>
                <w:szCs w:val="20"/>
              </w:rPr>
            </w:pPr>
            <w:r w:rsidRPr="00C75729">
              <w:rPr>
                <w:rFonts w:cs="Arial"/>
                <w:sz w:val="20"/>
                <w:szCs w:val="20"/>
              </w:rPr>
              <w:t>- Existe tarifação pelo SAA.</w:t>
            </w:r>
          </w:p>
          <w:p w:rsidR="00B71958" w:rsidRPr="00C75729" w:rsidRDefault="00B71958" w:rsidP="00B71958">
            <w:pPr>
              <w:autoSpaceDE w:val="0"/>
              <w:autoSpaceDN w:val="0"/>
              <w:adjustRightInd w:val="0"/>
              <w:spacing w:before="60" w:after="60" w:line="240" w:lineRule="auto"/>
              <w:rPr>
                <w:rFonts w:cs="Arial"/>
                <w:sz w:val="20"/>
                <w:szCs w:val="20"/>
              </w:rPr>
            </w:pPr>
          </w:p>
        </w:tc>
        <w:tc>
          <w:tcPr>
            <w:tcW w:w="3402" w:type="dxa"/>
            <w:vMerge w:val="restart"/>
            <w:tcBorders>
              <w:top w:val="single" w:sz="4" w:space="0" w:color="auto"/>
              <w:left w:val="single" w:sz="4" w:space="0" w:color="auto"/>
              <w:right w:val="single" w:sz="4" w:space="0" w:color="auto"/>
            </w:tcBorders>
            <w:shd w:val="clear" w:color="auto" w:fill="B8CCE4"/>
            <w:vAlign w:val="center"/>
          </w:tcPr>
          <w:p w:rsidR="00B71958" w:rsidRPr="00C75729" w:rsidRDefault="00B71958" w:rsidP="00B71958">
            <w:pPr>
              <w:autoSpaceDE w:val="0"/>
              <w:autoSpaceDN w:val="0"/>
              <w:adjustRightInd w:val="0"/>
              <w:spacing w:before="60" w:after="60" w:line="240" w:lineRule="auto"/>
              <w:jc w:val="center"/>
              <w:rPr>
                <w:rFonts w:cs="Arial"/>
                <w:b/>
                <w:sz w:val="20"/>
                <w:szCs w:val="20"/>
              </w:rPr>
            </w:pPr>
            <w:r w:rsidRPr="00C75729">
              <w:rPr>
                <w:rFonts w:cs="Arial"/>
                <w:b/>
                <w:sz w:val="20"/>
                <w:szCs w:val="20"/>
              </w:rPr>
              <w:t>1. Atendimento da demanda</w:t>
            </w:r>
          </w:p>
          <w:p w:rsidR="00B71958" w:rsidRPr="00C75729" w:rsidRDefault="00B71958" w:rsidP="00B71958">
            <w:pPr>
              <w:autoSpaceDE w:val="0"/>
              <w:autoSpaceDN w:val="0"/>
              <w:adjustRightInd w:val="0"/>
              <w:spacing w:before="60" w:after="60" w:line="240" w:lineRule="auto"/>
              <w:jc w:val="center"/>
              <w:rPr>
                <w:rFonts w:cs="Arial"/>
                <w:b/>
                <w:sz w:val="20"/>
                <w:szCs w:val="20"/>
              </w:rPr>
            </w:pPr>
          </w:p>
          <w:p w:rsidR="00B71958" w:rsidRPr="00C75729" w:rsidRDefault="00B71958" w:rsidP="00B71958">
            <w:pPr>
              <w:autoSpaceDE w:val="0"/>
              <w:autoSpaceDN w:val="0"/>
              <w:adjustRightInd w:val="0"/>
              <w:spacing w:before="60" w:after="60" w:line="240" w:lineRule="auto"/>
              <w:jc w:val="center"/>
              <w:rPr>
                <w:rFonts w:cs="Arial"/>
                <w:b/>
                <w:sz w:val="20"/>
                <w:szCs w:val="20"/>
              </w:rPr>
            </w:pPr>
            <w:r w:rsidRPr="00C75729">
              <w:rPr>
                <w:rFonts w:cs="Arial"/>
                <w:b/>
                <w:sz w:val="20"/>
                <w:szCs w:val="20"/>
              </w:rPr>
              <w:t xml:space="preserve">2. Perfil </w:t>
            </w:r>
            <w:r>
              <w:rPr>
                <w:rFonts w:cs="Arial"/>
                <w:b/>
                <w:sz w:val="20"/>
                <w:szCs w:val="20"/>
              </w:rPr>
              <w:t>i</w:t>
            </w:r>
            <w:r w:rsidRPr="00C75729">
              <w:rPr>
                <w:rFonts w:cs="Arial"/>
                <w:b/>
                <w:sz w:val="20"/>
                <w:szCs w:val="20"/>
              </w:rPr>
              <w:t>nstitucional</w:t>
            </w:r>
          </w:p>
          <w:p w:rsidR="00B71958" w:rsidRPr="00C75729" w:rsidRDefault="00B71958" w:rsidP="00B71958">
            <w:pPr>
              <w:autoSpaceDE w:val="0"/>
              <w:autoSpaceDN w:val="0"/>
              <w:adjustRightInd w:val="0"/>
              <w:spacing w:before="60" w:after="60" w:line="240" w:lineRule="auto"/>
              <w:jc w:val="center"/>
              <w:rPr>
                <w:rFonts w:cs="Arial"/>
                <w:b/>
                <w:sz w:val="20"/>
                <w:szCs w:val="20"/>
              </w:rPr>
            </w:pPr>
          </w:p>
          <w:p w:rsidR="00B71958" w:rsidRPr="00C75729" w:rsidRDefault="00B71958" w:rsidP="00B71958">
            <w:pPr>
              <w:autoSpaceDE w:val="0"/>
              <w:autoSpaceDN w:val="0"/>
              <w:adjustRightInd w:val="0"/>
              <w:spacing w:before="60" w:after="60" w:line="240" w:lineRule="auto"/>
              <w:jc w:val="center"/>
              <w:rPr>
                <w:rFonts w:cs="Arial"/>
                <w:b/>
                <w:sz w:val="20"/>
                <w:szCs w:val="20"/>
              </w:rPr>
            </w:pPr>
            <w:r w:rsidRPr="00C75729">
              <w:rPr>
                <w:rFonts w:cs="Arial"/>
                <w:b/>
                <w:sz w:val="20"/>
                <w:szCs w:val="20"/>
              </w:rPr>
              <w:t>3. Sistema Operacional</w:t>
            </w:r>
          </w:p>
          <w:p w:rsidR="00B71958" w:rsidRPr="00C75729" w:rsidRDefault="00B71958" w:rsidP="00B71958">
            <w:pPr>
              <w:autoSpaceDE w:val="0"/>
              <w:autoSpaceDN w:val="0"/>
              <w:adjustRightInd w:val="0"/>
              <w:spacing w:before="60" w:after="60" w:line="240" w:lineRule="auto"/>
              <w:jc w:val="center"/>
              <w:rPr>
                <w:rFonts w:cs="Arial"/>
                <w:b/>
                <w:sz w:val="20"/>
                <w:szCs w:val="20"/>
              </w:rPr>
            </w:pPr>
          </w:p>
          <w:p w:rsidR="00B71958" w:rsidRPr="00C75729" w:rsidRDefault="00B71958" w:rsidP="00B71958">
            <w:pPr>
              <w:autoSpaceDE w:val="0"/>
              <w:autoSpaceDN w:val="0"/>
              <w:adjustRightInd w:val="0"/>
              <w:spacing w:before="60" w:after="60" w:line="240" w:lineRule="auto"/>
              <w:jc w:val="center"/>
              <w:rPr>
                <w:rFonts w:cs="Arial"/>
                <w:b/>
                <w:sz w:val="20"/>
                <w:szCs w:val="20"/>
              </w:rPr>
            </w:pPr>
            <w:r w:rsidRPr="00C75729">
              <w:rPr>
                <w:rFonts w:cs="Arial"/>
                <w:b/>
                <w:sz w:val="20"/>
                <w:szCs w:val="20"/>
              </w:rPr>
              <w:t>4. Sistema de Informações</w:t>
            </w:r>
          </w:p>
          <w:p w:rsidR="00B71958" w:rsidRPr="00C75729" w:rsidRDefault="00B71958" w:rsidP="00B71958">
            <w:pPr>
              <w:autoSpaceDE w:val="0"/>
              <w:autoSpaceDN w:val="0"/>
              <w:adjustRightInd w:val="0"/>
              <w:spacing w:before="60" w:after="60" w:line="240" w:lineRule="auto"/>
              <w:jc w:val="center"/>
              <w:rPr>
                <w:rFonts w:cs="Arial"/>
                <w:b/>
                <w:sz w:val="20"/>
                <w:szCs w:val="20"/>
              </w:rPr>
            </w:pPr>
          </w:p>
          <w:p w:rsidR="00B71958" w:rsidRPr="00C75729" w:rsidRDefault="00B71958" w:rsidP="00B71958">
            <w:pPr>
              <w:autoSpaceDE w:val="0"/>
              <w:autoSpaceDN w:val="0"/>
              <w:adjustRightInd w:val="0"/>
              <w:spacing w:before="60" w:after="60" w:line="240" w:lineRule="auto"/>
              <w:jc w:val="center"/>
              <w:rPr>
                <w:rFonts w:cs="Arial"/>
                <w:b/>
                <w:sz w:val="20"/>
                <w:szCs w:val="20"/>
              </w:rPr>
            </w:pPr>
            <w:r w:rsidRPr="00C75729">
              <w:rPr>
                <w:rFonts w:cs="Arial"/>
                <w:b/>
                <w:sz w:val="20"/>
                <w:szCs w:val="20"/>
              </w:rPr>
              <w:t>5. Legislação e normatização do setor</w:t>
            </w:r>
          </w:p>
          <w:p w:rsidR="00B71958" w:rsidRPr="00C75729" w:rsidRDefault="00B71958" w:rsidP="00B71958">
            <w:pPr>
              <w:autoSpaceDE w:val="0"/>
              <w:autoSpaceDN w:val="0"/>
              <w:adjustRightInd w:val="0"/>
              <w:spacing w:before="60" w:after="60" w:line="240" w:lineRule="auto"/>
              <w:jc w:val="center"/>
              <w:rPr>
                <w:rFonts w:cs="Arial"/>
                <w:b/>
                <w:sz w:val="20"/>
                <w:szCs w:val="20"/>
              </w:rPr>
            </w:pPr>
          </w:p>
          <w:p w:rsidR="00B71958" w:rsidRPr="00C75729" w:rsidRDefault="00B71958" w:rsidP="00B71958">
            <w:pPr>
              <w:autoSpaceDE w:val="0"/>
              <w:autoSpaceDN w:val="0"/>
              <w:adjustRightInd w:val="0"/>
              <w:spacing w:before="60" w:after="60" w:line="240" w:lineRule="auto"/>
              <w:jc w:val="center"/>
              <w:rPr>
                <w:rFonts w:cs="Arial"/>
                <w:b/>
                <w:sz w:val="20"/>
                <w:szCs w:val="20"/>
              </w:rPr>
            </w:pPr>
            <w:r w:rsidRPr="00C75729">
              <w:rPr>
                <w:rFonts w:cs="Arial"/>
                <w:b/>
                <w:sz w:val="20"/>
                <w:szCs w:val="20"/>
              </w:rPr>
              <w:t>6. Sustentabilidade econômica</w:t>
            </w:r>
          </w:p>
        </w:tc>
        <w:tc>
          <w:tcPr>
            <w:tcW w:w="7378" w:type="dxa"/>
            <w:tcBorders>
              <w:top w:val="single" w:sz="4" w:space="0" w:color="auto"/>
              <w:left w:val="single" w:sz="4" w:space="0" w:color="auto"/>
              <w:bottom w:val="single" w:sz="4" w:space="0" w:color="auto"/>
              <w:right w:val="single" w:sz="4" w:space="0" w:color="auto"/>
            </w:tcBorders>
            <w:shd w:val="clear" w:color="auto" w:fill="B8CCE4"/>
          </w:tcPr>
          <w:p w:rsidR="00B71958" w:rsidRPr="00C75729" w:rsidRDefault="00B71958" w:rsidP="00B71958">
            <w:pPr>
              <w:autoSpaceDE w:val="0"/>
              <w:autoSpaceDN w:val="0"/>
              <w:adjustRightInd w:val="0"/>
              <w:spacing w:before="60" w:after="60" w:line="240" w:lineRule="auto"/>
              <w:jc w:val="center"/>
              <w:rPr>
                <w:rFonts w:cs="Arial"/>
                <w:b/>
                <w:sz w:val="20"/>
                <w:szCs w:val="20"/>
              </w:rPr>
            </w:pPr>
            <w:r w:rsidRPr="00C75729">
              <w:rPr>
                <w:rFonts w:cs="Arial"/>
                <w:b/>
                <w:sz w:val="20"/>
                <w:szCs w:val="20"/>
              </w:rPr>
              <w:t>FRAQUEZAS</w:t>
            </w:r>
          </w:p>
          <w:p w:rsidR="00B71958" w:rsidRPr="00FE1A54" w:rsidRDefault="00B71958" w:rsidP="00B71958">
            <w:pPr>
              <w:autoSpaceDE w:val="0"/>
              <w:autoSpaceDN w:val="0"/>
              <w:adjustRightInd w:val="0"/>
              <w:spacing w:before="60" w:after="60" w:line="240" w:lineRule="auto"/>
              <w:rPr>
                <w:rFonts w:cs="Arial"/>
                <w:b/>
                <w:sz w:val="20"/>
                <w:szCs w:val="20"/>
              </w:rPr>
            </w:pPr>
          </w:p>
          <w:p w:rsidR="00B71958" w:rsidRPr="00FE1A54" w:rsidRDefault="00B71958" w:rsidP="00B71958">
            <w:pPr>
              <w:autoSpaceDE w:val="0"/>
              <w:autoSpaceDN w:val="0"/>
              <w:adjustRightInd w:val="0"/>
              <w:spacing w:before="60" w:after="60" w:line="240" w:lineRule="auto"/>
              <w:rPr>
                <w:rFonts w:cs="Arial"/>
                <w:b/>
                <w:sz w:val="20"/>
                <w:szCs w:val="20"/>
              </w:rPr>
            </w:pPr>
            <w:r w:rsidRPr="00FE1A54">
              <w:rPr>
                <w:rFonts w:cs="Arial"/>
                <w:b/>
                <w:sz w:val="20"/>
                <w:szCs w:val="20"/>
              </w:rPr>
              <w:t>3. Sistema Operacional</w:t>
            </w:r>
          </w:p>
          <w:p w:rsidR="00B71958" w:rsidRPr="00FE1A54" w:rsidRDefault="00B71958" w:rsidP="00B71958">
            <w:pPr>
              <w:autoSpaceDE w:val="0"/>
              <w:autoSpaceDN w:val="0"/>
              <w:adjustRightInd w:val="0"/>
              <w:spacing w:before="60" w:after="60" w:line="240" w:lineRule="auto"/>
              <w:rPr>
                <w:rFonts w:cs="Arial"/>
                <w:sz w:val="20"/>
                <w:szCs w:val="20"/>
              </w:rPr>
            </w:pPr>
            <w:r w:rsidRPr="00FE1A54">
              <w:rPr>
                <w:rFonts w:cs="Arial"/>
                <w:sz w:val="20"/>
                <w:szCs w:val="20"/>
              </w:rPr>
              <w:t>- Intermitência nas partes altas.</w:t>
            </w:r>
          </w:p>
          <w:p w:rsidR="00B71958" w:rsidRPr="00FE1A54" w:rsidRDefault="00B71958" w:rsidP="00B71958">
            <w:pPr>
              <w:autoSpaceDE w:val="0"/>
              <w:autoSpaceDN w:val="0"/>
              <w:adjustRightInd w:val="0"/>
              <w:spacing w:before="60" w:after="60" w:line="240" w:lineRule="auto"/>
              <w:rPr>
                <w:rFonts w:cs="Arial"/>
                <w:sz w:val="20"/>
                <w:szCs w:val="20"/>
              </w:rPr>
            </w:pPr>
            <w:r w:rsidRPr="00FE1A54">
              <w:rPr>
                <w:rFonts w:cs="Arial"/>
                <w:sz w:val="20"/>
                <w:szCs w:val="20"/>
              </w:rPr>
              <w:t>- Capacidade de reservação insuficiente.</w:t>
            </w:r>
          </w:p>
          <w:p w:rsidR="00B71958" w:rsidRPr="00FE1A54" w:rsidRDefault="00B71958" w:rsidP="00B71958">
            <w:pPr>
              <w:autoSpaceDE w:val="0"/>
              <w:autoSpaceDN w:val="0"/>
              <w:adjustRightInd w:val="0"/>
              <w:spacing w:before="60" w:after="60" w:line="240" w:lineRule="auto"/>
              <w:rPr>
                <w:rFonts w:cs="Arial"/>
                <w:sz w:val="20"/>
                <w:szCs w:val="20"/>
              </w:rPr>
            </w:pPr>
            <w:r w:rsidRPr="00FE1A54">
              <w:rPr>
                <w:rFonts w:cs="Arial"/>
                <w:sz w:val="20"/>
                <w:szCs w:val="20"/>
              </w:rPr>
              <w:t>- Qualidade da água (elevados níveis de ferro e manganês).</w:t>
            </w:r>
          </w:p>
          <w:p w:rsidR="00B71958" w:rsidRPr="00C75729" w:rsidRDefault="00B71958" w:rsidP="00B71958">
            <w:pPr>
              <w:autoSpaceDE w:val="0"/>
              <w:autoSpaceDN w:val="0"/>
              <w:adjustRightInd w:val="0"/>
              <w:spacing w:before="60" w:after="60" w:line="240" w:lineRule="auto"/>
              <w:rPr>
                <w:rFonts w:cs="Arial"/>
                <w:sz w:val="20"/>
                <w:szCs w:val="20"/>
              </w:rPr>
            </w:pPr>
          </w:p>
          <w:p w:rsidR="00B71958" w:rsidRPr="00C75729" w:rsidRDefault="00B71958" w:rsidP="00B71958">
            <w:pPr>
              <w:autoSpaceDE w:val="0"/>
              <w:autoSpaceDN w:val="0"/>
              <w:adjustRightInd w:val="0"/>
              <w:spacing w:before="60" w:after="60" w:line="240" w:lineRule="auto"/>
              <w:rPr>
                <w:rFonts w:cs="Arial"/>
                <w:b/>
                <w:sz w:val="20"/>
                <w:szCs w:val="20"/>
              </w:rPr>
            </w:pPr>
            <w:r w:rsidRPr="00C75729">
              <w:rPr>
                <w:rFonts w:cs="Arial"/>
                <w:b/>
                <w:sz w:val="20"/>
                <w:szCs w:val="20"/>
              </w:rPr>
              <w:t>4. Sistema de Informações</w:t>
            </w:r>
          </w:p>
          <w:p w:rsidR="00B71958" w:rsidRPr="00C75729" w:rsidRDefault="00B71958" w:rsidP="00B71958">
            <w:pPr>
              <w:autoSpaceDE w:val="0"/>
              <w:autoSpaceDN w:val="0"/>
              <w:adjustRightInd w:val="0"/>
              <w:spacing w:before="60" w:after="60" w:line="240" w:lineRule="auto"/>
              <w:rPr>
                <w:rFonts w:cs="Arial"/>
                <w:sz w:val="20"/>
                <w:szCs w:val="20"/>
              </w:rPr>
            </w:pPr>
            <w:r w:rsidRPr="00C75729">
              <w:rPr>
                <w:rFonts w:cs="Arial"/>
                <w:sz w:val="20"/>
                <w:szCs w:val="20"/>
              </w:rPr>
              <w:t xml:space="preserve">- Ausência de procedimento sistematizado para análise da água das captações da área rural e sistemas da </w:t>
            </w:r>
            <w:r>
              <w:rPr>
                <w:rFonts w:cs="Arial"/>
                <w:sz w:val="20"/>
                <w:szCs w:val="20"/>
              </w:rPr>
              <w:t>P</w:t>
            </w:r>
            <w:r w:rsidRPr="00C75729">
              <w:rPr>
                <w:rFonts w:cs="Arial"/>
                <w:sz w:val="20"/>
                <w:szCs w:val="20"/>
              </w:rPr>
              <w:t>refeitura</w:t>
            </w:r>
            <w:r>
              <w:rPr>
                <w:rFonts w:cs="Arial"/>
                <w:sz w:val="20"/>
                <w:szCs w:val="20"/>
              </w:rPr>
              <w:t xml:space="preserve"> Municipal</w:t>
            </w:r>
            <w:r w:rsidRPr="00C75729">
              <w:rPr>
                <w:rFonts w:cs="Arial"/>
                <w:sz w:val="20"/>
                <w:szCs w:val="20"/>
              </w:rPr>
              <w:t>.</w:t>
            </w:r>
          </w:p>
          <w:p w:rsidR="00B71958" w:rsidRPr="00C75729" w:rsidRDefault="00B71958" w:rsidP="00B71958">
            <w:pPr>
              <w:autoSpaceDE w:val="0"/>
              <w:autoSpaceDN w:val="0"/>
              <w:adjustRightInd w:val="0"/>
              <w:spacing w:before="60" w:after="60" w:line="240" w:lineRule="auto"/>
              <w:rPr>
                <w:rFonts w:cs="Arial"/>
                <w:sz w:val="20"/>
                <w:szCs w:val="20"/>
              </w:rPr>
            </w:pPr>
            <w:r w:rsidRPr="00C75729">
              <w:rPr>
                <w:rFonts w:cs="Arial"/>
                <w:sz w:val="20"/>
                <w:szCs w:val="20"/>
              </w:rPr>
              <w:t>- Não existem mecanismos de comunicação de informações referente</w:t>
            </w:r>
            <w:r>
              <w:rPr>
                <w:rFonts w:cs="Arial"/>
                <w:sz w:val="20"/>
                <w:szCs w:val="20"/>
              </w:rPr>
              <w:t>s à</w:t>
            </w:r>
            <w:r w:rsidRPr="00C75729">
              <w:rPr>
                <w:rFonts w:cs="Arial"/>
                <w:sz w:val="20"/>
                <w:szCs w:val="20"/>
              </w:rPr>
              <w:t xml:space="preserve"> qualidade d</w:t>
            </w:r>
            <w:r>
              <w:rPr>
                <w:rFonts w:cs="Arial"/>
                <w:sz w:val="20"/>
                <w:szCs w:val="20"/>
              </w:rPr>
              <w:t>a</w:t>
            </w:r>
            <w:r w:rsidRPr="00C75729">
              <w:rPr>
                <w:rFonts w:cs="Arial"/>
                <w:sz w:val="20"/>
                <w:szCs w:val="20"/>
              </w:rPr>
              <w:t xml:space="preserve"> água servida na área rural.</w:t>
            </w:r>
          </w:p>
          <w:p w:rsidR="00B71958" w:rsidRPr="00C75729" w:rsidRDefault="00B71958" w:rsidP="00B71958">
            <w:pPr>
              <w:autoSpaceDE w:val="0"/>
              <w:autoSpaceDN w:val="0"/>
              <w:adjustRightInd w:val="0"/>
              <w:spacing w:before="60" w:after="60" w:line="240" w:lineRule="auto"/>
              <w:rPr>
                <w:rFonts w:cs="Arial"/>
                <w:sz w:val="20"/>
                <w:szCs w:val="20"/>
              </w:rPr>
            </w:pPr>
          </w:p>
          <w:p w:rsidR="00B71958" w:rsidRPr="00C75729" w:rsidRDefault="00B71958" w:rsidP="00B71958">
            <w:pPr>
              <w:autoSpaceDE w:val="0"/>
              <w:autoSpaceDN w:val="0"/>
              <w:adjustRightInd w:val="0"/>
              <w:spacing w:before="60" w:after="60" w:line="240" w:lineRule="auto"/>
              <w:rPr>
                <w:rFonts w:cs="Arial"/>
                <w:b/>
                <w:sz w:val="20"/>
                <w:szCs w:val="20"/>
              </w:rPr>
            </w:pPr>
            <w:r w:rsidRPr="00C75729">
              <w:rPr>
                <w:rFonts w:cs="Arial"/>
                <w:b/>
                <w:sz w:val="20"/>
                <w:szCs w:val="20"/>
              </w:rPr>
              <w:t>6. Sustentabilidade econômica</w:t>
            </w:r>
          </w:p>
          <w:p w:rsidR="00B71958" w:rsidRPr="00C75729" w:rsidRDefault="00B71958" w:rsidP="00B71958">
            <w:pPr>
              <w:widowControl w:val="0"/>
              <w:autoSpaceDE w:val="0"/>
              <w:autoSpaceDN w:val="0"/>
              <w:adjustRightInd w:val="0"/>
              <w:spacing w:before="120" w:after="120" w:line="240" w:lineRule="auto"/>
              <w:ind w:firstLine="23"/>
              <w:contextualSpacing/>
              <w:rPr>
                <w:rFonts w:cs="Arial"/>
                <w:sz w:val="20"/>
                <w:szCs w:val="20"/>
              </w:rPr>
            </w:pPr>
            <w:r w:rsidRPr="00C75729">
              <w:rPr>
                <w:rFonts w:cs="Arial"/>
                <w:sz w:val="20"/>
                <w:szCs w:val="20"/>
              </w:rPr>
              <w:t xml:space="preserve">- Apesar de existir tarifação, a operação do SAA traz prejuízos à COPASA e à </w:t>
            </w:r>
            <w:r>
              <w:rPr>
                <w:rFonts w:cs="Arial"/>
                <w:sz w:val="20"/>
                <w:szCs w:val="20"/>
              </w:rPr>
              <w:t>P</w:t>
            </w:r>
            <w:r w:rsidRPr="00C75729">
              <w:rPr>
                <w:rFonts w:cs="Arial"/>
                <w:sz w:val="20"/>
                <w:szCs w:val="20"/>
              </w:rPr>
              <w:t>refeitura</w:t>
            </w:r>
            <w:r>
              <w:rPr>
                <w:rFonts w:cs="Arial"/>
                <w:sz w:val="20"/>
                <w:szCs w:val="20"/>
              </w:rPr>
              <w:t xml:space="preserve"> Municipal</w:t>
            </w:r>
            <w:r w:rsidRPr="00C75729">
              <w:rPr>
                <w:rFonts w:cs="Arial"/>
                <w:sz w:val="20"/>
                <w:szCs w:val="20"/>
              </w:rPr>
              <w:t>.</w:t>
            </w:r>
          </w:p>
          <w:p w:rsidR="00B71958" w:rsidRPr="00C75729" w:rsidRDefault="00B71958" w:rsidP="00B71958">
            <w:pPr>
              <w:widowControl w:val="0"/>
              <w:autoSpaceDE w:val="0"/>
              <w:autoSpaceDN w:val="0"/>
              <w:adjustRightInd w:val="0"/>
              <w:spacing w:before="120" w:after="120" w:line="240" w:lineRule="auto"/>
              <w:ind w:firstLine="23"/>
              <w:contextualSpacing/>
              <w:rPr>
                <w:rFonts w:cs="Arial"/>
                <w:sz w:val="20"/>
                <w:szCs w:val="20"/>
                <w:highlight w:val="yellow"/>
              </w:rPr>
            </w:pPr>
          </w:p>
        </w:tc>
      </w:tr>
      <w:tr w:rsidR="00B71958" w:rsidRPr="00C75729" w:rsidTr="00B71958">
        <w:trPr>
          <w:trHeight w:val="1895"/>
          <w:jc w:val="center"/>
        </w:trPr>
        <w:tc>
          <w:tcPr>
            <w:tcW w:w="0" w:type="auto"/>
            <w:tcBorders>
              <w:top w:val="single" w:sz="4" w:space="0" w:color="auto"/>
              <w:left w:val="single" w:sz="4" w:space="0" w:color="auto"/>
              <w:bottom w:val="single" w:sz="4" w:space="0" w:color="auto"/>
              <w:right w:val="single" w:sz="4" w:space="0" w:color="auto"/>
            </w:tcBorders>
            <w:shd w:val="clear" w:color="auto" w:fill="365F91"/>
            <w:vAlign w:val="center"/>
            <w:hideMark/>
          </w:tcPr>
          <w:p w:rsidR="00B71958" w:rsidRPr="00C75729" w:rsidRDefault="00B71958" w:rsidP="00B71958">
            <w:pPr>
              <w:autoSpaceDE w:val="0"/>
              <w:autoSpaceDN w:val="0"/>
              <w:adjustRightInd w:val="0"/>
              <w:spacing w:before="60" w:after="60" w:line="240" w:lineRule="auto"/>
              <w:jc w:val="center"/>
              <w:rPr>
                <w:rFonts w:cs="Arial"/>
                <w:color w:val="FFFFFF"/>
                <w:sz w:val="20"/>
                <w:szCs w:val="20"/>
              </w:rPr>
            </w:pPr>
            <w:r w:rsidRPr="00C75729">
              <w:rPr>
                <w:rFonts w:cs="Arial"/>
                <w:color w:val="FFFFFF"/>
                <w:sz w:val="20"/>
                <w:szCs w:val="20"/>
              </w:rPr>
              <w:lastRenderedPageBreak/>
              <w:t>Ambiente Externo</w:t>
            </w:r>
          </w:p>
        </w:tc>
        <w:tc>
          <w:tcPr>
            <w:tcW w:w="3253" w:type="dxa"/>
            <w:tcBorders>
              <w:top w:val="single" w:sz="4" w:space="0" w:color="auto"/>
              <w:left w:val="single" w:sz="4" w:space="0" w:color="auto"/>
              <w:bottom w:val="single" w:sz="4" w:space="0" w:color="auto"/>
              <w:right w:val="single" w:sz="4" w:space="0" w:color="auto"/>
            </w:tcBorders>
            <w:shd w:val="clear" w:color="auto" w:fill="B8CCE4"/>
          </w:tcPr>
          <w:p w:rsidR="00B71958" w:rsidRPr="00C75729" w:rsidRDefault="00B71958" w:rsidP="00B71958">
            <w:pPr>
              <w:autoSpaceDE w:val="0"/>
              <w:autoSpaceDN w:val="0"/>
              <w:adjustRightInd w:val="0"/>
              <w:spacing w:before="60" w:after="60" w:line="240" w:lineRule="auto"/>
              <w:jc w:val="center"/>
              <w:rPr>
                <w:rFonts w:cs="Arial"/>
                <w:b/>
                <w:sz w:val="20"/>
                <w:szCs w:val="20"/>
              </w:rPr>
            </w:pPr>
            <w:r w:rsidRPr="00C75729">
              <w:rPr>
                <w:rFonts w:cs="Arial"/>
                <w:b/>
                <w:sz w:val="20"/>
                <w:szCs w:val="20"/>
              </w:rPr>
              <w:t>OPORTUNIDADES</w:t>
            </w:r>
          </w:p>
          <w:p w:rsidR="00B71958" w:rsidRPr="00C75729" w:rsidRDefault="00B71958" w:rsidP="00B71958">
            <w:pPr>
              <w:autoSpaceDE w:val="0"/>
              <w:autoSpaceDN w:val="0"/>
              <w:adjustRightInd w:val="0"/>
              <w:spacing w:before="60" w:after="60" w:line="240" w:lineRule="auto"/>
              <w:jc w:val="center"/>
              <w:rPr>
                <w:rFonts w:cs="Arial"/>
                <w:b/>
                <w:sz w:val="20"/>
                <w:szCs w:val="20"/>
              </w:rPr>
            </w:pPr>
          </w:p>
          <w:p w:rsidR="00B71958" w:rsidRPr="00C75729" w:rsidRDefault="00B71958" w:rsidP="00B71958">
            <w:pPr>
              <w:autoSpaceDE w:val="0"/>
              <w:autoSpaceDN w:val="0"/>
              <w:adjustRightInd w:val="0"/>
              <w:spacing w:before="60" w:after="60" w:line="240" w:lineRule="auto"/>
              <w:rPr>
                <w:rFonts w:cs="Arial"/>
                <w:b/>
                <w:sz w:val="20"/>
                <w:szCs w:val="20"/>
              </w:rPr>
            </w:pPr>
            <w:r w:rsidRPr="00C75729">
              <w:rPr>
                <w:rFonts w:cs="Arial"/>
                <w:b/>
                <w:sz w:val="20"/>
                <w:szCs w:val="20"/>
              </w:rPr>
              <w:t>6. Sustentabilidade econômica</w:t>
            </w:r>
          </w:p>
          <w:p w:rsidR="00B71958" w:rsidRPr="00C75729" w:rsidRDefault="00B71958" w:rsidP="00B71958">
            <w:pPr>
              <w:rPr>
                <w:rFonts w:eastAsiaTheme="minorHAnsi" w:cs="Arial"/>
                <w:sz w:val="20"/>
                <w:szCs w:val="20"/>
              </w:rPr>
            </w:pPr>
            <w:r w:rsidRPr="00C75729">
              <w:rPr>
                <w:rFonts w:cs="Arial"/>
                <w:sz w:val="20"/>
                <w:szCs w:val="20"/>
              </w:rPr>
              <w:t xml:space="preserve">- </w:t>
            </w:r>
            <w:r w:rsidRPr="00C75729">
              <w:rPr>
                <w:rFonts w:eastAsiaTheme="minorHAnsi" w:cs="Arial"/>
                <w:sz w:val="20"/>
                <w:szCs w:val="20"/>
              </w:rPr>
              <w:t>Devido ao desastre com a barragem de Fundão, existe a possibilidade de novos investimentos em saneamento básico pela SAMARCO S.A., responsável pelo acidente.</w:t>
            </w:r>
          </w:p>
          <w:p w:rsidR="00B71958" w:rsidRPr="00C75729" w:rsidRDefault="00B71958" w:rsidP="00B71958">
            <w:pPr>
              <w:autoSpaceDE w:val="0"/>
              <w:autoSpaceDN w:val="0"/>
              <w:adjustRightInd w:val="0"/>
              <w:spacing w:before="60" w:after="60" w:line="240" w:lineRule="auto"/>
              <w:rPr>
                <w:rFonts w:cs="Arial"/>
                <w:sz w:val="20"/>
                <w:szCs w:val="20"/>
              </w:rPr>
            </w:pPr>
          </w:p>
          <w:p w:rsidR="00B71958" w:rsidRPr="00C75729" w:rsidRDefault="00B71958" w:rsidP="00B71958">
            <w:pPr>
              <w:autoSpaceDE w:val="0"/>
              <w:autoSpaceDN w:val="0"/>
              <w:adjustRightInd w:val="0"/>
              <w:spacing w:before="60" w:after="60" w:line="240" w:lineRule="auto"/>
              <w:rPr>
                <w:rFonts w:cs="Arial"/>
                <w:sz w:val="20"/>
                <w:szCs w:val="20"/>
              </w:rPr>
            </w:pPr>
          </w:p>
        </w:tc>
        <w:tc>
          <w:tcPr>
            <w:tcW w:w="3402" w:type="dxa"/>
            <w:vMerge/>
            <w:tcBorders>
              <w:left w:val="single" w:sz="4" w:space="0" w:color="auto"/>
              <w:bottom w:val="single" w:sz="4" w:space="0" w:color="auto"/>
              <w:right w:val="single" w:sz="4" w:space="0" w:color="auto"/>
            </w:tcBorders>
            <w:shd w:val="clear" w:color="auto" w:fill="B8CCE4"/>
            <w:vAlign w:val="center"/>
          </w:tcPr>
          <w:p w:rsidR="00B71958" w:rsidRPr="00C75729" w:rsidRDefault="00B71958" w:rsidP="00B71958">
            <w:pPr>
              <w:autoSpaceDE w:val="0"/>
              <w:autoSpaceDN w:val="0"/>
              <w:adjustRightInd w:val="0"/>
              <w:spacing w:before="60" w:after="60" w:line="240" w:lineRule="auto"/>
              <w:rPr>
                <w:rFonts w:cs="Arial"/>
                <w:b/>
                <w:sz w:val="20"/>
                <w:szCs w:val="20"/>
                <w:highlight w:val="yellow"/>
              </w:rPr>
            </w:pPr>
          </w:p>
        </w:tc>
        <w:tc>
          <w:tcPr>
            <w:tcW w:w="7378" w:type="dxa"/>
            <w:tcBorders>
              <w:top w:val="single" w:sz="4" w:space="0" w:color="auto"/>
              <w:left w:val="single" w:sz="4" w:space="0" w:color="auto"/>
              <w:bottom w:val="single" w:sz="4" w:space="0" w:color="auto"/>
              <w:right w:val="single" w:sz="4" w:space="0" w:color="auto"/>
            </w:tcBorders>
            <w:shd w:val="clear" w:color="auto" w:fill="B8CCE4"/>
          </w:tcPr>
          <w:p w:rsidR="00B71958" w:rsidRPr="00C75729" w:rsidRDefault="00B71958" w:rsidP="00B71958">
            <w:pPr>
              <w:autoSpaceDE w:val="0"/>
              <w:autoSpaceDN w:val="0"/>
              <w:adjustRightInd w:val="0"/>
              <w:spacing w:before="60" w:after="60" w:line="240" w:lineRule="auto"/>
              <w:jc w:val="center"/>
              <w:rPr>
                <w:rFonts w:cs="Arial"/>
                <w:b/>
                <w:sz w:val="20"/>
                <w:szCs w:val="20"/>
              </w:rPr>
            </w:pPr>
            <w:r w:rsidRPr="00C75729">
              <w:rPr>
                <w:rFonts w:cs="Arial"/>
                <w:b/>
                <w:sz w:val="20"/>
                <w:szCs w:val="20"/>
              </w:rPr>
              <w:t>AMEAÇAS</w:t>
            </w:r>
          </w:p>
          <w:p w:rsidR="00B71958" w:rsidRPr="00C75729" w:rsidRDefault="00B71958" w:rsidP="00B71958">
            <w:pPr>
              <w:autoSpaceDE w:val="0"/>
              <w:autoSpaceDN w:val="0"/>
              <w:adjustRightInd w:val="0"/>
              <w:spacing w:before="60" w:after="60" w:line="240" w:lineRule="auto"/>
              <w:jc w:val="center"/>
              <w:rPr>
                <w:rFonts w:cs="Arial"/>
                <w:b/>
                <w:sz w:val="20"/>
                <w:szCs w:val="20"/>
              </w:rPr>
            </w:pPr>
          </w:p>
          <w:p w:rsidR="00B71958" w:rsidRPr="00C75729" w:rsidRDefault="00B71958" w:rsidP="00B71958">
            <w:pPr>
              <w:autoSpaceDE w:val="0"/>
              <w:autoSpaceDN w:val="0"/>
              <w:adjustRightInd w:val="0"/>
              <w:spacing w:before="60" w:after="60" w:line="240" w:lineRule="auto"/>
              <w:rPr>
                <w:rFonts w:cs="Arial"/>
                <w:b/>
                <w:sz w:val="20"/>
                <w:szCs w:val="20"/>
              </w:rPr>
            </w:pPr>
            <w:r w:rsidRPr="00C75729">
              <w:rPr>
                <w:rFonts w:cs="Arial"/>
                <w:b/>
                <w:sz w:val="20"/>
                <w:szCs w:val="20"/>
              </w:rPr>
              <w:t>3. Sistema Operacional</w:t>
            </w:r>
          </w:p>
          <w:p w:rsidR="00B71958" w:rsidRPr="00C75729" w:rsidRDefault="00B71958" w:rsidP="00B71958">
            <w:pPr>
              <w:autoSpaceDE w:val="0"/>
              <w:autoSpaceDN w:val="0"/>
              <w:adjustRightInd w:val="0"/>
              <w:spacing w:before="60" w:after="60" w:line="240" w:lineRule="auto"/>
              <w:rPr>
                <w:rFonts w:cs="Arial"/>
                <w:sz w:val="20"/>
                <w:szCs w:val="20"/>
              </w:rPr>
            </w:pPr>
            <w:r w:rsidRPr="00C75729">
              <w:rPr>
                <w:rFonts w:cs="Arial"/>
                <w:sz w:val="20"/>
                <w:szCs w:val="20"/>
              </w:rPr>
              <w:t>- Malha urbana tem expansão desordenada</w:t>
            </w:r>
            <w:r>
              <w:rPr>
                <w:rFonts w:cs="Arial"/>
                <w:sz w:val="20"/>
                <w:szCs w:val="20"/>
              </w:rPr>
              <w:t xml:space="preserve"> </w:t>
            </w:r>
            <w:r w:rsidRPr="00C75729">
              <w:rPr>
                <w:rFonts w:cs="Arial"/>
                <w:sz w:val="20"/>
                <w:szCs w:val="20"/>
              </w:rPr>
              <w:t>dificultando</w:t>
            </w:r>
            <w:r>
              <w:rPr>
                <w:rFonts w:cs="Arial"/>
                <w:sz w:val="20"/>
                <w:szCs w:val="20"/>
              </w:rPr>
              <w:t>,</w:t>
            </w:r>
            <w:r w:rsidRPr="00C75729">
              <w:rPr>
                <w:rFonts w:cs="Arial"/>
                <w:sz w:val="20"/>
                <w:szCs w:val="20"/>
              </w:rPr>
              <w:t xml:space="preserve"> principalmente</w:t>
            </w:r>
            <w:r>
              <w:rPr>
                <w:rFonts w:cs="Arial"/>
                <w:sz w:val="20"/>
                <w:szCs w:val="20"/>
              </w:rPr>
              <w:t xml:space="preserve">, </w:t>
            </w:r>
            <w:r w:rsidRPr="00C75729">
              <w:rPr>
                <w:rFonts w:cs="Arial"/>
                <w:sz w:val="20"/>
                <w:szCs w:val="20"/>
              </w:rPr>
              <w:t>a distribuição de água.</w:t>
            </w:r>
          </w:p>
          <w:p w:rsidR="00B71958" w:rsidRPr="00C75729" w:rsidRDefault="00B71958" w:rsidP="00B71958">
            <w:pPr>
              <w:autoSpaceDE w:val="0"/>
              <w:autoSpaceDN w:val="0"/>
              <w:adjustRightInd w:val="0"/>
              <w:spacing w:before="60" w:after="60" w:line="240" w:lineRule="auto"/>
              <w:rPr>
                <w:rFonts w:cs="Arial"/>
                <w:sz w:val="20"/>
                <w:szCs w:val="20"/>
              </w:rPr>
            </w:pPr>
          </w:p>
          <w:p w:rsidR="00B71958" w:rsidRPr="00C75729" w:rsidRDefault="00B71958" w:rsidP="00B71958">
            <w:pPr>
              <w:autoSpaceDE w:val="0"/>
              <w:autoSpaceDN w:val="0"/>
              <w:adjustRightInd w:val="0"/>
              <w:spacing w:before="60" w:after="60" w:line="240" w:lineRule="auto"/>
              <w:rPr>
                <w:rFonts w:cs="Arial"/>
                <w:b/>
                <w:sz w:val="20"/>
                <w:szCs w:val="20"/>
              </w:rPr>
            </w:pPr>
            <w:r w:rsidRPr="00C75729">
              <w:rPr>
                <w:rFonts w:cs="Arial"/>
                <w:b/>
                <w:sz w:val="20"/>
                <w:szCs w:val="20"/>
              </w:rPr>
              <w:t>5. Legislação e normatização do setor</w:t>
            </w:r>
          </w:p>
          <w:p w:rsidR="00B71958" w:rsidRPr="00C75729" w:rsidRDefault="00B71958" w:rsidP="00B71958">
            <w:pPr>
              <w:autoSpaceDE w:val="0"/>
              <w:autoSpaceDN w:val="0"/>
              <w:adjustRightInd w:val="0"/>
              <w:spacing w:before="60" w:after="60" w:line="240" w:lineRule="auto"/>
              <w:rPr>
                <w:rFonts w:cs="Arial"/>
                <w:sz w:val="20"/>
                <w:szCs w:val="20"/>
              </w:rPr>
            </w:pPr>
            <w:r w:rsidRPr="00C75729">
              <w:rPr>
                <w:rFonts w:cs="Arial"/>
                <w:sz w:val="20"/>
                <w:szCs w:val="20"/>
              </w:rPr>
              <w:t>- Não existe legislação específica para auxiliar a gestão do sistema.</w:t>
            </w:r>
          </w:p>
          <w:p w:rsidR="00B71958" w:rsidRPr="00C75729" w:rsidRDefault="00B71958" w:rsidP="00B71958">
            <w:pPr>
              <w:autoSpaceDE w:val="0"/>
              <w:autoSpaceDN w:val="0"/>
              <w:adjustRightInd w:val="0"/>
              <w:spacing w:before="60" w:after="60" w:line="240" w:lineRule="auto"/>
              <w:rPr>
                <w:rFonts w:cs="Arial"/>
                <w:sz w:val="20"/>
                <w:szCs w:val="20"/>
                <w:highlight w:val="yellow"/>
              </w:rPr>
            </w:pPr>
          </w:p>
        </w:tc>
      </w:tr>
    </w:tbl>
    <w:p w:rsidR="00B71958" w:rsidRPr="00E643C7" w:rsidRDefault="00B71958" w:rsidP="00B71958">
      <w:pPr>
        <w:pStyle w:val="Fonte"/>
        <w:rPr>
          <w:lang w:eastAsia="x-none"/>
        </w:rPr>
      </w:pPr>
      <w:r w:rsidRPr="00F23897">
        <w:t>Fonte: adaptado por SHS, 2017.</w:t>
      </w:r>
    </w:p>
    <w:p w:rsidR="00B71958" w:rsidRDefault="00B71958" w:rsidP="00B71958">
      <w:pPr>
        <w:rPr>
          <w:rFonts w:cs="Arial"/>
          <w:szCs w:val="24"/>
          <w:lang w:eastAsia="pt-BR"/>
        </w:rPr>
        <w:sectPr w:rsidR="00B71958" w:rsidSect="00B71958">
          <w:footerReference w:type="default" r:id="rId46"/>
          <w:pgSz w:w="16838" w:h="11906" w:orient="landscape"/>
          <w:pgMar w:top="1418" w:right="1134" w:bottom="1134" w:left="1134" w:header="709" w:footer="709" w:gutter="0"/>
          <w:cols w:space="708"/>
          <w:docGrid w:linePitch="360"/>
        </w:sectPr>
      </w:pPr>
    </w:p>
    <w:p w:rsidR="00B71958" w:rsidRDefault="00B71958" w:rsidP="00B71958">
      <w:pPr>
        <w:spacing w:before="120" w:after="120"/>
        <w:ind w:firstLine="708"/>
        <w:contextualSpacing/>
        <w:rPr>
          <w:rFonts w:cs="Arial"/>
          <w:szCs w:val="24"/>
        </w:rPr>
      </w:pPr>
      <w:r w:rsidRPr="005E053C">
        <w:rPr>
          <w:rFonts w:cs="Arial"/>
          <w:szCs w:val="24"/>
        </w:rPr>
        <w:lastRenderedPageBreak/>
        <w:t>Considerando</w:t>
      </w:r>
      <w:r>
        <w:rPr>
          <w:rFonts w:cs="Arial"/>
          <w:szCs w:val="24"/>
        </w:rPr>
        <w:t xml:space="preserve"> </w:t>
      </w:r>
      <w:r w:rsidRPr="005E053C">
        <w:rPr>
          <w:rFonts w:cs="Arial"/>
          <w:szCs w:val="24"/>
        </w:rPr>
        <w:t>todas es</w:t>
      </w:r>
      <w:r>
        <w:rPr>
          <w:rFonts w:cs="Arial"/>
          <w:szCs w:val="24"/>
        </w:rPr>
        <w:t>s</w:t>
      </w:r>
      <w:r w:rsidRPr="005E053C">
        <w:rPr>
          <w:rFonts w:cs="Arial"/>
          <w:szCs w:val="24"/>
        </w:rPr>
        <w:t>as questões, partiu-se para a construção dos cenários previsível e normativo para o setor de abastecimento d</w:t>
      </w:r>
      <w:r>
        <w:rPr>
          <w:rFonts w:cs="Arial"/>
          <w:szCs w:val="24"/>
        </w:rPr>
        <w:t xml:space="preserve">e </w:t>
      </w:r>
      <w:r w:rsidRPr="005E053C">
        <w:rPr>
          <w:rFonts w:cs="Arial"/>
          <w:szCs w:val="24"/>
        </w:rPr>
        <w:t xml:space="preserve">água de </w:t>
      </w:r>
      <w:r>
        <w:rPr>
          <w:rFonts w:cs="Arial"/>
          <w:szCs w:val="24"/>
          <w:lang w:eastAsia="pt-BR"/>
        </w:rPr>
        <w:t>Córrego Novo</w:t>
      </w:r>
      <w:r w:rsidRPr="005A2A7E">
        <w:rPr>
          <w:rFonts w:cs="Arial"/>
          <w:szCs w:val="24"/>
        </w:rPr>
        <w:t>.</w:t>
      </w:r>
      <w:r w:rsidRPr="005426F5">
        <w:rPr>
          <w:rFonts w:cs="Arial"/>
          <w:szCs w:val="24"/>
        </w:rPr>
        <w:t xml:space="preserve"> O resultado está </w:t>
      </w:r>
      <w:r>
        <w:rPr>
          <w:rFonts w:cs="Arial"/>
          <w:szCs w:val="24"/>
        </w:rPr>
        <w:t>apresentado</w:t>
      </w:r>
      <w:r w:rsidRPr="005426F5">
        <w:rPr>
          <w:rFonts w:cs="Arial"/>
          <w:szCs w:val="24"/>
        </w:rPr>
        <w:t xml:space="preserve"> no</w:t>
      </w:r>
      <w:r>
        <w:rPr>
          <w:rFonts w:cs="Arial"/>
          <w:szCs w:val="24"/>
        </w:rPr>
        <w:t xml:space="preserve"> </w:t>
      </w:r>
      <w:r>
        <w:rPr>
          <w:rFonts w:cs="Arial"/>
          <w:szCs w:val="24"/>
        </w:rPr>
        <w:fldChar w:fldCharType="begin"/>
      </w:r>
      <w:r>
        <w:rPr>
          <w:rFonts w:cs="Arial"/>
          <w:szCs w:val="24"/>
        </w:rPr>
        <w:instrText xml:space="preserve"> REF _Ref484163093 \h </w:instrText>
      </w:r>
      <w:r>
        <w:rPr>
          <w:rFonts w:cs="Arial"/>
          <w:szCs w:val="24"/>
        </w:rPr>
      </w:r>
      <w:r>
        <w:rPr>
          <w:rFonts w:cs="Arial"/>
          <w:szCs w:val="24"/>
        </w:rPr>
        <w:fldChar w:fldCharType="separate"/>
      </w:r>
      <w:r w:rsidR="001B481B">
        <w:t xml:space="preserve">Quadro </w:t>
      </w:r>
      <w:r w:rsidR="001B481B">
        <w:rPr>
          <w:noProof/>
        </w:rPr>
        <w:t>56</w:t>
      </w:r>
      <w:r>
        <w:rPr>
          <w:rFonts w:cs="Arial"/>
          <w:szCs w:val="24"/>
        </w:rPr>
        <w:fldChar w:fldCharType="end"/>
      </w:r>
      <w:r>
        <w:rPr>
          <w:rFonts w:cs="Arial"/>
          <w:szCs w:val="24"/>
        </w:rPr>
        <w:t>.</w:t>
      </w:r>
    </w:p>
    <w:p w:rsidR="00B71958" w:rsidRDefault="00B71958" w:rsidP="00B71958">
      <w:pPr>
        <w:pStyle w:val="Legenda"/>
        <w:rPr>
          <w:lang w:val="pt-BR"/>
        </w:rPr>
      </w:pPr>
      <w:bookmarkStart w:id="661" w:name="_Ref484163093"/>
      <w:bookmarkStart w:id="662" w:name="_Toc484423916"/>
      <w:bookmarkStart w:id="663" w:name="_Toc484532478"/>
      <w:bookmarkStart w:id="664" w:name="_Toc498099252"/>
      <w:bookmarkStart w:id="665" w:name="_Toc509935833"/>
      <w:r>
        <w:t xml:space="preserve">Quadro </w:t>
      </w:r>
      <w:r w:rsidR="000A1C78">
        <w:fldChar w:fldCharType="begin"/>
      </w:r>
      <w:r w:rsidR="000A1C78">
        <w:instrText xml:space="preserve"> SEQ Quadro \* ARABIC </w:instrText>
      </w:r>
      <w:r w:rsidR="000A1C78">
        <w:fldChar w:fldCharType="separate"/>
      </w:r>
      <w:r w:rsidR="001B481B">
        <w:rPr>
          <w:noProof/>
        </w:rPr>
        <w:t>56</w:t>
      </w:r>
      <w:r w:rsidR="000A1C78">
        <w:rPr>
          <w:noProof/>
        </w:rPr>
        <w:fldChar w:fldCharType="end"/>
      </w:r>
      <w:bookmarkEnd w:id="661"/>
      <w:r>
        <w:rPr>
          <w:lang w:val="pt-BR"/>
        </w:rPr>
        <w:t xml:space="preserve"> - </w:t>
      </w:r>
      <w:r w:rsidRPr="006E1C7F">
        <w:t xml:space="preserve">Descrição dos cenários previsível e normativo para o </w:t>
      </w:r>
      <w:r>
        <w:rPr>
          <w:lang w:val="pt-BR"/>
        </w:rPr>
        <w:t>Sistema de Abastecimento de Água (SAA)</w:t>
      </w:r>
      <w:bookmarkEnd w:id="662"/>
      <w:bookmarkEnd w:id="663"/>
      <w:bookmarkEnd w:id="664"/>
      <w:bookmarkEnd w:id="665"/>
    </w:p>
    <w:tbl>
      <w:tblPr>
        <w:tblW w:w="9215" w:type="dxa"/>
        <w:jc w:val="center"/>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4679"/>
        <w:gridCol w:w="4536"/>
      </w:tblGrid>
      <w:tr w:rsidR="00B71958" w:rsidRPr="00E13D13" w:rsidTr="00B71958">
        <w:trPr>
          <w:tblHeader/>
          <w:jc w:val="center"/>
        </w:trPr>
        <w:tc>
          <w:tcPr>
            <w:tcW w:w="4679" w:type="dxa"/>
            <w:tcBorders>
              <w:top w:val="single" w:sz="8" w:space="0" w:color="4F81BD"/>
              <w:bottom w:val="single" w:sz="8" w:space="0" w:color="4F81BD"/>
              <w:right w:val="single" w:sz="8" w:space="0" w:color="4F81BD"/>
            </w:tcBorders>
            <w:shd w:val="clear" w:color="auto" w:fill="4F81BD"/>
            <w:vAlign w:val="center"/>
          </w:tcPr>
          <w:p w:rsidR="00B71958" w:rsidRPr="004E510B" w:rsidRDefault="00B71958" w:rsidP="00B71958">
            <w:pPr>
              <w:autoSpaceDE w:val="0"/>
              <w:autoSpaceDN w:val="0"/>
              <w:adjustRightInd w:val="0"/>
              <w:spacing w:line="312" w:lineRule="auto"/>
              <w:contextualSpacing/>
              <w:jc w:val="center"/>
              <w:rPr>
                <w:rFonts w:cs="Arial"/>
                <w:bCs/>
                <w:sz w:val="20"/>
              </w:rPr>
            </w:pPr>
            <w:r w:rsidRPr="004E510B">
              <w:rPr>
                <w:rFonts w:cs="Arial"/>
                <w:bCs/>
                <w:sz w:val="20"/>
              </w:rPr>
              <w:t>Cenário Previsível</w:t>
            </w:r>
          </w:p>
        </w:tc>
        <w:tc>
          <w:tcPr>
            <w:tcW w:w="4536" w:type="dxa"/>
            <w:tcBorders>
              <w:left w:val="single" w:sz="8" w:space="0" w:color="4F81BD"/>
            </w:tcBorders>
            <w:shd w:val="clear" w:color="auto" w:fill="4F81BD"/>
            <w:vAlign w:val="center"/>
          </w:tcPr>
          <w:p w:rsidR="00B71958" w:rsidRPr="004E510B" w:rsidRDefault="00B71958" w:rsidP="00B71958">
            <w:pPr>
              <w:autoSpaceDE w:val="0"/>
              <w:autoSpaceDN w:val="0"/>
              <w:adjustRightInd w:val="0"/>
              <w:spacing w:line="312" w:lineRule="auto"/>
              <w:contextualSpacing/>
              <w:jc w:val="center"/>
              <w:rPr>
                <w:rFonts w:cs="Arial"/>
                <w:bCs/>
                <w:sz w:val="20"/>
              </w:rPr>
            </w:pPr>
            <w:r w:rsidRPr="004E510B">
              <w:rPr>
                <w:rFonts w:cs="Arial"/>
                <w:bCs/>
                <w:sz w:val="20"/>
              </w:rPr>
              <w:t>Cenário Normativo</w:t>
            </w:r>
          </w:p>
        </w:tc>
      </w:tr>
      <w:tr w:rsidR="00B71958" w:rsidRPr="00E13D13" w:rsidTr="00B71958">
        <w:trPr>
          <w:jc w:val="center"/>
        </w:trPr>
        <w:tc>
          <w:tcPr>
            <w:tcW w:w="4679" w:type="dxa"/>
            <w:tcBorders>
              <w:top w:val="single" w:sz="8" w:space="0" w:color="4F81BD"/>
              <w:left w:val="single" w:sz="8" w:space="0" w:color="4F81BD"/>
              <w:bottom w:val="single" w:sz="8" w:space="0" w:color="4F81BD"/>
              <w:right w:val="single" w:sz="8" w:space="0" w:color="4F81BD"/>
            </w:tcBorders>
            <w:shd w:val="clear" w:color="auto" w:fill="auto"/>
          </w:tcPr>
          <w:p w:rsidR="00B71958" w:rsidRPr="004E510B" w:rsidRDefault="00B71958" w:rsidP="00B71958">
            <w:pPr>
              <w:autoSpaceDE w:val="0"/>
              <w:autoSpaceDN w:val="0"/>
              <w:adjustRightInd w:val="0"/>
              <w:spacing w:line="312" w:lineRule="auto"/>
              <w:contextualSpacing/>
              <w:rPr>
                <w:rFonts w:cs="Arial"/>
                <w:bCs/>
                <w:sz w:val="20"/>
              </w:rPr>
            </w:pPr>
            <w:r w:rsidRPr="004E510B">
              <w:rPr>
                <w:rFonts w:cs="Arial"/>
                <w:bCs/>
                <w:sz w:val="20"/>
              </w:rPr>
              <w:t>100% de atendimento na área urbana de forma contínua, mas não ininterrupta e sem monitora</w:t>
            </w:r>
            <w:r>
              <w:rPr>
                <w:rFonts w:cs="Arial"/>
                <w:bCs/>
                <w:sz w:val="20"/>
              </w:rPr>
              <w:t>mento de sistemas particulares.</w:t>
            </w:r>
          </w:p>
        </w:tc>
        <w:tc>
          <w:tcPr>
            <w:tcW w:w="4536" w:type="dxa"/>
            <w:tcBorders>
              <w:top w:val="single" w:sz="8" w:space="0" w:color="4F81BD"/>
              <w:left w:val="single" w:sz="8" w:space="0" w:color="4F81BD"/>
              <w:bottom w:val="single" w:sz="8" w:space="0" w:color="4F81BD"/>
              <w:right w:val="single" w:sz="8" w:space="0" w:color="4F81BD"/>
            </w:tcBorders>
            <w:shd w:val="clear" w:color="auto" w:fill="auto"/>
          </w:tcPr>
          <w:p w:rsidR="00B71958" w:rsidRPr="004E510B" w:rsidRDefault="00B71958" w:rsidP="00B71958">
            <w:pPr>
              <w:autoSpaceDE w:val="0"/>
              <w:autoSpaceDN w:val="0"/>
              <w:adjustRightInd w:val="0"/>
              <w:spacing w:line="312" w:lineRule="auto"/>
              <w:contextualSpacing/>
              <w:rPr>
                <w:rFonts w:cs="Arial"/>
                <w:sz w:val="20"/>
              </w:rPr>
            </w:pPr>
            <w:r w:rsidRPr="004E510B">
              <w:rPr>
                <w:rFonts w:cs="Arial"/>
                <w:sz w:val="20"/>
              </w:rPr>
              <w:t>100% de atendimento na área urbana de forma contínua e ininterrupta, com monitoramento de sistemas particulares.</w:t>
            </w:r>
          </w:p>
        </w:tc>
      </w:tr>
      <w:tr w:rsidR="00B71958" w:rsidRPr="00E13D13" w:rsidTr="00B71958">
        <w:trPr>
          <w:jc w:val="center"/>
        </w:trPr>
        <w:tc>
          <w:tcPr>
            <w:tcW w:w="4679" w:type="dxa"/>
            <w:tcBorders>
              <w:top w:val="single" w:sz="8" w:space="0" w:color="4F81BD"/>
              <w:bottom w:val="single" w:sz="8" w:space="0" w:color="4F81BD"/>
              <w:right w:val="single" w:sz="8" w:space="0" w:color="4F81BD"/>
            </w:tcBorders>
            <w:shd w:val="clear" w:color="auto" w:fill="auto"/>
          </w:tcPr>
          <w:p w:rsidR="00B71958" w:rsidRPr="004E510B" w:rsidRDefault="00B71958" w:rsidP="00B71958">
            <w:pPr>
              <w:autoSpaceDE w:val="0"/>
              <w:autoSpaceDN w:val="0"/>
              <w:adjustRightInd w:val="0"/>
              <w:spacing w:line="312" w:lineRule="auto"/>
              <w:contextualSpacing/>
              <w:rPr>
                <w:rFonts w:cs="Arial"/>
                <w:bCs/>
                <w:sz w:val="20"/>
              </w:rPr>
            </w:pPr>
            <w:r w:rsidRPr="004E510B">
              <w:rPr>
                <w:rFonts w:cs="Arial"/>
                <w:sz w:val="20"/>
              </w:rPr>
              <w:t>Gestão eficiente e articulada com sistematização para o armazenamento e recuperação de dados, porém não é transparente em relação à divulgação desses dados.</w:t>
            </w:r>
          </w:p>
        </w:tc>
        <w:tc>
          <w:tcPr>
            <w:tcW w:w="4536" w:type="dxa"/>
            <w:tcBorders>
              <w:left w:val="single" w:sz="8" w:space="0" w:color="4F81BD"/>
            </w:tcBorders>
            <w:shd w:val="clear" w:color="auto" w:fill="auto"/>
          </w:tcPr>
          <w:p w:rsidR="00B71958" w:rsidRPr="004E510B" w:rsidRDefault="00B71958" w:rsidP="00B71958">
            <w:pPr>
              <w:autoSpaceDE w:val="0"/>
              <w:autoSpaceDN w:val="0"/>
              <w:adjustRightInd w:val="0"/>
              <w:spacing w:line="312" w:lineRule="auto"/>
              <w:contextualSpacing/>
              <w:rPr>
                <w:rFonts w:cs="Arial"/>
                <w:sz w:val="20"/>
              </w:rPr>
            </w:pPr>
            <w:r w:rsidRPr="004E510B">
              <w:rPr>
                <w:rFonts w:cs="Arial"/>
                <w:sz w:val="20"/>
              </w:rPr>
              <w:t>Gestão eficiente e articulada</w:t>
            </w:r>
            <w:r>
              <w:rPr>
                <w:rFonts w:cs="Arial"/>
                <w:sz w:val="20"/>
              </w:rPr>
              <w:t>,</w:t>
            </w:r>
            <w:r w:rsidRPr="004E510B">
              <w:rPr>
                <w:rFonts w:cs="Arial"/>
                <w:sz w:val="20"/>
              </w:rPr>
              <w:t xml:space="preserve"> com sistematização para o armazenamento e recuperação de dados</w:t>
            </w:r>
            <w:r>
              <w:rPr>
                <w:rFonts w:cs="Arial"/>
                <w:sz w:val="20"/>
              </w:rPr>
              <w:t>,</w:t>
            </w:r>
            <w:r w:rsidRPr="004E510B">
              <w:rPr>
                <w:rFonts w:cs="Arial"/>
                <w:sz w:val="20"/>
              </w:rPr>
              <w:t xml:space="preserve"> e transparente em relação à divulgação dos mesmos.</w:t>
            </w:r>
          </w:p>
        </w:tc>
      </w:tr>
      <w:tr w:rsidR="00B71958" w:rsidRPr="00E13D13" w:rsidTr="00B71958">
        <w:trPr>
          <w:jc w:val="center"/>
        </w:trPr>
        <w:tc>
          <w:tcPr>
            <w:tcW w:w="4679" w:type="dxa"/>
            <w:tcBorders>
              <w:top w:val="single" w:sz="8" w:space="0" w:color="4F81BD"/>
              <w:left w:val="single" w:sz="8" w:space="0" w:color="4F81BD"/>
              <w:bottom w:val="single" w:sz="8" w:space="0" w:color="4F81BD"/>
              <w:right w:val="single" w:sz="8" w:space="0" w:color="4F81BD"/>
            </w:tcBorders>
            <w:shd w:val="clear" w:color="auto" w:fill="auto"/>
          </w:tcPr>
          <w:p w:rsidR="00B71958" w:rsidRPr="004E510B" w:rsidRDefault="00B71958" w:rsidP="00B71958">
            <w:pPr>
              <w:autoSpaceDE w:val="0"/>
              <w:autoSpaceDN w:val="0"/>
              <w:adjustRightInd w:val="0"/>
              <w:spacing w:line="312" w:lineRule="auto"/>
              <w:contextualSpacing/>
              <w:rPr>
                <w:rFonts w:cs="Arial"/>
                <w:bCs/>
                <w:sz w:val="20"/>
              </w:rPr>
            </w:pPr>
            <w:r w:rsidRPr="004E510B">
              <w:rPr>
                <w:rFonts w:cs="Arial"/>
                <w:bCs/>
                <w:sz w:val="20"/>
              </w:rPr>
              <w:t>Não há periodicidade na manutenção necessária dos equipamentos que compõem o SAA.</w:t>
            </w:r>
          </w:p>
        </w:tc>
        <w:tc>
          <w:tcPr>
            <w:tcW w:w="4536" w:type="dxa"/>
            <w:tcBorders>
              <w:top w:val="single" w:sz="8" w:space="0" w:color="4F81BD"/>
              <w:left w:val="single" w:sz="8" w:space="0" w:color="4F81BD"/>
              <w:bottom w:val="single" w:sz="8" w:space="0" w:color="4F81BD"/>
              <w:right w:val="single" w:sz="8" w:space="0" w:color="4F81BD"/>
            </w:tcBorders>
            <w:shd w:val="clear" w:color="auto" w:fill="auto"/>
          </w:tcPr>
          <w:p w:rsidR="00B71958" w:rsidRPr="004E510B" w:rsidRDefault="00B71958" w:rsidP="00B71958">
            <w:pPr>
              <w:autoSpaceDE w:val="0"/>
              <w:autoSpaceDN w:val="0"/>
              <w:adjustRightInd w:val="0"/>
              <w:spacing w:line="312" w:lineRule="auto"/>
              <w:contextualSpacing/>
              <w:rPr>
                <w:rFonts w:cs="Arial"/>
                <w:sz w:val="20"/>
              </w:rPr>
            </w:pPr>
            <w:r w:rsidRPr="004E510B">
              <w:rPr>
                <w:rFonts w:cs="Arial"/>
                <w:sz w:val="20"/>
              </w:rPr>
              <w:t>Manutenção dos equipamentos que compõem o SAA</w:t>
            </w:r>
            <w:r>
              <w:rPr>
                <w:rFonts w:cs="Arial"/>
                <w:sz w:val="20"/>
              </w:rPr>
              <w:t xml:space="preserve"> </w:t>
            </w:r>
            <w:r w:rsidRPr="004E510B">
              <w:rPr>
                <w:rFonts w:cs="Arial"/>
                <w:sz w:val="20"/>
              </w:rPr>
              <w:t>feita de maneira contínua e preventiva.</w:t>
            </w:r>
          </w:p>
        </w:tc>
      </w:tr>
      <w:tr w:rsidR="00B71958" w:rsidRPr="00E13D13" w:rsidTr="00B71958">
        <w:trPr>
          <w:jc w:val="center"/>
        </w:trPr>
        <w:tc>
          <w:tcPr>
            <w:tcW w:w="4679" w:type="dxa"/>
            <w:tcBorders>
              <w:top w:val="single" w:sz="8" w:space="0" w:color="4F81BD"/>
              <w:left w:val="single" w:sz="8" w:space="0" w:color="4F81BD"/>
              <w:bottom w:val="single" w:sz="8" w:space="0" w:color="4F81BD"/>
              <w:right w:val="single" w:sz="8" w:space="0" w:color="4F81BD"/>
            </w:tcBorders>
            <w:shd w:val="clear" w:color="auto" w:fill="auto"/>
            <w:vAlign w:val="center"/>
          </w:tcPr>
          <w:p w:rsidR="00B71958" w:rsidRPr="004E510B" w:rsidRDefault="00B71958" w:rsidP="00B71958">
            <w:pPr>
              <w:autoSpaceDE w:val="0"/>
              <w:autoSpaceDN w:val="0"/>
              <w:adjustRightInd w:val="0"/>
              <w:spacing w:line="312" w:lineRule="auto"/>
              <w:contextualSpacing/>
              <w:rPr>
                <w:rFonts w:cs="Arial"/>
                <w:bCs/>
                <w:sz w:val="20"/>
              </w:rPr>
            </w:pPr>
            <w:r w:rsidRPr="004E510B">
              <w:rPr>
                <w:rFonts w:cs="Arial"/>
                <w:bCs/>
                <w:sz w:val="20"/>
              </w:rPr>
              <w:t xml:space="preserve">Existência de tarifação apenas na </w:t>
            </w:r>
            <w:r>
              <w:rPr>
                <w:rFonts w:cs="Arial"/>
                <w:bCs/>
                <w:sz w:val="20"/>
              </w:rPr>
              <w:t>sede</w:t>
            </w:r>
            <w:r w:rsidRPr="004E510B">
              <w:rPr>
                <w:rFonts w:cs="Arial"/>
                <w:bCs/>
                <w:sz w:val="20"/>
              </w:rPr>
              <w:t xml:space="preserve"> atendida pela COPASA e sistema trabalha em </w:t>
            </w:r>
            <w:r w:rsidRPr="004E510B">
              <w:rPr>
                <w:rFonts w:cs="Arial"/>
                <w:bCs/>
                <w:i/>
                <w:sz w:val="20"/>
              </w:rPr>
              <w:t>déficit</w:t>
            </w:r>
            <w:r w:rsidRPr="004E510B">
              <w:rPr>
                <w:rFonts w:cs="Arial"/>
                <w:bCs/>
                <w:sz w:val="20"/>
              </w:rPr>
              <w:t>.</w:t>
            </w:r>
          </w:p>
        </w:tc>
        <w:tc>
          <w:tcPr>
            <w:tcW w:w="4536" w:type="dxa"/>
            <w:tcBorders>
              <w:top w:val="single" w:sz="8" w:space="0" w:color="4F81BD"/>
              <w:left w:val="single" w:sz="8" w:space="0" w:color="4F81BD"/>
              <w:bottom w:val="single" w:sz="8" w:space="0" w:color="4F81BD"/>
              <w:right w:val="single" w:sz="8" w:space="0" w:color="4F81BD"/>
            </w:tcBorders>
            <w:shd w:val="clear" w:color="auto" w:fill="auto"/>
            <w:vAlign w:val="center"/>
          </w:tcPr>
          <w:p w:rsidR="00B71958" w:rsidRPr="004E510B" w:rsidRDefault="00B71958" w:rsidP="00B71958">
            <w:pPr>
              <w:autoSpaceDE w:val="0"/>
              <w:autoSpaceDN w:val="0"/>
              <w:adjustRightInd w:val="0"/>
              <w:spacing w:line="312" w:lineRule="auto"/>
              <w:contextualSpacing/>
              <w:rPr>
                <w:rFonts w:cs="Arial"/>
                <w:sz w:val="20"/>
              </w:rPr>
            </w:pPr>
            <w:r w:rsidRPr="004E510B">
              <w:rPr>
                <w:rFonts w:cs="Arial"/>
                <w:sz w:val="20"/>
              </w:rPr>
              <w:t>Tarifação pelo uso da água efetiva e socialmente referenciada, garantindo a sustentabilidade econômica do SAA.</w:t>
            </w:r>
          </w:p>
        </w:tc>
      </w:tr>
      <w:tr w:rsidR="00B71958" w:rsidRPr="004D163C" w:rsidTr="00B71958">
        <w:trPr>
          <w:jc w:val="center"/>
        </w:trPr>
        <w:tc>
          <w:tcPr>
            <w:tcW w:w="4679" w:type="dxa"/>
            <w:tcBorders>
              <w:top w:val="single" w:sz="8" w:space="0" w:color="4F81BD"/>
              <w:left w:val="single" w:sz="8" w:space="0" w:color="4F81BD"/>
              <w:bottom w:val="single" w:sz="8" w:space="0" w:color="4F81BD"/>
              <w:right w:val="single" w:sz="8" w:space="0" w:color="4F81BD"/>
            </w:tcBorders>
            <w:shd w:val="clear" w:color="auto" w:fill="auto"/>
          </w:tcPr>
          <w:p w:rsidR="00B71958" w:rsidRPr="004E510B" w:rsidRDefault="00B71958" w:rsidP="00B71958">
            <w:pPr>
              <w:autoSpaceDE w:val="0"/>
              <w:autoSpaceDN w:val="0"/>
              <w:adjustRightInd w:val="0"/>
              <w:spacing w:line="312" w:lineRule="auto"/>
              <w:contextualSpacing/>
              <w:rPr>
                <w:rFonts w:cs="Arial"/>
                <w:bCs/>
                <w:sz w:val="20"/>
              </w:rPr>
            </w:pPr>
            <w:r w:rsidRPr="004E510B">
              <w:rPr>
                <w:rFonts w:cs="Arial"/>
                <w:bCs/>
                <w:sz w:val="20"/>
              </w:rPr>
              <w:t>Lodos da ETA da sede sendo lançados de maneira incorreta.</w:t>
            </w:r>
          </w:p>
        </w:tc>
        <w:tc>
          <w:tcPr>
            <w:tcW w:w="4536" w:type="dxa"/>
            <w:tcBorders>
              <w:top w:val="single" w:sz="8" w:space="0" w:color="4F81BD"/>
              <w:left w:val="single" w:sz="8" w:space="0" w:color="4F81BD"/>
              <w:bottom w:val="single" w:sz="8" w:space="0" w:color="4F81BD"/>
              <w:right w:val="single" w:sz="8" w:space="0" w:color="4F81BD"/>
            </w:tcBorders>
            <w:shd w:val="clear" w:color="auto" w:fill="auto"/>
          </w:tcPr>
          <w:p w:rsidR="00B71958" w:rsidRPr="004E510B" w:rsidRDefault="00B71958" w:rsidP="00B71958">
            <w:pPr>
              <w:autoSpaceDE w:val="0"/>
              <w:autoSpaceDN w:val="0"/>
              <w:adjustRightInd w:val="0"/>
              <w:spacing w:line="312" w:lineRule="auto"/>
              <w:contextualSpacing/>
              <w:rPr>
                <w:rFonts w:cs="Arial"/>
                <w:sz w:val="20"/>
              </w:rPr>
            </w:pPr>
            <w:r w:rsidRPr="004E510B">
              <w:rPr>
                <w:rFonts w:cs="Arial"/>
                <w:sz w:val="20"/>
              </w:rPr>
              <w:t>Lodos da ETA sendo corretamente encaminhados para um destino final adequado.</w:t>
            </w:r>
          </w:p>
        </w:tc>
      </w:tr>
    </w:tbl>
    <w:p w:rsidR="00B71958" w:rsidRPr="0006658E" w:rsidRDefault="00B71958" w:rsidP="00B71958">
      <w:pPr>
        <w:pStyle w:val="Fonte"/>
        <w:rPr>
          <w:lang w:eastAsia="x-none"/>
        </w:rPr>
      </w:pPr>
    </w:p>
    <w:p w:rsidR="0081570C" w:rsidRDefault="0081570C" w:rsidP="00BC01B1">
      <w:pPr>
        <w:pStyle w:val="Ttulo3"/>
        <w:rPr>
          <w:color w:val="FF0000"/>
          <w:lang w:val="pt-BR"/>
        </w:rPr>
      </w:pPr>
      <w:bookmarkStart w:id="666" w:name="_Toc365015274"/>
      <w:bookmarkStart w:id="667" w:name="_Toc484422552"/>
      <w:bookmarkStart w:id="668" w:name="_Toc484611629"/>
      <w:bookmarkStart w:id="669" w:name="_Toc498593493"/>
      <w:bookmarkStart w:id="670" w:name="_Toc509935516"/>
      <w:bookmarkEnd w:id="666"/>
      <w:r w:rsidRPr="008044FA">
        <w:t>Objetivos e metas</w:t>
      </w:r>
      <w:bookmarkEnd w:id="667"/>
      <w:bookmarkEnd w:id="668"/>
      <w:bookmarkEnd w:id="669"/>
      <w:bookmarkEnd w:id="670"/>
    </w:p>
    <w:p w:rsidR="00B71958" w:rsidRPr="00B71958" w:rsidRDefault="00B71958" w:rsidP="00B71958">
      <w:pPr>
        <w:spacing w:before="120" w:after="120"/>
        <w:ind w:firstLine="708"/>
        <w:contextualSpacing/>
        <w:jc w:val="both"/>
        <w:rPr>
          <w:rFonts w:cs="Arial"/>
          <w:szCs w:val="24"/>
        </w:rPr>
      </w:pPr>
      <w:r w:rsidRPr="00B71958">
        <w:rPr>
          <w:rFonts w:cs="Arial"/>
          <w:szCs w:val="24"/>
        </w:rPr>
        <w:t xml:space="preserve">Para o sistema de abastecimento de água foram propostos cinco objetivos específicos, de acordo com os aspectos do SAA, com as características de </w:t>
      </w:r>
      <w:r w:rsidRPr="00B71958">
        <w:rPr>
          <w:rFonts w:cs="Arial"/>
          <w:szCs w:val="24"/>
          <w:lang w:eastAsia="pt-BR"/>
        </w:rPr>
        <w:t>Córrego Novo</w:t>
      </w:r>
      <w:r w:rsidRPr="00B71958">
        <w:rPr>
          <w:rFonts w:cs="Arial"/>
          <w:szCs w:val="24"/>
        </w:rPr>
        <w:t xml:space="preserve"> levantadas na etapa do diagnóstico técnico-participativo e com o cenário normativo como elemento norteador para o alcance das metas. Esses objetivos são descritos a seguir.</w:t>
      </w:r>
    </w:p>
    <w:p w:rsidR="00B71958" w:rsidRPr="00B71958" w:rsidRDefault="00B71958" w:rsidP="0066661F">
      <w:pPr>
        <w:numPr>
          <w:ilvl w:val="0"/>
          <w:numId w:val="36"/>
        </w:numPr>
        <w:ind w:left="2127" w:hanging="1560"/>
        <w:contextualSpacing/>
        <w:jc w:val="both"/>
        <w:rPr>
          <w:rFonts w:eastAsia="Times New Roman" w:cs="Arial"/>
          <w:b/>
          <w:bCs/>
          <w:szCs w:val="24"/>
          <w:lang w:eastAsia="pt-BR"/>
        </w:rPr>
      </w:pPr>
      <w:r w:rsidRPr="00B71958">
        <w:rPr>
          <w:rFonts w:eastAsia="Times New Roman" w:cs="Arial"/>
          <w:b/>
          <w:bCs/>
          <w:szCs w:val="24"/>
          <w:lang w:eastAsia="pt-BR"/>
        </w:rPr>
        <w:t>Atender com água potável a 100% dos domicílios urbanos de forma ininterrupta e monitorar a qualidade da água consumida em 100% dos domicílios rurais e de sistemas particulares.</w:t>
      </w:r>
    </w:p>
    <w:p w:rsidR="00B71958" w:rsidRPr="00B71958" w:rsidRDefault="00B71958" w:rsidP="0066661F">
      <w:pPr>
        <w:numPr>
          <w:ilvl w:val="0"/>
          <w:numId w:val="36"/>
        </w:numPr>
        <w:ind w:left="2127" w:hanging="1560"/>
        <w:contextualSpacing/>
        <w:jc w:val="both"/>
        <w:rPr>
          <w:rFonts w:eastAsia="Times New Roman" w:cs="Arial"/>
          <w:b/>
          <w:bCs/>
          <w:szCs w:val="24"/>
          <w:lang w:eastAsia="pt-BR"/>
        </w:rPr>
      </w:pPr>
      <w:r w:rsidRPr="00B71958">
        <w:rPr>
          <w:rFonts w:eastAsia="Times New Roman" w:cs="Arial"/>
          <w:b/>
          <w:bCs/>
          <w:szCs w:val="24"/>
          <w:lang w:eastAsia="pt-BR"/>
        </w:rPr>
        <w:t>Reduzir as perdas de água e promover o uso racional da água.</w:t>
      </w:r>
    </w:p>
    <w:p w:rsidR="00B71958" w:rsidRPr="00B71958" w:rsidRDefault="00B71958" w:rsidP="0066661F">
      <w:pPr>
        <w:numPr>
          <w:ilvl w:val="0"/>
          <w:numId w:val="36"/>
        </w:numPr>
        <w:ind w:left="2127" w:hanging="1560"/>
        <w:contextualSpacing/>
        <w:jc w:val="both"/>
        <w:rPr>
          <w:rFonts w:eastAsia="Times New Roman" w:cs="Arial"/>
          <w:b/>
          <w:bCs/>
          <w:szCs w:val="24"/>
          <w:lang w:eastAsia="pt-BR"/>
        </w:rPr>
      </w:pPr>
      <w:r w:rsidRPr="00B71958">
        <w:rPr>
          <w:rFonts w:eastAsia="Times New Roman" w:cs="Arial"/>
          <w:b/>
          <w:bCs/>
          <w:szCs w:val="24"/>
          <w:lang w:eastAsia="pt-BR"/>
        </w:rPr>
        <w:t xml:space="preserve">Implementar para o SAA de Córrego Novo uma gestão eficiente no que concerne aos aspectos administrativos, operacionais, financeiros, de planejamento estratégico e de sustentabilidade, além de definir instrumentos legais que </w:t>
      </w:r>
      <w:r w:rsidRPr="00B71958">
        <w:rPr>
          <w:rFonts w:eastAsia="Times New Roman" w:cs="Arial"/>
          <w:b/>
          <w:bCs/>
          <w:szCs w:val="24"/>
          <w:lang w:eastAsia="pt-BR"/>
        </w:rPr>
        <w:lastRenderedPageBreak/>
        <w:t>garantam a regulação do setor e a observação das diretrizes aprovadas no presente PMSB.</w:t>
      </w:r>
    </w:p>
    <w:p w:rsidR="00B71958" w:rsidRPr="00B71958" w:rsidRDefault="00B71958" w:rsidP="0066661F">
      <w:pPr>
        <w:numPr>
          <w:ilvl w:val="0"/>
          <w:numId w:val="36"/>
        </w:numPr>
        <w:ind w:left="2127" w:hanging="1560"/>
        <w:contextualSpacing/>
        <w:jc w:val="both"/>
        <w:rPr>
          <w:rFonts w:eastAsia="Times New Roman" w:cs="Arial"/>
          <w:b/>
          <w:bCs/>
          <w:szCs w:val="24"/>
          <w:lang w:eastAsia="pt-BR"/>
        </w:rPr>
      </w:pPr>
      <w:r w:rsidRPr="00B71958">
        <w:rPr>
          <w:rFonts w:eastAsia="Times New Roman" w:cs="Arial"/>
          <w:b/>
          <w:bCs/>
          <w:szCs w:val="24"/>
          <w:lang w:eastAsia="pt-BR"/>
        </w:rPr>
        <w:t>Alcançar o pleno atendimento à legislação ambiental aplicável em todos os subprocessos integrantes do SAA (captação, adução, tratamento, reservação e distribuição).</w:t>
      </w:r>
    </w:p>
    <w:p w:rsidR="00B71958" w:rsidRPr="00B71958" w:rsidRDefault="00B71958" w:rsidP="0066661F">
      <w:pPr>
        <w:numPr>
          <w:ilvl w:val="0"/>
          <w:numId w:val="36"/>
        </w:numPr>
        <w:ind w:left="2127" w:hanging="1560"/>
        <w:contextualSpacing/>
        <w:jc w:val="both"/>
        <w:rPr>
          <w:rFonts w:eastAsia="Times New Roman" w:cs="Arial"/>
          <w:b/>
          <w:bCs/>
          <w:szCs w:val="24"/>
          <w:lang w:eastAsia="pt-BR"/>
        </w:rPr>
      </w:pPr>
      <w:r w:rsidRPr="00B71958">
        <w:rPr>
          <w:rFonts w:eastAsia="Times New Roman" w:cs="Arial"/>
          <w:b/>
          <w:bCs/>
          <w:szCs w:val="24"/>
          <w:lang w:eastAsia="pt-BR"/>
        </w:rPr>
        <w:t>Garantir a mobilização social e canais de comunicação com a sociedade, além de promover ações para a avaliação periódica da percepção dos usuários e para a promoção de educação ambiental.</w:t>
      </w:r>
    </w:p>
    <w:p w:rsidR="00B71958" w:rsidRPr="00B71958" w:rsidRDefault="00B71958" w:rsidP="00B71958">
      <w:pPr>
        <w:spacing w:before="120" w:after="120"/>
        <w:ind w:firstLine="708"/>
        <w:contextualSpacing/>
        <w:jc w:val="both"/>
        <w:rPr>
          <w:rFonts w:cs="Arial"/>
          <w:szCs w:val="24"/>
        </w:rPr>
      </w:pPr>
      <w:r w:rsidRPr="00B71958">
        <w:rPr>
          <w:rFonts w:cs="Arial"/>
          <w:szCs w:val="24"/>
        </w:rPr>
        <w:t xml:space="preserve">Na </w:t>
      </w:r>
      <w:r>
        <w:rPr>
          <w:rFonts w:cs="Arial"/>
          <w:szCs w:val="24"/>
        </w:rPr>
        <w:fldChar w:fldCharType="begin"/>
      </w:r>
      <w:r>
        <w:rPr>
          <w:rFonts w:cs="Arial"/>
          <w:szCs w:val="24"/>
        </w:rPr>
        <w:instrText xml:space="preserve"> REF _Ref507602130 \h </w:instrText>
      </w:r>
      <w:r>
        <w:rPr>
          <w:rFonts w:cs="Arial"/>
          <w:szCs w:val="24"/>
        </w:rPr>
      </w:r>
      <w:r>
        <w:rPr>
          <w:rFonts w:cs="Arial"/>
          <w:szCs w:val="24"/>
        </w:rPr>
        <w:fldChar w:fldCharType="separate"/>
      </w:r>
      <w:r w:rsidR="001B481B">
        <w:t xml:space="preserve">Tabela </w:t>
      </w:r>
      <w:r w:rsidR="001B481B">
        <w:rPr>
          <w:noProof/>
        </w:rPr>
        <w:t>2</w:t>
      </w:r>
      <w:r>
        <w:rPr>
          <w:rFonts w:cs="Arial"/>
          <w:szCs w:val="24"/>
        </w:rPr>
        <w:fldChar w:fldCharType="end"/>
      </w:r>
      <w:r w:rsidRPr="00B71958">
        <w:rPr>
          <w:rFonts w:cs="Arial"/>
          <w:szCs w:val="24"/>
        </w:rPr>
        <w:t xml:space="preserve"> estão apresentados os objetivos e respectivas metas de forma sistematizada, além dos prazos para cada meta.</w:t>
      </w:r>
    </w:p>
    <w:p w:rsidR="00B71958" w:rsidRPr="00B71958" w:rsidRDefault="00B71958" w:rsidP="00B71958">
      <w:pPr>
        <w:spacing w:before="120" w:after="120"/>
        <w:ind w:firstLine="708"/>
        <w:contextualSpacing/>
        <w:jc w:val="both"/>
        <w:rPr>
          <w:rFonts w:cs="Arial"/>
          <w:szCs w:val="24"/>
        </w:rPr>
        <w:sectPr w:rsidR="00B71958" w:rsidRPr="00B71958" w:rsidSect="00B71958">
          <w:footerReference w:type="default" r:id="rId47"/>
          <w:pgSz w:w="11906" w:h="16838"/>
          <w:pgMar w:top="1134" w:right="1134" w:bottom="1134" w:left="1418" w:header="709" w:footer="709" w:gutter="0"/>
          <w:cols w:space="708"/>
          <w:docGrid w:linePitch="360"/>
        </w:sectPr>
      </w:pPr>
    </w:p>
    <w:p w:rsidR="00B71958" w:rsidRPr="00B71958" w:rsidRDefault="00B71958" w:rsidP="00B71958">
      <w:pPr>
        <w:pStyle w:val="Legenda"/>
        <w:rPr>
          <w:rFonts w:cs="Arial"/>
        </w:rPr>
      </w:pPr>
      <w:bookmarkStart w:id="671" w:name="_Ref507602130"/>
      <w:bookmarkStart w:id="672" w:name="_Toc484422573"/>
      <w:bookmarkStart w:id="673" w:name="_Toc484532486"/>
      <w:bookmarkStart w:id="674" w:name="_Toc498099271"/>
      <w:bookmarkStart w:id="675" w:name="_Toc509935872"/>
      <w:r>
        <w:lastRenderedPageBreak/>
        <w:t xml:space="preserve">Tabela </w:t>
      </w:r>
      <w:r w:rsidR="000A1C78">
        <w:fldChar w:fldCharType="begin"/>
      </w:r>
      <w:r w:rsidR="000A1C78">
        <w:instrText xml:space="preserve"> SEQ Tabela \* ARABIC </w:instrText>
      </w:r>
      <w:r w:rsidR="000A1C78">
        <w:fldChar w:fldCharType="separate"/>
      </w:r>
      <w:r w:rsidR="001B481B">
        <w:rPr>
          <w:noProof/>
        </w:rPr>
        <w:t>2</w:t>
      </w:r>
      <w:r w:rsidR="000A1C78">
        <w:rPr>
          <w:noProof/>
        </w:rPr>
        <w:fldChar w:fldCharType="end"/>
      </w:r>
      <w:bookmarkEnd w:id="671"/>
      <w:r w:rsidRPr="00B71958">
        <w:rPr>
          <w:rFonts w:cs="Arial"/>
        </w:rPr>
        <w:t xml:space="preserve"> - Objetivos e metas do Sistema de Abastecimento de Água (SAA)</w:t>
      </w:r>
      <w:bookmarkEnd w:id="672"/>
      <w:bookmarkEnd w:id="673"/>
      <w:bookmarkEnd w:id="674"/>
      <w:bookmarkEnd w:id="675"/>
    </w:p>
    <w:tbl>
      <w:tblPr>
        <w:tblW w:w="0" w:type="auto"/>
        <w:jc w:val="center"/>
        <w:tblBorders>
          <w:top w:val="single" w:sz="8" w:space="0" w:color="4F81BD"/>
          <w:bottom w:val="single" w:sz="4" w:space="0" w:color="1F497D"/>
          <w:insideH w:val="dashSmallGap" w:sz="4" w:space="0" w:color="1F497D" w:themeColor="text2"/>
          <w:insideV w:val="dashSmallGap" w:sz="4" w:space="0" w:color="1F497D" w:themeColor="text2"/>
        </w:tblBorders>
        <w:tblLook w:val="04A0" w:firstRow="1" w:lastRow="0" w:firstColumn="1" w:lastColumn="0" w:noHBand="0" w:noVBand="1"/>
      </w:tblPr>
      <w:tblGrid>
        <w:gridCol w:w="7522"/>
        <w:gridCol w:w="6100"/>
        <w:gridCol w:w="1164"/>
      </w:tblGrid>
      <w:tr w:rsidR="00B71958" w:rsidRPr="00B71958" w:rsidTr="00B71958">
        <w:trPr>
          <w:cantSplit/>
          <w:trHeight w:val="454"/>
          <w:tblHeader/>
          <w:jc w:val="center"/>
        </w:trPr>
        <w:tc>
          <w:tcPr>
            <w:tcW w:w="0" w:type="auto"/>
            <w:tcBorders>
              <w:top w:val="nil"/>
              <w:left w:val="single" w:sz="8" w:space="0" w:color="4F81BD"/>
              <w:bottom w:val="single" w:sz="8" w:space="0" w:color="4F81BD"/>
              <w:right w:val="single" w:sz="4" w:space="0" w:color="1F497D"/>
            </w:tcBorders>
            <w:shd w:val="clear" w:color="auto" w:fill="4F81BD"/>
            <w:vAlign w:val="center"/>
            <w:hideMark/>
          </w:tcPr>
          <w:p w:rsidR="00B71958" w:rsidRPr="00B71958" w:rsidRDefault="00B71958" w:rsidP="00B71958">
            <w:pPr>
              <w:autoSpaceDE w:val="0"/>
              <w:autoSpaceDN w:val="0"/>
              <w:adjustRightInd w:val="0"/>
              <w:spacing w:before="60" w:after="60" w:line="240" w:lineRule="auto"/>
              <w:jc w:val="center"/>
              <w:rPr>
                <w:rFonts w:eastAsia="Times New Roman" w:cs="Arial"/>
                <w:b/>
                <w:bCs/>
                <w:sz w:val="20"/>
                <w:szCs w:val="20"/>
              </w:rPr>
            </w:pPr>
            <w:r w:rsidRPr="00B71958">
              <w:rPr>
                <w:rFonts w:eastAsia="Times New Roman" w:cs="Arial"/>
                <w:b/>
                <w:bCs/>
                <w:sz w:val="20"/>
                <w:szCs w:val="20"/>
              </w:rPr>
              <w:t>Objetivo</w:t>
            </w:r>
          </w:p>
        </w:tc>
        <w:tc>
          <w:tcPr>
            <w:tcW w:w="0" w:type="auto"/>
            <w:tcBorders>
              <w:top w:val="nil"/>
              <w:left w:val="single" w:sz="4" w:space="0" w:color="1F497D"/>
              <w:bottom w:val="single" w:sz="8" w:space="0" w:color="4F81BD"/>
              <w:right w:val="single" w:sz="4" w:space="0" w:color="1F497D"/>
            </w:tcBorders>
            <w:shd w:val="clear" w:color="auto" w:fill="4F81BD"/>
            <w:vAlign w:val="center"/>
            <w:hideMark/>
          </w:tcPr>
          <w:p w:rsidR="00B71958" w:rsidRPr="00B71958" w:rsidRDefault="00B71958" w:rsidP="00B71958">
            <w:pPr>
              <w:autoSpaceDE w:val="0"/>
              <w:autoSpaceDN w:val="0"/>
              <w:adjustRightInd w:val="0"/>
              <w:spacing w:before="60" w:after="60" w:line="240" w:lineRule="auto"/>
              <w:jc w:val="center"/>
              <w:rPr>
                <w:rFonts w:eastAsia="Times New Roman" w:cs="Arial"/>
                <w:b/>
                <w:bCs/>
                <w:sz w:val="20"/>
                <w:szCs w:val="20"/>
              </w:rPr>
            </w:pPr>
            <w:r w:rsidRPr="00B71958">
              <w:rPr>
                <w:rFonts w:eastAsia="Times New Roman" w:cs="Arial"/>
                <w:b/>
                <w:bCs/>
                <w:sz w:val="20"/>
                <w:szCs w:val="20"/>
              </w:rPr>
              <w:t>Metas</w:t>
            </w:r>
          </w:p>
        </w:tc>
        <w:tc>
          <w:tcPr>
            <w:tcW w:w="0" w:type="auto"/>
            <w:tcBorders>
              <w:top w:val="nil"/>
              <w:left w:val="single" w:sz="4" w:space="0" w:color="1F497D"/>
              <w:bottom w:val="single" w:sz="8" w:space="0" w:color="4F81BD"/>
              <w:right w:val="single" w:sz="8" w:space="0" w:color="4F81BD"/>
            </w:tcBorders>
            <w:shd w:val="clear" w:color="auto" w:fill="4F81BD"/>
            <w:vAlign w:val="center"/>
            <w:hideMark/>
          </w:tcPr>
          <w:p w:rsidR="00B71958" w:rsidRPr="00B71958" w:rsidRDefault="00B71958" w:rsidP="00B71958">
            <w:pPr>
              <w:autoSpaceDE w:val="0"/>
              <w:autoSpaceDN w:val="0"/>
              <w:adjustRightInd w:val="0"/>
              <w:spacing w:before="60" w:after="60" w:line="240" w:lineRule="auto"/>
              <w:jc w:val="center"/>
              <w:rPr>
                <w:rFonts w:eastAsia="Times New Roman" w:cs="Arial"/>
                <w:b/>
                <w:bCs/>
                <w:sz w:val="20"/>
                <w:szCs w:val="20"/>
              </w:rPr>
            </w:pPr>
            <w:r w:rsidRPr="00B71958">
              <w:rPr>
                <w:rFonts w:eastAsia="Times New Roman" w:cs="Arial"/>
                <w:b/>
                <w:bCs/>
                <w:sz w:val="20"/>
                <w:szCs w:val="20"/>
              </w:rPr>
              <w:t>Prazo de entrega</w:t>
            </w:r>
          </w:p>
        </w:tc>
      </w:tr>
      <w:tr w:rsidR="00B71958" w:rsidRPr="00B71958" w:rsidTr="00810C89">
        <w:trPr>
          <w:cantSplit/>
          <w:trHeight w:val="510"/>
          <w:jc w:val="center"/>
        </w:trPr>
        <w:tc>
          <w:tcPr>
            <w:tcW w:w="0" w:type="auto"/>
            <w:vMerge w:val="restart"/>
            <w:tcBorders>
              <w:top w:val="single" w:sz="8" w:space="0" w:color="4F81BD"/>
              <w:left w:val="nil"/>
              <w:bottom w:val="single" w:sz="4" w:space="0" w:color="1F497D"/>
              <w:right w:val="single" w:sz="4" w:space="0" w:color="1F497D"/>
            </w:tcBorders>
            <w:vAlign w:val="center"/>
            <w:hideMark/>
          </w:tcPr>
          <w:p w:rsidR="00B71958" w:rsidRPr="00B71958" w:rsidRDefault="00B71958" w:rsidP="00B71958">
            <w:pPr>
              <w:spacing w:before="60" w:after="60" w:line="240" w:lineRule="auto"/>
              <w:jc w:val="both"/>
              <w:rPr>
                <w:rFonts w:eastAsia="Times New Roman" w:cs="Arial"/>
                <w:bCs/>
                <w:sz w:val="20"/>
                <w:szCs w:val="20"/>
              </w:rPr>
            </w:pPr>
            <w:r w:rsidRPr="00B71958">
              <w:rPr>
                <w:rFonts w:eastAsia="Times New Roman" w:cs="Arial"/>
                <w:bCs/>
                <w:sz w:val="20"/>
                <w:szCs w:val="20"/>
              </w:rPr>
              <w:t>1. Atender com água potável a 100% dos domicílios urbanos de forma ininterrupta e monitorar a qualidade da água consumida em 100% dos domicílios rurais e de sistemas particulares.</w:t>
            </w:r>
          </w:p>
        </w:tc>
        <w:tc>
          <w:tcPr>
            <w:tcW w:w="0" w:type="auto"/>
            <w:tcBorders>
              <w:top w:val="single" w:sz="8" w:space="0" w:color="4F81BD"/>
              <w:left w:val="single" w:sz="4" w:space="0" w:color="1F497D"/>
              <w:bottom w:val="dashSmallGap" w:sz="4" w:space="0" w:color="1F497D" w:themeColor="text2"/>
              <w:right w:val="single" w:sz="4" w:space="0" w:color="1F497D"/>
            </w:tcBorders>
            <w:vAlign w:val="center"/>
            <w:hideMark/>
          </w:tcPr>
          <w:p w:rsidR="00B71958" w:rsidRPr="00B71958" w:rsidRDefault="00B71958" w:rsidP="00B71958">
            <w:pPr>
              <w:spacing w:before="60" w:after="60" w:line="240" w:lineRule="auto"/>
              <w:jc w:val="both"/>
              <w:rPr>
                <w:rFonts w:eastAsia="Times New Roman" w:cs="Arial"/>
                <w:bCs/>
                <w:sz w:val="20"/>
                <w:szCs w:val="20"/>
              </w:rPr>
            </w:pPr>
            <w:r w:rsidRPr="00B71958">
              <w:rPr>
                <w:rFonts w:eastAsia="Times New Roman" w:cs="Arial"/>
                <w:bCs/>
                <w:sz w:val="20"/>
                <w:szCs w:val="20"/>
              </w:rPr>
              <w:t>1.1. Manter atendimento de 100% da área urbana de forma ininterrupta.</w:t>
            </w:r>
          </w:p>
        </w:tc>
        <w:tc>
          <w:tcPr>
            <w:tcW w:w="0" w:type="auto"/>
            <w:tcBorders>
              <w:top w:val="single" w:sz="8" w:space="0" w:color="4F81BD"/>
              <w:left w:val="single" w:sz="4" w:space="0" w:color="1F497D"/>
              <w:bottom w:val="dashSmallGap" w:sz="4" w:space="0" w:color="1F497D" w:themeColor="text2"/>
              <w:right w:val="nil"/>
            </w:tcBorders>
            <w:vAlign w:val="center"/>
            <w:hideMark/>
          </w:tcPr>
          <w:p w:rsidR="00B71958" w:rsidRPr="00B71958" w:rsidRDefault="00B71958" w:rsidP="00B71958">
            <w:pPr>
              <w:spacing w:before="60" w:after="60" w:line="240" w:lineRule="auto"/>
              <w:jc w:val="center"/>
              <w:rPr>
                <w:rFonts w:eastAsia="Times New Roman" w:cs="Arial"/>
                <w:bCs/>
                <w:sz w:val="20"/>
                <w:szCs w:val="20"/>
              </w:rPr>
            </w:pPr>
            <w:r w:rsidRPr="00B71958">
              <w:rPr>
                <w:rFonts w:eastAsia="Times New Roman" w:cs="Arial"/>
                <w:bCs/>
                <w:sz w:val="20"/>
                <w:szCs w:val="20"/>
              </w:rPr>
              <w:t>Imediato</w:t>
            </w:r>
          </w:p>
        </w:tc>
      </w:tr>
      <w:tr w:rsidR="00B71958" w:rsidRPr="00B71958" w:rsidTr="00810C89">
        <w:trPr>
          <w:cantSplit/>
          <w:trHeight w:val="510"/>
          <w:jc w:val="center"/>
        </w:trPr>
        <w:tc>
          <w:tcPr>
            <w:tcW w:w="0" w:type="auto"/>
            <w:vMerge/>
            <w:tcBorders>
              <w:top w:val="single" w:sz="8" w:space="0" w:color="4F81BD"/>
              <w:left w:val="nil"/>
              <w:bottom w:val="single" w:sz="4" w:space="0" w:color="1F497D"/>
              <w:right w:val="single" w:sz="4" w:space="0" w:color="1F497D"/>
            </w:tcBorders>
            <w:vAlign w:val="center"/>
            <w:hideMark/>
          </w:tcPr>
          <w:p w:rsidR="00B71958" w:rsidRPr="00B71958" w:rsidRDefault="00B71958" w:rsidP="00B71958">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bottom w:val="dashSmallGap" w:sz="4" w:space="0" w:color="1F497D" w:themeColor="text2"/>
              <w:right w:val="single" w:sz="4" w:space="0" w:color="1F497D"/>
            </w:tcBorders>
            <w:vAlign w:val="center"/>
            <w:hideMark/>
          </w:tcPr>
          <w:p w:rsidR="00B71958" w:rsidRPr="00B71958" w:rsidRDefault="00B71958" w:rsidP="00B71958">
            <w:pPr>
              <w:spacing w:before="60" w:after="60" w:line="240" w:lineRule="auto"/>
              <w:jc w:val="both"/>
              <w:rPr>
                <w:rFonts w:eastAsia="Times New Roman" w:cs="Arial"/>
                <w:bCs/>
                <w:sz w:val="20"/>
                <w:szCs w:val="20"/>
              </w:rPr>
            </w:pPr>
            <w:r w:rsidRPr="00B71958">
              <w:rPr>
                <w:rFonts w:eastAsia="Times New Roman" w:cs="Arial"/>
                <w:bCs/>
                <w:sz w:val="20"/>
                <w:szCs w:val="20"/>
              </w:rPr>
              <w:t xml:space="preserve">1.2. Possuir </w:t>
            </w:r>
            <w:r w:rsidRPr="00B71958">
              <w:rPr>
                <w:rFonts w:cs="Arial"/>
                <w:bCs/>
                <w:sz w:val="20"/>
                <w:szCs w:val="20"/>
              </w:rPr>
              <w:t>sistemas adequados para atender às comunidades rurais agrupadas.</w:t>
            </w:r>
          </w:p>
        </w:tc>
        <w:tc>
          <w:tcPr>
            <w:tcW w:w="0" w:type="auto"/>
            <w:tcBorders>
              <w:top w:val="dashSmallGap" w:sz="4" w:space="0" w:color="1F497D" w:themeColor="text2"/>
              <w:left w:val="single" w:sz="4" w:space="0" w:color="1F497D"/>
              <w:bottom w:val="dashSmallGap" w:sz="4" w:space="0" w:color="1F497D" w:themeColor="text2"/>
              <w:right w:val="nil"/>
            </w:tcBorders>
            <w:vAlign w:val="center"/>
            <w:hideMark/>
          </w:tcPr>
          <w:p w:rsidR="00B71958" w:rsidRPr="00B71958" w:rsidRDefault="00B71958" w:rsidP="00B71958">
            <w:pPr>
              <w:spacing w:before="60" w:after="60" w:line="240" w:lineRule="auto"/>
              <w:jc w:val="center"/>
              <w:rPr>
                <w:rFonts w:eastAsia="Times New Roman" w:cs="Arial"/>
                <w:bCs/>
                <w:sz w:val="20"/>
                <w:szCs w:val="20"/>
              </w:rPr>
            </w:pPr>
            <w:r w:rsidRPr="00B71958">
              <w:rPr>
                <w:rFonts w:eastAsia="Times New Roman" w:cs="Arial"/>
                <w:bCs/>
                <w:sz w:val="20"/>
                <w:szCs w:val="20"/>
              </w:rPr>
              <w:t>Médio</w:t>
            </w:r>
          </w:p>
        </w:tc>
      </w:tr>
      <w:tr w:rsidR="00B71958" w:rsidRPr="00B71958" w:rsidTr="00810C89">
        <w:trPr>
          <w:cantSplit/>
          <w:trHeight w:val="510"/>
          <w:jc w:val="center"/>
        </w:trPr>
        <w:tc>
          <w:tcPr>
            <w:tcW w:w="0" w:type="auto"/>
            <w:vMerge/>
            <w:tcBorders>
              <w:top w:val="single" w:sz="8" w:space="0" w:color="4F81BD"/>
              <w:left w:val="nil"/>
              <w:bottom w:val="single" w:sz="4" w:space="0" w:color="1F497D"/>
              <w:right w:val="single" w:sz="4" w:space="0" w:color="1F497D"/>
            </w:tcBorders>
            <w:vAlign w:val="center"/>
            <w:hideMark/>
          </w:tcPr>
          <w:p w:rsidR="00B71958" w:rsidRPr="00B71958" w:rsidRDefault="00B71958" w:rsidP="00B71958">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bottom w:val="dashSmallGap" w:sz="4" w:space="0" w:color="1F497D" w:themeColor="text2"/>
              <w:right w:val="single" w:sz="4" w:space="0" w:color="1F497D"/>
            </w:tcBorders>
            <w:vAlign w:val="center"/>
            <w:hideMark/>
          </w:tcPr>
          <w:p w:rsidR="00B71958" w:rsidRPr="00B71958" w:rsidRDefault="00B71958" w:rsidP="00B71958">
            <w:pPr>
              <w:spacing w:before="60" w:after="60"/>
              <w:jc w:val="both"/>
              <w:rPr>
                <w:rFonts w:cs="Arial"/>
                <w:bCs/>
                <w:sz w:val="20"/>
                <w:szCs w:val="20"/>
              </w:rPr>
            </w:pPr>
            <w:r w:rsidRPr="00B71958">
              <w:rPr>
                <w:rFonts w:eastAsia="Times New Roman" w:cs="Arial"/>
                <w:bCs/>
                <w:sz w:val="20"/>
                <w:szCs w:val="20"/>
              </w:rPr>
              <w:t>1.3. Possuir mecanismos de controle e vigilância da qualidade da água.</w:t>
            </w:r>
          </w:p>
        </w:tc>
        <w:tc>
          <w:tcPr>
            <w:tcW w:w="0" w:type="auto"/>
            <w:tcBorders>
              <w:top w:val="dashSmallGap" w:sz="4" w:space="0" w:color="1F497D" w:themeColor="text2"/>
              <w:left w:val="single" w:sz="4" w:space="0" w:color="1F497D"/>
              <w:bottom w:val="dashSmallGap" w:sz="4" w:space="0" w:color="1F497D" w:themeColor="text2"/>
              <w:right w:val="nil"/>
            </w:tcBorders>
            <w:vAlign w:val="center"/>
            <w:hideMark/>
          </w:tcPr>
          <w:p w:rsidR="00B71958" w:rsidRPr="00B71958" w:rsidRDefault="00B71958" w:rsidP="00B71958">
            <w:pPr>
              <w:spacing w:before="60" w:after="60" w:line="240" w:lineRule="auto"/>
              <w:jc w:val="center"/>
              <w:rPr>
                <w:rFonts w:eastAsia="Times New Roman" w:cs="Arial"/>
                <w:bCs/>
                <w:sz w:val="20"/>
                <w:szCs w:val="20"/>
              </w:rPr>
            </w:pPr>
            <w:r w:rsidRPr="00B71958">
              <w:rPr>
                <w:rFonts w:eastAsia="Times New Roman" w:cs="Arial"/>
                <w:bCs/>
                <w:sz w:val="20"/>
                <w:szCs w:val="20"/>
              </w:rPr>
              <w:t>Médio</w:t>
            </w:r>
          </w:p>
        </w:tc>
      </w:tr>
      <w:tr w:rsidR="00B71958" w:rsidRPr="00B71958" w:rsidTr="00810C89">
        <w:trPr>
          <w:cantSplit/>
          <w:trHeight w:val="510"/>
          <w:jc w:val="center"/>
        </w:trPr>
        <w:tc>
          <w:tcPr>
            <w:tcW w:w="0" w:type="auto"/>
            <w:vMerge/>
            <w:tcBorders>
              <w:top w:val="single" w:sz="8" w:space="0" w:color="4F81BD"/>
              <w:left w:val="nil"/>
              <w:bottom w:val="single" w:sz="4" w:space="0" w:color="1F497D"/>
              <w:right w:val="single" w:sz="4" w:space="0" w:color="1F497D"/>
            </w:tcBorders>
            <w:vAlign w:val="center"/>
            <w:hideMark/>
          </w:tcPr>
          <w:p w:rsidR="00B71958" w:rsidRPr="00B71958" w:rsidRDefault="00B71958" w:rsidP="00B71958">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bottom w:val="single" w:sz="4" w:space="0" w:color="1F497D"/>
              <w:right w:val="single" w:sz="4" w:space="0" w:color="1F497D"/>
            </w:tcBorders>
            <w:vAlign w:val="center"/>
            <w:hideMark/>
          </w:tcPr>
          <w:p w:rsidR="00B71958" w:rsidRPr="00B71958" w:rsidRDefault="00B71958" w:rsidP="00B71958">
            <w:pPr>
              <w:spacing w:before="60" w:after="60" w:line="240" w:lineRule="auto"/>
              <w:jc w:val="both"/>
              <w:rPr>
                <w:rFonts w:eastAsia="Times New Roman" w:cs="Arial"/>
                <w:bCs/>
                <w:sz w:val="20"/>
                <w:szCs w:val="20"/>
              </w:rPr>
            </w:pPr>
            <w:r w:rsidRPr="00B71958">
              <w:rPr>
                <w:rFonts w:eastAsia="Times New Roman" w:cs="Arial"/>
                <w:bCs/>
                <w:sz w:val="20"/>
                <w:szCs w:val="20"/>
              </w:rPr>
              <w:t>1.4. Possuir mecanismos para manutenção preventiva e corretiva e para armazenamento e recuperação de dados sobre os procedimentos realizados.</w:t>
            </w:r>
          </w:p>
        </w:tc>
        <w:tc>
          <w:tcPr>
            <w:tcW w:w="0" w:type="auto"/>
            <w:tcBorders>
              <w:top w:val="dashSmallGap" w:sz="4" w:space="0" w:color="1F497D" w:themeColor="text2"/>
              <w:left w:val="single" w:sz="4" w:space="0" w:color="1F497D"/>
              <w:bottom w:val="single" w:sz="4" w:space="0" w:color="1F497D"/>
              <w:right w:val="nil"/>
            </w:tcBorders>
            <w:vAlign w:val="center"/>
            <w:hideMark/>
          </w:tcPr>
          <w:p w:rsidR="00B71958" w:rsidRPr="00B71958" w:rsidRDefault="00B71958" w:rsidP="00B71958">
            <w:pPr>
              <w:spacing w:before="60" w:after="60" w:line="240" w:lineRule="auto"/>
              <w:jc w:val="center"/>
              <w:rPr>
                <w:rFonts w:eastAsia="Times New Roman" w:cs="Arial"/>
                <w:bCs/>
                <w:sz w:val="20"/>
                <w:szCs w:val="20"/>
              </w:rPr>
            </w:pPr>
            <w:r w:rsidRPr="00B71958">
              <w:rPr>
                <w:rFonts w:eastAsia="Times New Roman" w:cs="Arial"/>
                <w:bCs/>
                <w:sz w:val="20"/>
                <w:szCs w:val="20"/>
              </w:rPr>
              <w:t xml:space="preserve">Imediato </w:t>
            </w:r>
          </w:p>
        </w:tc>
      </w:tr>
      <w:tr w:rsidR="00B71958" w:rsidRPr="00B71958" w:rsidTr="00810C89">
        <w:trPr>
          <w:cantSplit/>
          <w:trHeight w:val="510"/>
          <w:jc w:val="center"/>
        </w:trPr>
        <w:tc>
          <w:tcPr>
            <w:tcW w:w="0" w:type="auto"/>
            <w:vMerge w:val="restart"/>
            <w:tcBorders>
              <w:top w:val="single" w:sz="4" w:space="0" w:color="1F497D"/>
              <w:left w:val="nil"/>
              <w:bottom w:val="single" w:sz="4" w:space="0" w:color="1F497D"/>
              <w:right w:val="single" w:sz="4" w:space="0" w:color="1F497D"/>
            </w:tcBorders>
            <w:vAlign w:val="center"/>
            <w:hideMark/>
          </w:tcPr>
          <w:p w:rsidR="00B71958" w:rsidRPr="00B71958" w:rsidRDefault="00B71958" w:rsidP="00B71958">
            <w:pPr>
              <w:spacing w:before="60" w:after="60" w:line="240" w:lineRule="auto"/>
              <w:jc w:val="both"/>
              <w:rPr>
                <w:rFonts w:eastAsia="Times New Roman" w:cs="Arial"/>
                <w:bCs/>
                <w:sz w:val="20"/>
                <w:szCs w:val="20"/>
              </w:rPr>
            </w:pPr>
            <w:r w:rsidRPr="00B71958">
              <w:rPr>
                <w:rFonts w:eastAsia="Times New Roman" w:cs="Arial"/>
                <w:bCs/>
                <w:sz w:val="20"/>
                <w:szCs w:val="20"/>
              </w:rPr>
              <w:t>2. Reduzir as perdas de água e promover o uso racional da água.</w:t>
            </w:r>
          </w:p>
        </w:tc>
        <w:tc>
          <w:tcPr>
            <w:tcW w:w="0" w:type="auto"/>
            <w:tcBorders>
              <w:top w:val="single" w:sz="4" w:space="0" w:color="1F497D"/>
              <w:left w:val="single" w:sz="4" w:space="0" w:color="1F497D"/>
              <w:bottom w:val="dashSmallGap" w:sz="4" w:space="0" w:color="1F497D" w:themeColor="text2"/>
              <w:right w:val="single" w:sz="4" w:space="0" w:color="1F497D"/>
            </w:tcBorders>
            <w:vAlign w:val="center"/>
            <w:hideMark/>
          </w:tcPr>
          <w:p w:rsidR="00B71958" w:rsidRPr="00B71958" w:rsidRDefault="00B71958" w:rsidP="00B71958">
            <w:pPr>
              <w:spacing w:before="60" w:after="60"/>
              <w:jc w:val="both"/>
              <w:rPr>
                <w:rFonts w:cs="Arial"/>
                <w:bCs/>
                <w:sz w:val="20"/>
                <w:szCs w:val="20"/>
              </w:rPr>
            </w:pPr>
            <w:r w:rsidRPr="00B71958">
              <w:rPr>
                <w:rFonts w:cs="Arial"/>
                <w:bCs/>
                <w:sz w:val="20"/>
                <w:szCs w:val="20"/>
              </w:rPr>
              <w:t xml:space="preserve">2.1. Todos os SAAs da área urbana com índice de perdas e consumo </w:t>
            </w:r>
            <w:r w:rsidRPr="00B71958">
              <w:rPr>
                <w:rFonts w:cs="Arial"/>
                <w:bCs/>
                <w:i/>
                <w:sz w:val="20"/>
                <w:szCs w:val="20"/>
              </w:rPr>
              <w:t>per capita</w:t>
            </w:r>
            <w:r w:rsidRPr="00B71958">
              <w:rPr>
                <w:rFonts w:cs="Arial"/>
                <w:bCs/>
                <w:sz w:val="20"/>
                <w:szCs w:val="20"/>
              </w:rPr>
              <w:t xml:space="preserve"> mensurados corretamente.</w:t>
            </w:r>
          </w:p>
        </w:tc>
        <w:tc>
          <w:tcPr>
            <w:tcW w:w="0" w:type="auto"/>
            <w:tcBorders>
              <w:top w:val="single" w:sz="4" w:space="0" w:color="1F497D"/>
              <w:left w:val="single" w:sz="4" w:space="0" w:color="1F497D"/>
              <w:bottom w:val="dashSmallGap" w:sz="4" w:space="0" w:color="1F497D" w:themeColor="text2"/>
              <w:right w:val="nil"/>
            </w:tcBorders>
            <w:vAlign w:val="center"/>
            <w:hideMark/>
          </w:tcPr>
          <w:p w:rsidR="00B71958" w:rsidRPr="00B71958" w:rsidRDefault="00B71958" w:rsidP="00B71958">
            <w:pPr>
              <w:spacing w:before="60" w:after="60" w:line="240" w:lineRule="auto"/>
              <w:jc w:val="center"/>
              <w:rPr>
                <w:rFonts w:eastAsia="Times New Roman" w:cs="Arial"/>
                <w:bCs/>
                <w:sz w:val="20"/>
                <w:szCs w:val="20"/>
              </w:rPr>
            </w:pPr>
            <w:r w:rsidRPr="00B71958">
              <w:rPr>
                <w:rFonts w:eastAsia="Times New Roman" w:cs="Arial"/>
                <w:bCs/>
                <w:sz w:val="20"/>
                <w:szCs w:val="20"/>
              </w:rPr>
              <w:t>Imediato</w:t>
            </w:r>
          </w:p>
        </w:tc>
      </w:tr>
      <w:tr w:rsidR="00B71958" w:rsidRPr="00B71958" w:rsidTr="00810C89">
        <w:trPr>
          <w:cantSplit/>
          <w:trHeight w:val="510"/>
          <w:jc w:val="center"/>
        </w:trPr>
        <w:tc>
          <w:tcPr>
            <w:tcW w:w="0" w:type="auto"/>
            <w:vMerge/>
            <w:tcBorders>
              <w:top w:val="single" w:sz="4" w:space="0" w:color="1F497D"/>
              <w:left w:val="nil"/>
              <w:bottom w:val="single" w:sz="4" w:space="0" w:color="1F497D"/>
              <w:right w:val="single" w:sz="4" w:space="0" w:color="1F497D"/>
            </w:tcBorders>
            <w:vAlign w:val="center"/>
            <w:hideMark/>
          </w:tcPr>
          <w:p w:rsidR="00B71958" w:rsidRPr="00B71958" w:rsidRDefault="00B71958" w:rsidP="00B71958">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bottom w:val="single" w:sz="4" w:space="0" w:color="auto"/>
              <w:right w:val="single" w:sz="4" w:space="0" w:color="1F497D"/>
            </w:tcBorders>
            <w:vAlign w:val="center"/>
            <w:hideMark/>
          </w:tcPr>
          <w:p w:rsidR="00B71958" w:rsidRPr="00B71958" w:rsidRDefault="00B71958" w:rsidP="00B71958">
            <w:pPr>
              <w:spacing w:before="60" w:after="60"/>
              <w:jc w:val="both"/>
              <w:rPr>
                <w:rFonts w:cs="Arial"/>
                <w:bCs/>
                <w:sz w:val="20"/>
                <w:szCs w:val="20"/>
              </w:rPr>
            </w:pPr>
            <w:r w:rsidRPr="00B71958">
              <w:rPr>
                <w:rFonts w:cs="Arial"/>
                <w:bCs/>
                <w:sz w:val="20"/>
                <w:szCs w:val="20"/>
              </w:rPr>
              <w:t>2.2. Atingir índice de perdas igual a 20%.</w:t>
            </w:r>
          </w:p>
        </w:tc>
        <w:tc>
          <w:tcPr>
            <w:tcW w:w="0" w:type="auto"/>
            <w:tcBorders>
              <w:top w:val="dashSmallGap" w:sz="4" w:space="0" w:color="1F497D" w:themeColor="text2"/>
              <w:left w:val="single" w:sz="4" w:space="0" w:color="1F497D"/>
              <w:bottom w:val="single" w:sz="4" w:space="0" w:color="auto"/>
              <w:right w:val="nil"/>
            </w:tcBorders>
            <w:vAlign w:val="center"/>
            <w:hideMark/>
          </w:tcPr>
          <w:p w:rsidR="00B71958" w:rsidRPr="00B71958" w:rsidRDefault="00B71958" w:rsidP="00B71958">
            <w:pPr>
              <w:spacing w:before="60" w:after="60" w:line="240" w:lineRule="auto"/>
              <w:jc w:val="center"/>
              <w:rPr>
                <w:rFonts w:eastAsia="Times New Roman" w:cs="Arial"/>
                <w:bCs/>
                <w:sz w:val="20"/>
                <w:szCs w:val="20"/>
              </w:rPr>
            </w:pPr>
            <w:r w:rsidRPr="00B71958">
              <w:rPr>
                <w:rFonts w:eastAsia="Times New Roman" w:cs="Arial"/>
                <w:bCs/>
                <w:sz w:val="20"/>
                <w:szCs w:val="20"/>
              </w:rPr>
              <w:t>Longo</w:t>
            </w:r>
          </w:p>
        </w:tc>
      </w:tr>
      <w:tr w:rsidR="00B71958" w:rsidRPr="00B71958" w:rsidTr="00810C89">
        <w:trPr>
          <w:cantSplit/>
          <w:trHeight w:val="510"/>
          <w:jc w:val="center"/>
        </w:trPr>
        <w:tc>
          <w:tcPr>
            <w:tcW w:w="0" w:type="auto"/>
            <w:vMerge w:val="restart"/>
            <w:tcBorders>
              <w:top w:val="single" w:sz="4" w:space="0" w:color="1F497D"/>
              <w:left w:val="nil"/>
              <w:bottom w:val="single" w:sz="4" w:space="0" w:color="1F497D"/>
              <w:right w:val="single" w:sz="4" w:space="0" w:color="1F497D"/>
            </w:tcBorders>
            <w:vAlign w:val="center"/>
            <w:hideMark/>
          </w:tcPr>
          <w:p w:rsidR="00B71958" w:rsidRPr="00B71958" w:rsidRDefault="00B71958" w:rsidP="00B71958">
            <w:pPr>
              <w:spacing w:before="60" w:after="60" w:line="240" w:lineRule="auto"/>
              <w:jc w:val="both"/>
              <w:rPr>
                <w:rFonts w:eastAsia="Times New Roman" w:cs="Arial"/>
                <w:bCs/>
                <w:sz w:val="20"/>
                <w:szCs w:val="20"/>
              </w:rPr>
            </w:pPr>
            <w:r w:rsidRPr="00B71958">
              <w:rPr>
                <w:rFonts w:eastAsia="Times New Roman" w:cs="Arial"/>
                <w:bCs/>
                <w:sz w:val="20"/>
                <w:szCs w:val="20"/>
              </w:rPr>
              <w:t>3. Implementar para o SAA de Córrego Novo uma gestão eficiente no que concerne aos aspectos administrativos, operacionais, financeiros, de planejamento estratégico e de sustentabilidade, além de definir instrumentos legais que garantam a regulação do setor e a observação das diretrizes aprovadas no presente PMSB.</w:t>
            </w:r>
          </w:p>
        </w:tc>
        <w:tc>
          <w:tcPr>
            <w:tcW w:w="0" w:type="auto"/>
            <w:tcBorders>
              <w:top w:val="single" w:sz="4" w:space="0" w:color="auto"/>
              <w:left w:val="single" w:sz="4" w:space="0" w:color="1F497D"/>
              <w:bottom w:val="dashSmallGap" w:sz="4" w:space="0" w:color="1F497D" w:themeColor="text2"/>
              <w:right w:val="single" w:sz="4" w:space="0" w:color="1F497D"/>
            </w:tcBorders>
            <w:vAlign w:val="center"/>
            <w:hideMark/>
          </w:tcPr>
          <w:p w:rsidR="00B71958" w:rsidRPr="00B71958" w:rsidRDefault="00B71958" w:rsidP="00B71958">
            <w:pPr>
              <w:spacing w:before="60" w:after="60" w:line="240" w:lineRule="auto"/>
              <w:jc w:val="both"/>
              <w:rPr>
                <w:rFonts w:eastAsia="Times New Roman" w:cs="Arial"/>
                <w:bCs/>
                <w:sz w:val="20"/>
                <w:szCs w:val="20"/>
              </w:rPr>
            </w:pPr>
            <w:r w:rsidRPr="00B71958">
              <w:rPr>
                <w:rFonts w:eastAsia="Times New Roman" w:cs="Arial"/>
                <w:sz w:val="20"/>
                <w:szCs w:val="20"/>
              </w:rPr>
              <w:t>3.1. Adequação do sistema gerencial do SAA por meio do planejamento estratégico e da sistematização e interação das atividades de operação, ampliação e modernização da infraestrutura e da gestão político-institucional e financeira do setor.</w:t>
            </w:r>
          </w:p>
        </w:tc>
        <w:tc>
          <w:tcPr>
            <w:tcW w:w="0" w:type="auto"/>
            <w:tcBorders>
              <w:top w:val="single" w:sz="4" w:space="0" w:color="auto"/>
              <w:left w:val="single" w:sz="4" w:space="0" w:color="1F497D"/>
              <w:bottom w:val="dashSmallGap" w:sz="4" w:space="0" w:color="1F497D" w:themeColor="text2"/>
              <w:right w:val="nil"/>
            </w:tcBorders>
            <w:vAlign w:val="center"/>
            <w:hideMark/>
          </w:tcPr>
          <w:p w:rsidR="00B71958" w:rsidRPr="00B71958" w:rsidRDefault="00B71958" w:rsidP="00B71958">
            <w:pPr>
              <w:spacing w:before="60" w:after="60" w:line="240" w:lineRule="auto"/>
              <w:jc w:val="center"/>
              <w:rPr>
                <w:rFonts w:eastAsia="Times New Roman" w:cs="Arial"/>
                <w:bCs/>
                <w:sz w:val="20"/>
                <w:szCs w:val="20"/>
              </w:rPr>
            </w:pPr>
            <w:r w:rsidRPr="00B71958">
              <w:rPr>
                <w:rFonts w:eastAsia="Times New Roman" w:cs="Arial"/>
                <w:bCs/>
                <w:sz w:val="20"/>
                <w:szCs w:val="20"/>
              </w:rPr>
              <w:t>Curto</w:t>
            </w:r>
          </w:p>
        </w:tc>
      </w:tr>
      <w:tr w:rsidR="00B71958" w:rsidRPr="00B71958" w:rsidTr="00810C89">
        <w:trPr>
          <w:cantSplit/>
          <w:trHeight w:val="510"/>
          <w:jc w:val="center"/>
        </w:trPr>
        <w:tc>
          <w:tcPr>
            <w:tcW w:w="0" w:type="auto"/>
            <w:vMerge/>
            <w:tcBorders>
              <w:top w:val="single" w:sz="4" w:space="0" w:color="1F497D"/>
              <w:left w:val="nil"/>
              <w:bottom w:val="single" w:sz="4" w:space="0" w:color="1F497D"/>
              <w:right w:val="single" w:sz="4" w:space="0" w:color="1F497D"/>
            </w:tcBorders>
            <w:vAlign w:val="center"/>
            <w:hideMark/>
          </w:tcPr>
          <w:p w:rsidR="00B71958" w:rsidRPr="00B71958" w:rsidRDefault="00B71958" w:rsidP="00B71958">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bottom w:val="dashSmallGap" w:sz="4" w:space="0" w:color="1F497D" w:themeColor="text2"/>
              <w:right w:val="single" w:sz="4" w:space="0" w:color="1F497D"/>
            </w:tcBorders>
            <w:vAlign w:val="center"/>
            <w:hideMark/>
          </w:tcPr>
          <w:p w:rsidR="00B71958" w:rsidRPr="00B71958" w:rsidRDefault="00B71958" w:rsidP="00B71958">
            <w:pPr>
              <w:spacing w:before="60" w:after="60" w:line="240" w:lineRule="auto"/>
              <w:jc w:val="both"/>
              <w:rPr>
                <w:rFonts w:eastAsia="Times New Roman" w:cs="Arial"/>
                <w:sz w:val="20"/>
                <w:szCs w:val="20"/>
              </w:rPr>
            </w:pPr>
            <w:r w:rsidRPr="00B71958">
              <w:rPr>
                <w:rFonts w:eastAsia="Times New Roman" w:cs="Arial"/>
                <w:sz w:val="20"/>
                <w:szCs w:val="20"/>
              </w:rPr>
              <w:t>3.2. Alcançar um desempenho financeiro satisfatório.</w:t>
            </w:r>
          </w:p>
        </w:tc>
        <w:tc>
          <w:tcPr>
            <w:tcW w:w="0" w:type="auto"/>
            <w:tcBorders>
              <w:top w:val="dashSmallGap" w:sz="4" w:space="0" w:color="1F497D" w:themeColor="text2"/>
              <w:left w:val="single" w:sz="4" w:space="0" w:color="1F497D"/>
              <w:bottom w:val="dashSmallGap" w:sz="4" w:space="0" w:color="1F497D" w:themeColor="text2"/>
              <w:right w:val="nil"/>
            </w:tcBorders>
            <w:vAlign w:val="center"/>
            <w:hideMark/>
          </w:tcPr>
          <w:p w:rsidR="00B71958" w:rsidRPr="00B71958" w:rsidRDefault="00B71958" w:rsidP="00B71958">
            <w:pPr>
              <w:spacing w:before="60" w:after="60" w:line="240" w:lineRule="auto"/>
              <w:jc w:val="center"/>
              <w:rPr>
                <w:rFonts w:eastAsia="Times New Roman" w:cs="Arial"/>
                <w:bCs/>
                <w:sz w:val="20"/>
                <w:szCs w:val="20"/>
              </w:rPr>
            </w:pPr>
            <w:r w:rsidRPr="00B71958">
              <w:rPr>
                <w:rFonts w:eastAsia="Times New Roman" w:cs="Arial"/>
                <w:bCs/>
                <w:sz w:val="20"/>
                <w:szCs w:val="20"/>
              </w:rPr>
              <w:t>Médio</w:t>
            </w:r>
          </w:p>
        </w:tc>
      </w:tr>
      <w:tr w:rsidR="00B71958" w:rsidRPr="00B71958" w:rsidTr="00810C89">
        <w:trPr>
          <w:cantSplit/>
          <w:trHeight w:val="510"/>
          <w:jc w:val="center"/>
        </w:trPr>
        <w:tc>
          <w:tcPr>
            <w:tcW w:w="0" w:type="auto"/>
            <w:vMerge/>
            <w:tcBorders>
              <w:top w:val="single" w:sz="4" w:space="0" w:color="1F497D"/>
              <w:left w:val="nil"/>
              <w:bottom w:val="single" w:sz="4" w:space="0" w:color="1F497D"/>
              <w:right w:val="single" w:sz="4" w:space="0" w:color="1F497D"/>
            </w:tcBorders>
            <w:vAlign w:val="center"/>
            <w:hideMark/>
          </w:tcPr>
          <w:p w:rsidR="00B71958" w:rsidRPr="00B71958" w:rsidRDefault="00B71958" w:rsidP="00B71958">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bottom w:val="single" w:sz="4" w:space="0" w:color="1F497D"/>
              <w:right w:val="single" w:sz="4" w:space="0" w:color="1F497D"/>
            </w:tcBorders>
            <w:vAlign w:val="center"/>
            <w:hideMark/>
          </w:tcPr>
          <w:p w:rsidR="00B71958" w:rsidRPr="00B71958" w:rsidRDefault="00B71958" w:rsidP="00B71958">
            <w:pPr>
              <w:spacing w:before="60" w:after="60" w:line="240" w:lineRule="auto"/>
              <w:jc w:val="both"/>
              <w:rPr>
                <w:rFonts w:eastAsia="Times New Roman" w:cs="Arial"/>
                <w:sz w:val="20"/>
                <w:szCs w:val="20"/>
              </w:rPr>
            </w:pPr>
            <w:r w:rsidRPr="00B71958">
              <w:rPr>
                <w:rFonts w:eastAsia="Times New Roman" w:cs="Arial"/>
                <w:sz w:val="20"/>
                <w:szCs w:val="20"/>
              </w:rPr>
              <w:t>3.3. Ter sistema de informações sobre o SAA atualizado.</w:t>
            </w:r>
          </w:p>
        </w:tc>
        <w:tc>
          <w:tcPr>
            <w:tcW w:w="0" w:type="auto"/>
            <w:tcBorders>
              <w:top w:val="dashSmallGap" w:sz="4" w:space="0" w:color="1F497D" w:themeColor="text2"/>
              <w:left w:val="single" w:sz="4" w:space="0" w:color="1F497D"/>
              <w:bottom w:val="single" w:sz="4" w:space="0" w:color="1F497D"/>
              <w:right w:val="nil"/>
            </w:tcBorders>
            <w:vAlign w:val="center"/>
            <w:hideMark/>
          </w:tcPr>
          <w:p w:rsidR="00B71958" w:rsidRPr="00B71958" w:rsidRDefault="00B71958" w:rsidP="00B71958">
            <w:pPr>
              <w:spacing w:before="60" w:after="60" w:line="240" w:lineRule="auto"/>
              <w:jc w:val="center"/>
              <w:rPr>
                <w:rFonts w:eastAsia="Times New Roman" w:cs="Arial"/>
                <w:bCs/>
                <w:sz w:val="20"/>
                <w:szCs w:val="20"/>
              </w:rPr>
            </w:pPr>
            <w:r w:rsidRPr="00B71958">
              <w:rPr>
                <w:rFonts w:eastAsia="Times New Roman" w:cs="Arial"/>
                <w:bCs/>
                <w:sz w:val="20"/>
                <w:szCs w:val="20"/>
              </w:rPr>
              <w:t>Imediato</w:t>
            </w:r>
          </w:p>
        </w:tc>
      </w:tr>
      <w:tr w:rsidR="00B71958" w:rsidRPr="00B71958" w:rsidTr="00B71958">
        <w:trPr>
          <w:cantSplit/>
          <w:trHeight w:val="907"/>
          <w:jc w:val="center"/>
        </w:trPr>
        <w:tc>
          <w:tcPr>
            <w:tcW w:w="0" w:type="auto"/>
            <w:vMerge w:val="restart"/>
            <w:tcBorders>
              <w:top w:val="single" w:sz="4" w:space="0" w:color="1F497D"/>
              <w:left w:val="nil"/>
              <w:bottom w:val="single" w:sz="4" w:space="0" w:color="1F497D"/>
              <w:right w:val="single" w:sz="4" w:space="0" w:color="1F497D"/>
            </w:tcBorders>
            <w:vAlign w:val="center"/>
            <w:hideMark/>
          </w:tcPr>
          <w:p w:rsidR="00B71958" w:rsidRPr="00B71958" w:rsidRDefault="00B71958" w:rsidP="00B71958">
            <w:pPr>
              <w:spacing w:before="60" w:after="60" w:line="240" w:lineRule="auto"/>
              <w:jc w:val="both"/>
              <w:rPr>
                <w:rFonts w:eastAsia="Times New Roman" w:cs="Arial"/>
                <w:bCs/>
                <w:sz w:val="20"/>
                <w:szCs w:val="20"/>
              </w:rPr>
            </w:pPr>
            <w:r w:rsidRPr="00B71958">
              <w:rPr>
                <w:rFonts w:eastAsia="Times New Roman" w:cs="Arial"/>
                <w:bCs/>
                <w:sz w:val="20"/>
                <w:szCs w:val="20"/>
              </w:rPr>
              <w:lastRenderedPageBreak/>
              <w:t>4. Alcançar o pleno atendimento à legislação ambiental aplicável em todos os subprocessos integrantes do SAA (captação, adução, tratamento, reservação e distribuição).</w:t>
            </w:r>
          </w:p>
        </w:tc>
        <w:tc>
          <w:tcPr>
            <w:tcW w:w="0" w:type="auto"/>
            <w:tcBorders>
              <w:top w:val="single" w:sz="4" w:space="0" w:color="1F497D"/>
              <w:left w:val="single" w:sz="4" w:space="0" w:color="1F497D"/>
              <w:bottom w:val="dashSmallGap" w:sz="4" w:space="0" w:color="1F497D" w:themeColor="text2"/>
              <w:right w:val="single" w:sz="4" w:space="0" w:color="1F497D"/>
            </w:tcBorders>
            <w:vAlign w:val="center"/>
            <w:hideMark/>
          </w:tcPr>
          <w:p w:rsidR="00B71958" w:rsidRPr="00B71958" w:rsidRDefault="00B71958" w:rsidP="00B71958">
            <w:pPr>
              <w:spacing w:before="60" w:after="60" w:line="240" w:lineRule="auto"/>
              <w:jc w:val="both"/>
              <w:rPr>
                <w:rFonts w:eastAsia="Times New Roman" w:cs="Arial"/>
                <w:bCs/>
                <w:sz w:val="20"/>
                <w:szCs w:val="20"/>
              </w:rPr>
            </w:pPr>
            <w:r w:rsidRPr="00B71958">
              <w:rPr>
                <w:rFonts w:eastAsia="Times New Roman" w:cs="Arial"/>
                <w:sz w:val="20"/>
                <w:szCs w:val="20"/>
              </w:rPr>
              <w:t>4.1. Atingir atendimento total à legislação quanto à operação do SAA.</w:t>
            </w:r>
          </w:p>
        </w:tc>
        <w:tc>
          <w:tcPr>
            <w:tcW w:w="0" w:type="auto"/>
            <w:tcBorders>
              <w:top w:val="single" w:sz="4" w:space="0" w:color="1F497D"/>
              <w:left w:val="single" w:sz="4" w:space="0" w:color="1F497D"/>
              <w:bottom w:val="dashSmallGap" w:sz="4" w:space="0" w:color="1F497D" w:themeColor="text2"/>
              <w:right w:val="nil"/>
            </w:tcBorders>
            <w:vAlign w:val="center"/>
            <w:hideMark/>
          </w:tcPr>
          <w:p w:rsidR="00B71958" w:rsidRPr="00B71958" w:rsidRDefault="00B71958" w:rsidP="00B71958">
            <w:pPr>
              <w:spacing w:before="60" w:after="60" w:line="240" w:lineRule="auto"/>
              <w:jc w:val="center"/>
              <w:rPr>
                <w:rFonts w:eastAsia="Times New Roman" w:cs="Arial"/>
                <w:bCs/>
                <w:sz w:val="20"/>
                <w:szCs w:val="20"/>
              </w:rPr>
            </w:pPr>
            <w:r w:rsidRPr="00B71958">
              <w:rPr>
                <w:rFonts w:eastAsia="Times New Roman" w:cs="Arial"/>
                <w:bCs/>
                <w:sz w:val="20"/>
                <w:szCs w:val="20"/>
              </w:rPr>
              <w:t>Imediato</w:t>
            </w:r>
          </w:p>
        </w:tc>
      </w:tr>
      <w:tr w:rsidR="00B71958" w:rsidRPr="00B71958" w:rsidTr="00B71958">
        <w:trPr>
          <w:cantSplit/>
          <w:trHeight w:val="454"/>
          <w:jc w:val="center"/>
        </w:trPr>
        <w:tc>
          <w:tcPr>
            <w:tcW w:w="0" w:type="auto"/>
            <w:vMerge/>
            <w:tcBorders>
              <w:top w:val="single" w:sz="4" w:space="0" w:color="1F497D"/>
              <w:left w:val="nil"/>
              <w:bottom w:val="single" w:sz="4" w:space="0" w:color="1F497D"/>
              <w:right w:val="single" w:sz="4" w:space="0" w:color="1F497D"/>
            </w:tcBorders>
            <w:vAlign w:val="center"/>
            <w:hideMark/>
          </w:tcPr>
          <w:p w:rsidR="00B71958" w:rsidRPr="00B71958" w:rsidRDefault="00B71958" w:rsidP="00B71958">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bottom w:val="dashSmallGap" w:sz="4" w:space="0" w:color="1F497D" w:themeColor="text2"/>
              <w:right w:val="single" w:sz="4" w:space="0" w:color="1F497D"/>
            </w:tcBorders>
            <w:vAlign w:val="center"/>
            <w:hideMark/>
          </w:tcPr>
          <w:p w:rsidR="00B71958" w:rsidRPr="00B71958" w:rsidRDefault="00B71958" w:rsidP="00B71958">
            <w:pPr>
              <w:spacing w:before="60" w:after="60" w:line="240" w:lineRule="auto"/>
              <w:jc w:val="both"/>
              <w:rPr>
                <w:rFonts w:eastAsia="Times New Roman" w:cs="Arial"/>
                <w:sz w:val="20"/>
                <w:szCs w:val="20"/>
              </w:rPr>
            </w:pPr>
            <w:r w:rsidRPr="00B71958">
              <w:rPr>
                <w:rFonts w:eastAsia="Times New Roman" w:cs="Arial"/>
                <w:sz w:val="20"/>
                <w:szCs w:val="20"/>
              </w:rPr>
              <w:t>4.2. Todas as outorgas e licenças ambientais da infraestrutura existente regularizadas.</w:t>
            </w:r>
          </w:p>
        </w:tc>
        <w:tc>
          <w:tcPr>
            <w:tcW w:w="0" w:type="auto"/>
            <w:tcBorders>
              <w:top w:val="dashSmallGap" w:sz="4" w:space="0" w:color="1F497D" w:themeColor="text2"/>
              <w:left w:val="single" w:sz="4" w:space="0" w:color="1F497D"/>
              <w:bottom w:val="dashSmallGap" w:sz="4" w:space="0" w:color="1F497D" w:themeColor="text2"/>
              <w:right w:val="nil"/>
            </w:tcBorders>
            <w:vAlign w:val="center"/>
            <w:hideMark/>
          </w:tcPr>
          <w:p w:rsidR="00B71958" w:rsidRPr="00B71958" w:rsidRDefault="00B71958" w:rsidP="00B71958">
            <w:pPr>
              <w:spacing w:before="60" w:after="60" w:line="240" w:lineRule="auto"/>
              <w:jc w:val="center"/>
              <w:rPr>
                <w:rFonts w:eastAsia="Times New Roman" w:cs="Arial"/>
                <w:bCs/>
                <w:sz w:val="20"/>
                <w:szCs w:val="20"/>
              </w:rPr>
            </w:pPr>
            <w:r w:rsidRPr="00B71958">
              <w:rPr>
                <w:rFonts w:eastAsia="Times New Roman" w:cs="Arial"/>
                <w:bCs/>
                <w:sz w:val="20"/>
                <w:szCs w:val="20"/>
              </w:rPr>
              <w:t>Imediato</w:t>
            </w:r>
          </w:p>
        </w:tc>
      </w:tr>
      <w:tr w:rsidR="00B71958" w:rsidRPr="00B71958" w:rsidTr="00B71958">
        <w:trPr>
          <w:cantSplit/>
          <w:trHeight w:val="454"/>
          <w:jc w:val="center"/>
        </w:trPr>
        <w:tc>
          <w:tcPr>
            <w:tcW w:w="0" w:type="auto"/>
            <w:vMerge/>
            <w:tcBorders>
              <w:top w:val="single" w:sz="4" w:space="0" w:color="1F497D"/>
              <w:left w:val="nil"/>
              <w:bottom w:val="single" w:sz="4" w:space="0" w:color="1F497D"/>
              <w:right w:val="single" w:sz="4" w:space="0" w:color="1F497D"/>
            </w:tcBorders>
            <w:vAlign w:val="center"/>
            <w:hideMark/>
          </w:tcPr>
          <w:p w:rsidR="00B71958" w:rsidRPr="00B71958" w:rsidRDefault="00B71958" w:rsidP="00B71958">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bottom w:val="single" w:sz="4" w:space="0" w:color="1F497D"/>
              <w:right w:val="single" w:sz="4" w:space="0" w:color="1F497D"/>
            </w:tcBorders>
            <w:vAlign w:val="center"/>
            <w:hideMark/>
          </w:tcPr>
          <w:p w:rsidR="00B71958" w:rsidRPr="00B71958" w:rsidRDefault="00B71958" w:rsidP="00B71958">
            <w:pPr>
              <w:spacing w:before="60" w:after="60" w:line="240" w:lineRule="auto"/>
              <w:jc w:val="both"/>
              <w:rPr>
                <w:rFonts w:eastAsia="Times New Roman" w:cs="Arial"/>
                <w:sz w:val="20"/>
                <w:szCs w:val="20"/>
              </w:rPr>
            </w:pPr>
            <w:r w:rsidRPr="00B71958">
              <w:rPr>
                <w:rFonts w:eastAsia="Times New Roman" w:cs="Arial"/>
                <w:sz w:val="20"/>
                <w:szCs w:val="20"/>
              </w:rPr>
              <w:t>4.3. Acompanhamento garantido da regularidade das outorgas dos usos dos recursos hídricos e das licenças ambientais da infraestrutura existente e a serem instaladas relacionadas ao SAA.</w:t>
            </w:r>
          </w:p>
        </w:tc>
        <w:tc>
          <w:tcPr>
            <w:tcW w:w="0" w:type="auto"/>
            <w:tcBorders>
              <w:top w:val="dashSmallGap" w:sz="4" w:space="0" w:color="1F497D" w:themeColor="text2"/>
              <w:left w:val="single" w:sz="4" w:space="0" w:color="1F497D"/>
              <w:bottom w:val="single" w:sz="4" w:space="0" w:color="1F497D"/>
              <w:right w:val="nil"/>
            </w:tcBorders>
            <w:vAlign w:val="center"/>
            <w:hideMark/>
          </w:tcPr>
          <w:p w:rsidR="00B71958" w:rsidRPr="00B71958" w:rsidRDefault="00B71958" w:rsidP="00B71958">
            <w:pPr>
              <w:spacing w:before="60" w:after="60" w:line="240" w:lineRule="auto"/>
              <w:jc w:val="center"/>
              <w:rPr>
                <w:rFonts w:eastAsia="Times New Roman" w:cs="Arial"/>
                <w:bCs/>
                <w:sz w:val="20"/>
                <w:szCs w:val="20"/>
              </w:rPr>
            </w:pPr>
            <w:r w:rsidRPr="00B71958">
              <w:rPr>
                <w:rFonts w:eastAsia="Times New Roman" w:cs="Arial"/>
                <w:bCs/>
                <w:sz w:val="20"/>
                <w:szCs w:val="20"/>
              </w:rPr>
              <w:t>Imediato</w:t>
            </w:r>
          </w:p>
        </w:tc>
      </w:tr>
      <w:tr w:rsidR="00B71958" w:rsidRPr="00B71958" w:rsidTr="00B71958">
        <w:trPr>
          <w:cantSplit/>
          <w:trHeight w:val="454"/>
          <w:jc w:val="center"/>
        </w:trPr>
        <w:tc>
          <w:tcPr>
            <w:tcW w:w="0" w:type="auto"/>
            <w:vMerge w:val="restart"/>
            <w:tcBorders>
              <w:top w:val="single" w:sz="4" w:space="0" w:color="1F497D"/>
              <w:left w:val="nil"/>
              <w:bottom w:val="single" w:sz="4" w:space="0" w:color="1F497D"/>
              <w:right w:val="single" w:sz="4" w:space="0" w:color="1F497D"/>
            </w:tcBorders>
            <w:vAlign w:val="center"/>
            <w:hideMark/>
          </w:tcPr>
          <w:p w:rsidR="00B71958" w:rsidRPr="00B71958" w:rsidRDefault="00B71958" w:rsidP="00B71958">
            <w:pPr>
              <w:spacing w:before="60" w:after="60" w:line="240" w:lineRule="auto"/>
              <w:jc w:val="both"/>
              <w:rPr>
                <w:rFonts w:eastAsia="Times New Roman" w:cs="Arial"/>
                <w:bCs/>
                <w:sz w:val="20"/>
                <w:szCs w:val="20"/>
              </w:rPr>
            </w:pPr>
            <w:r w:rsidRPr="00B71958">
              <w:rPr>
                <w:rFonts w:eastAsia="Times New Roman" w:cs="Arial"/>
                <w:bCs/>
                <w:sz w:val="20"/>
                <w:szCs w:val="20"/>
              </w:rPr>
              <w:t xml:space="preserve">5. </w:t>
            </w:r>
            <w:r w:rsidRPr="00B71958">
              <w:rPr>
                <w:bCs/>
                <w:sz w:val="20"/>
                <w:szCs w:val="20"/>
              </w:rPr>
              <w:t>Garantir a mobilização social e canais de comunicação com a sociedade, além de promover ações para a avaliação periódica da percepção dos usuários e para a promoção de educação ambiental.</w:t>
            </w:r>
          </w:p>
        </w:tc>
        <w:tc>
          <w:tcPr>
            <w:tcW w:w="0" w:type="auto"/>
            <w:tcBorders>
              <w:top w:val="single" w:sz="4" w:space="0" w:color="1F497D"/>
              <w:left w:val="single" w:sz="4" w:space="0" w:color="1F497D"/>
              <w:bottom w:val="dashSmallGap" w:sz="4" w:space="0" w:color="1F497D" w:themeColor="text2"/>
              <w:right w:val="single" w:sz="4" w:space="0" w:color="1F497D"/>
            </w:tcBorders>
            <w:vAlign w:val="center"/>
            <w:hideMark/>
          </w:tcPr>
          <w:p w:rsidR="00B71958" w:rsidRPr="00B71958" w:rsidRDefault="00B71958" w:rsidP="00B71958">
            <w:pPr>
              <w:spacing w:before="60" w:after="60" w:line="240" w:lineRule="auto"/>
              <w:jc w:val="both"/>
              <w:rPr>
                <w:rFonts w:eastAsia="Times New Roman" w:cs="Arial"/>
                <w:bCs/>
                <w:sz w:val="20"/>
                <w:szCs w:val="20"/>
              </w:rPr>
            </w:pPr>
            <w:r w:rsidRPr="00B71958">
              <w:rPr>
                <w:rFonts w:eastAsia="Times New Roman" w:cs="Arial"/>
                <w:bCs/>
                <w:sz w:val="20"/>
                <w:szCs w:val="20"/>
              </w:rPr>
              <w:t>5.1. Participação popular ativa na gestão do SAA e no processo de tomada de decisão, com população instruída.</w:t>
            </w:r>
          </w:p>
        </w:tc>
        <w:tc>
          <w:tcPr>
            <w:tcW w:w="0" w:type="auto"/>
            <w:tcBorders>
              <w:top w:val="single" w:sz="4" w:space="0" w:color="1F497D"/>
              <w:left w:val="single" w:sz="4" w:space="0" w:color="1F497D"/>
              <w:bottom w:val="dashSmallGap" w:sz="4" w:space="0" w:color="1F497D" w:themeColor="text2"/>
              <w:right w:val="nil"/>
            </w:tcBorders>
            <w:vAlign w:val="center"/>
            <w:hideMark/>
          </w:tcPr>
          <w:p w:rsidR="00B71958" w:rsidRPr="00B71958" w:rsidRDefault="00B71958" w:rsidP="00B71958">
            <w:pPr>
              <w:spacing w:before="60" w:after="60" w:line="240" w:lineRule="auto"/>
              <w:jc w:val="center"/>
              <w:rPr>
                <w:rFonts w:eastAsia="Times New Roman" w:cs="Arial"/>
                <w:bCs/>
                <w:sz w:val="20"/>
                <w:szCs w:val="20"/>
              </w:rPr>
            </w:pPr>
            <w:r w:rsidRPr="00B71958">
              <w:rPr>
                <w:rFonts w:eastAsia="Times New Roman" w:cs="Arial"/>
                <w:bCs/>
                <w:sz w:val="20"/>
                <w:szCs w:val="20"/>
              </w:rPr>
              <w:t>Imediato</w:t>
            </w:r>
          </w:p>
        </w:tc>
      </w:tr>
      <w:tr w:rsidR="00B71958" w:rsidRPr="00B71958" w:rsidTr="00B71958">
        <w:trPr>
          <w:cantSplit/>
          <w:trHeight w:val="454"/>
          <w:jc w:val="center"/>
        </w:trPr>
        <w:tc>
          <w:tcPr>
            <w:tcW w:w="0" w:type="auto"/>
            <w:vMerge/>
            <w:tcBorders>
              <w:top w:val="single" w:sz="4" w:space="0" w:color="1F497D"/>
              <w:left w:val="nil"/>
              <w:bottom w:val="single" w:sz="4" w:space="0" w:color="1F497D"/>
              <w:right w:val="single" w:sz="4" w:space="0" w:color="1F497D"/>
            </w:tcBorders>
            <w:vAlign w:val="center"/>
            <w:hideMark/>
          </w:tcPr>
          <w:p w:rsidR="00B71958" w:rsidRPr="00B71958" w:rsidRDefault="00B71958" w:rsidP="00B71958">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bottom w:val="dashSmallGap" w:sz="4" w:space="0" w:color="1F497D" w:themeColor="text2"/>
              <w:right w:val="single" w:sz="4" w:space="0" w:color="1F497D"/>
            </w:tcBorders>
            <w:vAlign w:val="center"/>
            <w:hideMark/>
          </w:tcPr>
          <w:p w:rsidR="00B71958" w:rsidRPr="00B71958" w:rsidRDefault="00B71958" w:rsidP="00B71958">
            <w:pPr>
              <w:spacing w:before="60" w:after="60" w:line="240" w:lineRule="auto"/>
              <w:jc w:val="both"/>
              <w:rPr>
                <w:rFonts w:eastAsia="Times New Roman" w:cs="Arial"/>
                <w:bCs/>
                <w:sz w:val="20"/>
                <w:szCs w:val="20"/>
              </w:rPr>
            </w:pPr>
            <w:r w:rsidRPr="00B71958">
              <w:rPr>
                <w:rFonts w:eastAsia="Times New Roman" w:cs="Arial"/>
                <w:bCs/>
                <w:sz w:val="20"/>
                <w:szCs w:val="20"/>
              </w:rPr>
              <w:t>5.2. População sensibilizada sobre questões de escassez de água.</w:t>
            </w:r>
          </w:p>
        </w:tc>
        <w:tc>
          <w:tcPr>
            <w:tcW w:w="0" w:type="auto"/>
            <w:tcBorders>
              <w:top w:val="dashSmallGap" w:sz="4" w:space="0" w:color="1F497D" w:themeColor="text2"/>
              <w:left w:val="single" w:sz="4" w:space="0" w:color="1F497D"/>
              <w:bottom w:val="dashSmallGap" w:sz="4" w:space="0" w:color="1F497D" w:themeColor="text2"/>
              <w:right w:val="nil"/>
            </w:tcBorders>
            <w:vAlign w:val="center"/>
            <w:hideMark/>
          </w:tcPr>
          <w:p w:rsidR="00B71958" w:rsidRPr="00B71958" w:rsidRDefault="00B71958" w:rsidP="00B71958">
            <w:pPr>
              <w:spacing w:before="60" w:after="60" w:line="240" w:lineRule="auto"/>
              <w:jc w:val="center"/>
              <w:rPr>
                <w:rFonts w:eastAsia="Times New Roman" w:cs="Arial"/>
                <w:bCs/>
                <w:sz w:val="20"/>
                <w:szCs w:val="20"/>
              </w:rPr>
            </w:pPr>
            <w:r w:rsidRPr="00B71958">
              <w:rPr>
                <w:rFonts w:eastAsia="Times New Roman" w:cs="Arial"/>
                <w:bCs/>
                <w:sz w:val="20"/>
                <w:szCs w:val="20"/>
              </w:rPr>
              <w:t>Imediato</w:t>
            </w:r>
          </w:p>
        </w:tc>
      </w:tr>
      <w:tr w:rsidR="00B71958" w:rsidRPr="00B71958" w:rsidTr="00B71958">
        <w:trPr>
          <w:cantSplit/>
          <w:trHeight w:val="454"/>
          <w:jc w:val="center"/>
        </w:trPr>
        <w:tc>
          <w:tcPr>
            <w:tcW w:w="0" w:type="auto"/>
            <w:vMerge/>
            <w:tcBorders>
              <w:top w:val="single" w:sz="4" w:space="0" w:color="1F497D"/>
              <w:left w:val="nil"/>
              <w:bottom w:val="single" w:sz="4" w:space="0" w:color="1F497D"/>
              <w:right w:val="single" w:sz="4" w:space="0" w:color="1F497D"/>
            </w:tcBorders>
            <w:vAlign w:val="center"/>
            <w:hideMark/>
          </w:tcPr>
          <w:p w:rsidR="00B71958" w:rsidRPr="00B71958" w:rsidRDefault="00B71958" w:rsidP="00B71958">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bottom w:val="dashSmallGap" w:sz="4" w:space="0" w:color="1F497D" w:themeColor="text2"/>
              <w:right w:val="single" w:sz="4" w:space="0" w:color="1F497D"/>
            </w:tcBorders>
            <w:vAlign w:val="center"/>
            <w:hideMark/>
          </w:tcPr>
          <w:p w:rsidR="00B71958" w:rsidRPr="00B71958" w:rsidRDefault="00B71958" w:rsidP="00B71958">
            <w:pPr>
              <w:spacing w:before="60" w:after="60" w:line="240" w:lineRule="auto"/>
              <w:jc w:val="both"/>
              <w:rPr>
                <w:rFonts w:eastAsia="Times New Roman" w:cs="Arial"/>
                <w:bCs/>
                <w:sz w:val="20"/>
                <w:szCs w:val="20"/>
              </w:rPr>
            </w:pPr>
            <w:r w:rsidRPr="00B71958">
              <w:rPr>
                <w:rFonts w:eastAsia="Times New Roman" w:cs="Arial"/>
                <w:iCs/>
                <w:sz w:val="20"/>
                <w:szCs w:val="20"/>
              </w:rPr>
              <w:t>5.3.</w:t>
            </w:r>
            <w:r w:rsidRPr="00B71958">
              <w:rPr>
                <w:rFonts w:eastAsia="Times New Roman" w:cs="Arial"/>
                <w:sz w:val="20"/>
                <w:szCs w:val="20"/>
              </w:rPr>
              <w:t xml:space="preserve"> </w:t>
            </w:r>
            <w:r w:rsidRPr="00B71958">
              <w:rPr>
                <w:rFonts w:eastAsia="Times New Roman" w:cs="Arial"/>
                <w:iCs/>
                <w:sz w:val="20"/>
                <w:szCs w:val="20"/>
              </w:rPr>
              <w:t>Possuir canais de comunicação com a população.</w:t>
            </w:r>
          </w:p>
        </w:tc>
        <w:tc>
          <w:tcPr>
            <w:tcW w:w="0" w:type="auto"/>
            <w:tcBorders>
              <w:top w:val="dashSmallGap" w:sz="4" w:space="0" w:color="1F497D" w:themeColor="text2"/>
              <w:left w:val="single" w:sz="4" w:space="0" w:color="1F497D"/>
              <w:bottom w:val="dashSmallGap" w:sz="4" w:space="0" w:color="1F497D" w:themeColor="text2"/>
              <w:right w:val="nil"/>
            </w:tcBorders>
            <w:vAlign w:val="center"/>
            <w:hideMark/>
          </w:tcPr>
          <w:p w:rsidR="00B71958" w:rsidRPr="00B71958" w:rsidRDefault="00B71958" w:rsidP="00B71958">
            <w:pPr>
              <w:spacing w:before="60" w:after="60" w:line="240" w:lineRule="auto"/>
              <w:jc w:val="center"/>
              <w:rPr>
                <w:rFonts w:eastAsia="Times New Roman" w:cs="Arial"/>
                <w:bCs/>
                <w:sz w:val="20"/>
                <w:szCs w:val="20"/>
              </w:rPr>
            </w:pPr>
            <w:r w:rsidRPr="00B71958">
              <w:rPr>
                <w:rFonts w:eastAsia="Times New Roman" w:cs="Arial"/>
                <w:bCs/>
                <w:sz w:val="20"/>
                <w:szCs w:val="20"/>
              </w:rPr>
              <w:t>Imediato</w:t>
            </w:r>
          </w:p>
        </w:tc>
      </w:tr>
      <w:tr w:rsidR="00B71958" w:rsidRPr="00B71958" w:rsidTr="00B71958">
        <w:trPr>
          <w:cantSplit/>
          <w:trHeight w:val="454"/>
          <w:jc w:val="center"/>
        </w:trPr>
        <w:tc>
          <w:tcPr>
            <w:tcW w:w="0" w:type="auto"/>
            <w:vMerge/>
            <w:tcBorders>
              <w:top w:val="single" w:sz="4" w:space="0" w:color="1F497D"/>
              <w:left w:val="nil"/>
              <w:bottom w:val="single" w:sz="4" w:space="0" w:color="1F497D"/>
              <w:right w:val="single" w:sz="4" w:space="0" w:color="1F497D"/>
            </w:tcBorders>
            <w:vAlign w:val="center"/>
            <w:hideMark/>
          </w:tcPr>
          <w:p w:rsidR="00B71958" w:rsidRPr="00B71958" w:rsidRDefault="00B71958" w:rsidP="00B71958">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bottom w:val="single" w:sz="4" w:space="0" w:color="1F497D"/>
              <w:right w:val="single" w:sz="4" w:space="0" w:color="1F497D"/>
            </w:tcBorders>
            <w:vAlign w:val="center"/>
            <w:hideMark/>
          </w:tcPr>
          <w:p w:rsidR="00B71958" w:rsidRPr="00B71958" w:rsidRDefault="00B71958" w:rsidP="00B71958">
            <w:pPr>
              <w:spacing w:before="60" w:after="60" w:line="240" w:lineRule="auto"/>
              <w:jc w:val="both"/>
              <w:rPr>
                <w:rFonts w:eastAsia="Times New Roman" w:cs="Arial"/>
                <w:iCs/>
                <w:sz w:val="20"/>
                <w:szCs w:val="20"/>
              </w:rPr>
            </w:pPr>
            <w:r w:rsidRPr="00B71958">
              <w:rPr>
                <w:rFonts w:eastAsia="Times New Roman" w:cs="Arial"/>
                <w:iCs/>
                <w:sz w:val="20"/>
                <w:szCs w:val="20"/>
              </w:rPr>
              <w:t>5.4. Obtenção de um índice inicial de respostas satisfatórias a reclamações de 100%.</w:t>
            </w:r>
          </w:p>
        </w:tc>
        <w:tc>
          <w:tcPr>
            <w:tcW w:w="0" w:type="auto"/>
            <w:tcBorders>
              <w:top w:val="dashSmallGap" w:sz="4" w:space="0" w:color="1F497D" w:themeColor="text2"/>
              <w:left w:val="single" w:sz="4" w:space="0" w:color="1F497D"/>
              <w:bottom w:val="single" w:sz="4" w:space="0" w:color="1F497D"/>
              <w:right w:val="nil"/>
            </w:tcBorders>
            <w:vAlign w:val="center"/>
            <w:hideMark/>
          </w:tcPr>
          <w:p w:rsidR="00B71958" w:rsidRPr="00B71958" w:rsidRDefault="00B71958" w:rsidP="00B71958">
            <w:pPr>
              <w:spacing w:before="60" w:after="60" w:line="240" w:lineRule="auto"/>
              <w:jc w:val="center"/>
              <w:rPr>
                <w:rFonts w:eastAsia="Times New Roman" w:cs="Arial"/>
                <w:bCs/>
                <w:sz w:val="20"/>
                <w:szCs w:val="20"/>
              </w:rPr>
            </w:pPr>
            <w:r w:rsidRPr="00B71958">
              <w:rPr>
                <w:rFonts w:eastAsia="Times New Roman" w:cs="Arial"/>
                <w:bCs/>
                <w:sz w:val="20"/>
                <w:szCs w:val="20"/>
              </w:rPr>
              <w:t>Longo</w:t>
            </w:r>
          </w:p>
        </w:tc>
      </w:tr>
    </w:tbl>
    <w:p w:rsidR="00B71958" w:rsidRPr="00B71958" w:rsidRDefault="00B71958" w:rsidP="00B71958">
      <w:pPr>
        <w:jc w:val="both"/>
        <w:rPr>
          <w:lang w:eastAsia="pt-BR"/>
        </w:rPr>
        <w:sectPr w:rsidR="00B71958" w:rsidRPr="00B71958" w:rsidSect="00B71958">
          <w:footerReference w:type="default" r:id="rId48"/>
          <w:pgSz w:w="16838" w:h="11906" w:orient="landscape"/>
          <w:pgMar w:top="1418" w:right="1134" w:bottom="1134" w:left="1134" w:header="709" w:footer="709" w:gutter="0"/>
          <w:cols w:space="708"/>
          <w:docGrid w:linePitch="360"/>
        </w:sectPr>
      </w:pPr>
    </w:p>
    <w:p w:rsidR="00040A36" w:rsidRDefault="00040A36" w:rsidP="00BC01B1">
      <w:pPr>
        <w:pStyle w:val="Ttulo3"/>
        <w:rPr>
          <w:lang w:val="pt-BR"/>
        </w:rPr>
      </w:pPr>
      <w:bookmarkStart w:id="676" w:name="_Toc498594024"/>
      <w:bookmarkStart w:id="677" w:name="_Toc509935517"/>
      <w:bookmarkStart w:id="678" w:name="_Toc434591750"/>
      <w:r>
        <w:lastRenderedPageBreak/>
        <w:t>P</w:t>
      </w:r>
      <w:r w:rsidRPr="00601B3C">
        <w:t xml:space="preserve">rogramas, projetos e </w:t>
      </w:r>
      <w:r w:rsidRPr="009C4806">
        <w:t xml:space="preserve">ações para o </w:t>
      </w:r>
      <w:bookmarkEnd w:id="676"/>
      <w:r w:rsidR="009A56FD" w:rsidRPr="009C4806">
        <w:rPr>
          <w:lang w:val="pt-BR"/>
        </w:rPr>
        <w:t>SAA</w:t>
      </w:r>
      <w:bookmarkEnd w:id="677"/>
      <w:r w:rsidRPr="009C4806">
        <w:t xml:space="preserve"> </w:t>
      </w:r>
      <w:bookmarkEnd w:id="678"/>
    </w:p>
    <w:p w:rsidR="00B71958" w:rsidRPr="00B71958" w:rsidRDefault="00B71958" w:rsidP="00B71958">
      <w:pPr>
        <w:spacing w:before="120" w:after="120"/>
        <w:ind w:firstLine="709"/>
        <w:contextualSpacing/>
        <w:jc w:val="both"/>
        <w:rPr>
          <w:color w:val="000000"/>
          <w:szCs w:val="24"/>
        </w:rPr>
      </w:pPr>
      <w:r w:rsidRPr="00B71958">
        <w:rPr>
          <w:color w:val="000000"/>
          <w:szCs w:val="24"/>
        </w:rPr>
        <w:t xml:space="preserve">Do </w:t>
      </w:r>
      <w:r>
        <w:rPr>
          <w:color w:val="000000"/>
          <w:szCs w:val="24"/>
        </w:rPr>
        <w:fldChar w:fldCharType="begin"/>
      </w:r>
      <w:r>
        <w:rPr>
          <w:color w:val="000000"/>
          <w:szCs w:val="24"/>
        </w:rPr>
        <w:instrText xml:space="preserve"> REF _Ref507602626 \h </w:instrText>
      </w:r>
      <w:r>
        <w:rPr>
          <w:color w:val="000000"/>
          <w:szCs w:val="24"/>
        </w:rPr>
      </w:r>
      <w:r>
        <w:rPr>
          <w:color w:val="000000"/>
          <w:szCs w:val="24"/>
        </w:rPr>
        <w:fldChar w:fldCharType="separate"/>
      </w:r>
      <w:r w:rsidR="001B481B">
        <w:t xml:space="preserve">Quadro </w:t>
      </w:r>
      <w:r w:rsidR="001B481B">
        <w:rPr>
          <w:noProof/>
        </w:rPr>
        <w:t>57</w:t>
      </w:r>
      <w:r>
        <w:rPr>
          <w:color w:val="000000"/>
          <w:szCs w:val="24"/>
        </w:rPr>
        <w:fldChar w:fldCharType="end"/>
      </w:r>
      <w:r w:rsidRPr="00B71958">
        <w:rPr>
          <w:color w:val="000000"/>
          <w:szCs w:val="24"/>
        </w:rPr>
        <w:t xml:space="preserve"> ao </w:t>
      </w:r>
      <w:r w:rsidRPr="00B71958">
        <w:rPr>
          <w:color w:val="000000"/>
          <w:szCs w:val="24"/>
        </w:rPr>
        <w:fldChar w:fldCharType="begin"/>
      </w:r>
      <w:r w:rsidRPr="00B71958">
        <w:rPr>
          <w:color w:val="000000"/>
          <w:szCs w:val="24"/>
        </w:rPr>
        <w:instrText xml:space="preserve"> REF _Ref491958395 \h  \* MERGEFORMAT </w:instrText>
      </w:r>
      <w:r w:rsidRPr="00B71958">
        <w:rPr>
          <w:color w:val="000000"/>
          <w:szCs w:val="24"/>
        </w:rPr>
      </w:r>
      <w:r w:rsidRPr="00B71958">
        <w:rPr>
          <w:color w:val="000000"/>
          <w:szCs w:val="24"/>
        </w:rPr>
        <w:fldChar w:fldCharType="separate"/>
      </w:r>
      <w:r w:rsidR="001B481B" w:rsidRPr="001B481B">
        <w:rPr>
          <w:rFonts w:eastAsia="Times New Roman"/>
          <w:bCs/>
          <w:szCs w:val="24"/>
          <w:lang w:val="x-none" w:eastAsia="x-none"/>
        </w:rPr>
        <w:t xml:space="preserve">Quadro </w:t>
      </w:r>
      <w:r w:rsidR="001B481B" w:rsidRPr="001B481B">
        <w:rPr>
          <w:rFonts w:eastAsia="Times New Roman"/>
          <w:bCs/>
          <w:noProof/>
          <w:szCs w:val="24"/>
          <w:lang w:val="x-none" w:eastAsia="x-none"/>
        </w:rPr>
        <w:t>61</w:t>
      </w:r>
      <w:r w:rsidRPr="00B71958">
        <w:rPr>
          <w:color w:val="000000"/>
          <w:szCs w:val="24"/>
        </w:rPr>
        <w:fldChar w:fldCharType="end"/>
      </w:r>
      <w:r w:rsidRPr="00B71958">
        <w:rPr>
          <w:color w:val="000000"/>
          <w:szCs w:val="24"/>
        </w:rPr>
        <w:t xml:space="preserve"> são a</w:t>
      </w:r>
      <w:r w:rsidRPr="00B71958">
        <w:rPr>
          <w:rFonts w:cs="Arial"/>
          <w:szCs w:val="24"/>
        </w:rPr>
        <w:t xml:space="preserve">presentadas as ações propostas para adequar o sistema de abastecimento de água, seus respectivos prazos de execução e o custo estimado de cada ação. Para a implantação de todas as ações previstas neste setor, ao longo de vinte anos, serão necessários </w:t>
      </w:r>
      <w:r w:rsidRPr="00B71958">
        <w:rPr>
          <w:b/>
          <w:color w:val="000000"/>
          <w:szCs w:val="24"/>
        </w:rPr>
        <w:t>R$ 5.037.902,52 (cinco milhões, trinta e sete mil, novecentos e dois reais e cinquenta e dois centavos)</w:t>
      </w:r>
      <w:r w:rsidRPr="00B71958">
        <w:rPr>
          <w:color w:val="000000"/>
          <w:szCs w:val="24"/>
        </w:rPr>
        <w:t>.</w:t>
      </w:r>
    </w:p>
    <w:p w:rsidR="00B71958" w:rsidRPr="00B71958" w:rsidRDefault="00B71958" w:rsidP="00B71958">
      <w:pPr>
        <w:rPr>
          <w:lang w:eastAsia="x-none"/>
        </w:rPr>
        <w:sectPr w:rsidR="00B71958" w:rsidRPr="00B71958" w:rsidSect="00B71958">
          <w:footerReference w:type="default" r:id="rId49"/>
          <w:pgSz w:w="11906" w:h="16838"/>
          <w:pgMar w:top="1134" w:right="1134" w:bottom="1134" w:left="1418" w:header="709" w:footer="709" w:gutter="0"/>
          <w:cols w:space="708"/>
          <w:docGrid w:linePitch="360"/>
        </w:sectPr>
      </w:pPr>
    </w:p>
    <w:p w:rsidR="00B71958" w:rsidRPr="00B71958" w:rsidRDefault="00B71958" w:rsidP="00B71958">
      <w:pPr>
        <w:pStyle w:val="Legenda"/>
        <w:rPr>
          <w:szCs w:val="20"/>
        </w:rPr>
      </w:pPr>
      <w:bookmarkStart w:id="679" w:name="_Ref507602626"/>
      <w:bookmarkStart w:id="680" w:name="_Toc406419795"/>
      <w:bookmarkStart w:id="681" w:name="_Toc398040315"/>
      <w:bookmarkStart w:id="682" w:name="_Toc394478282"/>
      <w:bookmarkStart w:id="683" w:name="_Toc391476998"/>
      <w:bookmarkStart w:id="684" w:name="_Toc377627028"/>
      <w:bookmarkStart w:id="685" w:name="_Toc365637222"/>
      <w:bookmarkStart w:id="686" w:name="_Toc498594122"/>
      <w:bookmarkStart w:id="687" w:name="_Toc491681715"/>
      <w:bookmarkStart w:id="688" w:name="_Toc488050766"/>
      <w:bookmarkStart w:id="689" w:name="_Toc505788336"/>
      <w:bookmarkStart w:id="690" w:name="_Toc509935834"/>
      <w:r>
        <w:lastRenderedPageBreak/>
        <w:t xml:space="preserve">Quadro </w:t>
      </w:r>
      <w:r w:rsidR="000A1C78">
        <w:fldChar w:fldCharType="begin"/>
      </w:r>
      <w:r w:rsidR="000A1C78">
        <w:instrText xml:space="preserve"> SEQ Quadro \* ARABIC </w:instrText>
      </w:r>
      <w:r w:rsidR="000A1C78">
        <w:fldChar w:fldCharType="separate"/>
      </w:r>
      <w:r w:rsidR="001B481B">
        <w:rPr>
          <w:noProof/>
        </w:rPr>
        <w:t>57</w:t>
      </w:r>
      <w:r w:rsidR="000A1C78">
        <w:rPr>
          <w:noProof/>
        </w:rPr>
        <w:fldChar w:fldCharType="end"/>
      </w:r>
      <w:bookmarkEnd w:id="679"/>
      <w:r w:rsidRPr="00B71958">
        <w:rPr>
          <w:szCs w:val="20"/>
        </w:rPr>
        <w:t xml:space="preserve"> - Programas e ações propostos para o setor de abastecimento de água - Objetivo </w:t>
      </w:r>
      <w:bookmarkEnd w:id="680"/>
      <w:bookmarkEnd w:id="681"/>
      <w:bookmarkEnd w:id="682"/>
      <w:bookmarkEnd w:id="683"/>
      <w:bookmarkEnd w:id="684"/>
      <w:bookmarkEnd w:id="685"/>
      <w:r w:rsidRPr="00B71958">
        <w:rPr>
          <w:szCs w:val="20"/>
        </w:rPr>
        <w:t>1</w:t>
      </w:r>
      <w:bookmarkEnd w:id="686"/>
      <w:bookmarkEnd w:id="687"/>
      <w:bookmarkEnd w:id="688"/>
      <w:bookmarkEnd w:id="689"/>
      <w:bookmarkEnd w:id="690"/>
    </w:p>
    <w:tbl>
      <w:tblPr>
        <w:tblW w:w="14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06"/>
        <w:gridCol w:w="260"/>
        <w:gridCol w:w="3630"/>
        <w:gridCol w:w="4034"/>
        <w:gridCol w:w="2691"/>
        <w:gridCol w:w="2119"/>
        <w:gridCol w:w="24"/>
      </w:tblGrid>
      <w:tr w:rsidR="00B71958" w:rsidRPr="00B71958" w:rsidTr="00B71958">
        <w:trPr>
          <w:trHeight w:val="20"/>
          <w:jc w:val="center"/>
        </w:trPr>
        <w:tc>
          <w:tcPr>
            <w:tcW w:w="737" w:type="pct"/>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before="20" w:after="20" w:line="240" w:lineRule="auto"/>
              <w:contextualSpacing/>
              <w:rPr>
                <w:rFonts w:eastAsia="Times New Roman" w:cs="Arial"/>
                <w:b/>
                <w:bCs/>
                <w:sz w:val="20"/>
                <w:szCs w:val="20"/>
                <w:lang w:eastAsia="pt-BR"/>
              </w:rPr>
            </w:pPr>
            <w:r w:rsidRPr="00B71958">
              <w:rPr>
                <w:rFonts w:eastAsia="Times New Roman" w:cs="Arial"/>
                <w:b/>
                <w:bCs/>
                <w:sz w:val="20"/>
                <w:szCs w:val="20"/>
                <w:lang w:eastAsia="pt-BR"/>
              </w:rPr>
              <w:t>SETOR</w:t>
            </w:r>
          </w:p>
        </w:tc>
        <w:tc>
          <w:tcPr>
            <w:tcW w:w="87" w:type="pct"/>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before="20" w:after="20" w:line="240" w:lineRule="auto"/>
              <w:contextualSpacing/>
              <w:rPr>
                <w:rFonts w:eastAsia="Times New Roman" w:cs="Arial"/>
                <w:sz w:val="20"/>
                <w:szCs w:val="20"/>
                <w:lang w:eastAsia="pt-BR"/>
              </w:rPr>
            </w:pPr>
            <w:r w:rsidRPr="00B71958">
              <w:rPr>
                <w:rFonts w:eastAsia="Times New Roman" w:cs="Arial"/>
                <w:sz w:val="20"/>
                <w:szCs w:val="20"/>
                <w:lang w:eastAsia="pt-BR"/>
              </w:rPr>
              <w:t>1</w:t>
            </w:r>
          </w:p>
        </w:tc>
        <w:tc>
          <w:tcPr>
            <w:tcW w:w="4176" w:type="pct"/>
            <w:gridSpan w:val="5"/>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before="20" w:after="20" w:line="240" w:lineRule="auto"/>
              <w:contextualSpacing/>
              <w:jc w:val="both"/>
              <w:rPr>
                <w:rFonts w:eastAsia="Times New Roman" w:cs="Arial"/>
                <w:sz w:val="20"/>
                <w:szCs w:val="20"/>
                <w:lang w:eastAsia="pt-BR"/>
              </w:rPr>
            </w:pPr>
            <w:r w:rsidRPr="00B71958">
              <w:rPr>
                <w:rFonts w:eastAsia="Times New Roman" w:cs="Arial"/>
                <w:sz w:val="20"/>
                <w:szCs w:val="20"/>
                <w:lang w:eastAsia="pt-BR"/>
              </w:rPr>
              <w:t>Abastecimento de Água.</w:t>
            </w:r>
          </w:p>
        </w:tc>
      </w:tr>
      <w:tr w:rsidR="00B71958" w:rsidRPr="00B71958" w:rsidTr="00B71958">
        <w:trPr>
          <w:trHeight w:val="20"/>
          <w:jc w:val="center"/>
        </w:trPr>
        <w:tc>
          <w:tcPr>
            <w:tcW w:w="73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before="20" w:after="20" w:line="240" w:lineRule="auto"/>
              <w:contextualSpacing/>
              <w:rPr>
                <w:rFonts w:eastAsia="Times New Roman" w:cs="Arial"/>
                <w:b/>
                <w:bCs/>
                <w:sz w:val="20"/>
                <w:szCs w:val="20"/>
                <w:lang w:eastAsia="pt-BR"/>
              </w:rPr>
            </w:pPr>
            <w:r w:rsidRPr="00B71958">
              <w:rPr>
                <w:rFonts w:eastAsia="Times New Roman" w:cs="Arial"/>
                <w:b/>
                <w:bCs/>
                <w:sz w:val="20"/>
                <w:szCs w:val="20"/>
                <w:lang w:eastAsia="pt-BR"/>
              </w:rPr>
              <w:t>OBJETIVO</w:t>
            </w:r>
          </w:p>
        </w:tc>
        <w:tc>
          <w:tcPr>
            <w:tcW w:w="87"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contextualSpacing/>
              <w:rPr>
                <w:rFonts w:eastAsia="Times New Roman" w:cs="Arial"/>
                <w:sz w:val="20"/>
                <w:szCs w:val="20"/>
                <w:lang w:eastAsia="pt-BR"/>
              </w:rPr>
            </w:pPr>
            <w:r w:rsidRPr="00B71958">
              <w:rPr>
                <w:rFonts w:eastAsia="Times New Roman" w:cs="Arial"/>
                <w:sz w:val="20"/>
                <w:szCs w:val="20"/>
                <w:lang w:eastAsia="pt-BR"/>
              </w:rPr>
              <w:t>1</w:t>
            </w:r>
          </w:p>
        </w:tc>
        <w:tc>
          <w:tcPr>
            <w:tcW w:w="4176" w:type="pct"/>
            <w:gridSpan w:val="5"/>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contextualSpacing/>
              <w:jc w:val="both"/>
              <w:rPr>
                <w:rFonts w:cs="Arial"/>
                <w:sz w:val="20"/>
                <w:szCs w:val="20"/>
              </w:rPr>
            </w:pPr>
            <w:r w:rsidRPr="00B71958">
              <w:rPr>
                <w:rFonts w:eastAsia="Times New Roman" w:cs="Arial"/>
                <w:bCs/>
                <w:sz w:val="20"/>
                <w:szCs w:val="20"/>
              </w:rPr>
              <w:t>Disponibilizar água tratada para 100% da população urbana e monitorar a qualidade da água consumida em 100% dos domicílios rurais e de sistemas particulares.</w:t>
            </w:r>
          </w:p>
        </w:tc>
      </w:tr>
      <w:tr w:rsidR="00B71958" w:rsidRPr="00B71958" w:rsidTr="00B71958">
        <w:trPr>
          <w:gridAfter w:val="1"/>
          <w:wAfter w:w="8" w:type="pct"/>
          <w:trHeight w:val="20"/>
          <w:jc w:val="center"/>
        </w:trPr>
        <w:tc>
          <w:tcPr>
            <w:tcW w:w="73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before="20" w:after="20" w:line="240" w:lineRule="auto"/>
              <w:contextualSpacing/>
              <w:rPr>
                <w:rFonts w:eastAsia="Times New Roman" w:cs="Arial"/>
                <w:b/>
                <w:bCs/>
                <w:sz w:val="20"/>
                <w:szCs w:val="20"/>
                <w:lang w:eastAsia="pt-BR"/>
              </w:rPr>
            </w:pPr>
            <w:r w:rsidRPr="00B71958">
              <w:rPr>
                <w:rFonts w:eastAsia="Times New Roman" w:cs="Arial"/>
                <w:b/>
                <w:bCs/>
                <w:sz w:val="20"/>
                <w:szCs w:val="20"/>
                <w:lang w:eastAsia="pt-BR"/>
              </w:rPr>
              <w:t>INDICADORES DE MONITORAMENTO</w:t>
            </w:r>
          </w:p>
        </w:tc>
        <w:tc>
          <w:tcPr>
            <w:tcW w:w="4255" w:type="pct"/>
            <w:gridSpan w:val="5"/>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both"/>
              <w:rPr>
                <w:rFonts w:eastAsia="Times New Roman" w:cs="Arial"/>
                <w:sz w:val="20"/>
                <w:szCs w:val="20"/>
                <w:lang w:eastAsia="pt-BR"/>
              </w:rPr>
            </w:pPr>
            <w:r w:rsidRPr="00B71958">
              <w:rPr>
                <w:rFonts w:eastAsia="Times New Roman" w:cs="Arial"/>
                <w:sz w:val="20"/>
                <w:szCs w:val="20"/>
                <w:lang w:eastAsia="pt-BR"/>
              </w:rPr>
              <w:t>Índice de atendimento total de água.</w:t>
            </w:r>
          </w:p>
          <w:p w:rsidR="00B71958" w:rsidRPr="00B71958" w:rsidRDefault="00B71958" w:rsidP="00B71958">
            <w:pPr>
              <w:spacing w:line="240" w:lineRule="auto"/>
              <w:jc w:val="both"/>
              <w:rPr>
                <w:rFonts w:eastAsia="Times New Roman" w:cs="Arial"/>
                <w:sz w:val="20"/>
                <w:szCs w:val="20"/>
                <w:lang w:eastAsia="pt-BR"/>
              </w:rPr>
            </w:pPr>
            <w:r w:rsidRPr="00B71958">
              <w:rPr>
                <w:rFonts w:eastAsia="Times New Roman" w:cs="Arial"/>
                <w:sz w:val="20"/>
                <w:szCs w:val="20"/>
                <w:lang w:eastAsia="pt-BR"/>
              </w:rPr>
              <w:t>Índice de atendimento urbano de água.</w:t>
            </w:r>
          </w:p>
          <w:p w:rsidR="00B71958" w:rsidRPr="00B71958" w:rsidRDefault="00B71958" w:rsidP="00B71958">
            <w:pPr>
              <w:spacing w:line="240" w:lineRule="auto"/>
              <w:jc w:val="both"/>
              <w:rPr>
                <w:rFonts w:eastAsia="Times New Roman" w:cs="Arial"/>
                <w:sz w:val="20"/>
                <w:szCs w:val="20"/>
                <w:lang w:eastAsia="pt-BR"/>
              </w:rPr>
            </w:pPr>
            <w:r w:rsidRPr="00B71958">
              <w:rPr>
                <w:rFonts w:eastAsia="Times New Roman" w:cs="Arial"/>
                <w:sz w:val="20"/>
                <w:szCs w:val="20"/>
                <w:lang w:eastAsia="pt-BR"/>
              </w:rPr>
              <w:t>Índice de abastecimento rural de água.</w:t>
            </w:r>
          </w:p>
          <w:p w:rsidR="00B71958" w:rsidRPr="00B71958" w:rsidRDefault="00B71958" w:rsidP="00B71958">
            <w:pPr>
              <w:spacing w:line="240" w:lineRule="auto"/>
              <w:jc w:val="both"/>
              <w:rPr>
                <w:rFonts w:eastAsia="Times New Roman" w:cs="Arial"/>
                <w:sz w:val="20"/>
                <w:szCs w:val="20"/>
                <w:lang w:eastAsia="pt-BR"/>
              </w:rPr>
            </w:pPr>
            <w:r w:rsidRPr="00B71958">
              <w:rPr>
                <w:rFonts w:eastAsia="Times New Roman" w:cs="Arial"/>
                <w:sz w:val="20"/>
                <w:szCs w:val="20"/>
                <w:lang w:eastAsia="pt-BR"/>
              </w:rPr>
              <w:t>Índice de monitoramento de poços particulares.</w:t>
            </w:r>
          </w:p>
          <w:p w:rsidR="00B71958" w:rsidRPr="00B71958" w:rsidRDefault="00B71958" w:rsidP="00B71958">
            <w:pPr>
              <w:spacing w:line="240" w:lineRule="auto"/>
              <w:jc w:val="both"/>
              <w:rPr>
                <w:rFonts w:eastAsia="Times New Roman" w:cs="Arial"/>
                <w:sz w:val="20"/>
                <w:szCs w:val="20"/>
                <w:lang w:eastAsia="pt-BR"/>
              </w:rPr>
            </w:pPr>
            <w:r w:rsidRPr="00B71958">
              <w:rPr>
                <w:rFonts w:eastAsia="Times New Roman" w:cs="Arial"/>
                <w:sz w:val="20"/>
                <w:szCs w:val="20"/>
                <w:lang w:eastAsia="pt-BR"/>
              </w:rPr>
              <w:t>Economias atingidas por paralisações.</w:t>
            </w:r>
          </w:p>
          <w:p w:rsidR="00B71958" w:rsidRPr="00B71958" w:rsidRDefault="00B71958" w:rsidP="00B71958">
            <w:pPr>
              <w:spacing w:line="240" w:lineRule="auto"/>
              <w:jc w:val="both"/>
              <w:rPr>
                <w:rFonts w:eastAsia="Times New Roman" w:cs="Arial"/>
                <w:sz w:val="20"/>
                <w:szCs w:val="20"/>
                <w:lang w:eastAsia="pt-BR"/>
              </w:rPr>
            </w:pPr>
            <w:r w:rsidRPr="00B71958">
              <w:rPr>
                <w:rFonts w:eastAsia="Times New Roman" w:cs="Arial"/>
                <w:sz w:val="20"/>
                <w:szCs w:val="20"/>
                <w:lang w:eastAsia="pt-BR"/>
              </w:rPr>
              <w:t>Duração média das paralisações.</w:t>
            </w:r>
          </w:p>
          <w:p w:rsidR="00B71958" w:rsidRPr="00B71958" w:rsidRDefault="00B71958" w:rsidP="00B71958">
            <w:pPr>
              <w:spacing w:line="240" w:lineRule="auto"/>
              <w:jc w:val="both"/>
              <w:rPr>
                <w:rFonts w:eastAsia="Times New Roman" w:cs="Arial"/>
                <w:sz w:val="20"/>
                <w:szCs w:val="20"/>
                <w:lang w:eastAsia="pt-BR"/>
              </w:rPr>
            </w:pPr>
            <w:r w:rsidRPr="00B71958">
              <w:rPr>
                <w:rFonts w:eastAsia="Times New Roman" w:cs="Arial"/>
                <w:sz w:val="20"/>
                <w:szCs w:val="20"/>
                <w:lang w:eastAsia="pt-BR"/>
              </w:rPr>
              <w:t>Incidência das análises de cloro residual fora do padrão.</w:t>
            </w:r>
          </w:p>
          <w:p w:rsidR="00B71958" w:rsidRPr="00B71958" w:rsidRDefault="00B71958" w:rsidP="00B71958">
            <w:pPr>
              <w:spacing w:line="240" w:lineRule="auto"/>
              <w:jc w:val="both"/>
              <w:rPr>
                <w:rFonts w:eastAsia="Times New Roman" w:cs="Arial"/>
                <w:sz w:val="20"/>
                <w:szCs w:val="20"/>
                <w:lang w:eastAsia="pt-BR"/>
              </w:rPr>
            </w:pPr>
            <w:r w:rsidRPr="00B71958">
              <w:rPr>
                <w:rFonts w:eastAsia="Times New Roman" w:cs="Arial"/>
                <w:sz w:val="20"/>
                <w:szCs w:val="20"/>
                <w:lang w:eastAsia="pt-BR"/>
              </w:rPr>
              <w:t>Incidência das análises de turbidez fora do padrão.</w:t>
            </w:r>
          </w:p>
          <w:p w:rsidR="00B71958" w:rsidRPr="00B71958" w:rsidRDefault="00B71958" w:rsidP="00B71958">
            <w:pPr>
              <w:spacing w:line="240" w:lineRule="auto"/>
              <w:jc w:val="both"/>
              <w:rPr>
                <w:rFonts w:eastAsia="Times New Roman" w:cs="Arial"/>
                <w:sz w:val="20"/>
                <w:szCs w:val="20"/>
                <w:lang w:eastAsia="pt-BR"/>
              </w:rPr>
            </w:pPr>
            <w:r w:rsidRPr="00B71958">
              <w:rPr>
                <w:rFonts w:eastAsia="Times New Roman" w:cs="Arial"/>
                <w:sz w:val="20"/>
                <w:szCs w:val="20"/>
                <w:lang w:eastAsia="pt-BR"/>
              </w:rPr>
              <w:t>Índice de conformidade da quantidade de amostras - cloro residual.</w:t>
            </w:r>
          </w:p>
          <w:p w:rsidR="00B71958" w:rsidRPr="00B71958" w:rsidRDefault="00B71958" w:rsidP="00B71958">
            <w:pPr>
              <w:spacing w:line="240" w:lineRule="auto"/>
              <w:jc w:val="both"/>
              <w:rPr>
                <w:rFonts w:eastAsia="Times New Roman" w:cs="Arial"/>
                <w:sz w:val="20"/>
                <w:szCs w:val="20"/>
                <w:lang w:eastAsia="pt-BR"/>
              </w:rPr>
            </w:pPr>
            <w:r w:rsidRPr="00B71958">
              <w:rPr>
                <w:rFonts w:eastAsia="Times New Roman" w:cs="Arial"/>
                <w:sz w:val="20"/>
                <w:szCs w:val="20"/>
                <w:lang w:eastAsia="pt-BR"/>
              </w:rPr>
              <w:t>Índice de conformidade da quantidade de amostras - turbidez.</w:t>
            </w:r>
          </w:p>
        </w:tc>
      </w:tr>
      <w:tr w:rsidR="00B71958" w:rsidRPr="00B71958" w:rsidTr="00B71958">
        <w:trPr>
          <w:gridAfter w:val="1"/>
          <w:wAfter w:w="8" w:type="pct"/>
          <w:trHeight w:val="20"/>
          <w:jc w:val="center"/>
        </w:trPr>
        <w:tc>
          <w:tcPr>
            <w:tcW w:w="4992" w:type="pct"/>
            <w:gridSpan w:val="6"/>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line="240" w:lineRule="auto"/>
              <w:rPr>
                <w:rFonts w:ascii="Calibri" w:hAnsi="Calibri"/>
                <w:sz w:val="20"/>
                <w:szCs w:val="20"/>
                <w:lang w:eastAsia="pt-BR"/>
              </w:rPr>
            </w:pPr>
          </w:p>
        </w:tc>
      </w:tr>
      <w:tr w:rsidR="00B71958" w:rsidRPr="00B71958" w:rsidTr="00B71958">
        <w:trPr>
          <w:gridAfter w:val="1"/>
          <w:wAfter w:w="8" w:type="pct"/>
          <w:trHeight w:val="20"/>
          <w:jc w:val="center"/>
        </w:trPr>
        <w:tc>
          <w:tcPr>
            <w:tcW w:w="4992" w:type="pct"/>
            <w:gridSpan w:val="6"/>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before="20" w:after="20" w:line="240" w:lineRule="auto"/>
              <w:contextualSpacing/>
              <w:jc w:val="center"/>
              <w:rPr>
                <w:rFonts w:eastAsia="Times New Roman" w:cs="Arial"/>
                <w:b/>
                <w:bCs/>
                <w:sz w:val="20"/>
                <w:szCs w:val="20"/>
                <w:lang w:eastAsia="pt-BR"/>
              </w:rPr>
            </w:pPr>
            <w:r w:rsidRPr="00B71958">
              <w:rPr>
                <w:rFonts w:eastAsia="Times New Roman" w:cs="Arial"/>
                <w:b/>
                <w:bCs/>
                <w:sz w:val="20"/>
                <w:szCs w:val="20"/>
                <w:lang w:eastAsia="pt-BR"/>
              </w:rPr>
              <w:t>PRAZO DE ENTREGA DA META (ANOS)</w:t>
            </w:r>
          </w:p>
        </w:tc>
      </w:tr>
      <w:tr w:rsidR="00B71958" w:rsidRPr="00B71958" w:rsidTr="00B71958">
        <w:trPr>
          <w:gridAfter w:val="1"/>
          <w:wAfter w:w="8" w:type="pct"/>
          <w:trHeight w:val="20"/>
          <w:jc w:val="center"/>
        </w:trPr>
        <w:tc>
          <w:tcPr>
            <w:tcW w:w="2037" w:type="pct"/>
            <w:gridSpan w:val="3"/>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IMEDIATO (0 a 3)</w:t>
            </w:r>
          </w:p>
        </w:tc>
        <w:tc>
          <w:tcPr>
            <w:tcW w:w="1348" w:type="pct"/>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CURTO (4 a 8)</w:t>
            </w:r>
          </w:p>
        </w:tc>
        <w:tc>
          <w:tcPr>
            <w:tcW w:w="899" w:type="pct"/>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MÉDIO (9 a 12)</w:t>
            </w:r>
          </w:p>
        </w:tc>
        <w:tc>
          <w:tcPr>
            <w:tcW w:w="708" w:type="pct"/>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LONGO (13 a 20)</w:t>
            </w:r>
          </w:p>
        </w:tc>
      </w:tr>
      <w:tr w:rsidR="00B71958" w:rsidRPr="00B71958" w:rsidTr="00B71958">
        <w:trPr>
          <w:gridAfter w:val="1"/>
          <w:wAfter w:w="8" w:type="pct"/>
          <w:trHeight w:val="20"/>
          <w:jc w:val="center"/>
        </w:trPr>
        <w:tc>
          <w:tcPr>
            <w:tcW w:w="2037" w:type="pct"/>
            <w:gridSpan w:val="3"/>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before="20" w:after="20" w:line="240" w:lineRule="auto"/>
              <w:jc w:val="both"/>
              <w:rPr>
                <w:rFonts w:cs="Arial"/>
                <w:bCs/>
                <w:sz w:val="20"/>
                <w:szCs w:val="20"/>
              </w:rPr>
            </w:pPr>
            <w:r w:rsidRPr="00B71958">
              <w:rPr>
                <w:rFonts w:cs="Arial"/>
                <w:bCs/>
                <w:sz w:val="20"/>
                <w:szCs w:val="20"/>
              </w:rPr>
              <w:t xml:space="preserve">1.1. Manter atendimento de 100% da área urbana de forma ininterrupta. </w:t>
            </w:r>
          </w:p>
          <w:p w:rsidR="00B71958" w:rsidRPr="00B71958" w:rsidRDefault="00B71958" w:rsidP="00B71958">
            <w:pPr>
              <w:spacing w:before="20" w:after="20" w:line="240" w:lineRule="auto"/>
              <w:jc w:val="both"/>
              <w:rPr>
                <w:rFonts w:cs="Arial"/>
                <w:bCs/>
                <w:sz w:val="20"/>
                <w:szCs w:val="20"/>
              </w:rPr>
            </w:pPr>
            <w:r w:rsidRPr="00B71958">
              <w:rPr>
                <w:rFonts w:cs="Arial"/>
                <w:bCs/>
                <w:sz w:val="20"/>
                <w:szCs w:val="20"/>
              </w:rPr>
              <w:t>1.4. Possuir mecanismos para manutenção preventiva e corretiva e para armazenamento e recuperação de dados sobre os procedimentos realizados.</w:t>
            </w:r>
          </w:p>
        </w:tc>
        <w:tc>
          <w:tcPr>
            <w:tcW w:w="1348" w:type="pct"/>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line="240" w:lineRule="auto"/>
              <w:rPr>
                <w:rFonts w:ascii="Calibri" w:hAnsi="Calibri"/>
                <w:sz w:val="20"/>
                <w:szCs w:val="20"/>
                <w:lang w:eastAsia="pt-BR"/>
              </w:rPr>
            </w:pPr>
          </w:p>
        </w:tc>
        <w:tc>
          <w:tcPr>
            <w:tcW w:w="899" w:type="pct"/>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before="20" w:after="20" w:line="240" w:lineRule="auto"/>
              <w:jc w:val="both"/>
              <w:rPr>
                <w:rFonts w:cs="Arial"/>
                <w:bCs/>
                <w:sz w:val="20"/>
                <w:szCs w:val="20"/>
              </w:rPr>
            </w:pPr>
            <w:r w:rsidRPr="00B71958">
              <w:rPr>
                <w:rFonts w:cs="Arial"/>
                <w:bCs/>
                <w:sz w:val="20"/>
                <w:szCs w:val="20"/>
              </w:rPr>
              <w:t>1.2. Possuir sistemas adequados para atender às comunidades rurais agrupadas.</w:t>
            </w:r>
          </w:p>
          <w:p w:rsidR="00B71958" w:rsidRPr="00B71958" w:rsidRDefault="00B71958" w:rsidP="00B71958">
            <w:pPr>
              <w:spacing w:before="20" w:after="20" w:line="240" w:lineRule="auto"/>
              <w:jc w:val="both"/>
              <w:rPr>
                <w:rFonts w:cs="Arial"/>
                <w:bCs/>
                <w:sz w:val="20"/>
                <w:szCs w:val="20"/>
              </w:rPr>
            </w:pPr>
            <w:r w:rsidRPr="00B71958">
              <w:rPr>
                <w:rFonts w:cs="Arial"/>
                <w:bCs/>
                <w:sz w:val="20"/>
                <w:szCs w:val="20"/>
              </w:rPr>
              <w:t>1.3. Possuir mecanismos de controle e vigilância da qualidade da água.</w:t>
            </w:r>
          </w:p>
        </w:tc>
        <w:tc>
          <w:tcPr>
            <w:tcW w:w="708" w:type="pct"/>
            <w:tcBorders>
              <w:top w:val="single" w:sz="4" w:space="0" w:color="auto"/>
              <w:left w:val="single" w:sz="4" w:space="0" w:color="auto"/>
              <w:bottom w:val="single" w:sz="4" w:space="0" w:color="auto"/>
              <w:right w:val="single" w:sz="4" w:space="0" w:color="auto"/>
            </w:tcBorders>
            <w:noWrap/>
            <w:vAlign w:val="center"/>
          </w:tcPr>
          <w:p w:rsidR="00B71958" w:rsidRPr="00B71958" w:rsidRDefault="00B71958" w:rsidP="00B71958">
            <w:pPr>
              <w:spacing w:before="20" w:after="20" w:line="240" w:lineRule="auto"/>
              <w:jc w:val="both"/>
              <w:rPr>
                <w:rFonts w:cs="Arial"/>
                <w:bCs/>
                <w:sz w:val="20"/>
                <w:szCs w:val="20"/>
              </w:rPr>
            </w:pPr>
          </w:p>
        </w:tc>
      </w:tr>
    </w:tbl>
    <w:p w:rsidR="00B71958" w:rsidRPr="00B71958" w:rsidRDefault="00B71958" w:rsidP="00B71958">
      <w:pPr>
        <w:rPr>
          <w:sz w:val="2"/>
          <w:szCs w:val="2"/>
          <w:lang w:eastAsia="x-none"/>
        </w:rPr>
      </w:pPr>
    </w:p>
    <w:tbl>
      <w:tblPr>
        <w:tblW w:w="14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1"/>
        <w:gridCol w:w="8122"/>
        <w:gridCol w:w="2156"/>
        <w:gridCol w:w="1656"/>
        <w:gridCol w:w="1979"/>
      </w:tblGrid>
      <w:tr w:rsidR="00B71958" w:rsidRPr="00B71958" w:rsidTr="00B71958">
        <w:trPr>
          <w:trHeight w:val="20"/>
          <w:tblHeader/>
          <w:jc w:val="center"/>
        </w:trPr>
        <w:tc>
          <w:tcPr>
            <w:tcW w:w="14954" w:type="dxa"/>
            <w:gridSpan w:val="5"/>
            <w:tcBorders>
              <w:top w:val="single" w:sz="4" w:space="0" w:color="auto"/>
              <w:left w:val="single" w:sz="4" w:space="0" w:color="auto"/>
              <w:bottom w:val="single" w:sz="4" w:space="0" w:color="auto"/>
              <w:right w:val="single" w:sz="4" w:space="0" w:color="auto"/>
            </w:tcBorders>
            <w:shd w:val="clear" w:color="auto" w:fill="C0C0C0"/>
            <w:hideMark/>
          </w:tcPr>
          <w:p w:rsidR="00B71958" w:rsidRPr="00B71958" w:rsidRDefault="00B71958" w:rsidP="00B71958">
            <w:pPr>
              <w:spacing w:before="20" w:after="20" w:line="240" w:lineRule="auto"/>
              <w:contextualSpacing/>
              <w:jc w:val="center"/>
              <w:rPr>
                <w:rFonts w:eastAsia="Times New Roman" w:cs="Arial"/>
                <w:b/>
                <w:bCs/>
                <w:sz w:val="20"/>
                <w:szCs w:val="20"/>
                <w:lang w:eastAsia="pt-BR"/>
              </w:rPr>
            </w:pPr>
            <w:r w:rsidRPr="00B71958">
              <w:rPr>
                <w:rFonts w:eastAsia="Times New Roman" w:cs="Arial"/>
                <w:b/>
                <w:bCs/>
                <w:sz w:val="20"/>
                <w:szCs w:val="20"/>
                <w:lang w:eastAsia="pt-BR"/>
              </w:rPr>
              <w:t>PROGRAMAS E AÇÕES</w:t>
            </w:r>
          </w:p>
        </w:tc>
      </w:tr>
      <w:tr w:rsidR="00B71958" w:rsidRPr="00B71958" w:rsidTr="00B71958">
        <w:trPr>
          <w:trHeight w:val="2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before="20" w:after="20" w:line="240" w:lineRule="auto"/>
              <w:contextualSpacing/>
              <w:jc w:val="center"/>
              <w:rPr>
                <w:rFonts w:eastAsia="Times New Roman" w:cs="Arial"/>
                <w:b/>
                <w:bCs/>
                <w:sz w:val="20"/>
                <w:szCs w:val="20"/>
                <w:lang w:eastAsia="pt-BR"/>
              </w:rPr>
            </w:pPr>
            <w:r w:rsidRPr="00B71958">
              <w:rPr>
                <w:rFonts w:eastAsia="Times New Roman" w:cs="Arial"/>
                <w:b/>
                <w:bCs/>
                <w:sz w:val="20"/>
                <w:szCs w:val="20"/>
                <w:lang w:eastAsia="pt-BR"/>
              </w:rPr>
              <w:t>CÓDIGO</w:t>
            </w:r>
          </w:p>
          <w:p w:rsidR="00B71958" w:rsidRPr="00B71958" w:rsidRDefault="00B71958" w:rsidP="00B71958">
            <w:pPr>
              <w:spacing w:before="20" w:after="20" w:line="240" w:lineRule="auto"/>
              <w:contextualSpacing/>
              <w:jc w:val="center"/>
              <w:rPr>
                <w:rFonts w:eastAsia="Times New Roman" w:cs="Arial"/>
                <w:b/>
                <w:bCs/>
                <w:sz w:val="20"/>
                <w:szCs w:val="20"/>
                <w:lang w:eastAsia="pt-BR"/>
              </w:rPr>
            </w:pPr>
            <w:r w:rsidRPr="00B71958">
              <w:rPr>
                <w:rFonts w:eastAsia="Times New Roman" w:cs="Arial"/>
                <w:b/>
                <w:bCs/>
                <w:sz w:val="20"/>
                <w:szCs w:val="20"/>
                <w:lang w:eastAsia="pt-BR"/>
              </w:rPr>
              <w:t>(s/o/m/a)*</w:t>
            </w:r>
          </w:p>
        </w:tc>
        <w:tc>
          <w:tcPr>
            <w:tcW w:w="0" w:type="auto"/>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before="20" w:after="20" w:line="240" w:lineRule="auto"/>
              <w:contextualSpacing/>
              <w:jc w:val="center"/>
              <w:rPr>
                <w:rFonts w:eastAsia="Times New Roman" w:cs="Arial"/>
                <w:b/>
                <w:bCs/>
                <w:sz w:val="20"/>
                <w:szCs w:val="20"/>
                <w:lang w:eastAsia="pt-BR"/>
              </w:rPr>
            </w:pPr>
            <w:r w:rsidRPr="00B71958">
              <w:rPr>
                <w:rFonts w:eastAsia="Times New Roman" w:cs="Arial"/>
                <w:b/>
                <w:bCs/>
                <w:sz w:val="20"/>
                <w:szCs w:val="20"/>
                <w:lang w:eastAsia="pt-BR"/>
              </w:rPr>
              <w:t>DESCRIÇÃO</w:t>
            </w:r>
          </w:p>
        </w:tc>
        <w:tc>
          <w:tcPr>
            <w:tcW w:w="0" w:type="auto"/>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line="240" w:lineRule="auto"/>
              <w:ind w:firstLine="72"/>
              <w:jc w:val="center"/>
              <w:rPr>
                <w:rFonts w:eastAsia="Times New Roman" w:cs="Arial"/>
                <w:b/>
                <w:bCs/>
                <w:sz w:val="20"/>
                <w:szCs w:val="20"/>
                <w:lang w:eastAsia="pt-BR"/>
              </w:rPr>
            </w:pPr>
            <w:r w:rsidRPr="00B71958">
              <w:rPr>
                <w:rFonts w:eastAsia="Times New Roman" w:cs="Arial"/>
                <w:b/>
                <w:bCs/>
                <w:sz w:val="20"/>
                <w:szCs w:val="20"/>
                <w:lang w:eastAsia="pt-BR"/>
              </w:rPr>
              <w:t>Período de desenvolvimento da ação</w:t>
            </w:r>
          </w:p>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(ano)</w:t>
            </w:r>
          </w:p>
        </w:tc>
        <w:tc>
          <w:tcPr>
            <w:tcW w:w="0" w:type="auto"/>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line="240" w:lineRule="auto"/>
              <w:ind w:left="64" w:firstLine="8"/>
              <w:jc w:val="center"/>
              <w:rPr>
                <w:rFonts w:eastAsia="Times New Roman" w:cs="Arial"/>
                <w:b/>
                <w:bCs/>
                <w:sz w:val="20"/>
                <w:szCs w:val="20"/>
                <w:lang w:eastAsia="pt-BR"/>
              </w:rPr>
            </w:pPr>
            <w:r w:rsidRPr="00B71958">
              <w:rPr>
                <w:rFonts w:eastAsia="Times New Roman" w:cs="Arial"/>
                <w:b/>
                <w:bCs/>
                <w:sz w:val="20"/>
                <w:szCs w:val="20"/>
                <w:lang w:eastAsia="pt-BR"/>
              </w:rPr>
              <w:t>Custo total na moeda de 2017</w:t>
            </w:r>
          </w:p>
          <w:p w:rsidR="00B71958" w:rsidRPr="00B71958" w:rsidRDefault="00B71958" w:rsidP="00B71958">
            <w:pPr>
              <w:spacing w:before="20" w:after="20" w:line="240" w:lineRule="auto"/>
              <w:contextualSpacing/>
              <w:jc w:val="center"/>
              <w:rPr>
                <w:rFonts w:eastAsia="Times New Roman" w:cs="Arial"/>
                <w:b/>
                <w:bCs/>
                <w:sz w:val="20"/>
                <w:szCs w:val="20"/>
                <w:lang w:eastAsia="pt-BR"/>
              </w:rPr>
            </w:pPr>
            <w:r w:rsidRPr="00B71958">
              <w:rPr>
                <w:rFonts w:eastAsia="Times New Roman" w:cs="Arial"/>
                <w:b/>
                <w:bCs/>
                <w:sz w:val="20"/>
                <w:szCs w:val="20"/>
                <w:lang w:eastAsia="pt-BR"/>
              </w:rPr>
              <w:t>(R$)</w:t>
            </w:r>
          </w:p>
        </w:tc>
        <w:tc>
          <w:tcPr>
            <w:tcW w:w="1979"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line="240" w:lineRule="auto"/>
              <w:ind w:left="64" w:firstLine="8"/>
              <w:jc w:val="center"/>
              <w:rPr>
                <w:rFonts w:eastAsia="Times New Roman" w:cs="Arial"/>
                <w:b/>
                <w:bCs/>
                <w:sz w:val="20"/>
                <w:szCs w:val="20"/>
                <w:lang w:eastAsia="pt-BR"/>
              </w:rPr>
            </w:pPr>
            <w:r w:rsidRPr="00B71958">
              <w:rPr>
                <w:rFonts w:eastAsia="Times New Roman" w:cs="Arial"/>
                <w:b/>
                <w:bCs/>
                <w:sz w:val="20"/>
                <w:szCs w:val="20"/>
                <w:lang w:eastAsia="pt-BR"/>
              </w:rPr>
              <w:t>Responsável pela ação</w:t>
            </w:r>
          </w:p>
        </w:tc>
      </w:tr>
      <w:tr w:rsidR="00B71958" w:rsidRPr="00B71958" w:rsidTr="00810C89">
        <w:trPr>
          <w:trHeight w:val="5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contextualSpacing/>
              <w:jc w:val="center"/>
              <w:rPr>
                <w:rFonts w:cs="Arial"/>
                <w:sz w:val="20"/>
                <w:szCs w:val="20"/>
                <w:lang w:eastAsia="pt-BR"/>
              </w:rPr>
            </w:pPr>
            <w:r w:rsidRPr="00B71958">
              <w:rPr>
                <w:rFonts w:eastAsia="Times New Roman" w:cs="Arial"/>
                <w:sz w:val="20"/>
                <w:szCs w:val="20"/>
                <w:lang w:eastAsia="pt-BR"/>
              </w:rPr>
              <w:t>1.1.1.01</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810C89" w:rsidRDefault="00B71958" w:rsidP="00810C89">
            <w:pPr>
              <w:pStyle w:val="Estilo1"/>
              <w:numPr>
                <w:ilvl w:val="0"/>
                <w:numId w:val="115"/>
              </w:numPr>
              <w:tabs>
                <w:tab w:val="left" w:pos="0"/>
                <w:tab w:val="left" w:pos="781"/>
              </w:tabs>
              <w:spacing w:before="20" w:after="20"/>
              <w:ind w:left="777" w:hanging="425"/>
            </w:pPr>
            <w:r w:rsidRPr="00810C89">
              <w:t>Realizar cadastro técnico minucioso do sistema de abastecimento de água da sede.</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40.000,00</w:t>
            </w:r>
          </w:p>
        </w:tc>
        <w:tc>
          <w:tcPr>
            <w:tcW w:w="1979" w:type="dxa"/>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810C89">
        <w:trPr>
          <w:trHeight w:val="5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contextualSpacing/>
              <w:jc w:val="center"/>
              <w:rPr>
                <w:rFonts w:eastAsia="Times New Roman" w:cs="Arial"/>
                <w:sz w:val="20"/>
                <w:szCs w:val="20"/>
                <w:lang w:eastAsia="pt-BR"/>
              </w:rPr>
            </w:pPr>
            <w:r w:rsidRPr="00B71958">
              <w:rPr>
                <w:rFonts w:eastAsia="Times New Roman" w:cs="Arial"/>
                <w:sz w:val="20"/>
                <w:szCs w:val="20"/>
                <w:lang w:eastAsia="pt-BR"/>
              </w:rPr>
              <w:t>1.1.1.02</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 xml:space="preserve"> Projetar, a partir do cadastro do sistema, as ampliações necessárias na rede para atender ao restante da população da área urbana, além das ampliações já previstas.</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1º-3º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12.485,00</w:t>
            </w:r>
          </w:p>
        </w:tc>
        <w:tc>
          <w:tcPr>
            <w:tcW w:w="1979" w:type="dxa"/>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810C89">
        <w:trPr>
          <w:trHeight w:val="5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contextualSpacing/>
              <w:jc w:val="center"/>
              <w:rPr>
                <w:rFonts w:eastAsia="Times New Roman" w:cs="Arial"/>
                <w:sz w:val="20"/>
                <w:szCs w:val="20"/>
                <w:lang w:eastAsia="pt-BR"/>
              </w:rPr>
            </w:pPr>
            <w:r w:rsidRPr="00B71958">
              <w:rPr>
                <w:rFonts w:eastAsia="Times New Roman" w:cs="Arial"/>
                <w:sz w:val="20"/>
                <w:szCs w:val="20"/>
                <w:lang w:eastAsia="pt-BR"/>
              </w:rPr>
              <w:lastRenderedPageBreak/>
              <w:t>1.1.1.03</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 xml:space="preserve"> Projetar ampliação da capacidade de reservação para atender às demandas no horizonte do Plano.</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1º-3º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4.493,60</w:t>
            </w:r>
          </w:p>
        </w:tc>
        <w:tc>
          <w:tcPr>
            <w:tcW w:w="1979" w:type="dxa"/>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810C89">
        <w:trPr>
          <w:trHeight w:val="5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contextualSpacing/>
              <w:jc w:val="center"/>
              <w:rPr>
                <w:rFonts w:eastAsia="Times New Roman" w:cs="Arial"/>
                <w:sz w:val="20"/>
                <w:szCs w:val="20"/>
                <w:lang w:eastAsia="pt-BR"/>
              </w:rPr>
            </w:pPr>
            <w:r w:rsidRPr="00B71958">
              <w:rPr>
                <w:rFonts w:eastAsia="Times New Roman" w:cs="Arial"/>
                <w:sz w:val="20"/>
                <w:szCs w:val="20"/>
                <w:lang w:eastAsia="pt-BR"/>
              </w:rPr>
              <w:t>1.1.1.04</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 xml:space="preserve"> Realizar obras para atender aos projetos da ação 1.1.1.02.</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2º-8º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124.850,00</w:t>
            </w:r>
          </w:p>
        </w:tc>
        <w:tc>
          <w:tcPr>
            <w:tcW w:w="1979" w:type="dxa"/>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810C89">
        <w:trPr>
          <w:trHeight w:val="5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contextualSpacing/>
              <w:jc w:val="center"/>
              <w:rPr>
                <w:rFonts w:eastAsia="Times New Roman" w:cs="Arial"/>
                <w:sz w:val="20"/>
                <w:szCs w:val="20"/>
                <w:lang w:eastAsia="pt-BR"/>
              </w:rPr>
            </w:pPr>
            <w:r w:rsidRPr="00B71958">
              <w:rPr>
                <w:rFonts w:eastAsia="Times New Roman" w:cs="Arial"/>
                <w:sz w:val="20"/>
                <w:szCs w:val="20"/>
                <w:lang w:eastAsia="pt-BR"/>
              </w:rPr>
              <w:t>1.1.1.05</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 xml:space="preserve"> Realizar obras para atender aos projetos da ação 1.1.1.03.</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2º-8º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44.936,00</w:t>
            </w:r>
          </w:p>
        </w:tc>
        <w:tc>
          <w:tcPr>
            <w:tcW w:w="1979" w:type="dxa"/>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810C89">
        <w:trPr>
          <w:trHeight w:val="5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contextualSpacing/>
              <w:jc w:val="center"/>
              <w:rPr>
                <w:rFonts w:eastAsia="Times New Roman" w:cs="Arial"/>
                <w:sz w:val="20"/>
                <w:szCs w:val="20"/>
                <w:lang w:eastAsia="pt-BR"/>
              </w:rPr>
            </w:pPr>
            <w:r w:rsidRPr="00B71958">
              <w:rPr>
                <w:rFonts w:eastAsia="Times New Roman" w:cs="Arial"/>
                <w:sz w:val="20"/>
                <w:szCs w:val="20"/>
                <w:lang w:eastAsia="pt-BR"/>
              </w:rPr>
              <w:t>1.1.1.06</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 xml:space="preserve"> Avaliar continuamente a necessidade de novas ampliações em todos os sistemas do município, incluindo as possibilidades de captações.</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1º-20º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20.484,70</w:t>
            </w:r>
          </w:p>
        </w:tc>
        <w:tc>
          <w:tcPr>
            <w:tcW w:w="1979" w:type="dxa"/>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810C89">
        <w:trPr>
          <w:trHeight w:val="5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contextualSpacing/>
              <w:jc w:val="center"/>
              <w:rPr>
                <w:rFonts w:eastAsia="Times New Roman" w:cs="Arial"/>
                <w:sz w:val="20"/>
                <w:szCs w:val="20"/>
                <w:lang w:eastAsia="pt-BR"/>
              </w:rPr>
            </w:pPr>
            <w:r w:rsidRPr="00B71958">
              <w:rPr>
                <w:rFonts w:eastAsia="Times New Roman" w:cs="Arial"/>
                <w:sz w:val="20"/>
                <w:szCs w:val="20"/>
                <w:lang w:eastAsia="pt-BR"/>
              </w:rPr>
              <w:t>1.1.2.07</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 xml:space="preserve"> Fazer cadastro minucioso de todos os sistemas presentes nas localidades rurais agrupadas (captação, adução, tratamento, reservação e rede de distribuição).</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1º-8º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16.000,00</w:t>
            </w:r>
          </w:p>
        </w:tc>
        <w:tc>
          <w:tcPr>
            <w:tcW w:w="1979" w:type="dxa"/>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Prefeitura Municipal / COPASA</w:t>
            </w:r>
          </w:p>
        </w:tc>
      </w:tr>
      <w:tr w:rsidR="00B71958" w:rsidRPr="00B71958" w:rsidTr="00810C89">
        <w:trPr>
          <w:trHeight w:val="5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contextualSpacing/>
              <w:jc w:val="center"/>
              <w:rPr>
                <w:rFonts w:eastAsia="Times New Roman" w:cs="Arial"/>
                <w:sz w:val="20"/>
                <w:szCs w:val="20"/>
                <w:lang w:eastAsia="pt-BR"/>
              </w:rPr>
            </w:pPr>
            <w:r w:rsidRPr="00B71958">
              <w:rPr>
                <w:rFonts w:eastAsia="Times New Roman" w:cs="Arial"/>
                <w:sz w:val="20"/>
                <w:szCs w:val="20"/>
                <w:lang w:eastAsia="pt-BR"/>
              </w:rPr>
              <w:t>1.1.2.08</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 xml:space="preserve"> Avaliar os sistemas, a partir do cadastro, quanto a sua funcionalidade e necessidade de novas instalações e ampliações.</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1º-8º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8.193,88</w:t>
            </w:r>
          </w:p>
        </w:tc>
        <w:tc>
          <w:tcPr>
            <w:tcW w:w="1979" w:type="dxa"/>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Prefeitura Municipal / COPASA</w:t>
            </w:r>
          </w:p>
        </w:tc>
      </w:tr>
      <w:tr w:rsidR="00B71958" w:rsidRPr="00B71958" w:rsidTr="00810C89">
        <w:trPr>
          <w:trHeight w:val="5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contextualSpacing/>
              <w:jc w:val="center"/>
              <w:rPr>
                <w:rFonts w:eastAsia="Times New Roman" w:cs="Arial"/>
                <w:sz w:val="20"/>
                <w:szCs w:val="20"/>
                <w:lang w:eastAsia="pt-BR"/>
              </w:rPr>
            </w:pPr>
            <w:r w:rsidRPr="00B71958">
              <w:rPr>
                <w:rFonts w:eastAsia="Times New Roman" w:cs="Arial"/>
                <w:sz w:val="20"/>
                <w:szCs w:val="20"/>
                <w:lang w:eastAsia="pt-BR"/>
              </w:rPr>
              <w:t>1.1.2.09</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 xml:space="preserve"> Projetar, a partir da avaliação, as novas instalações e ampliações necessárias.</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1º-8º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15.000,00</w:t>
            </w:r>
          </w:p>
        </w:tc>
        <w:tc>
          <w:tcPr>
            <w:tcW w:w="1979" w:type="dxa"/>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Prefeitura Municipal / COPASA</w:t>
            </w:r>
          </w:p>
        </w:tc>
      </w:tr>
      <w:tr w:rsidR="00B71958" w:rsidRPr="00B71958" w:rsidTr="00810C89">
        <w:trPr>
          <w:trHeight w:val="5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contextualSpacing/>
              <w:jc w:val="center"/>
              <w:rPr>
                <w:rFonts w:eastAsia="Times New Roman" w:cs="Arial"/>
                <w:sz w:val="20"/>
                <w:szCs w:val="20"/>
                <w:lang w:eastAsia="pt-BR"/>
              </w:rPr>
            </w:pPr>
            <w:r w:rsidRPr="00B71958">
              <w:rPr>
                <w:rFonts w:eastAsia="Times New Roman" w:cs="Arial"/>
                <w:sz w:val="20"/>
                <w:szCs w:val="20"/>
                <w:lang w:eastAsia="pt-BR"/>
              </w:rPr>
              <w:t>1.1.2.10</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Realizar obras para atender aos projetos da ação 1.1.2.09.</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1º-12º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150.000,00</w:t>
            </w:r>
          </w:p>
        </w:tc>
        <w:tc>
          <w:tcPr>
            <w:tcW w:w="1979" w:type="dxa"/>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Prefeitura Municipal / COPASA</w:t>
            </w:r>
          </w:p>
        </w:tc>
      </w:tr>
      <w:tr w:rsidR="00B71958" w:rsidRPr="00B71958" w:rsidTr="00810C89">
        <w:trPr>
          <w:trHeight w:val="5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jc w:val="center"/>
              <w:rPr>
                <w:rFonts w:eastAsia="Times New Roman" w:cs="Arial"/>
                <w:sz w:val="20"/>
                <w:szCs w:val="20"/>
                <w:lang w:eastAsia="pt-BR"/>
              </w:rPr>
            </w:pPr>
            <w:r w:rsidRPr="00B71958">
              <w:rPr>
                <w:rFonts w:eastAsia="Times New Roman" w:cs="Arial"/>
                <w:sz w:val="20"/>
                <w:szCs w:val="20"/>
                <w:lang w:eastAsia="pt-BR"/>
              </w:rPr>
              <w:t>1.1.3.11</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Elaborar, a partir dos cadastros minuciosos dos sistemas, Plano de Manutenção preventiva para o município, contendo mecanismos sistemáticos para substituição de tubulações antigas, avaliação contínua e monitoramento das redes de distribuição para controle de incrustações, substituição de bombas, equipamentos eletrônicos e mecânicos, entre outros.</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4º-12º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3.787,20</w:t>
            </w:r>
          </w:p>
        </w:tc>
        <w:tc>
          <w:tcPr>
            <w:tcW w:w="1979" w:type="dxa"/>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810C89">
        <w:trPr>
          <w:trHeight w:val="5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jc w:val="center"/>
              <w:rPr>
                <w:rFonts w:eastAsia="Times New Roman" w:cs="Arial"/>
                <w:sz w:val="20"/>
                <w:szCs w:val="20"/>
                <w:lang w:eastAsia="pt-BR"/>
              </w:rPr>
            </w:pPr>
            <w:r w:rsidRPr="00B71958">
              <w:rPr>
                <w:rFonts w:eastAsia="Times New Roman" w:cs="Arial"/>
                <w:sz w:val="20"/>
                <w:szCs w:val="20"/>
                <w:lang w:eastAsia="pt-BR"/>
              </w:rPr>
              <w:t>1.1.3.12</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Implantar as ações do Plano de Manutenção preventiva.</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4º-20º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20.777,78</w:t>
            </w:r>
          </w:p>
        </w:tc>
        <w:tc>
          <w:tcPr>
            <w:tcW w:w="1979" w:type="dxa"/>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810C89">
        <w:trPr>
          <w:trHeight w:val="5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jc w:val="center"/>
              <w:rPr>
                <w:rFonts w:eastAsia="Times New Roman" w:cs="Arial"/>
                <w:sz w:val="20"/>
                <w:szCs w:val="20"/>
                <w:lang w:eastAsia="pt-BR"/>
              </w:rPr>
            </w:pPr>
            <w:r w:rsidRPr="00B71958">
              <w:rPr>
                <w:rFonts w:eastAsia="Times New Roman" w:cs="Arial"/>
                <w:sz w:val="20"/>
                <w:szCs w:val="20"/>
                <w:lang w:eastAsia="pt-BR"/>
              </w:rPr>
              <w:t>1.1.3.13</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Elaborar Plano de Emergência e Contingência contemplando todos os sistemas de abastecimento de água do município</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1º-8º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17.070,58</w:t>
            </w:r>
          </w:p>
        </w:tc>
        <w:tc>
          <w:tcPr>
            <w:tcW w:w="1979" w:type="dxa"/>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810C89">
        <w:trPr>
          <w:trHeight w:val="5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jc w:val="center"/>
              <w:rPr>
                <w:rFonts w:eastAsia="Times New Roman" w:cs="Arial"/>
                <w:sz w:val="20"/>
                <w:szCs w:val="20"/>
                <w:lang w:eastAsia="pt-BR"/>
              </w:rPr>
            </w:pPr>
            <w:r w:rsidRPr="00B71958">
              <w:rPr>
                <w:rFonts w:eastAsia="Times New Roman" w:cs="Arial"/>
                <w:sz w:val="20"/>
                <w:szCs w:val="20"/>
                <w:lang w:eastAsia="pt-BR"/>
              </w:rPr>
              <w:t>1.1.3.14</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Manter Plano de Emergência e Contingência atualizado</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1º-20º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27.312,93</w:t>
            </w:r>
          </w:p>
        </w:tc>
        <w:tc>
          <w:tcPr>
            <w:tcW w:w="1979" w:type="dxa"/>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810C89">
        <w:trPr>
          <w:trHeight w:val="5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contextualSpacing/>
              <w:jc w:val="center"/>
              <w:rPr>
                <w:rFonts w:eastAsia="Times New Roman" w:cs="Arial"/>
                <w:sz w:val="20"/>
                <w:szCs w:val="20"/>
                <w:lang w:eastAsia="pt-BR"/>
              </w:rPr>
            </w:pPr>
            <w:r w:rsidRPr="00B71958">
              <w:rPr>
                <w:rFonts w:eastAsia="Times New Roman" w:cs="Arial"/>
                <w:sz w:val="20"/>
                <w:szCs w:val="20"/>
                <w:lang w:eastAsia="pt-BR"/>
              </w:rPr>
              <w:lastRenderedPageBreak/>
              <w:t>1.1.4.15</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Cadastrar as propriedades rurais isoladas de acordo com o tipo de captação, tipo de tratamento, infraestrutura instalada e demanda da propriedade (parte do Programa de Aferição da Qualidade da Água Rural).</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1º-2º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6.312,00</w:t>
            </w:r>
          </w:p>
        </w:tc>
        <w:tc>
          <w:tcPr>
            <w:tcW w:w="1979" w:type="dxa"/>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Prefeitura Municipal / COPASA</w:t>
            </w:r>
          </w:p>
        </w:tc>
      </w:tr>
      <w:tr w:rsidR="00B71958" w:rsidRPr="00B71958" w:rsidTr="00810C89">
        <w:trPr>
          <w:trHeight w:val="5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contextualSpacing/>
              <w:jc w:val="center"/>
              <w:rPr>
                <w:rFonts w:eastAsia="Times New Roman" w:cs="Arial"/>
                <w:sz w:val="20"/>
                <w:szCs w:val="20"/>
                <w:lang w:eastAsia="pt-BR"/>
              </w:rPr>
            </w:pPr>
            <w:r w:rsidRPr="00B71958">
              <w:rPr>
                <w:rFonts w:eastAsia="Times New Roman" w:cs="Arial"/>
                <w:sz w:val="20"/>
                <w:szCs w:val="20"/>
                <w:lang w:eastAsia="pt-BR"/>
              </w:rPr>
              <w:t>1.1.4.16</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Suprir a demanda estrutural das propriedades cadastradas (parte Programa de Aferição da Qualidade da Água Rural).</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2º-3º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3.112.000,00</w:t>
            </w:r>
          </w:p>
        </w:tc>
        <w:tc>
          <w:tcPr>
            <w:tcW w:w="1979" w:type="dxa"/>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Prefeitura Municipal / COPASA</w:t>
            </w:r>
          </w:p>
        </w:tc>
      </w:tr>
      <w:tr w:rsidR="00B71958" w:rsidRPr="00B71958" w:rsidTr="00810C89">
        <w:trPr>
          <w:trHeight w:val="5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contextualSpacing/>
              <w:jc w:val="center"/>
              <w:rPr>
                <w:rFonts w:eastAsia="Times New Roman" w:cs="Arial"/>
                <w:sz w:val="20"/>
                <w:szCs w:val="20"/>
                <w:lang w:eastAsia="pt-BR"/>
              </w:rPr>
            </w:pPr>
            <w:r w:rsidRPr="00B71958">
              <w:rPr>
                <w:rFonts w:eastAsia="Times New Roman" w:cs="Arial"/>
                <w:sz w:val="20"/>
                <w:szCs w:val="20"/>
                <w:lang w:eastAsia="pt-BR"/>
              </w:rPr>
              <w:t>1.1.4.17</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Controlar a qualidade da água por meio da disponibilização de resultados de análises físico-químicas no Sistema de Informações (parte do Programa de Aferição da Qualidade da Água Rural).</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2º-20º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119.928,00</w:t>
            </w:r>
          </w:p>
        </w:tc>
        <w:tc>
          <w:tcPr>
            <w:tcW w:w="1979" w:type="dxa"/>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Prefeitura Municipal / COPASA</w:t>
            </w:r>
          </w:p>
        </w:tc>
      </w:tr>
    </w:tbl>
    <w:p w:rsidR="00B71958" w:rsidRPr="00B71958" w:rsidRDefault="00B71958" w:rsidP="00810C89">
      <w:pPr>
        <w:pStyle w:val="Fonte"/>
        <w:rPr>
          <w:rFonts w:cs="Arial"/>
          <w:sz w:val="20"/>
          <w:szCs w:val="20"/>
        </w:rPr>
      </w:pPr>
      <w:r w:rsidRPr="00B71958">
        <w:t>*(s/o/m/a) = nº do setor / nº do objetivo / nº da meta / nº da ação.</w:t>
      </w:r>
    </w:p>
    <w:p w:rsidR="00B71958" w:rsidRPr="00B71958" w:rsidRDefault="00B71958" w:rsidP="00810C89">
      <w:pPr>
        <w:pStyle w:val="Legenda"/>
      </w:pPr>
      <w:r w:rsidRPr="00B71958">
        <w:br w:type="page"/>
      </w:r>
      <w:bookmarkStart w:id="691" w:name="_Toc498594123"/>
      <w:bookmarkStart w:id="692" w:name="_Toc491681716"/>
      <w:bookmarkStart w:id="693" w:name="_Toc488050767"/>
      <w:bookmarkStart w:id="694" w:name="_Toc505788337"/>
      <w:bookmarkStart w:id="695" w:name="_Toc509935835"/>
      <w:r w:rsidRPr="00B71958">
        <w:lastRenderedPageBreak/>
        <w:t xml:space="preserve">Quadro </w:t>
      </w:r>
      <w:r w:rsidR="000A1C78">
        <w:fldChar w:fldCharType="begin"/>
      </w:r>
      <w:r w:rsidR="000A1C78">
        <w:instrText xml:space="preserve"> SEQ Quadro \* ARABIC </w:instrText>
      </w:r>
      <w:r w:rsidR="000A1C78">
        <w:fldChar w:fldCharType="separate"/>
      </w:r>
      <w:r w:rsidR="001B481B">
        <w:rPr>
          <w:noProof/>
        </w:rPr>
        <w:t>58</w:t>
      </w:r>
      <w:r w:rsidR="000A1C78">
        <w:rPr>
          <w:noProof/>
        </w:rPr>
        <w:fldChar w:fldCharType="end"/>
      </w:r>
      <w:r w:rsidRPr="00B71958">
        <w:t xml:space="preserve"> - Programas e ações propostos para o setor de abastecimento de água - Objetivo 2</w:t>
      </w:r>
      <w:bookmarkEnd w:id="691"/>
      <w:bookmarkEnd w:id="692"/>
      <w:bookmarkEnd w:id="693"/>
      <w:bookmarkEnd w:id="694"/>
      <w:bookmarkEnd w:id="695"/>
    </w:p>
    <w:tbl>
      <w:tblPr>
        <w:tblW w:w="14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70"/>
        <w:gridCol w:w="283"/>
        <w:gridCol w:w="1463"/>
        <w:gridCol w:w="3639"/>
        <w:gridCol w:w="3639"/>
        <w:gridCol w:w="3651"/>
      </w:tblGrid>
      <w:tr w:rsidR="00B71958" w:rsidRPr="00B71958" w:rsidTr="00B71958">
        <w:trPr>
          <w:trHeight w:val="20"/>
          <w:jc w:val="center"/>
        </w:trPr>
        <w:tc>
          <w:tcPr>
            <w:tcW w:w="702" w:type="pct"/>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line="240" w:lineRule="auto"/>
              <w:rPr>
                <w:rFonts w:eastAsia="Times New Roman" w:cs="Arial"/>
                <w:b/>
                <w:bCs/>
                <w:sz w:val="19"/>
                <w:szCs w:val="19"/>
                <w:lang w:eastAsia="pt-BR"/>
              </w:rPr>
            </w:pPr>
            <w:r w:rsidRPr="00B71958">
              <w:rPr>
                <w:rFonts w:eastAsia="Times New Roman" w:cs="Arial"/>
                <w:b/>
                <w:bCs/>
                <w:sz w:val="19"/>
                <w:szCs w:val="19"/>
                <w:lang w:eastAsia="pt-BR"/>
              </w:rPr>
              <w:t>SETOR</w:t>
            </w:r>
          </w:p>
        </w:tc>
        <w:tc>
          <w:tcPr>
            <w:tcW w:w="96" w:type="pct"/>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line="240" w:lineRule="auto"/>
              <w:rPr>
                <w:rFonts w:eastAsia="Times New Roman" w:cs="Arial"/>
                <w:sz w:val="19"/>
                <w:szCs w:val="19"/>
                <w:lang w:eastAsia="pt-BR"/>
              </w:rPr>
            </w:pPr>
            <w:r w:rsidRPr="00B71958">
              <w:rPr>
                <w:rFonts w:eastAsia="Times New Roman" w:cs="Arial"/>
                <w:sz w:val="19"/>
                <w:szCs w:val="19"/>
                <w:lang w:eastAsia="pt-BR"/>
              </w:rPr>
              <w:t>1</w:t>
            </w:r>
          </w:p>
        </w:tc>
        <w:tc>
          <w:tcPr>
            <w:tcW w:w="4202" w:type="pct"/>
            <w:gridSpan w:val="4"/>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line="240" w:lineRule="auto"/>
              <w:rPr>
                <w:rFonts w:eastAsia="Times New Roman" w:cs="Arial"/>
                <w:sz w:val="19"/>
                <w:szCs w:val="19"/>
                <w:lang w:eastAsia="pt-BR"/>
              </w:rPr>
            </w:pPr>
            <w:r w:rsidRPr="00B71958">
              <w:rPr>
                <w:rFonts w:eastAsia="Times New Roman" w:cs="Arial"/>
                <w:sz w:val="19"/>
                <w:szCs w:val="19"/>
                <w:lang w:eastAsia="pt-BR"/>
              </w:rPr>
              <w:t>Abastecimento de Água.</w:t>
            </w:r>
          </w:p>
        </w:tc>
      </w:tr>
      <w:tr w:rsidR="00B71958" w:rsidRPr="00B71958" w:rsidTr="00B71958">
        <w:trPr>
          <w:trHeight w:val="20"/>
          <w:jc w:val="center"/>
        </w:trPr>
        <w:tc>
          <w:tcPr>
            <w:tcW w:w="70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line="240" w:lineRule="auto"/>
              <w:rPr>
                <w:rFonts w:eastAsia="Times New Roman" w:cs="Arial"/>
                <w:b/>
                <w:bCs/>
                <w:sz w:val="19"/>
                <w:szCs w:val="19"/>
                <w:lang w:eastAsia="pt-BR"/>
              </w:rPr>
            </w:pPr>
            <w:r w:rsidRPr="00B71958">
              <w:rPr>
                <w:rFonts w:eastAsia="Times New Roman" w:cs="Arial"/>
                <w:b/>
                <w:bCs/>
                <w:sz w:val="19"/>
                <w:szCs w:val="19"/>
                <w:lang w:eastAsia="pt-BR"/>
              </w:rPr>
              <w:t>OBJETIVO</w:t>
            </w:r>
          </w:p>
        </w:tc>
        <w:tc>
          <w:tcPr>
            <w:tcW w:w="96"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rPr>
                <w:rFonts w:eastAsia="Times New Roman" w:cs="Arial"/>
                <w:sz w:val="19"/>
                <w:szCs w:val="19"/>
                <w:lang w:eastAsia="pt-BR"/>
              </w:rPr>
            </w:pPr>
            <w:r w:rsidRPr="00B71958">
              <w:rPr>
                <w:rFonts w:eastAsia="Times New Roman" w:cs="Arial"/>
                <w:sz w:val="19"/>
                <w:szCs w:val="19"/>
                <w:lang w:eastAsia="pt-BR"/>
              </w:rPr>
              <w:t>2</w:t>
            </w:r>
          </w:p>
        </w:tc>
        <w:tc>
          <w:tcPr>
            <w:tcW w:w="4202" w:type="pct"/>
            <w:gridSpan w:val="4"/>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rPr>
                <w:rFonts w:cs="Arial"/>
                <w:sz w:val="19"/>
                <w:szCs w:val="19"/>
              </w:rPr>
            </w:pPr>
            <w:r w:rsidRPr="00B71958">
              <w:rPr>
                <w:rFonts w:cs="Arial"/>
                <w:sz w:val="19"/>
                <w:szCs w:val="19"/>
              </w:rPr>
              <w:t>Reduzir as perdas de água e promover o uso racional da água.</w:t>
            </w:r>
          </w:p>
        </w:tc>
      </w:tr>
      <w:tr w:rsidR="00B71958" w:rsidRPr="00B71958" w:rsidTr="00B71958">
        <w:trPr>
          <w:trHeight w:val="20"/>
          <w:jc w:val="center"/>
        </w:trPr>
        <w:tc>
          <w:tcPr>
            <w:tcW w:w="70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before="20" w:after="20" w:line="240" w:lineRule="auto"/>
              <w:contextualSpacing/>
              <w:rPr>
                <w:rFonts w:eastAsia="Times New Roman" w:cs="Arial"/>
                <w:b/>
                <w:bCs/>
                <w:sz w:val="20"/>
                <w:szCs w:val="20"/>
                <w:lang w:eastAsia="pt-BR"/>
              </w:rPr>
            </w:pPr>
            <w:r w:rsidRPr="00B71958">
              <w:rPr>
                <w:rFonts w:eastAsia="Times New Roman" w:cs="Arial"/>
                <w:b/>
                <w:bCs/>
                <w:sz w:val="20"/>
                <w:szCs w:val="20"/>
                <w:lang w:eastAsia="pt-BR"/>
              </w:rPr>
              <w:t>INDICADORES DE MONITORAMENTO</w:t>
            </w:r>
          </w:p>
        </w:tc>
        <w:tc>
          <w:tcPr>
            <w:tcW w:w="4298" w:type="pct"/>
            <w:gridSpan w:val="5"/>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both"/>
              <w:rPr>
                <w:rFonts w:eastAsia="Times New Roman" w:cs="Arial"/>
                <w:sz w:val="20"/>
                <w:szCs w:val="20"/>
                <w:lang w:eastAsia="pt-BR"/>
              </w:rPr>
            </w:pPr>
            <w:r w:rsidRPr="00B71958">
              <w:rPr>
                <w:rFonts w:eastAsia="Times New Roman" w:cs="Arial"/>
                <w:sz w:val="20"/>
                <w:szCs w:val="20"/>
                <w:lang w:eastAsia="pt-BR"/>
              </w:rPr>
              <w:t>Índice de perdas na distribuição de água.</w:t>
            </w:r>
          </w:p>
          <w:p w:rsidR="00B71958" w:rsidRPr="00B71958" w:rsidRDefault="00B71958" w:rsidP="00B71958">
            <w:pPr>
              <w:spacing w:line="240" w:lineRule="auto"/>
              <w:jc w:val="both"/>
              <w:rPr>
                <w:rFonts w:eastAsia="Times New Roman" w:cs="Arial"/>
                <w:sz w:val="20"/>
                <w:szCs w:val="20"/>
                <w:lang w:eastAsia="pt-BR"/>
              </w:rPr>
            </w:pPr>
            <w:r w:rsidRPr="00B71958">
              <w:rPr>
                <w:rFonts w:eastAsia="Times New Roman" w:cs="Arial"/>
                <w:sz w:val="20"/>
                <w:szCs w:val="20"/>
                <w:lang w:eastAsia="pt-BR"/>
              </w:rPr>
              <w:t>Consumo médio per capita de água.</w:t>
            </w:r>
          </w:p>
        </w:tc>
      </w:tr>
      <w:tr w:rsidR="00B71958" w:rsidRPr="00B71958" w:rsidTr="00B71958">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line="240" w:lineRule="auto"/>
              <w:rPr>
                <w:rFonts w:ascii="Calibri" w:hAnsi="Calibri"/>
                <w:sz w:val="20"/>
                <w:szCs w:val="20"/>
                <w:lang w:eastAsia="pt-BR"/>
              </w:rPr>
            </w:pPr>
          </w:p>
        </w:tc>
      </w:tr>
      <w:tr w:rsidR="00B71958" w:rsidRPr="00B71958" w:rsidTr="00B71958">
        <w:trPr>
          <w:trHeight w:val="31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line="240" w:lineRule="auto"/>
              <w:jc w:val="center"/>
              <w:rPr>
                <w:rFonts w:eastAsia="Times New Roman" w:cs="Arial"/>
                <w:b/>
                <w:bCs/>
                <w:sz w:val="19"/>
                <w:szCs w:val="19"/>
                <w:lang w:eastAsia="pt-BR"/>
              </w:rPr>
            </w:pPr>
            <w:r w:rsidRPr="00B71958">
              <w:rPr>
                <w:rFonts w:eastAsia="Times New Roman" w:cs="Arial"/>
                <w:b/>
                <w:bCs/>
                <w:sz w:val="20"/>
                <w:szCs w:val="20"/>
                <w:lang w:eastAsia="pt-BR"/>
              </w:rPr>
              <w:t>PRAZO DE ENTREGA DA META (ANOS)</w:t>
            </w:r>
          </w:p>
        </w:tc>
      </w:tr>
      <w:tr w:rsidR="00B71958" w:rsidRPr="00B71958" w:rsidTr="00B71958">
        <w:trPr>
          <w:trHeight w:val="375"/>
          <w:jc w:val="center"/>
        </w:trPr>
        <w:tc>
          <w:tcPr>
            <w:tcW w:w="1294" w:type="pct"/>
            <w:gridSpan w:val="3"/>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IMEDIATO (0 a 3)</w:t>
            </w:r>
          </w:p>
        </w:tc>
        <w:tc>
          <w:tcPr>
            <w:tcW w:w="1234" w:type="pct"/>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CURTO (4 a 8)</w:t>
            </w:r>
          </w:p>
        </w:tc>
        <w:tc>
          <w:tcPr>
            <w:tcW w:w="1234" w:type="pct"/>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MÉDIO (9 a 12)</w:t>
            </w:r>
          </w:p>
        </w:tc>
        <w:tc>
          <w:tcPr>
            <w:tcW w:w="1238" w:type="pct"/>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LONGO (13 a 20)</w:t>
            </w:r>
          </w:p>
        </w:tc>
      </w:tr>
      <w:tr w:rsidR="00B71958" w:rsidRPr="00B71958" w:rsidTr="00B71958">
        <w:trPr>
          <w:trHeight w:val="20"/>
          <w:jc w:val="center"/>
        </w:trPr>
        <w:tc>
          <w:tcPr>
            <w:tcW w:w="1294" w:type="pct"/>
            <w:gridSpan w:val="3"/>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line="240" w:lineRule="auto"/>
              <w:jc w:val="both"/>
              <w:rPr>
                <w:rFonts w:cs="Arial"/>
                <w:bCs/>
                <w:sz w:val="20"/>
                <w:szCs w:val="20"/>
              </w:rPr>
            </w:pPr>
            <w:r w:rsidRPr="00B71958">
              <w:rPr>
                <w:rFonts w:cs="Arial"/>
                <w:bCs/>
                <w:sz w:val="20"/>
                <w:szCs w:val="20"/>
              </w:rPr>
              <w:t xml:space="preserve">2.1. Todos os SAAs do município com índice de perdas e consumo </w:t>
            </w:r>
            <w:r w:rsidRPr="00B71958">
              <w:rPr>
                <w:rFonts w:cs="Arial"/>
                <w:bCs/>
                <w:i/>
                <w:sz w:val="20"/>
                <w:szCs w:val="20"/>
              </w:rPr>
              <w:t>per capita</w:t>
            </w:r>
            <w:r w:rsidRPr="00B71958">
              <w:rPr>
                <w:rFonts w:cs="Arial"/>
                <w:bCs/>
                <w:sz w:val="20"/>
                <w:szCs w:val="20"/>
              </w:rPr>
              <w:t xml:space="preserve"> mensurados corretamente.</w:t>
            </w:r>
          </w:p>
        </w:tc>
        <w:tc>
          <w:tcPr>
            <w:tcW w:w="1234" w:type="pct"/>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line="240" w:lineRule="auto"/>
              <w:rPr>
                <w:rFonts w:ascii="Calibri" w:hAnsi="Calibri"/>
                <w:sz w:val="20"/>
                <w:szCs w:val="20"/>
                <w:lang w:eastAsia="pt-BR"/>
              </w:rPr>
            </w:pPr>
          </w:p>
        </w:tc>
        <w:tc>
          <w:tcPr>
            <w:tcW w:w="1234" w:type="pct"/>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line="240" w:lineRule="auto"/>
              <w:rPr>
                <w:rFonts w:ascii="Calibri" w:hAnsi="Calibri"/>
                <w:sz w:val="20"/>
                <w:szCs w:val="20"/>
                <w:lang w:eastAsia="pt-BR"/>
              </w:rPr>
            </w:pPr>
          </w:p>
        </w:tc>
        <w:tc>
          <w:tcPr>
            <w:tcW w:w="1238" w:type="pct"/>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line="240" w:lineRule="auto"/>
              <w:jc w:val="both"/>
              <w:rPr>
                <w:rFonts w:cs="Arial"/>
                <w:bCs/>
                <w:sz w:val="20"/>
                <w:szCs w:val="20"/>
              </w:rPr>
            </w:pPr>
            <w:r w:rsidRPr="00B71958">
              <w:rPr>
                <w:rFonts w:cs="Arial"/>
                <w:bCs/>
                <w:sz w:val="20"/>
                <w:szCs w:val="20"/>
              </w:rPr>
              <w:t>2.2. Atingir índice de perdas igual a 20%.</w:t>
            </w:r>
          </w:p>
        </w:tc>
      </w:tr>
    </w:tbl>
    <w:p w:rsidR="00B71958" w:rsidRPr="00B71958" w:rsidRDefault="00B71958" w:rsidP="00B71958">
      <w:pPr>
        <w:rPr>
          <w:sz w:val="2"/>
          <w:szCs w:val="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20"/>
        <w:gridCol w:w="7690"/>
        <w:gridCol w:w="2359"/>
        <w:gridCol w:w="1648"/>
        <w:gridCol w:w="1893"/>
      </w:tblGrid>
      <w:tr w:rsidR="00B71958" w:rsidRPr="00B71958" w:rsidTr="00B71958">
        <w:trPr>
          <w:trHeight w:val="20"/>
          <w:tblHeader/>
          <w:jc w:val="center"/>
        </w:trPr>
        <w:tc>
          <w:tcPr>
            <w:tcW w:w="14782" w:type="dxa"/>
            <w:gridSpan w:val="5"/>
            <w:tcBorders>
              <w:top w:val="single" w:sz="4" w:space="0" w:color="auto"/>
              <w:left w:val="single" w:sz="4" w:space="0" w:color="auto"/>
              <w:bottom w:val="single" w:sz="4" w:space="0" w:color="auto"/>
              <w:right w:val="single" w:sz="4" w:space="0" w:color="auto"/>
            </w:tcBorders>
            <w:shd w:val="clear" w:color="auto" w:fill="C0C0C0"/>
            <w:hideMark/>
          </w:tcPr>
          <w:p w:rsidR="00B71958" w:rsidRPr="00B71958" w:rsidRDefault="00B71958" w:rsidP="00B71958">
            <w:pPr>
              <w:spacing w:before="20" w:after="20" w:line="240" w:lineRule="auto"/>
              <w:contextualSpacing/>
              <w:jc w:val="center"/>
              <w:rPr>
                <w:rFonts w:eastAsia="Times New Roman" w:cs="Arial"/>
                <w:b/>
                <w:bCs/>
                <w:sz w:val="20"/>
                <w:szCs w:val="20"/>
                <w:lang w:eastAsia="pt-BR"/>
              </w:rPr>
            </w:pPr>
            <w:r w:rsidRPr="00B71958">
              <w:rPr>
                <w:rFonts w:eastAsia="Times New Roman" w:cs="Arial"/>
                <w:b/>
                <w:bCs/>
                <w:sz w:val="20"/>
                <w:szCs w:val="20"/>
                <w:lang w:eastAsia="pt-BR"/>
              </w:rPr>
              <w:t>PROGRAMAS E AÇÕES</w:t>
            </w:r>
          </w:p>
        </w:tc>
      </w:tr>
      <w:tr w:rsidR="00B71958" w:rsidRPr="00B71958" w:rsidTr="00B71958">
        <w:trPr>
          <w:trHeight w:val="20"/>
          <w:tblHeader/>
          <w:jc w:val="center"/>
        </w:trPr>
        <w:tc>
          <w:tcPr>
            <w:tcW w:w="1113"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before="20" w:after="20" w:line="240" w:lineRule="auto"/>
              <w:contextualSpacing/>
              <w:jc w:val="center"/>
              <w:rPr>
                <w:rFonts w:eastAsia="Times New Roman" w:cs="Arial"/>
                <w:b/>
                <w:bCs/>
                <w:sz w:val="20"/>
                <w:szCs w:val="20"/>
                <w:lang w:eastAsia="pt-BR"/>
              </w:rPr>
            </w:pPr>
            <w:r w:rsidRPr="00B71958">
              <w:rPr>
                <w:rFonts w:eastAsia="Times New Roman" w:cs="Arial"/>
                <w:b/>
                <w:bCs/>
                <w:sz w:val="20"/>
                <w:szCs w:val="20"/>
                <w:lang w:eastAsia="pt-BR"/>
              </w:rPr>
              <w:t>CÓDIGO</w:t>
            </w:r>
          </w:p>
          <w:p w:rsidR="00B71958" w:rsidRPr="00B71958" w:rsidRDefault="00B71958" w:rsidP="00B71958">
            <w:pPr>
              <w:spacing w:before="20" w:after="20" w:line="240" w:lineRule="auto"/>
              <w:contextualSpacing/>
              <w:jc w:val="center"/>
              <w:rPr>
                <w:rFonts w:eastAsia="Times New Roman" w:cs="Arial"/>
                <w:b/>
                <w:bCs/>
                <w:sz w:val="20"/>
                <w:szCs w:val="20"/>
                <w:lang w:eastAsia="pt-BR"/>
              </w:rPr>
            </w:pPr>
            <w:r w:rsidRPr="00B71958">
              <w:rPr>
                <w:rFonts w:eastAsia="Times New Roman" w:cs="Arial"/>
                <w:b/>
                <w:bCs/>
                <w:sz w:val="20"/>
                <w:szCs w:val="20"/>
                <w:lang w:eastAsia="pt-BR"/>
              </w:rPr>
              <w:t>(s/o/m/a)**</w:t>
            </w:r>
          </w:p>
        </w:tc>
        <w:tc>
          <w:tcPr>
            <w:tcW w:w="0" w:type="auto"/>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before="20" w:after="20" w:line="240" w:lineRule="auto"/>
              <w:contextualSpacing/>
              <w:jc w:val="center"/>
              <w:rPr>
                <w:rFonts w:eastAsia="Times New Roman" w:cs="Arial"/>
                <w:b/>
                <w:bCs/>
                <w:sz w:val="20"/>
                <w:szCs w:val="20"/>
                <w:lang w:eastAsia="pt-BR"/>
              </w:rPr>
            </w:pPr>
            <w:r w:rsidRPr="00B71958">
              <w:rPr>
                <w:rFonts w:eastAsia="Times New Roman" w:cs="Arial"/>
                <w:b/>
                <w:bCs/>
                <w:sz w:val="20"/>
                <w:szCs w:val="20"/>
                <w:lang w:eastAsia="pt-BR"/>
              </w:rPr>
              <w:t>DESCRIÇÃO</w:t>
            </w:r>
          </w:p>
        </w:tc>
        <w:tc>
          <w:tcPr>
            <w:tcW w:w="0" w:type="auto"/>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line="240" w:lineRule="auto"/>
              <w:ind w:firstLine="72"/>
              <w:jc w:val="center"/>
              <w:rPr>
                <w:rFonts w:eastAsia="Times New Roman" w:cs="Arial"/>
                <w:b/>
                <w:bCs/>
                <w:sz w:val="20"/>
                <w:szCs w:val="20"/>
                <w:lang w:eastAsia="pt-BR"/>
              </w:rPr>
            </w:pPr>
            <w:r w:rsidRPr="00B71958">
              <w:rPr>
                <w:rFonts w:eastAsia="Times New Roman" w:cs="Arial"/>
                <w:b/>
                <w:bCs/>
                <w:sz w:val="20"/>
                <w:szCs w:val="20"/>
                <w:lang w:eastAsia="pt-BR"/>
              </w:rPr>
              <w:t>Período de desenvolvimento da ação</w:t>
            </w:r>
          </w:p>
          <w:p w:rsidR="00B71958" w:rsidRPr="00B71958" w:rsidRDefault="00B71958" w:rsidP="00B71958">
            <w:pPr>
              <w:spacing w:before="20" w:after="20" w:line="240" w:lineRule="auto"/>
              <w:contextualSpacing/>
              <w:jc w:val="center"/>
              <w:rPr>
                <w:rFonts w:eastAsia="Times New Roman" w:cs="Arial"/>
                <w:b/>
                <w:bCs/>
                <w:sz w:val="20"/>
                <w:szCs w:val="20"/>
                <w:lang w:eastAsia="pt-BR"/>
              </w:rPr>
            </w:pPr>
            <w:r w:rsidRPr="00B71958">
              <w:rPr>
                <w:rFonts w:eastAsia="Times New Roman" w:cs="Arial"/>
                <w:b/>
                <w:bCs/>
                <w:sz w:val="20"/>
                <w:szCs w:val="20"/>
                <w:lang w:eastAsia="pt-BR"/>
              </w:rPr>
              <w:t>(ano)</w:t>
            </w:r>
          </w:p>
        </w:tc>
        <w:tc>
          <w:tcPr>
            <w:tcW w:w="0" w:type="auto"/>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line="240" w:lineRule="auto"/>
              <w:ind w:left="64" w:firstLine="8"/>
              <w:jc w:val="center"/>
              <w:rPr>
                <w:rFonts w:eastAsia="Times New Roman" w:cs="Arial"/>
                <w:b/>
                <w:bCs/>
                <w:sz w:val="20"/>
                <w:szCs w:val="20"/>
                <w:lang w:eastAsia="pt-BR"/>
              </w:rPr>
            </w:pPr>
            <w:r w:rsidRPr="00B71958">
              <w:rPr>
                <w:rFonts w:eastAsia="Times New Roman" w:cs="Arial"/>
                <w:b/>
                <w:bCs/>
                <w:sz w:val="20"/>
                <w:szCs w:val="20"/>
                <w:lang w:eastAsia="pt-BR"/>
              </w:rPr>
              <w:t>Custo total na moeda de 2017</w:t>
            </w:r>
          </w:p>
          <w:p w:rsidR="00B71958" w:rsidRPr="00B71958" w:rsidRDefault="00B71958" w:rsidP="00B71958">
            <w:pPr>
              <w:spacing w:before="20" w:after="20" w:line="240" w:lineRule="auto"/>
              <w:contextualSpacing/>
              <w:jc w:val="center"/>
              <w:rPr>
                <w:rFonts w:eastAsia="Times New Roman" w:cs="Arial"/>
                <w:b/>
                <w:bCs/>
                <w:sz w:val="20"/>
                <w:szCs w:val="20"/>
                <w:lang w:eastAsia="pt-BR"/>
              </w:rPr>
            </w:pPr>
            <w:r w:rsidRPr="00B71958">
              <w:rPr>
                <w:rFonts w:eastAsia="Times New Roman" w:cs="Arial"/>
                <w:b/>
                <w:bCs/>
                <w:sz w:val="20"/>
                <w:szCs w:val="20"/>
                <w:lang w:eastAsia="pt-BR"/>
              </w:rPr>
              <w:t>(R$)</w:t>
            </w:r>
          </w:p>
        </w:tc>
        <w:tc>
          <w:tcPr>
            <w:tcW w:w="0" w:type="auto"/>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line="240" w:lineRule="auto"/>
              <w:ind w:left="64" w:firstLine="8"/>
              <w:jc w:val="center"/>
              <w:rPr>
                <w:rFonts w:eastAsia="Times New Roman" w:cs="Arial"/>
                <w:b/>
                <w:bCs/>
                <w:sz w:val="20"/>
                <w:szCs w:val="20"/>
                <w:lang w:eastAsia="pt-BR"/>
              </w:rPr>
            </w:pPr>
            <w:r w:rsidRPr="00B71958">
              <w:rPr>
                <w:rFonts w:eastAsia="Times New Roman" w:cs="Arial"/>
                <w:b/>
                <w:bCs/>
                <w:sz w:val="20"/>
                <w:szCs w:val="20"/>
                <w:lang w:eastAsia="pt-BR"/>
              </w:rPr>
              <w:t>Responsável pela ação</w:t>
            </w:r>
          </w:p>
        </w:tc>
      </w:tr>
      <w:tr w:rsidR="00B71958" w:rsidRPr="00B71958" w:rsidTr="00B71958">
        <w:trPr>
          <w:trHeight w:val="850"/>
          <w:jc w:val="center"/>
        </w:trPr>
        <w:tc>
          <w:tcPr>
            <w:tcW w:w="1113" w:type="dxa"/>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1.2.1.18</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Avaliar a situação atual dos sistemas de macromedição e micromedição do município quanto a sua funcionalidade e necessidade de substituições e novas instalações.</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contextualSpacing/>
              <w:jc w:val="center"/>
              <w:rPr>
                <w:rFonts w:eastAsia="Times New Roman" w:cs="Arial"/>
                <w:sz w:val="20"/>
                <w:szCs w:val="20"/>
                <w:lang w:eastAsia="pt-BR"/>
              </w:rPr>
            </w:pPr>
            <w:r w:rsidRPr="00B71958">
              <w:rPr>
                <w:rFonts w:eastAsia="Times New Roman" w:cs="Arial"/>
                <w:sz w:val="20"/>
                <w:szCs w:val="20"/>
                <w:lang w:eastAsia="pt-BR"/>
              </w:rPr>
              <w:t>1º-3º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contextualSpacing/>
              <w:jc w:val="right"/>
              <w:rPr>
                <w:rFonts w:eastAsia="Times New Roman" w:cs="Arial"/>
                <w:sz w:val="20"/>
                <w:szCs w:val="20"/>
                <w:lang w:eastAsia="pt-BR"/>
              </w:rPr>
            </w:pPr>
            <w:r w:rsidRPr="00B71958">
              <w:rPr>
                <w:rFonts w:eastAsia="Times New Roman" w:cs="Arial"/>
                <w:sz w:val="20"/>
                <w:szCs w:val="20"/>
                <w:lang w:eastAsia="pt-BR"/>
              </w:rPr>
              <w:t xml:space="preserve"> 916,67</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Prefeitura Municipal / COPASA</w:t>
            </w:r>
          </w:p>
        </w:tc>
      </w:tr>
      <w:tr w:rsidR="00B71958" w:rsidRPr="00B71958" w:rsidTr="00B71958">
        <w:trPr>
          <w:trHeight w:val="850"/>
          <w:jc w:val="center"/>
        </w:trPr>
        <w:tc>
          <w:tcPr>
            <w:tcW w:w="1113" w:type="dxa"/>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1.2.1.19</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Realizar novas instalações, substituições e ampliações dos sistemas de macro e micromedição.</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contextualSpacing/>
              <w:jc w:val="center"/>
              <w:rPr>
                <w:rFonts w:eastAsia="Times New Roman" w:cs="Arial"/>
                <w:sz w:val="20"/>
                <w:szCs w:val="20"/>
                <w:lang w:eastAsia="pt-BR"/>
              </w:rPr>
            </w:pPr>
            <w:r w:rsidRPr="00B71958">
              <w:rPr>
                <w:rFonts w:eastAsia="Times New Roman" w:cs="Arial"/>
                <w:sz w:val="20"/>
                <w:szCs w:val="20"/>
                <w:lang w:eastAsia="pt-BR"/>
              </w:rPr>
              <w:t>1º-3º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contextualSpacing/>
              <w:jc w:val="right"/>
              <w:rPr>
                <w:rFonts w:eastAsia="Times New Roman" w:cs="Arial"/>
                <w:sz w:val="20"/>
                <w:szCs w:val="20"/>
                <w:lang w:eastAsia="pt-BR"/>
              </w:rPr>
            </w:pPr>
            <w:r w:rsidRPr="00B71958">
              <w:rPr>
                <w:rFonts w:eastAsia="Times New Roman" w:cs="Arial"/>
                <w:sz w:val="20"/>
                <w:szCs w:val="20"/>
                <w:lang w:eastAsia="pt-BR"/>
              </w:rPr>
              <w:t xml:space="preserve"> 65.000,00</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Prefeitura Municipal / COPASA</w:t>
            </w:r>
          </w:p>
        </w:tc>
      </w:tr>
      <w:tr w:rsidR="00B71958" w:rsidRPr="00B71958" w:rsidTr="00B71958">
        <w:trPr>
          <w:trHeight w:val="850"/>
          <w:jc w:val="center"/>
        </w:trPr>
        <w:tc>
          <w:tcPr>
            <w:tcW w:w="1113" w:type="dxa"/>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1.2.1.20</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Implementar melhorias contínuas no sistema de macro e micromedição, contemplando principalmente as necessidades de substituições e novas instalações advindas da evolução tecnológica.</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jc w:val="center"/>
              <w:rPr>
                <w:rFonts w:eastAsia="Times New Roman" w:cs="Arial"/>
                <w:sz w:val="20"/>
                <w:szCs w:val="20"/>
                <w:lang w:eastAsia="pt-BR"/>
              </w:rPr>
            </w:pPr>
            <w:r w:rsidRPr="00B71958">
              <w:rPr>
                <w:rFonts w:eastAsia="Times New Roman" w:cs="Arial"/>
                <w:sz w:val="20"/>
                <w:szCs w:val="20"/>
                <w:lang w:eastAsia="pt-BR"/>
              </w:rPr>
              <w:t>1º-20º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jc w:val="right"/>
              <w:rPr>
                <w:rFonts w:eastAsia="Times New Roman" w:cs="Arial"/>
                <w:sz w:val="20"/>
                <w:szCs w:val="20"/>
                <w:lang w:eastAsia="pt-BR"/>
              </w:rPr>
            </w:pPr>
            <w:r w:rsidRPr="00B71958">
              <w:rPr>
                <w:rFonts w:eastAsia="Times New Roman" w:cs="Arial"/>
                <w:sz w:val="20"/>
                <w:szCs w:val="20"/>
                <w:lang w:eastAsia="pt-BR"/>
              </w:rPr>
              <w:t xml:space="preserve"> 24.444,44</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Prefeitura Municipal / COPASA</w:t>
            </w:r>
          </w:p>
        </w:tc>
      </w:tr>
      <w:tr w:rsidR="00B71958" w:rsidRPr="00B71958" w:rsidTr="00B71958">
        <w:trPr>
          <w:trHeight w:val="850"/>
          <w:jc w:val="center"/>
        </w:trPr>
        <w:tc>
          <w:tcPr>
            <w:tcW w:w="1113" w:type="dxa"/>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1.2.1.21</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Implantar campanhas contínuas de monitoramento e fiscalização de ligações clandestinas e residências não interligadas à rede (Programa “Caça Gato”).</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jc w:val="center"/>
              <w:rPr>
                <w:rFonts w:eastAsia="Times New Roman" w:cs="Arial"/>
                <w:sz w:val="20"/>
                <w:szCs w:val="20"/>
                <w:lang w:eastAsia="pt-BR"/>
              </w:rPr>
            </w:pPr>
            <w:r w:rsidRPr="00B71958">
              <w:rPr>
                <w:rFonts w:eastAsia="Times New Roman" w:cs="Arial"/>
                <w:sz w:val="20"/>
                <w:szCs w:val="20"/>
                <w:lang w:eastAsia="pt-BR"/>
              </w:rPr>
              <w:t>1º-20º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jc w:val="right"/>
              <w:rPr>
                <w:rFonts w:eastAsia="Times New Roman" w:cs="Arial"/>
                <w:sz w:val="20"/>
                <w:szCs w:val="20"/>
                <w:lang w:eastAsia="pt-BR"/>
              </w:rPr>
            </w:pPr>
            <w:r w:rsidRPr="00B71958">
              <w:rPr>
                <w:rFonts w:eastAsia="Times New Roman" w:cs="Arial"/>
                <w:sz w:val="20"/>
                <w:szCs w:val="20"/>
                <w:lang w:eastAsia="pt-BR"/>
              </w:rPr>
              <w:t xml:space="preserve"> 20.622,22</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Prefeitura Municipal / COPASA</w:t>
            </w:r>
          </w:p>
        </w:tc>
      </w:tr>
      <w:tr w:rsidR="00B71958" w:rsidRPr="00B71958" w:rsidTr="00B71958">
        <w:trPr>
          <w:trHeight w:val="850"/>
          <w:jc w:val="center"/>
        </w:trPr>
        <w:tc>
          <w:tcPr>
            <w:tcW w:w="1113" w:type="dxa"/>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1.2.2.22</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Reavaliar a setorização dos sistemas do município para equalização das pressões, com delimitação de bairros e setores, a fim de reduzir problemas na distribuição e diminuir as perdas e paralisações.</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contextualSpacing/>
              <w:jc w:val="center"/>
              <w:rPr>
                <w:rFonts w:eastAsia="Times New Roman" w:cs="Arial"/>
                <w:sz w:val="20"/>
                <w:szCs w:val="20"/>
                <w:lang w:eastAsia="pt-BR"/>
              </w:rPr>
            </w:pPr>
            <w:r w:rsidRPr="00B71958">
              <w:rPr>
                <w:rFonts w:eastAsia="Times New Roman" w:cs="Arial"/>
                <w:sz w:val="20"/>
                <w:szCs w:val="20"/>
                <w:lang w:eastAsia="pt-BR"/>
              </w:rPr>
              <w:t>1º-20º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contextualSpacing/>
              <w:jc w:val="right"/>
              <w:rPr>
                <w:rFonts w:eastAsia="Times New Roman" w:cs="Arial"/>
                <w:sz w:val="20"/>
                <w:szCs w:val="20"/>
                <w:lang w:eastAsia="pt-BR"/>
              </w:rPr>
            </w:pPr>
            <w:r w:rsidRPr="00B71958">
              <w:rPr>
                <w:rFonts w:eastAsia="Times New Roman" w:cs="Arial"/>
                <w:sz w:val="20"/>
                <w:szCs w:val="20"/>
                <w:lang w:eastAsia="pt-BR"/>
              </w:rPr>
              <w:t xml:space="preserve"> 10.242,35</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B71958">
        <w:trPr>
          <w:trHeight w:val="850"/>
          <w:jc w:val="center"/>
        </w:trPr>
        <w:tc>
          <w:tcPr>
            <w:tcW w:w="1113" w:type="dxa"/>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lastRenderedPageBreak/>
              <w:t>1.2.2.23</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Avaliar a necessidade de regulamentar o uso da água distribuída à população, a fim de possibilitar a penalização do desperdício e/ou bonificação de boas práticas.</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contextualSpacing/>
              <w:jc w:val="center"/>
              <w:rPr>
                <w:rFonts w:eastAsia="Times New Roman" w:cs="Arial"/>
                <w:sz w:val="20"/>
                <w:szCs w:val="20"/>
                <w:lang w:eastAsia="pt-BR"/>
              </w:rPr>
            </w:pPr>
            <w:r w:rsidRPr="00B71958">
              <w:rPr>
                <w:rFonts w:eastAsia="Times New Roman" w:cs="Arial"/>
                <w:sz w:val="20"/>
                <w:szCs w:val="20"/>
                <w:lang w:eastAsia="pt-BR"/>
              </w:rPr>
              <w:t>1º-20º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contextualSpacing/>
              <w:jc w:val="right"/>
              <w:rPr>
                <w:rFonts w:eastAsia="Times New Roman" w:cs="Arial"/>
                <w:sz w:val="20"/>
                <w:szCs w:val="20"/>
                <w:lang w:eastAsia="pt-BR"/>
              </w:rPr>
            </w:pPr>
            <w:r w:rsidRPr="00B71958">
              <w:rPr>
                <w:rFonts w:eastAsia="Times New Roman" w:cs="Arial"/>
                <w:sz w:val="20"/>
                <w:szCs w:val="20"/>
                <w:lang w:eastAsia="pt-BR"/>
              </w:rPr>
              <w:t xml:space="preserve"> 12.078,50</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 / Câmara Municipal</w:t>
            </w:r>
          </w:p>
        </w:tc>
      </w:tr>
      <w:tr w:rsidR="00B71958" w:rsidRPr="00B71958" w:rsidTr="00B71958">
        <w:trPr>
          <w:trHeight w:val="397"/>
          <w:jc w:val="center"/>
        </w:trPr>
        <w:tc>
          <w:tcPr>
            <w:tcW w:w="1113" w:type="dxa"/>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1.2.2.24</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Regulamentar, caso a ação 1.2.2.23 conclua que sim, o uso da água distribuída à população, a fim de possibilitar a penalização do desperdício e/ou bonificação de boas práticas, conforme foi avaliado.</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20" w:after="20" w:line="240" w:lineRule="auto"/>
              <w:contextualSpacing/>
              <w:jc w:val="center"/>
              <w:rPr>
                <w:rFonts w:eastAsia="Times New Roman" w:cs="Arial"/>
                <w:sz w:val="20"/>
                <w:szCs w:val="20"/>
                <w:lang w:eastAsia="pt-BR"/>
              </w:rPr>
            </w:pPr>
            <w:r w:rsidRPr="00B71958">
              <w:rPr>
                <w:rFonts w:eastAsia="Times New Roman" w:cs="Arial"/>
                <w:sz w:val="20"/>
                <w:szCs w:val="20"/>
                <w:lang w:eastAsia="pt-BR"/>
              </w:rPr>
              <w:t>1º-20º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jc w:val="center"/>
              <w:rPr>
                <w:rFonts w:eastAsia="Times New Roman" w:cs="Arial"/>
                <w:sz w:val="20"/>
                <w:szCs w:val="20"/>
                <w:lang w:eastAsia="pt-BR"/>
              </w:rPr>
            </w:pPr>
            <w:r w:rsidRPr="00B71958">
              <w:rPr>
                <w:rFonts w:eastAsia="Times New Roman" w:cs="Arial"/>
                <w:sz w:val="20"/>
                <w:szCs w:val="20"/>
                <w:lang w:eastAsia="pt-BR"/>
              </w:rP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 / Câmara Municipal</w:t>
            </w:r>
          </w:p>
        </w:tc>
      </w:tr>
    </w:tbl>
    <w:p w:rsidR="00B71958" w:rsidRPr="00B71958" w:rsidRDefault="00B71958" w:rsidP="00810C89">
      <w:pPr>
        <w:pStyle w:val="Fonte"/>
      </w:pPr>
      <w:r w:rsidRPr="00B71958">
        <w:t>**(s/o/m/a) = nº do setor / nº do objetivo / nº da meta / nº da ação.</w:t>
      </w:r>
    </w:p>
    <w:p w:rsidR="00B71958" w:rsidRPr="00B71958" w:rsidRDefault="00B71958" w:rsidP="00810C89">
      <w:pPr>
        <w:pStyle w:val="Fonte"/>
        <w:rPr>
          <w:lang w:eastAsia="x-none"/>
        </w:rPr>
      </w:pPr>
      <w:r w:rsidRPr="00B71958">
        <w:rPr>
          <w:rFonts w:cs="Arial"/>
          <w:color w:val="000000"/>
          <w:sz w:val="19"/>
          <w:szCs w:val="19"/>
        </w:rPr>
        <w:t>*:Dependente de outras ações que possuem custos próprios estimados.</w:t>
      </w:r>
    </w:p>
    <w:p w:rsidR="00B71958" w:rsidRPr="00B71958" w:rsidRDefault="00B71958" w:rsidP="00B71958">
      <w:pPr>
        <w:spacing w:before="120" w:after="120"/>
        <w:contextualSpacing/>
        <w:jc w:val="center"/>
        <w:rPr>
          <w:rFonts w:eastAsia="Times New Roman"/>
          <w:sz w:val="20"/>
          <w:szCs w:val="20"/>
          <w:lang w:eastAsia="pt-BR"/>
        </w:rPr>
      </w:pPr>
      <w:r w:rsidRPr="00B71958">
        <w:rPr>
          <w:rFonts w:eastAsia="Times New Roman"/>
          <w:sz w:val="20"/>
          <w:szCs w:val="20"/>
          <w:lang w:eastAsia="pt-BR"/>
        </w:rPr>
        <w:br w:type="page"/>
      </w:r>
    </w:p>
    <w:p w:rsidR="00B71958" w:rsidRPr="00B71958" w:rsidRDefault="00B71958" w:rsidP="00810C89">
      <w:pPr>
        <w:pStyle w:val="Legenda"/>
      </w:pPr>
      <w:bookmarkStart w:id="696" w:name="_Toc498594124"/>
      <w:bookmarkStart w:id="697" w:name="_Toc491681717"/>
      <w:bookmarkStart w:id="698" w:name="_Toc505788338"/>
      <w:bookmarkStart w:id="699" w:name="_Toc509935836"/>
      <w:r w:rsidRPr="00B71958">
        <w:lastRenderedPageBreak/>
        <w:t xml:space="preserve">Quadro </w:t>
      </w:r>
      <w:r w:rsidR="000A1C78">
        <w:fldChar w:fldCharType="begin"/>
      </w:r>
      <w:r w:rsidR="000A1C78">
        <w:instrText xml:space="preserve"> SEQ Quadro \* ARABIC </w:instrText>
      </w:r>
      <w:r w:rsidR="000A1C78">
        <w:fldChar w:fldCharType="separate"/>
      </w:r>
      <w:r w:rsidR="001B481B">
        <w:rPr>
          <w:noProof/>
        </w:rPr>
        <w:t>59</w:t>
      </w:r>
      <w:r w:rsidR="000A1C78">
        <w:rPr>
          <w:noProof/>
        </w:rPr>
        <w:fldChar w:fldCharType="end"/>
      </w:r>
      <w:r w:rsidRPr="00B71958">
        <w:t xml:space="preserve"> - Programas e ações propostos para o setor de abastecimento de água - Objetivo 3</w:t>
      </w:r>
      <w:bookmarkEnd w:id="696"/>
      <w:bookmarkEnd w:id="697"/>
      <w:bookmarkEnd w:id="698"/>
      <w:bookmarkEnd w:id="699"/>
    </w:p>
    <w:tbl>
      <w:tblPr>
        <w:tblW w:w="14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70"/>
        <w:gridCol w:w="283"/>
        <w:gridCol w:w="569"/>
        <w:gridCol w:w="7939"/>
        <w:gridCol w:w="2126"/>
        <w:gridCol w:w="1758"/>
      </w:tblGrid>
      <w:tr w:rsidR="00B71958" w:rsidRPr="00B71958" w:rsidTr="00B71958">
        <w:trPr>
          <w:trHeight w:val="20"/>
          <w:tblHeader/>
          <w:jc w:val="center"/>
        </w:trPr>
        <w:tc>
          <w:tcPr>
            <w:tcW w:w="702" w:type="pct"/>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before="30" w:after="30" w:line="240" w:lineRule="auto"/>
              <w:contextualSpacing/>
              <w:rPr>
                <w:rFonts w:eastAsia="Times New Roman" w:cs="Arial"/>
                <w:b/>
                <w:bCs/>
                <w:sz w:val="20"/>
                <w:szCs w:val="20"/>
                <w:lang w:eastAsia="pt-BR"/>
              </w:rPr>
            </w:pPr>
            <w:r w:rsidRPr="00B71958">
              <w:rPr>
                <w:rFonts w:eastAsia="Times New Roman" w:cs="Arial"/>
                <w:b/>
                <w:bCs/>
                <w:sz w:val="20"/>
                <w:szCs w:val="20"/>
                <w:lang w:eastAsia="pt-BR"/>
              </w:rPr>
              <w:t>SETOR</w:t>
            </w:r>
          </w:p>
        </w:tc>
        <w:tc>
          <w:tcPr>
            <w:tcW w:w="96" w:type="pct"/>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before="30" w:after="30" w:line="240" w:lineRule="auto"/>
              <w:contextualSpacing/>
              <w:rPr>
                <w:rFonts w:eastAsia="Times New Roman" w:cs="Arial"/>
                <w:sz w:val="20"/>
                <w:szCs w:val="20"/>
                <w:lang w:eastAsia="pt-BR"/>
              </w:rPr>
            </w:pPr>
            <w:r w:rsidRPr="00B71958">
              <w:rPr>
                <w:rFonts w:eastAsia="Times New Roman" w:cs="Arial"/>
                <w:sz w:val="20"/>
                <w:szCs w:val="20"/>
                <w:lang w:eastAsia="pt-BR"/>
              </w:rPr>
              <w:t>1</w:t>
            </w:r>
          </w:p>
        </w:tc>
        <w:tc>
          <w:tcPr>
            <w:tcW w:w="4202" w:type="pct"/>
            <w:gridSpan w:val="4"/>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before="30" w:after="30" w:line="240" w:lineRule="auto"/>
              <w:contextualSpacing/>
              <w:rPr>
                <w:rFonts w:eastAsia="Times New Roman" w:cs="Arial"/>
                <w:sz w:val="20"/>
                <w:szCs w:val="20"/>
                <w:lang w:eastAsia="pt-BR"/>
              </w:rPr>
            </w:pPr>
            <w:r w:rsidRPr="00B71958">
              <w:rPr>
                <w:rFonts w:eastAsia="Times New Roman" w:cs="Arial"/>
                <w:sz w:val="20"/>
                <w:szCs w:val="20"/>
                <w:lang w:eastAsia="pt-BR"/>
              </w:rPr>
              <w:t>Abastecimento de Água.</w:t>
            </w:r>
          </w:p>
        </w:tc>
      </w:tr>
      <w:tr w:rsidR="00B71958" w:rsidRPr="00B71958" w:rsidTr="00B71958">
        <w:trPr>
          <w:trHeight w:val="20"/>
          <w:tblHeader/>
          <w:jc w:val="center"/>
        </w:trPr>
        <w:tc>
          <w:tcPr>
            <w:tcW w:w="70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before="30" w:after="30" w:line="240" w:lineRule="auto"/>
              <w:contextualSpacing/>
              <w:rPr>
                <w:rFonts w:eastAsia="Times New Roman" w:cs="Arial"/>
                <w:b/>
                <w:bCs/>
                <w:sz w:val="20"/>
                <w:szCs w:val="20"/>
                <w:lang w:eastAsia="pt-BR"/>
              </w:rPr>
            </w:pPr>
            <w:r w:rsidRPr="00B71958">
              <w:rPr>
                <w:rFonts w:eastAsia="Times New Roman" w:cs="Arial"/>
                <w:b/>
                <w:bCs/>
                <w:sz w:val="20"/>
                <w:szCs w:val="20"/>
                <w:lang w:eastAsia="pt-BR"/>
              </w:rPr>
              <w:t>OBJETIVO</w:t>
            </w:r>
          </w:p>
        </w:tc>
        <w:tc>
          <w:tcPr>
            <w:tcW w:w="96"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30" w:after="30" w:line="240" w:lineRule="auto"/>
              <w:contextualSpacing/>
              <w:rPr>
                <w:rFonts w:eastAsia="Times New Roman" w:cs="Arial"/>
                <w:sz w:val="20"/>
                <w:szCs w:val="20"/>
                <w:lang w:eastAsia="pt-BR"/>
              </w:rPr>
            </w:pPr>
            <w:r w:rsidRPr="00B71958">
              <w:rPr>
                <w:rFonts w:eastAsia="Times New Roman" w:cs="Arial"/>
                <w:sz w:val="20"/>
                <w:szCs w:val="20"/>
                <w:lang w:eastAsia="pt-BR"/>
              </w:rPr>
              <w:t>3</w:t>
            </w:r>
          </w:p>
        </w:tc>
        <w:tc>
          <w:tcPr>
            <w:tcW w:w="4202" w:type="pct"/>
            <w:gridSpan w:val="4"/>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30" w:after="30" w:line="240" w:lineRule="auto"/>
              <w:contextualSpacing/>
              <w:rPr>
                <w:rFonts w:cs="Arial"/>
                <w:sz w:val="20"/>
                <w:szCs w:val="20"/>
              </w:rPr>
            </w:pPr>
            <w:r w:rsidRPr="00B71958">
              <w:rPr>
                <w:rFonts w:cs="Arial"/>
                <w:sz w:val="20"/>
                <w:szCs w:val="20"/>
              </w:rPr>
              <w:t>Implementar para o SAA de Córrego Novo uma gestão eficiente no que concerne aos aspectos administrativos, operacionais, financeiros, de planejamento estratégico e de sustentabilidade, além de definir instrumentos legais que garantam a regulação do setor e a observação das diretrizes aprovadas no presente PMSB.</w:t>
            </w:r>
          </w:p>
        </w:tc>
      </w:tr>
      <w:tr w:rsidR="00B71958" w:rsidRPr="00B71958" w:rsidTr="00B71958">
        <w:trPr>
          <w:trHeight w:val="20"/>
          <w:tblHeader/>
          <w:jc w:val="center"/>
        </w:trPr>
        <w:tc>
          <w:tcPr>
            <w:tcW w:w="70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before="20" w:after="20" w:line="240" w:lineRule="auto"/>
              <w:contextualSpacing/>
              <w:rPr>
                <w:rFonts w:eastAsia="Times New Roman" w:cs="Arial"/>
                <w:b/>
                <w:bCs/>
                <w:sz w:val="20"/>
                <w:szCs w:val="20"/>
                <w:lang w:eastAsia="pt-BR"/>
              </w:rPr>
            </w:pPr>
            <w:r w:rsidRPr="00B71958">
              <w:rPr>
                <w:rFonts w:eastAsia="Times New Roman" w:cs="Arial"/>
                <w:b/>
                <w:bCs/>
                <w:sz w:val="20"/>
                <w:szCs w:val="20"/>
                <w:lang w:eastAsia="pt-BR"/>
              </w:rPr>
              <w:t>INDICADORES DE MONITORAMENTO</w:t>
            </w:r>
          </w:p>
        </w:tc>
        <w:tc>
          <w:tcPr>
            <w:tcW w:w="4298" w:type="pct"/>
            <w:gridSpan w:val="5"/>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both"/>
              <w:rPr>
                <w:rFonts w:eastAsia="Times New Roman" w:cs="Arial"/>
                <w:sz w:val="20"/>
                <w:szCs w:val="20"/>
                <w:lang w:eastAsia="pt-BR"/>
              </w:rPr>
            </w:pPr>
            <w:r w:rsidRPr="00B71958">
              <w:rPr>
                <w:rFonts w:eastAsia="Times New Roman" w:cs="Arial"/>
                <w:sz w:val="20"/>
                <w:szCs w:val="20"/>
                <w:lang w:eastAsia="pt-BR"/>
              </w:rPr>
              <w:t>Índice de atendimento às ações propostas para o SAA.</w:t>
            </w:r>
          </w:p>
          <w:p w:rsidR="00B71958" w:rsidRPr="00B71958" w:rsidRDefault="00B71958" w:rsidP="00B71958">
            <w:pPr>
              <w:spacing w:line="240" w:lineRule="auto"/>
              <w:jc w:val="both"/>
              <w:rPr>
                <w:rFonts w:eastAsia="Times New Roman" w:cs="Arial"/>
                <w:sz w:val="20"/>
                <w:szCs w:val="20"/>
                <w:lang w:eastAsia="pt-BR"/>
              </w:rPr>
            </w:pPr>
            <w:r w:rsidRPr="00B71958">
              <w:rPr>
                <w:rFonts w:eastAsia="Times New Roman" w:cs="Arial"/>
                <w:sz w:val="20"/>
                <w:szCs w:val="20"/>
                <w:lang w:eastAsia="pt-BR"/>
              </w:rPr>
              <w:t>Tarifa média de água.</w:t>
            </w:r>
          </w:p>
          <w:p w:rsidR="00B71958" w:rsidRPr="00B71958" w:rsidRDefault="00B71958" w:rsidP="00B71958">
            <w:pPr>
              <w:spacing w:line="240" w:lineRule="auto"/>
              <w:jc w:val="both"/>
              <w:rPr>
                <w:rFonts w:eastAsia="Times New Roman" w:cs="Arial"/>
                <w:sz w:val="20"/>
                <w:szCs w:val="20"/>
                <w:lang w:eastAsia="pt-BR"/>
              </w:rPr>
            </w:pPr>
            <w:r w:rsidRPr="00B71958">
              <w:rPr>
                <w:rFonts w:eastAsia="Times New Roman" w:cs="Arial"/>
                <w:sz w:val="20"/>
                <w:szCs w:val="20"/>
                <w:lang w:eastAsia="pt-BR"/>
              </w:rPr>
              <w:t>Margem da despesa de exploração.</w:t>
            </w:r>
          </w:p>
          <w:p w:rsidR="00B71958" w:rsidRPr="00B71958" w:rsidRDefault="00B71958" w:rsidP="00B71958">
            <w:pPr>
              <w:spacing w:line="240" w:lineRule="auto"/>
              <w:jc w:val="both"/>
              <w:rPr>
                <w:rFonts w:eastAsia="Times New Roman" w:cs="Arial"/>
                <w:sz w:val="20"/>
                <w:szCs w:val="20"/>
                <w:lang w:eastAsia="pt-BR"/>
              </w:rPr>
            </w:pPr>
            <w:r w:rsidRPr="00B71958">
              <w:rPr>
                <w:rFonts w:eastAsia="Times New Roman" w:cs="Arial"/>
                <w:sz w:val="20"/>
                <w:szCs w:val="20"/>
                <w:lang w:eastAsia="pt-BR"/>
              </w:rPr>
              <w:t>Indicador de desempenho financeiro.</w:t>
            </w:r>
          </w:p>
        </w:tc>
      </w:tr>
      <w:tr w:rsidR="00B71958" w:rsidRPr="00B71958" w:rsidTr="00B71958">
        <w:trPr>
          <w:trHeight w:val="20"/>
          <w:tblHeader/>
          <w:jc w:val="center"/>
        </w:trPr>
        <w:tc>
          <w:tcPr>
            <w:tcW w:w="5000" w:type="pct"/>
            <w:gridSpan w:val="6"/>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line="240" w:lineRule="auto"/>
              <w:rPr>
                <w:rFonts w:ascii="Calibri" w:hAnsi="Calibri"/>
                <w:sz w:val="20"/>
                <w:szCs w:val="20"/>
                <w:lang w:eastAsia="pt-BR"/>
              </w:rPr>
            </w:pPr>
          </w:p>
        </w:tc>
      </w:tr>
      <w:tr w:rsidR="00B71958" w:rsidRPr="00B71958" w:rsidTr="00B71958">
        <w:trPr>
          <w:trHeight w:val="20"/>
          <w:tblHeade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before="20" w:after="20" w:line="240" w:lineRule="auto"/>
              <w:contextualSpacing/>
              <w:jc w:val="center"/>
              <w:rPr>
                <w:rFonts w:eastAsia="Times New Roman" w:cs="Arial"/>
                <w:b/>
                <w:bCs/>
                <w:sz w:val="20"/>
                <w:szCs w:val="20"/>
                <w:lang w:eastAsia="pt-BR"/>
              </w:rPr>
            </w:pPr>
            <w:r w:rsidRPr="00B71958">
              <w:rPr>
                <w:rFonts w:eastAsia="Times New Roman" w:cs="Arial"/>
                <w:b/>
                <w:bCs/>
                <w:sz w:val="20"/>
                <w:szCs w:val="20"/>
                <w:lang w:eastAsia="pt-BR"/>
              </w:rPr>
              <w:t>PRAZO DE ENTREGA DA META (ANOS)</w:t>
            </w:r>
          </w:p>
        </w:tc>
      </w:tr>
      <w:tr w:rsidR="00B71958" w:rsidRPr="00B71958" w:rsidTr="00B71958">
        <w:trPr>
          <w:trHeight w:val="20"/>
          <w:tblHeader/>
          <w:jc w:val="center"/>
        </w:trPr>
        <w:tc>
          <w:tcPr>
            <w:tcW w:w="991" w:type="pct"/>
            <w:gridSpan w:val="3"/>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IMEDIATO (0 a 3)</w:t>
            </w:r>
          </w:p>
        </w:tc>
        <w:tc>
          <w:tcPr>
            <w:tcW w:w="2692" w:type="pct"/>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CURTO (4 a 8)</w:t>
            </w:r>
          </w:p>
        </w:tc>
        <w:tc>
          <w:tcPr>
            <w:tcW w:w="721" w:type="pct"/>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MÉDIO (9 a 12)</w:t>
            </w:r>
          </w:p>
        </w:tc>
        <w:tc>
          <w:tcPr>
            <w:tcW w:w="596" w:type="pct"/>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LONGO (13 a 20)</w:t>
            </w:r>
          </w:p>
        </w:tc>
      </w:tr>
      <w:tr w:rsidR="00B71958" w:rsidRPr="00B71958" w:rsidTr="00B71958">
        <w:trPr>
          <w:trHeight w:val="20"/>
          <w:tblHeader/>
          <w:jc w:val="center"/>
        </w:trPr>
        <w:tc>
          <w:tcPr>
            <w:tcW w:w="991" w:type="pct"/>
            <w:gridSpan w:val="3"/>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before="20" w:after="20" w:line="240" w:lineRule="auto"/>
              <w:jc w:val="both"/>
              <w:rPr>
                <w:rFonts w:cs="Arial"/>
                <w:bCs/>
                <w:sz w:val="20"/>
                <w:szCs w:val="20"/>
              </w:rPr>
            </w:pPr>
            <w:r w:rsidRPr="00B71958">
              <w:rPr>
                <w:rFonts w:cs="Arial"/>
                <w:bCs/>
                <w:sz w:val="20"/>
                <w:szCs w:val="20"/>
              </w:rPr>
              <w:t>3.3. Ter sistema de informações sobre o SAA atualizado.</w:t>
            </w:r>
          </w:p>
        </w:tc>
        <w:tc>
          <w:tcPr>
            <w:tcW w:w="2692" w:type="pct"/>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before="20" w:after="20" w:line="240" w:lineRule="auto"/>
              <w:jc w:val="both"/>
              <w:rPr>
                <w:rFonts w:cs="Arial"/>
                <w:bCs/>
                <w:sz w:val="20"/>
                <w:szCs w:val="20"/>
              </w:rPr>
            </w:pPr>
            <w:r w:rsidRPr="00B71958">
              <w:rPr>
                <w:rFonts w:cs="Arial"/>
                <w:bCs/>
                <w:sz w:val="20"/>
                <w:szCs w:val="20"/>
              </w:rPr>
              <w:t>3.1. Adequação do sistema gerencial do SAA por meio do planejamento estratégico e da sistematização e interação das atividades de operação, ampliação e modernização da infraestrutura e da gestão político-institucional e financeira do setor.</w:t>
            </w:r>
          </w:p>
        </w:tc>
        <w:tc>
          <w:tcPr>
            <w:tcW w:w="721" w:type="pct"/>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before="20" w:after="20" w:line="240" w:lineRule="auto"/>
              <w:jc w:val="both"/>
              <w:rPr>
                <w:rFonts w:cs="Arial"/>
                <w:bCs/>
                <w:sz w:val="20"/>
                <w:szCs w:val="20"/>
              </w:rPr>
            </w:pPr>
            <w:r w:rsidRPr="00B71958">
              <w:rPr>
                <w:rFonts w:cs="Arial"/>
                <w:bCs/>
                <w:sz w:val="20"/>
                <w:szCs w:val="20"/>
              </w:rPr>
              <w:t>3.2. Alcançar um desempenho financeiro satisfatório.</w:t>
            </w:r>
          </w:p>
        </w:tc>
        <w:tc>
          <w:tcPr>
            <w:tcW w:w="596" w:type="pct"/>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line="240" w:lineRule="auto"/>
              <w:rPr>
                <w:rFonts w:ascii="Calibri" w:hAnsi="Calibri"/>
                <w:sz w:val="20"/>
                <w:szCs w:val="20"/>
                <w:lang w:eastAsia="pt-BR"/>
              </w:rPr>
            </w:pPr>
          </w:p>
        </w:tc>
      </w:tr>
    </w:tbl>
    <w:p w:rsidR="00B71958" w:rsidRPr="00B71958" w:rsidRDefault="00B71958" w:rsidP="00B71958">
      <w:pPr>
        <w:spacing w:before="120" w:after="120"/>
        <w:contextualSpacing/>
        <w:jc w:val="center"/>
        <w:rPr>
          <w:rFonts w:eastAsia="Times New Roman"/>
          <w:sz w:val="2"/>
          <w:szCs w:val="2"/>
          <w:lang w:eastAsia="pt-B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1"/>
        <w:gridCol w:w="7908"/>
        <w:gridCol w:w="2216"/>
        <w:gridCol w:w="1582"/>
        <w:gridCol w:w="1963"/>
      </w:tblGrid>
      <w:tr w:rsidR="00B71958" w:rsidRPr="00B71958" w:rsidTr="00B71958">
        <w:trPr>
          <w:trHeight w:val="20"/>
          <w:tblHeade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C0C0C0"/>
            <w:hideMark/>
          </w:tcPr>
          <w:p w:rsidR="00B71958" w:rsidRPr="00B71958" w:rsidRDefault="00B71958" w:rsidP="00B71958">
            <w:pPr>
              <w:spacing w:before="20" w:after="20" w:line="240" w:lineRule="auto"/>
              <w:contextualSpacing/>
              <w:jc w:val="center"/>
              <w:rPr>
                <w:rFonts w:eastAsia="Times New Roman" w:cs="Arial"/>
                <w:b/>
                <w:bCs/>
                <w:sz w:val="20"/>
                <w:szCs w:val="20"/>
                <w:lang w:eastAsia="pt-BR"/>
              </w:rPr>
            </w:pPr>
            <w:r w:rsidRPr="00B71958">
              <w:rPr>
                <w:rFonts w:eastAsia="Times New Roman" w:cs="Arial"/>
                <w:b/>
                <w:bCs/>
                <w:sz w:val="20"/>
                <w:szCs w:val="20"/>
                <w:lang w:eastAsia="pt-BR"/>
              </w:rPr>
              <w:t>PROGRAMAS E AÇÕES</w:t>
            </w:r>
          </w:p>
        </w:tc>
      </w:tr>
      <w:tr w:rsidR="00B71958" w:rsidRPr="00B71958" w:rsidTr="00B71958">
        <w:trPr>
          <w:trHeight w:val="2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before="20" w:after="20" w:line="240" w:lineRule="auto"/>
              <w:contextualSpacing/>
              <w:jc w:val="center"/>
              <w:rPr>
                <w:rFonts w:eastAsia="Times New Roman" w:cs="Arial"/>
                <w:b/>
                <w:bCs/>
                <w:sz w:val="20"/>
                <w:szCs w:val="20"/>
                <w:lang w:eastAsia="pt-BR"/>
              </w:rPr>
            </w:pPr>
            <w:r w:rsidRPr="00B71958">
              <w:rPr>
                <w:rFonts w:eastAsia="Times New Roman" w:cs="Arial"/>
                <w:b/>
                <w:bCs/>
                <w:sz w:val="20"/>
                <w:szCs w:val="20"/>
                <w:lang w:eastAsia="pt-BR"/>
              </w:rPr>
              <w:t>CÓDIGO</w:t>
            </w:r>
          </w:p>
          <w:p w:rsidR="00B71958" w:rsidRPr="00B71958" w:rsidRDefault="00B71958" w:rsidP="00B71958">
            <w:pPr>
              <w:spacing w:before="20" w:after="20" w:line="240" w:lineRule="auto"/>
              <w:contextualSpacing/>
              <w:jc w:val="center"/>
              <w:rPr>
                <w:rFonts w:eastAsia="Times New Roman" w:cs="Arial"/>
                <w:b/>
                <w:bCs/>
                <w:sz w:val="20"/>
                <w:szCs w:val="20"/>
                <w:lang w:eastAsia="pt-BR"/>
              </w:rPr>
            </w:pPr>
            <w:r w:rsidRPr="00B71958">
              <w:rPr>
                <w:rFonts w:eastAsia="Times New Roman" w:cs="Arial"/>
                <w:b/>
                <w:bCs/>
                <w:sz w:val="20"/>
                <w:szCs w:val="20"/>
                <w:lang w:eastAsia="pt-BR"/>
              </w:rPr>
              <w:t>(s/o/m/a)*</w:t>
            </w:r>
          </w:p>
        </w:tc>
        <w:tc>
          <w:tcPr>
            <w:tcW w:w="0" w:type="auto"/>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before="20" w:after="20" w:line="240" w:lineRule="auto"/>
              <w:contextualSpacing/>
              <w:jc w:val="center"/>
              <w:rPr>
                <w:rFonts w:eastAsia="Times New Roman" w:cs="Arial"/>
                <w:b/>
                <w:bCs/>
                <w:sz w:val="20"/>
                <w:szCs w:val="20"/>
                <w:lang w:eastAsia="pt-BR"/>
              </w:rPr>
            </w:pPr>
            <w:r w:rsidRPr="00B71958">
              <w:rPr>
                <w:rFonts w:eastAsia="Times New Roman" w:cs="Arial"/>
                <w:b/>
                <w:bCs/>
                <w:sz w:val="20"/>
                <w:szCs w:val="20"/>
                <w:lang w:eastAsia="pt-BR"/>
              </w:rPr>
              <w:t>DESCRIÇÃO</w:t>
            </w:r>
          </w:p>
        </w:tc>
        <w:tc>
          <w:tcPr>
            <w:tcW w:w="0" w:type="auto"/>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line="240" w:lineRule="auto"/>
              <w:ind w:firstLine="72"/>
              <w:jc w:val="center"/>
              <w:rPr>
                <w:rFonts w:eastAsia="Times New Roman" w:cs="Arial"/>
                <w:b/>
                <w:bCs/>
                <w:sz w:val="20"/>
                <w:szCs w:val="20"/>
                <w:lang w:eastAsia="pt-BR"/>
              </w:rPr>
            </w:pPr>
            <w:r w:rsidRPr="00B71958">
              <w:rPr>
                <w:rFonts w:eastAsia="Times New Roman" w:cs="Arial"/>
                <w:b/>
                <w:bCs/>
                <w:sz w:val="20"/>
                <w:szCs w:val="20"/>
                <w:lang w:eastAsia="pt-BR"/>
              </w:rPr>
              <w:t>Período de desenvolvimento da ação</w:t>
            </w:r>
          </w:p>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(ano)</w:t>
            </w:r>
          </w:p>
        </w:tc>
        <w:tc>
          <w:tcPr>
            <w:tcW w:w="0" w:type="auto"/>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line="240" w:lineRule="auto"/>
              <w:ind w:left="64" w:firstLine="8"/>
              <w:jc w:val="center"/>
              <w:rPr>
                <w:rFonts w:eastAsia="Times New Roman" w:cs="Arial"/>
                <w:b/>
                <w:bCs/>
                <w:sz w:val="20"/>
                <w:szCs w:val="20"/>
                <w:lang w:eastAsia="pt-BR"/>
              </w:rPr>
            </w:pPr>
            <w:r w:rsidRPr="00B71958">
              <w:rPr>
                <w:rFonts w:eastAsia="Times New Roman" w:cs="Arial"/>
                <w:b/>
                <w:bCs/>
                <w:sz w:val="20"/>
                <w:szCs w:val="20"/>
                <w:lang w:eastAsia="pt-BR"/>
              </w:rPr>
              <w:t>Custo total na moeda de 2017</w:t>
            </w:r>
          </w:p>
          <w:p w:rsidR="00B71958" w:rsidRPr="00B71958" w:rsidRDefault="00B71958" w:rsidP="00B71958">
            <w:pPr>
              <w:spacing w:before="20" w:after="20" w:line="240" w:lineRule="auto"/>
              <w:contextualSpacing/>
              <w:jc w:val="center"/>
              <w:rPr>
                <w:rFonts w:eastAsia="Times New Roman" w:cs="Arial"/>
                <w:b/>
                <w:bCs/>
                <w:sz w:val="20"/>
                <w:szCs w:val="20"/>
                <w:lang w:eastAsia="pt-BR"/>
              </w:rPr>
            </w:pPr>
            <w:r w:rsidRPr="00B71958">
              <w:rPr>
                <w:rFonts w:eastAsia="Times New Roman" w:cs="Arial"/>
                <w:b/>
                <w:bCs/>
                <w:sz w:val="20"/>
                <w:szCs w:val="20"/>
                <w:lang w:eastAsia="pt-BR"/>
              </w:rPr>
              <w:t>(R$)</w:t>
            </w:r>
          </w:p>
        </w:tc>
        <w:tc>
          <w:tcPr>
            <w:tcW w:w="0" w:type="auto"/>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line="240" w:lineRule="auto"/>
              <w:ind w:left="64" w:firstLine="8"/>
              <w:jc w:val="center"/>
              <w:rPr>
                <w:rFonts w:eastAsia="Times New Roman" w:cs="Arial"/>
                <w:b/>
                <w:bCs/>
                <w:sz w:val="20"/>
                <w:szCs w:val="20"/>
                <w:lang w:eastAsia="pt-BR"/>
              </w:rPr>
            </w:pPr>
            <w:r w:rsidRPr="00B71958">
              <w:rPr>
                <w:rFonts w:eastAsia="Times New Roman" w:cs="Arial"/>
                <w:b/>
                <w:bCs/>
                <w:sz w:val="20"/>
                <w:szCs w:val="20"/>
                <w:lang w:eastAsia="pt-BR"/>
              </w:rPr>
              <w:t>Responsável pela ação</w:t>
            </w:r>
          </w:p>
        </w:tc>
      </w:tr>
      <w:tr w:rsidR="00B71958" w:rsidRPr="00B71958" w:rsidTr="00B71958">
        <w:trPr>
          <w:trHeight w:val="737"/>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1.3.1.25</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Avaliar as possibilidades de gestão.</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Prefeitura Municipal</w:t>
            </w:r>
          </w:p>
        </w:tc>
      </w:tr>
      <w:tr w:rsidR="00B71958" w:rsidRPr="00B71958" w:rsidTr="00B71958">
        <w:trPr>
          <w:trHeight w:val="737"/>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1.3.1.26</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Implementar novo modelo de gestão adotado, caso a ação 1.3.1.25 tenha concluído pela modificação do modelo de gestão atual.</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1º-2º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12.078,50</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Prefeitura Municipal</w:t>
            </w:r>
          </w:p>
        </w:tc>
      </w:tr>
      <w:tr w:rsidR="00B71958" w:rsidRPr="00B71958" w:rsidTr="00B71958">
        <w:trPr>
          <w:trHeight w:val="737"/>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1.3.1.27</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Atualizar continuamente o levantamento cadastral dos sistemas de abastecimento de água de todo o município.</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1º-20º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B71958">
        <w:trPr>
          <w:trHeight w:val="737"/>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1.3.1.28</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Atualizar a legislação municipal com estabelecimento de diretrizes para novos empreendimentos imobiliários, de forma a planejar melhor a expansão dos sistemas de abastecimento de água.</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1º-20º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Prefeitura Municipal / Câmara Municipal</w:t>
            </w:r>
          </w:p>
        </w:tc>
      </w:tr>
      <w:tr w:rsidR="00B71958" w:rsidRPr="00B71958" w:rsidTr="00B71958">
        <w:trPr>
          <w:trHeight w:val="737"/>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lastRenderedPageBreak/>
              <w:t>1.3.1.29</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Avaliar constantemente o quadro de funcionários para verificar a necessidade de contratações frente às novas instalações e ampliações dos sistemas.</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1º-20º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27.312,93</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B71958">
        <w:trPr>
          <w:trHeight w:val="737"/>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1.3.1.30</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Atualizar o quadro de funcionários de acordo com a avaliação da ação 1.3.1.29, ou seja, aumentar ou reduzir o quadro de funcionários.</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1º-20º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792.000,00</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B71958">
        <w:trPr>
          <w:trHeight w:val="737"/>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1.3.1.31</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Realizar com periodicidade programada a capacitação dos funcionários (atuais e novos), conforme as novas instalações dos sistemas de abastecimento de água, substituições e novas práticas.</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1º-20º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6.332,00</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B71958">
        <w:trPr>
          <w:trHeight w:val="737"/>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1.3.1.32</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Elencar as possibilidades de entidade reguladora para o SAA e escolher a ideal para o município.</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Prefeitura Municipal / COPASA</w:t>
            </w:r>
          </w:p>
        </w:tc>
      </w:tr>
      <w:tr w:rsidR="00B71958" w:rsidRPr="00B71958" w:rsidTr="00B71958">
        <w:trPr>
          <w:trHeight w:val="737"/>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1.3.1.33</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Iniciar as atividades com a entidade reguladora.</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1º-2º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B71958">
        <w:trPr>
          <w:trHeight w:val="737"/>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1.3.2.34</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Atender rigorosamente às diretrizes estabelecidas pela Agência Reguladora de Serviços de Abastecimento de Água.</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1º-20º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B71958">
        <w:trPr>
          <w:trHeight w:val="737"/>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1.3.2.35</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Avaliar continuamente o indicador de desempenho, a fim de buscar melhorias de gestão financeira.</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jc w:val="center"/>
            </w:pPr>
            <w:r w:rsidRPr="00B71958">
              <w:rPr>
                <w:rFonts w:eastAsia="Times New Roman" w:cs="Arial"/>
                <w:sz w:val="20"/>
                <w:szCs w:val="20"/>
                <w:lang w:eastAsia="pt-BR"/>
              </w:rPr>
              <w:t>1º-20º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jc w:val="center"/>
              <w:rPr>
                <w:rFonts w:eastAsia="Times New Roman" w:cs="Arial"/>
                <w:sz w:val="20"/>
                <w:szCs w:val="20"/>
                <w:lang w:eastAsia="pt-BR"/>
              </w:rPr>
            </w:pPr>
            <w:r w:rsidRPr="00B71958">
              <w:rPr>
                <w:rFonts w:eastAsia="Times New Roman" w:cs="Arial"/>
                <w:sz w:val="20"/>
                <w:szCs w:val="20"/>
                <w:lang w:eastAsia="pt-BR"/>
              </w:rP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B71958">
        <w:trPr>
          <w:trHeight w:val="737"/>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1.3.2.36</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Avaliar continuamente cortes de gastos com energia elétrica do sistema, realizando substituição de equipamentos que tenham maior consumo energético por equipamentos de menor consumo.</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jc w:val="center"/>
            </w:pPr>
            <w:r w:rsidRPr="00B71958">
              <w:rPr>
                <w:rFonts w:eastAsia="Times New Roman" w:cs="Arial"/>
                <w:sz w:val="20"/>
                <w:szCs w:val="20"/>
                <w:lang w:eastAsia="pt-BR"/>
              </w:rPr>
              <w:t>1º-20º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jc w:val="right"/>
              <w:rPr>
                <w:rFonts w:eastAsia="Times New Roman" w:cs="Arial"/>
                <w:sz w:val="20"/>
                <w:szCs w:val="20"/>
                <w:lang w:eastAsia="pt-BR"/>
              </w:rPr>
            </w:pPr>
            <w:r w:rsidRPr="00B71958">
              <w:rPr>
                <w:rFonts w:eastAsia="Times New Roman" w:cs="Arial"/>
                <w:sz w:val="20"/>
                <w:szCs w:val="20"/>
                <w:lang w:eastAsia="pt-BR"/>
              </w:rPr>
              <w:t xml:space="preserve"> 10.099,20</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B71958">
        <w:trPr>
          <w:trHeight w:val="737"/>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1.3.2.37</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Avaliar continuamente cortes de gastos com produtos químicos utilizados nos sistemas, realizando substituição de equipamentos que tenham melhor eficiência na aplicação automatizada dos produtos, redução do desperdício no armazenamento, transporte e manejo do estoque.</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jc w:val="center"/>
            </w:pPr>
            <w:r w:rsidRPr="00B71958">
              <w:rPr>
                <w:rFonts w:eastAsia="Times New Roman" w:cs="Arial"/>
                <w:sz w:val="20"/>
                <w:szCs w:val="20"/>
                <w:lang w:eastAsia="pt-BR"/>
              </w:rPr>
              <w:t>1º-20º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jc w:val="right"/>
              <w:rPr>
                <w:rFonts w:eastAsia="Times New Roman" w:cs="Arial"/>
                <w:sz w:val="20"/>
                <w:szCs w:val="20"/>
                <w:lang w:eastAsia="pt-BR"/>
              </w:rPr>
            </w:pPr>
            <w:r w:rsidRPr="00B71958">
              <w:rPr>
                <w:rFonts w:eastAsia="Times New Roman" w:cs="Arial"/>
                <w:sz w:val="20"/>
                <w:szCs w:val="20"/>
                <w:lang w:eastAsia="pt-BR"/>
              </w:rPr>
              <w:t xml:space="preserve"> 10.099,20</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B71958">
        <w:trPr>
          <w:trHeight w:val="737"/>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lastRenderedPageBreak/>
              <w:t>1.3.2.38</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Implantar campanhas de renegociação de dívidas dos usuários, contendo mecanismos para informar a população.</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jc w:val="center"/>
            </w:pPr>
            <w:r w:rsidRPr="00B71958">
              <w:rPr>
                <w:rFonts w:eastAsia="Times New Roman" w:cs="Arial"/>
                <w:sz w:val="20"/>
                <w:szCs w:val="20"/>
                <w:lang w:eastAsia="pt-BR"/>
              </w:rPr>
              <w:t>1º-20º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jc w:val="center"/>
              <w:rPr>
                <w:rFonts w:eastAsia="Times New Roman" w:cs="Arial"/>
                <w:sz w:val="20"/>
                <w:szCs w:val="20"/>
                <w:lang w:eastAsia="pt-BR"/>
              </w:rPr>
            </w:pPr>
            <w:r w:rsidRPr="00B71958">
              <w:rPr>
                <w:rFonts w:eastAsia="Times New Roman" w:cs="Arial"/>
                <w:sz w:val="20"/>
                <w:szCs w:val="20"/>
                <w:lang w:eastAsia="pt-BR"/>
              </w:rP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B71958">
        <w:trPr>
          <w:trHeight w:val="737"/>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1.3.3.39</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Realizar eventos específicos em praças ou locais públicos para encontro dos usuários com os responsáveis pelo SAA, para viabilizar a negociação das dívidas.</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jc w:val="center"/>
            </w:pPr>
            <w:r w:rsidRPr="00B71958">
              <w:rPr>
                <w:rFonts w:eastAsia="Times New Roman" w:cs="Arial"/>
                <w:sz w:val="20"/>
                <w:szCs w:val="20"/>
                <w:lang w:eastAsia="pt-BR"/>
              </w:rPr>
              <w:t>1º-20º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jc w:val="right"/>
              <w:rPr>
                <w:rFonts w:eastAsia="Times New Roman" w:cs="Arial"/>
                <w:sz w:val="20"/>
                <w:szCs w:val="20"/>
                <w:lang w:eastAsia="pt-BR"/>
              </w:rPr>
            </w:pPr>
            <w:r w:rsidRPr="00B71958">
              <w:rPr>
                <w:rFonts w:eastAsia="Times New Roman" w:cs="Arial"/>
                <w:sz w:val="20"/>
                <w:szCs w:val="20"/>
                <w:lang w:eastAsia="pt-BR"/>
              </w:rPr>
              <w:t xml:space="preserve"> 10.099,20</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B71958">
        <w:trPr>
          <w:trHeight w:val="737"/>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1.3.3.40</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Definir funcionários, dentro da Prefeitura Municipal, que sejam responsáveis por organizar os dados operacionais e administrativos do setor de abastecimento do município e alimentar o Sistema Municipal de Informações em Saneamento (SMIS) e, consequentemente, o SNIS.</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Prefeitura Municipal</w:t>
            </w:r>
          </w:p>
        </w:tc>
      </w:tr>
    </w:tbl>
    <w:p w:rsidR="00B71958" w:rsidRPr="00B71958" w:rsidRDefault="00B71958" w:rsidP="00810C89">
      <w:pPr>
        <w:pStyle w:val="Fonte"/>
        <w:rPr>
          <w:lang w:eastAsia="x-none"/>
        </w:rPr>
      </w:pPr>
      <w:r w:rsidRPr="00B71958">
        <w:t xml:space="preserve">**(s/o/m/a) = nº do setor / nº do objetivo / nº da meta / nº da ação. / </w:t>
      </w:r>
      <w:r w:rsidRPr="00B71958">
        <w:rPr>
          <w:rFonts w:cs="Arial"/>
          <w:color w:val="000000"/>
          <w:sz w:val="19"/>
          <w:szCs w:val="19"/>
        </w:rPr>
        <w:t>*:Dependente de outras ações que possuem custos próprios estimados.</w:t>
      </w:r>
    </w:p>
    <w:p w:rsidR="00B71958" w:rsidRDefault="00B71958" w:rsidP="00B71958">
      <w:pPr>
        <w:keepNext/>
        <w:spacing w:before="120" w:after="120" w:line="240" w:lineRule="auto"/>
        <w:contextualSpacing/>
        <w:rPr>
          <w:rFonts w:eastAsia="Times New Roman"/>
          <w:bCs/>
          <w:sz w:val="20"/>
          <w:szCs w:val="20"/>
          <w:lang w:eastAsia="pt-BR"/>
        </w:rPr>
      </w:pPr>
      <w:r>
        <w:rPr>
          <w:rFonts w:eastAsia="Times New Roman"/>
          <w:bCs/>
          <w:sz w:val="20"/>
          <w:szCs w:val="20"/>
          <w:lang w:eastAsia="pt-BR"/>
        </w:rPr>
        <w:br w:type="page"/>
      </w:r>
    </w:p>
    <w:p w:rsidR="00B71958" w:rsidRPr="00B71958" w:rsidRDefault="00B71958" w:rsidP="00810C89">
      <w:pPr>
        <w:pStyle w:val="Legenda"/>
      </w:pPr>
      <w:bookmarkStart w:id="700" w:name="_Toc498594125"/>
      <w:bookmarkStart w:id="701" w:name="_Toc491681718"/>
      <w:bookmarkStart w:id="702" w:name="_Toc488050769"/>
      <w:bookmarkStart w:id="703" w:name="_Toc505788339"/>
      <w:bookmarkStart w:id="704" w:name="_Toc509935837"/>
      <w:r w:rsidRPr="00B71958">
        <w:lastRenderedPageBreak/>
        <w:t xml:space="preserve">Quadro </w:t>
      </w:r>
      <w:r w:rsidR="000A1C78">
        <w:fldChar w:fldCharType="begin"/>
      </w:r>
      <w:r w:rsidR="000A1C78">
        <w:instrText xml:space="preserve"> SEQ Quadro \* ARABIC </w:instrText>
      </w:r>
      <w:r w:rsidR="000A1C78">
        <w:fldChar w:fldCharType="separate"/>
      </w:r>
      <w:r w:rsidR="001B481B">
        <w:rPr>
          <w:noProof/>
        </w:rPr>
        <w:t>60</w:t>
      </w:r>
      <w:r w:rsidR="000A1C78">
        <w:rPr>
          <w:noProof/>
        </w:rPr>
        <w:fldChar w:fldCharType="end"/>
      </w:r>
      <w:r w:rsidRPr="00B71958">
        <w:t xml:space="preserve"> - Programas e ações propostos para o setor de abastecimento de água - Objetivo 4</w:t>
      </w:r>
      <w:bookmarkEnd w:id="700"/>
      <w:bookmarkEnd w:id="701"/>
      <w:bookmarkEnd w:id="702"/>
      <w:bookmarkEnd w:id="703"/>
      <w:bookmarkEnd w:id="704"/>
    </w:p>
    <w:tbl>
      <w:tblPr>
        <w:tblW w:w="14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31"/>
        <w:gridCol w:w="285"/>
        <w:gridCol w:w="2411"/>
        <w:gridCol w:w="1841"/>
        <w:gridCol w:w="5344"/>
        <w:gridCol w:w="2188"/>
      </w:tblGrid>
      <w:tr w:rsidR="00B71958" w:rsidRPr="00B71958" w:rsidTr="00B71958">
        <w:trPr>
          <w:trHeight w:val="20"/>
          <w:jc w:val="center"/>
        </w:trPr>
        <w:tc>
          <w:tcPr>
            <w:tcW w:w="720" w:type="pct"/>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line="240" w:lineRule="auto"/>
              <w:rPr>
                <w:rFonts w:eastAsia="Times New Roman" w:cs="Arial"/>
                <w:b/>
                <w:bCs/>
                <w:sz w:val="20"/>
                <w:szCs w:val="20"/>
                <w:lang w:eastAsia="pt-BR"/>
              </w:rPr>
            </w:pPr>
            <w:r w:rsidRPr="00B71958">
              <w:rPr>
                <w:rFonts w:eastAsia="Times New Roman" w:cs="Arial"/>
                <w:b/>
                <w:bCs/>
                <w:sz w:val="20"/>
                <w:szCs w:val="20"/>
                <w:lang w:eastAsia="pt-BR"/>
              </w:rPr>
              <w:t>SETOR</w:t>
            </w:r>
          </w:p>
        </w:tc>
        <w:tc>
          <w:tcPr>
            <w:tcW w:w="101" w:type="pct"/>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line="240" w:lineRule="auto"/>
              <w:rPr>
                <w:rFonts w:eastAsia="Times New Roman" w:cs="Arial"/>
                <w:sz w:val="20"/>
                <w:szCs w:val="20"/>
                <w:lang w:eastAsia="pt-BR"/>
              </w:rPr>
            </w:pPr>
            <w:r w:rsidRPr="00B71958">
              <w:rPr>
                <w:rFonts w:eastAsia="Times New Roman" w:cs="Arial"/>
                <w:sz w:val="20"/>
                <w:szCs w:val="20"/>
                <w:lang w:eastAsia="pt-BR"/>
              </w:rPr>
              <w:t>1</w:t>
            </w:r>
          </w:p>
        </w:tc>
        <w:tc>
          <w:tcPr>
            <w:tcW w:w="4179" w:type="pct"/>
            <w:gridSpan w:val="4"/>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line="240" w:lineRule="auto"/>
              <w:rPr>
                <w:rFonts w:eastAsia="Times New Roman" w:cs="Arial"/>
                <w:sz w:val="20"/>
                <w:szCs w:val="20"/>
                <w:lang w:eastAsia="pt-BR"/>
              </w:rPr>
            </w:pPr>
            <w:r w:rsidRPr="00B71958">
              <w:rPr>
                <w:rFonts w:eastAsia="Times New Roman" w:cs="Arial"/>
                <w:sz w:val="20"/>
                <w:szCs w:val="20"/>
                <w:lang w:eastAsia="pt-BR"/>
              </w:rPr>
              <w:t>Abastecimento de Água.</w:t>
            </w:r>
          </w:p>
        </w:tc>
      </w:tr>
      <w:tr w:rsidR="00B71958" w:rsidRPr="00B71958" w:rsidTr="00B71958">
        <w:trPr>
          <w:trHeight w:val="20"/>
          <w:jc w:val="center"/>
        </w:trPr>
        <w:tc>
          <w:tcPr>
            <w:tcW w:w="72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line="240" w:lineRule="auto"/>
              <w:rPr>
                <w:rFonts w:eastAsia="Times New Roman" w:cs="Arial"/>
                <w:b/>
                <w:bCs/>
                <w:sz w:val="20"/>
                <w:szCs w:val="20"/>
                <w:lang w:eastAsia="pt-BR"/>
              </w:rPr>
            </w:pPr>
            <w:r w:rsidRPr="00B71958">
              <w:rPr>
                <w:rFonts w:eastAsia="Times New Roman" w:cs="Arial"/>
                <w:b/>
                <w:bCs/>
                <w:sz w:val="20"/>
                <w:szCs w:val="20"/>
                <w:lang w:eastAsia="pt-BR"/>
              </w:rPr>
              <w:t>OBJETIVO</w:t>
            </w:r>
          </w:p>
        </w:tc>
        <w:tc>
          <w:tcPr>
            <w:tcW w:w="101"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rPr>
                <w:rFonts w:eastAsia="Times New Roman" w:cs="Arial"/>
                <w:sz w:val="20"/>
                <w:szCs w:val="20"/>
                <w:lang w:eastAsia="pt-BR"/>
              </w:rPr>
            </w:pPr>
            <w:r w:rsidRPr="00B71958">
              <w:rPr>
                <w:rFonts w:eastAsia="Times New Roman" w:cs="Arial"/>
                <w:sz w:val="20"/>
                <w:szCs w:val="20"/>
                <w:lang w:eastAsia="pt-BR"/>
              </w:rPr>
              <w:t>4</w:t>
            </w:r>
          </w:p>
        </w:tc>
        <w:tc>
          <w:tcPr>
            <w:tcW w:w="4179" w:type="pct"/>
            <w:gridSpan w:val="4"/>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rPr>
                <w:rFonts w:cs="Arial"/>
                <w:sz w:val="20"/>
                <w:szCs w:val="20"/>
              </w:rPr>
            </w:pPr>
            <w:r w:rsidRPr="00B71958">
              <w:rPr>
                <w:rFonts w:cs="Arial"/>
                <w:sz w:val="20"/>
                <w:szCs w:val="20"/>
              </w:rPr>
              <w:t>Alcançar o pleno atendimento à legislação ambiental aplicável em todos os subprocessos integrantes do SAA (captação, adução, tratamento, reservação e distribuição).</w:t>
            </w:r>
          </w:p>
        </w:tc>
      </w:tr>
      <w:tr w:rsidR="00B71958" w:rsidRPr="00B71958" w:rsidTr="00B71958">
        <w:trPr>
          <w:trHeight w:val="20"/>
          <w:jc w:val="center"/>
        </w:trPr>
        <w:tc>
          <w:tcPr>
            <w:tcW w:w="72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before="20" w:after="20" w:line="240" w:lineRule="auto"/>
              <w:contextualSpacing/>
              <w:rPr>
                <w:rFonts w:eastAsia="Times New Roman" w:cs="Arial"/>
                <w:b/>
                <w:bCs/>
                <w:sz w:val="20"/>
                <w:szCs w:val="20"/>
                <w:lang w:eastAsia="pt-BR"/>
              </w:rPr>
            </w:pPr>
            <w:r w:rsidRPr="00B71958">
              <w:rPr>
                <w:rFonts w:eastAsia="Times New Roman" w:cs="Arial"/>
                <w:b/>
                <w:bCs/>
                <w:sz w:val="20"/>
                <w:szCs w:val="20"/>
                <w:lang w:eastAsia="pt-BR"/>
              </w:rPr>
              <w:t>INDICADORES DE MONITORAMENTO</w:t>
            </w:r>
          </w:p>
        </w:tc>
        <w:tc>
          <w:tcPr>
            <w:tcW w:w="4280" w:type="pct"/>
            <w:gridSpan w:val="5"/>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both"/>
              <w:rPr>
                <w:rFonts w:eastAsia="Times New Roman" w:cs="Arial"/>
                <w:sz w:val="20"/>
                <w:szCs w:val="20"/>
                <w:lang w:eastAsia="pt-BR"/>
              </w:rPr>
            </w:pPr>
            <w:r w:rsidRPr="00B71958">
              <w:rPr>
                <w:rFonts w:eastAsia="Times New Roman" w:cs="Arial"/>
                <w:sz w:val="20"/>
                <w:szCs w:val="20"/>
                <w:lang w:eastAsia="pt-BR"/>
              </w:rPr>
              <w:t>Índice de monitoramento da regularidade das outorgas.</w:t>
            </w:r>
          </w:p>
          <w:p w:rsidR="00B71958" w:rsidRPr="00B71958" w:rsidRDefault="00B71958" w:rsidP="00B71958">
            <w:pPr>
              <w:spacing w:line="240" w:lineRule="auto"/>
              <w:jc w:val="both"/>
              <w:rPr>
                <w:rFonts w:eastAsia="Times New Roman" w:cs="Arial"/>
                <w:sz w:val="20"/>
                <w:szCs w:val="20"/>
                <w:lang w:eastAsia="pt-BR"/>
              </w:rPr>
            </w:pPr>
            <w:r w:rsidRPr="00B71958">
              <w:rPr>
                <w:rFonts w:eastAsia="Times New Roman" w:cs="Arial"/>
                <w:sz w:val="20"/>
                <w:szCs w:val="20"/>
                <w:lang w:eastAsia="pt-BR"/>
              </w:rPr>
              <w:t>Índice de monitoramento da regularidade das licenças ambientais.</w:t>
            </w:r>
          </w:p>
        </w:tc>
      </w:tr>
      <w:tr w:rsidR="00B71958" w:rsidRPr="00B71958" w:rsidTr="00B71958">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line="240" w:lineRule="auto"/>
              <w:rPr>
                <w:rFonts w:ascii="Calibri" w:hAnsi="Calibri"/>
                <w:sz w:val="20"/>
                <w:szCs w:val="20"/>
                <w:lang w:eastAsia="pt-BR"/>
              </w:rPr>
            </w:pPr>
          </w:p>
        </w:tc>
      </w:tr>
      <w:tr w:rsidR="00B71958" w:rsidRPr="00B71958" w:rsidTr="00B71958">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PRAZO DE ENTREGA DA META (ANOS)</w:t>
            </w:r>
          </w:p>
        </w:tc>
      </w:tr>
      <w:tr w:rsidR="00B71958" w:rsidRPr="00B71958" w:rsidTr="00B71958">
        <w:trPr>
          <w:trHeight w:val="20"/>
          <w:jc w:val="center"/>
        </w:trPr>
        <w:tc>
          <w:tcPr>
            <w:tcW w:w="1676" w:type="pct"/>
            <w:gridSpan w:val="3"/>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IMEDIATO (0 a 3)</w:t>
            </w:r>
          </w:p>
        </w:tc>
        <w:tc>
          <w:tcPr>
            <w:tcW w:w="653" w:type="pct"/>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CURTO (4 a 8)</w:t>
            </w:r>
          </w:p>
        </w:tc>
        <w:tc>
          <w:tcPr>
            <w:tcW w:w="1895" w:type="pct"/>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MÉDIO (9 a 12)</w:t>
            </w:r>
          </w:p>
        </w:tc>
        <w:tc>
          <w:tcPr>
            <w:tcW w:w="776" w:type="pct"/>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LONGO (13 a 20)</w:t>
            </w:r>
          </w:p>
        </w:tc>
      </w:tr>
      <w:tr w:rsidR="00B71958" w:rsidRPr="00B71958" w:rsidTr="00B71958">
        <w:trPr>
          <w:trHeight w:val="20"/>
          <w:jc w:val="center"/>
        </w:trPr>
        <w:tc>
          <w:tcPr>
            <w:tcW w:w="1676" w:type="pct"/>
            <w:gridSpan w:val="3"/>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line="240" w:lineRule="auto"/>
              <w:jc w:val="both"/>
              <w:rPr>
                <w:rFonts w:cs="Arial"/>
                <w:bCs/>
                <w:sz w:val="20"/>
                <w:szCs w:val="20"/>
              </w:rPr>
            </w:pPr>
            <w:r w:rsidRPr="00B71958">
              <w:rPr>
                <w:rFonts w:cs="Arial"/>
                <w:bCs/>
                <w:sz w:val="20"/>
                <w:szCs w:val="20"/>
              </w:rPr>
              <w:t>4.3. Acompanhamento garantido da regularidade das outorgas dos usos dos recursos hídricos e das licenças ambientais da infraestrutura existente e a serem instaladas relacionadas ao SAA.</w:t>
            </w:r>
          </w:p>
        </w:tc>
        <w:tc>
          <w:tcPr>
            <w:tcW w:w="653" w:type="pct"/>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line="240" w:lineRule="auto"/>
              <w:rPr>
                <w:rFonts w:ascii="Calibri" w:hAnsi="Calibri"/>
                <w:sz w:val="20"/>
                <w:szCs w:val="20"/>
                <w:lang w:eastAsia="pt-BR"/>
              </w:rPr>
            </w:pPr>
          </w:p>
        </w:tc>
        <w:tc>
          <w:tcPr>
            <w:tcW w:w="1895" w:type="pct"/>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line="240" w:lineRule="auto"/>
              <w:jc w:val="both"/>
              <w:rPr>
                <w:rFonts w:cs="Arial"/>
                <w:bCs/>
                <w:sz w:val="20"/>
                <w:szCs w:val="20"/>
              </w:rPr>
            </w:pPr>
            <w:r w:rsidRPr="00B71958">
              <w:rPr>
                <w:rFonts w:cs="Arial"/>
                <w:bCs/>
                <w:sz w:val="20"/>
                <w:szCs w:val="20"/>
              </w:rPr>
              <w:t>4.1. Atingir atendimento total à legislação quanto à operação do SAA.</w:t>
            </w:r>
          </w:p>
          <w:p w:rsidR="00B71958" w:rsidRPr="00B71958" w:rsidRDefault="00B71958" w:rsidP="00B71958">
            <w:pPr>
              <w:spacing w:line="240" w:lineRule="auto"/>
              <w:jc w:val="both"/>
              <w:rPr>
                <w:rFonts w:cs="Arial"/>
                <w:bCs/>
                <w:sz w:val="20"/>
                <w:szCs w:val="20"/>
              </w:rPr>
            </w:pPr>
            <w:r w:rsidRPr="00B71958">
              <w:rPr>
                <w:rFonts w:cs="Arial"/>
                <w:bCs/>
                <w:sz w:val="20"/>
                <w:szCs w:val="20"/>
              </w:rPr>
              <w:t>4.2. Todas as outorgas e licenças ambientais da infraestrutura existente regularizadas.</w:t>
            </w:r>
          </w:p>
        </w:tc>
        <w:tc>
          <w:tcPr>
            <w:tcW w:w="776" w:type="pct"/>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line="240" w:lineRule="auto"/>
              <w:rPr>
                <w:rFonts w:ascii="Calibri" w:hAnsi="Calibri"/>
                <w:sz w:val="20"/>
                <w:szCs w:val="20"/>
                <w:lang w:eastAsia="pt-BR"/>
              </w:rPr>
            </w:pPr>
          </w:p>
        </w:tc>
      </w:tr>
    </w:tbl>
    <w:p w:rsidR="00B71958" w:rsidRPr="00B71958" w:rsidRDefault="00B71958" w:rsidP="00B71958">
      <w:pPr>
        <w:rPr>
          <w:sz w:val="2"/>
          <w:szCs w:val="2"/>
          <w:highlight w:val="yellow"/>
          <w:lang w:eastAsia="pt-BR"/>
        </w:rPr>
      </w:pPr>
    </w:p>
    <w:tbl>
      <w:tblPr>
        <w:tblW w:w="48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1"/>
        <w:gridCol w:w="7315"/>
        <w:gridCol w:w="1774"/>
        <w:gridCol w:w="2334"/>
        <w:gridCol w:w="1716"/>
      </w:tblGrid>
      <w:tr w:rsidR="00B71958" w:rsidRPr="00B71958" w:rsidTr="00B71958">
        <w:trPr>
          <w:trHeight w:val="20"/>
          <w:tblHeade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C0C0C0"/>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PROGRAMAS E AÇÕES</w:t>
            </w:r>
          </w:p>
        </w:tc>
      </w:tr>
      <w:tr w:rsidR="00B71958" w:rsidRPr="00B71958" w:rsidTr="00B71958">
        <w:trPr>
          <w:trHeight w:val="20"/>
          <w:tblHeader/>
          <w:jc w:val="center"/>
        </w:trPr>
        <w:tc>
          <w:tcPr>
            <w:tcW w:w="36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CÓDIGO</w:t>
            </w:r>
          </w:p>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(s/o/m/a)*</w:t>
            </w:r>
          </w:p>
        </w:tc>
        <w:tc>
          <w:tcPr>
            <w:tcW w:w="262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DESCRIÇÃO</w:t>
            </w:r>
          </w:p>
        </w:tc>
        <w:tc>
          <w:tcPr>
            <w:tcW w:w="488"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line="240" w:lineRule="auto"/>
              <w:ind w:firstLine="72"/>
              <w:jc w:val="center"/>
              <w:rPr>
                <w:rFonts w:eastAsia="Times New Roman" w:cs="Arial"/>
                <w:b/>
                <w:bCs/>
                <w:sz w:val="20"/>
                <w:szCs w:val="20"/>
                <w:lang w:eastAsia="pt-BR"/>
              </w:rPr>
            </w:pPr>
            <w:r w:rsidRPr="00B71958">
              <w:rPr>
                <w:rFonts w:eastAsia="Times New Roman" w:cs="Arial"/>
                <w:b/>
                <w:bCs/>
                <w:sz w:val="20"/>
                <w:szCs w:val="20"/>
                <w:lang w:eastAsia="pt-BR"/>
              </w:rPr>
              <w:t>Período de desenvolvimento da ação</w:t>
            </w:r>
          </w:p>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(ano)</w:t>
            </w:r>
          </w:p>
        </w:tc>
        <w:tc>
          <w:tcPr>
            <w:tcW w:w="86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line="240" w:lineRule="auto"/>
              <w:ind w:left="64" w:firstLine="8"/>
              <w:jc w:val="center"/>
              <w:rPr>
                <w:rFonts w:eastAsia="Times New Roman" w:cs="Arial"/>
                <w:b/>
                <w:bCs/>
                <w:sz w:val="20"/>
                <w:szCs w:val="20"/>
                <w:lang w:eastAsia="pt-BR"/>
              </w:rPr>
            </w:pPr>
            <w:r w:rsidRPr="00B71958">
              <w:rPr>
                <w:rFonts w:eastAsia="Times New Roman" w:cs="Arial"/>
                <w:b/>
                <w:bCs/>
                <w:sz w:val="20"/>
                <w:szCs w:val="20"/>
                <w:lang w:eastAsia="pt-BR"/>
              </w:rPr>
              <w:t>Custo total na moeda de 2017</w:t>
            </w:r>
          </w:p>
          <w:p w:rsidR="00B71958" w:rsidRPr="00B71958" w:rsidRDefault="00B71958" w:rsidP="00B71958">
            <w:pPr>
              <w:spacing w:before="20" w:after="20" w:line="240" w:lineRule="auto"/>
              <w:contextualSpacing/>
              <w:jc w:val="center"/>
              <w:rPr>
                <w:rFonts w:eastAsia="Times New Roman" w:cs="Arial"/>
                <w:b/>
                <w:bCs/>
                <w:sz w:val="20"/>
                <w:szCs w:val="20"/>
                <w:lang w:eastAsia="pt-BR"/>
              </w:rPr>
            </w:pPr>
            <w:r w:rsidRPr="00B71958">
              <w:rPr>
                <w:rFonts w:eastAsia="Times New Roman" w:cs="Arial"/>
                <w:b/>
                <w:bCs/>
                <w:sz w:val="20"/>
                <w:szCs w:val="20"/>
                <w:lang w:eastAsia="pt-BR"/>
              </w:rPr>
              <w:t>(R$)</w:t>
            </w:r>
          </w:p>
        </w:tc>
        <w:tc>
          <w:tcPr>
            <w:tcW w:w="6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line="240" w:lineRule="auto"/>
              <w:ind w:left="64" w:firstLine="8"/>
              <w:jc w:val="center"/>
              <w:rPr>
                <w:rFonts w:eastAsia="Times New Roman" w:cs="Arial"/>
                <w:b/>
                <w:bCs/>
                <w:sz w:val="20"/>
                <w:szCs w:val="20"/>
                <w:lang w:eastAsia="pt-BR"/>
              </w:rPr>
            </w:pPr>
            <w:r w:rsidRPr="00B71958">
              <w:rPr>
                <w:rFonts w:eastAsia="Times New Roman" w:cs="Arial"/>
                <w:b/>
                <w:bCs/>
                <w:sz w:val="20"/>
                <w:szCs w:val="20"/>
                <w:lang w:eastAsia="pt-BR"/>
              </w:rPr>
              <w:t>Responsável pela ação</w:t>
            </w:r>
          </w:p>
        </w:tc>
      </w:tr>
      <w:tr w:rsidR="00B71958" w:rsidRPr="00B71958" w:rsidTr="00B71958">
        <w:trPr>
          <w:trHeight w:val="20"/>
          <w:jc w:val="center"/>
        </w:trPr>
        <w:tc>
          <w:tcPr>
            <w:tcW w:w="367"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10" w:after="10" w:line="240" w:lineRule="auto"/>
              <w:jc w:val="center"/>
              <w:rPr>
                <w:rFonts w:eastAsia="Times New Roman" w:cs="Arial"/>
                <w:sz w:val="20"/>
                <w:szCs w:val="20"/>
                <w:lang w:eastAsia="pt-BR"/>
              </w:rPr>
            </w:pPr>
            <w:r w:rsidRPr="00B71958">
              <w:rPr>
                <w:rFonts w:eastAsia="Times New Roman" w:cs="Arial"/>
                <w:sz w:val="20"/>
                <w:szCs w:val="20"/>
                <w:lang w:eastAsia="pt-BR"/>
              </w:rPr>
              <w:t>1.4.1.41</w:t>
            </w:r>
          </w:p>
        </w:tc>
        <w:tc>
          <w:tcPr>
            <w:tcW w:w="2625"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Projetar uma Central de Gerenciamento de Resíduos para destinação adequada da lavagem dos novos filtros da ETA da sede.</w:t>
            </w:r>
          </w:p>
        </w:tc>
        <w:tc>
          <w:tcPr>
            <w:tcW w:w="488"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13º-20º</w:t>
            </w:r>
          </w:p>
        </w:tc>
        <w:tc>
          <w:tcPr>
            <w:tcW w:w="869"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20.000,00</w:t>
            </w:r>
          </w:p>
        </w:tc>
        <w:tc>
          <w:tcPr>
            <w:tcW w:w="651"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B71958">
        <w:trPr>
          <w:trHeight w:val="20"/>
          <w:jc w:val="center"/>
        </w:trPr>
        <w:tc>
          <w:tcPr>
            <w:tcW w:w="367"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10" w:after="10" w:line="240" w:lineRule="auto"/>
              <w:jc w:val="center"/>
              <w:rPr>
                <w:rFonts w:eastAsia="Times New Roman" w:cs="Arial"/>
                <w:sz w:val="20"/>
                <w:szCs w:val="20"/>
                <w:lang w:eastAsia="pt-BR"/>
              </w:rPr>
            </w:pPr>
            <w:r w:rsidRPr="00B71958">
              <w:rPr>
                <w:rFonts w:eastAsia="Times New Roman" w:cs="Arial"/>
                <w:sz w:val="20"/>
                <w:szCs w:val="20"/>
                <w:lang w:eastAsia="pt-BR"/>
              </w:rPr>
              <w:t>1.4.1.42</w:t>
            </w:r>
          </w:p>
        </w:tc>
        <w:tc>
          <w:tcPr>
            <w:tcW w:w="2625"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Executar obras da Central de Gerenciamento de Resíduos da ETA.</w:t>
            </w:r>
          </w:p>
        </w:tc>
        <w:tc>
          <w:tcPr>
            <w:tcW w:w="488"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13º-20º</w:t>
            </w:r>
          </w:p>
        </w:tc>
        <w:tc>
          <w:tcPr>
            <w:tcW w:w="869"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200.000,00</w:t>
            </w:r>
          </w:p>
        </w:tc>
        <w:tc>
          <w:tcPr>
            <w:tcW w:w="651"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B71958">
        <w:trPr>
          <w:trHeight w:val="20"/>
          <w:jc w:val="center"/>
        </w:trPr>
        <w:tc>
          <w:tcPr>
            <w:tcW w:w="367"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10" w:after="10" w:line="240" w:lineRule="auto"/>
              <w:jc w:val="center"/>
              <w:rPr>
                <w:rFonts w:eastAsia="Times New Roman" w:cs="Arial"/>
                <w:sz w:val="20"/>
                <w:szCs w:val="20"/>
                <w:lang w:eastAsia="pt-BR"/>
              </w:rPr>
            </w:pPr>
            <w:r w:rsidRPr="00B71958">
              <w:rPr>
                <w:rFonts w:eastAsia="Times New Roman" w:cs="Arial"/>
                <w:sz w:val="20"/>
                <w:szCs w:val="20"/>
                <w:lang w:eastAsia="pt-BR"/>
              </w:rPr>
              <w:t>1.4.1.43</w:t>
            </w:r>
          </w:p>
        </w:tc>
        <w:tc>
          <w:tcPr>
            <w:tcW w:w="2625"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Garantir que todas as novas ETAs do município tenham Central de Gerenciamento de Resíduos.</w:t>
            </w:r>
          </w:p>
        </w:tc>
        <w:tc>
          <w:tcPr>
            <w:tcW w:w="488"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13º-20º</w:t>
            </w:r>
          </w:p>
        </w:tc>
        <w:tc>
          <w:tcPr>
            <w:tcW w:w="869"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316,60</w:t>
            </w:r>
          </w:p>
        </w:tc>
        <w:tc>
          <w:tcPr>
            <w:tcW w:w="651"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 / Prefeitura Municipal</w:t>
            </w:r>
          </w:p>
        </w:tc>
      </w:tr>
      <w:tr w:rsidR="00B71958" w:rsidRPr="00B71958" w:rsidTr="00B71958">
        <w:trPr>
          <w:trHeight w:val="1247"/>
          <w:jc w:val="center"/>
        </w:trPr>
        <w:tc>
          <w:tcPr>
            <w:tcW w:w="367"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10" w:after="10" w:line="240" w:lineRule="auto"/>
              <w:jc w:val="center"/>
              <w:rPr>
                <w:rFonts w:eastAsia="Times New Roman" w:cs="Arial"/>
                <w:sz w:val="20"/>
                <w:szCs w:val="20"/>
                <w:lang w:eastAsia="pt-BR"/>
              </w:rPr>
            </w:pPr>
            <w:r w:rsidRPr="00B71958">
              <w:rPr>
                <w:rFonts w:eastAsia="Times New Roman" w:cs="Arial"/>
                <w:sz w:val="20"/>
                <w:szCs w:val="20"/>
                <w:lang w:eastAsia="pt-BR"/>
              </w:rPr>
              <w:t>1.4.2.44</w:t>
            </w:r>
          </w:p>
        </w:tc>
        <w:tc>
          <w:tcPr>
            <w:tcW w:w="2625"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Elaborar estudo para avaliação da legislação municipal, estadual e federal, com o propósito de identificar lacunas ainda não regulamentadas, inconsistências internas e outras complementações necessárias.</w:t>
            </w:r>
          </w:p>
        </w:tc>
        <w:tc>
          <w:tcPr>
            <w:tcW w:w="488"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w:t>
            </w:r>
          </w:p>
        </w:tc>
        <w:tc>
          <w:tcPr>
            <w:tcW w:w="869"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w:t>
            </w:r>
          </w:p>
        </w:tc>
        <w:tc>
          <w:tcPr>
            <w:tcW w:w="651"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B71958">
        <w:trPr>
          <w:trHeight w:val="1247"/>
          <w:jc w:val="center"/>
        </w:trPr>
        <w:tc>
          <w:tcPr>
            <w:tcW w:w="367"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10" w:after="10" w:line="240" w:lineRule="auto"/>
              <w:jc w:val="center"/>
              <w:rPr>
                <w:rFonts w:eastAsia="Times New Roman" w:cs="Arial"/>
                <w:sz w:val="20"/>
                <w:szCs w:val="20"/>
                <w:lang w:eastAsia="pt-BR"/>
              </w:rPr>
            </w:pPr>
            <w:r w:rsidRPr="00B71958">
              <w:rPr>
                <w:rFonts w:eastAsia="Times New Roman" w:cs="Arial"/>
                <w:sz w:val="20"/>
                <w:szCs w:val="20"/>
                <w:lang w:eastAsia="pt-BR"/>
              </w:rPr>
              <w:t>1.4.2.45</w:t>
            </w:r>
          </w:p>
        </w:tc>
        <w:tc>
          <w:tcPr>
            <w:tcW w:w="2625"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Realizar os estudos técnicos necessários para regularização das portarias de outorga de direito de uso dos recursos hídricos e licenciamento das unidades dos sistemas de abastecimento de água atuais e protocolar as solicitações junto aos órgãos competentes.</w:t>
            </w:r>
          </w:p>
        </w:tc>
        <w:tc>
          <w:tcPr>
            <w:tcW w:w="488"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1º-2º</w:t>
            </w:r>
          </w:p>
        </w:tc>
        <w:tc>
          <w:tcPr>
            <w:tcW w:w="869"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20.000,00</w:t>
            </w:r>
          </w:p>
        </w:tc>
        <w:tc>
          <w:tcPr>
            <w:tcW w:w="651"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B71958">
        <w:trPr>
          <w:trHeight w:val="1247"/>
          <w:jc w:val="center"/>
        </w:trPr>
        <w:tc>
          <w:tcPr>
            <w:tcW w:w="367"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10" w:after="10" w:line="240" w:lineRule="auto"/>
              <w:jc w:val="center"/>
              <w:rPr>
                <w:rFonts w:eastAsia="Times New Roman" w:cs="Arial"/>
                <w:sz w:val="20"/>
                <w:szCs w:val="20"/>
                <w:lang w:eastAsia="pt-BR"/>
              </w:rPr>
            </w:pPr>
            <w:r w:rsidRPr="00B71958">
              <w:rPr>
                <w:rFonts w:eastAsia="Times New Roman" w:cs="Arial"/>
                <w:sz w:val="20"/>
                <w:szCs w:val="20"/>
                <w:lang w:eastAsia="pt-BR"/>
              </w:rPr>
              <w:lastRenderedPageBreak/>
              <w:t>1.4.3.46</w:t>
            </w:r>
          </w:p>
        </w:tc>
        <w:tc>
          <w:tcPr>
            <w:tcW w:w="2625"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Realizar os estudos técnicos necessários para a obtenção das portarias de outorga de direito de uso dos recursos hídricos e licenciamento das unidades do SAA a serem instaladas quando da ampliação do sistema e protocolar as solicitações junto aos órgãos competentes.</w:t>
            </w:r>
          </w:p>
        </w:tc>
        <w:tc>
          <w:tcPr>
            <w:tcW w:w="488"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1º-20º</w:t>
            </w:r>
          </w:p>
        </w:tc>
        <w:tc>
          <w:tcPr>
            <w:tcW w:w="869"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20.484,70</w:t>
            </w:r>
          </w:p>
        </w:tc>
        <w:tc>
          <w:tcPr>
            <w:tcW w:w="651"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B71958">
        <w:trPr>
          <w:trHeight w:val="20"/>
          <w:jc w:val="center"/>
        </w:trPr>
        <w:tc>
          <w:tcPr>
            <w:tcW w:w="367"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before="10" w:after="10" w:line="240" w:lineRule="auto"/>
              <w:jc w:val="center"/>
              <w:rPr>
                <w:rFonts w:eastAsia="Times New Roman" w:cs="Arial"/>
                <w:sz w:val="20"/>
                <w:szCs w:val="20"/>
                <w:lang w:eastAsia="pt-BR"/>
              </w:rPr>
            </w:pPr>
            <w:r w:rsidRPr="00B71958">
              <w:rPr>
                <w:rFonts w:eastAsia="Times New Roman" w:cs="Arial"/>
                <w:sz w:val="20"/>
                <w:szCs w:val="20"/>
                <w:lang w:eastAsia="pt-BR"/>
              </w:rPr>
              <w:t>1.4.3.47</w:t>
            </w:r>
          </w:p>
        </w:tc>
        <w:tc>
          <w:tcPr>
            <w:tcW w:w="2625"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Verificar os prazos de validade e promover estudos complementares para manutenção das portarias de outorga de direito de uso dos recursos hídricos e das licenças ambientais.</w:t>
            </w:r>
          </w:p>
        </w:tc>
        <w:tc>
          <w:tcPr>
            <w:tcW w:w="488"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1º-20º</w:t>
            </w:r>
          </w:p>
        </w:tc>
        <w:tc>
          <w:tcPr>
            <w:tcW w:w="869"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27.312,93</w:t>
            </w:r>
          </w:p>
        </w:tc>
        <w:tc>
          <w:tcPr>
            <w:tcW w:w="651"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bl>
    <w:p w:rsidR="00B71958" w:rsidRPr="00B71958" w:rsidRDefault="00B71958" w:rsidP="00810C89">
      <w:pPr>
        <w:pStyle w:val="Fonte"/>
        <w:rPr>
          <w:lang w:eastAsia="x-none"/>
        </w:rPr>
      </w:pPr>
      <w:r w:rsidRPr="00B71958">
        <w:t xml:space="preserve">**(s/o/m/a) = nº do setor / nº do objetivo / nº da meta / nº da ação. / </w:t>
      </w:r>
      <w:r w:rsidRPr="00B71958">
        <w:rPr>
          <w:rFonts w:cs="Arial"/>
          <w:color w:val="000000"/>
          <w:sz w:val="19"/>
          <w:szCs w:val="19"/>
        </w:rPr>
        <w:t>*:Dependente de outras ações que possuem custos próprios estimados.</w:t>
      </w:r>
    </w:p>
    <w:p w:rsidR="00B71958" w:rsidRPr="00B71958" w:rsidRDefault="00B71958" w:rsidP="00810C89">
      <w:pPr>
        <w:pStyle w:val="Legenda"/>
      </w:pPr>
      <w:r w:rsidRPr="00B71958">
        <w:rPr>
          <w:sz w:val="22"/>
          <w:lang w:eastAsia="pt-BR"/>
        </w:rPr>
        <w:br w:type="page"/>
      </w:r>
      <w:bookmarkStart w:id="705" w:name="_Ref491958395"/>
      <w:bookmarkStart w:id="706" w:name="_Toc498594126"/>
      <w:bookmarkStart w:id="707" w:name="_Toc491681719"/>
      <w:bookmarkStart w:id="708" w:name="_Toc505788340"/>
      <w:bookmarkStart w:id="709" w:name="_Toc509935838"/>
      <w:r w:rsidRPr="00B71958">
        <w:lastRenderedPageBreak/>
        <w:t xml:space="preserve">Quadro </w:t>
      </w:r>
      <w:r w:rsidR="000A1C78">
        <w:fldChar w:fldCharType="begin"/>
      </w:r>
      <w:r w:rsidR="000A1C78">
        <w:instrText xml:space="preserve"> SEQ Quadro \* ARABIC </w:instrText>
      </w:r>
      <w:r w:rsidR="000A1C78">
        <w:fldChar w:fldCharType="separate"/>
      </w:r>
      <w:r w:rsidR="001B481B">
        <w:rPr>
          <w:noProof/>
        </w:rPr>
        <w:t>61</w:t>
      </w:r>
      <w:r w:rsidR="000A1C78">
        <w:rPr>
          <w:noProof/>
        </w:rPr>
        <w:fldChar w:fldCharType="end"/>
      </w:r>
      <w:bookmarkEnd w:id="705"/>
      <w:r w:rsidRPr="00B71958">
        <w:t xml:space="preserve"> - Programas e ações propostos para o setor de abastecimento de água - Objetivo 5</w:t>
      </w:r>
      <w:bookmarkEnd w:id="706"/>
      <w:bookmarkEnd w:id="707"/>
      <w:bookmarkEnd w:id="708"/>
      <w:bookmarkEnd w:id="709"/>
    </w:p>
    <w:tbl>
      <w:tblPr>
        <w:tblW w:w="14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9"/>
        <w:gridCol w:w="283"/>
        <w:gridCol w:w="3831"/>
        <w:gridCol w:w="1985"/>
        <w:gridCol w:w="1985"/>
        <w:gridCol w:w="4592"/>
      </w:tblGrid>
      <w:tr w:rsidR="00B71958" w:rsidRPr="00B71958" w:rsidTr="00B71958">
        <w:trPr>
          <w:trHeight w:val="20"/>
          <w:jc w:val="center"/>
        </w:trPr>
        <w:tc>
          <w:tcPr>
            <w:tcW w:w="702" w:type="pct"/>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line="240" w:lineRule="auto"/>
              <w:rPr>
                <w:rFonts w:eastAsia="Times New Roman" w:cs="Arial"/>
                <w:b/>
                <w:bCs/>
                <w:sz w:val="20"/>
                <w:szCs w:val="20"/>
                <w:lang w:eastAsia="pt-BR"/>
              </w:rPr>
            </w:pPr>
            <w:r w:rsidRPr="00B71958">
              <w:rPr>
                <w:rFonts w:eastAsia="Times New Roman" w:cs="Arial"/>
                <w:b/>
                <w:bCs/>
                <w:sz w:val="20"/>
                <w:szCs w:val="20"/>
                <w:lang w:eastAsia="pt-BR"/>
              </w:rPr>
              <w:t>SETOR</w:t>
            </w:r>
          </w:p>
        </w:tc>
        <w:tc>
          <w:tcPr>
            <w:tcW w:w="96" w:type="pct"/>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line="240" w:lineRule="auto"/>
              <w:rPr>
                <w:rFonts w:eastAsia="Times New Roman" w:cs="Arial"/>
                <w:sz w:val="20"/>
                <w:szCs w:val="20"/>
                <w:lang w:eastAsia="pt-BR"/>
              </w:rPr>
            </w:pPr>
            <w:r w:rsidRPr="00B71958">
              <w:rPr>
                <w:rFonts w:eastAsia="Times New Roman" w:cs="Arial"/>
                <w:sz w:val="20"/>
                <w:szCs w:val="20"/>
                <w:lang w:eastAsia="pt-BR"/>
              </w:rPr>
              <w:t>1</w:t>
            </w:r>
          </w:p>
        </w:tc>
        <w:tc>
          <w:tcPr>
            <w:tcW w:w="4202" w:type="pct"/>
            <w:gridSpan w:val="4"/>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line="240" w:lineRule="auto"/>
              <w:rPr>
                <w:rFonts w:eastAsia="Times New Roman" w:cs="Arial"/>
                <w:sz w:val="20"/>
                <w:szCs w:val="20"/>
                <w:lang w:eastAsia="pt-BR"/>
              </w:rPr>
            </w:pPr>
            <w:r w:rsidRPr="00B71958">
              <w:rPr>
                <w:rFonts w:eastAsia="Times New Roman" w:cs="Arial"/>
                <w:sz w:val="20"/>
                <w:szCs w:val="20"/>
                <w:lang w:eastAsia="pt-BR"/>
              </w:rPr>
              <w:t>Abastecimento de Água.</w:t>
            </w:r>
          </w:p>
        </w:tc>
      </w:tr>
      <w:tr w:rsidR="00B71958" w:rsidRPr="00B71958" w:rsidTr="00B71958">
        <w:trPr>
          <w:trHeight w:val="20"/>
          <w:jc w:val="center"/>
        </w:trPr>
        <w:tc>
          <w:tcPr>
            <w:tcW w:w="70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line="240" w:lineRule="auto"/>
              <w:rPr>
                <w:rFonts w:eastAsia="Times New Roman" w:cs="Arial"/>
                <w:b/>
                <w:bCs/>
                <w:sz w:val="20"/>
                <w:szCs w:val="20"/>
                <w:lang w:eastAsia="pt-BR"/>
              </w:rPr>
            </w:pPr>
            <w:r w:rsidRPr="00B71958">
              <w:rPr>
                <w:rFonts w:eastAsia="Times New Roman" w:cs="Arial"/>
                <w:b/>
                <w:bCs/>
                <w:sz w:val="20"/>
                <w:szCs w:val="20"/>
                <w:lang w:eastAsia="pt-BR"/>
              </w:rPr>
              <w:t>OBJETIVO</w:t>
            </w:r>
          </w:p>
        </w:tc>
        <w:tc>
          <w:tcPr>
            <w:tcW w:w="96"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rPr>
                <w:rFonts w:eastAsia="Times New Roman" w:cs="Arial"/>
                <w:sz w:val="20"/>
                <w:szCs w:val="20"/>
                <w:lang w:eastAsia="pt-BR"/>
              </w:rPr>
            </w:pPr>
            <w:r w:rsidRPr="00B71958">
              <w:rPr>
                <w:rFonts w:eastAsia="Times New Roman" w:cs="Arial"/>
                <w:sz w:val="20"/>
                <w:szCs w:val="20"/>
                <w:lang w:eastAsia="pt-BR"/>
              </w:rPr>
              <w:t>5</w:t>
            </w:r>
          </w:p>
        </w:tc>
        <w:tc>
          <w:tcPr>
            <w:tcW w:w="4202" w:type="pct"/>
            <w:gridSpan w:val="4"/>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rPr>
                <w:rFonts w:cs="Arial"/>
                <w:sz w:val="20"/>
                <w:szCs w:val="20"/>
              </w:rPr>
            </w:pPr>
            <w:r w:rsidRPr="00B71958">
              <w:rPr>
                <w:rFonts w:eastAsia="Times New Roman" w:cs="Arial"/>
                <w:sz w:val="20"/>
                <w:szCs w:val="20"/>
                <w:lang w:eastAsia="pt-BR"/>
              </w:rPr>
              <w:t>Garantir a mobilização social e canais de comunicação com a sociedade, além de promover ações para a avaliação periódica da percepção dos usuários e para a promoção de educação ambiental.</w:t>
            </w:r>
          </w:p>
        </w:tc>
      </w:tr>
      <w:tr w:rsidR="00B71958" w:rsidRPr="00B71958" w:rsidTr="00B71958">
        <w:trPr>
          <w:trHeight w:val="20"/>
          <w:jc w:val="center"/>
        </w:trPr>
        <w:tc>
          <w:tcPr>
            <w:tcW w:w="70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before="20" w:after="20" w:line="240" w:lineRule="auto"/>
              <w:contextualSpacing/>
              <w:rPr>
                <w:rFonts w:eastAsia="Times New Roman" w:cs="Arial"/>
                <w:b/>
                <w:bCs/>
                <w:sz w:val="20"/>
                <w:szCs w:val="20"/>
                <w:lang w:eastAsia="pt-BR"/>
              </w:rPr>
            </w:pPr>
            <w:r w:rsidRPr="00B71958">
              <w:rPr>
                <w:rFonts w:eastAsia="Times New Roman" w:cs="Arial"/>
                <w:b/>
                <w:bCs/>
                <w:sz w:val="20"/>
                <w:szCs w:val="20"/>
                <w:lang w:eastAsia="pt-BR"/>
              </w:rPr>
              <w:t>INDICADORES DE MONITORAMENTO</w:t>
            </w:r>
          </w:p>
        </w:tc>
        <w:tc>
          <w:tcPr>
            <w:tcW w:w="4298" w:type="pct"/>
            <w:gridSpan w:val="5"/>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both"/>
              <w:rPr>
                <w:rFonts w:eastAsia="Times New Roman" w:cs="Arial"/>
                <w:sz w:val="20"/>
                <w:szCs w:val="20"/>
                <w:lang w:eastAsia="pt-BR"/>
              </w:rPr>
            </w:pPr>
            <w:r w:rsidRPr="00B71958">
              <w:rPr>
                <w:rFonts w:eastAsia="Times New Roman" w:cs="Arial"/>
                <w:sz w:val="20"/>
                <w:szCs w:val="20"/>
                <w:lang w:eastAsia="pt-BR"/>
              </w:rPr>
              <w:t>Índice de respostas satisfatórias à pesquisa de satisfação.</w:t>
            </w:r>
          </w:p>
          <w:p w:rsidR="00B71958" w:rsidRPr="00B71958" w:rsidRDefault="00B71958" w:rsidP="00B71958">
            <w:pPr>
              <w:spacing w:line="240" w:lineRule="auto"/>
              <w:jc w:val="both"/>
              <w:rPr>
                <w:rFonts w:eastAsia="Times New Roman" w:cs="Arial"/>
                <w:sz w:val="20"/>
                <w:szCs w:val="20"/>
                <w:lang w:eastAsia="pt-BR"/>
              </w:rPr>
            </w:pPr>
            <w:r w:rsidRPr="00B71958">
              <w:rPr>
                <w:rFonts w:eastAsia="Times New Roman" w:cs="Arial"/>
                <w:sz w:val="20"/>
                <w:szCs w:val="20"/>
                <w:lang w:eastAsia="pt-BR"/>
              </w:rPr>
              <w:t>Evolução do número de eventos oficiais realizados por ano no município, que envolvam temas de saneamento básico.</w:t>
            </w:r>
          </w:p>
        </w:tc>
      </w:tr>
      <w:tr w:rsidR="00B71958" w:rsidRPr="00B71958" w:rsidTr="00B71958">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noWrap/>
            <w:vAlign w:val="center"/>
          </w:tcPr>
          <w:p w:rsidR="00B71958" w:rsidRPr="00B71958" w:rsidRDefault="00B71958" w:rsidP="00B71958">
            <w:pPr>
              <w:spacing w:line="240" w:lineRule="auto"/>
              <w:rPr>
                <w:rFonts w:eastAsia="Times New Roman" w:cs="Arial"/>
                <w:sz w:val="2"/>
                <w:szCs w:val="2"/>
                <w:lang w:eastAsia="pt-BR"/>
              </w:rPr>
            </w:pPr>
          </w:p>
        </w:tc>
      </w:tr>
      <w:tr w:rsidR="00B71958" w:rsidRPr="00B71958" w:rsidTr="00B71958">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PRAZO DE ENTREGA DA META (ANOS)</w:t>
            </w:r>
          </w:p>
        </w:tc>
      </w:tr>
      <w:tr w:rsidR="00B71958" w:rsidRPr="00B71958" w:rsidTr="00B71958">
        <w:trPr>
          <w:trHeight w:val="20"/>
          <w:jc w:val="center"/>
        </w:trPr>
        <w:tc>
          <w:tcPr>
            <w:tcW w:w="2097" w:type="pct"/>
            <w:gridSpan w:val="3"/>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IMEDIATO (0 a 3)</w:t>
            </w:r>
          </w:p>
        </w:tc>
        <w:tc>
          <w:tcPr>
            <w:tcW w:w="673" w:type="pct"/>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CURTO (4 a 8)</w:t>
            </w:r>
          </w:p>
        </w:tc>
        <w:tc>
          <w:tcPr>
            <w:tcW w:w="673" w:type="pct"/>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MÉDIO (9 a 12)</w:t>
            </w:r>
          </w:p>
        </w:tc>
        <w:tc>
          <w:tcPr>
            <w:tcW w:w="1557" w:type="pct"/>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LONGO (13 a 20)</w:t>
            </w:r>
          </w:p>
        </w:tc>
      </w:tr>
      <w:tr w:rsidR="00B71958" w:rsidRPr="00B71958" w:rsidTr="00B71958">
        <w:trPr>
          <w:trHeight w:val="20"/>
          <w:jc w:val="center"/>
        </w:trPr>
        <w:tc>
          <w:tcPr>
            <w:tcW w:w="2097" w:type="pct"/>
            <w:gridSpan w:val="3"/>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before="20" w:after="20" w:line="240" w:lineRule="auto"/>
              <w:jc w:val="both"/>
              <w:rPr>
                <w:rFonts w:cs="Arial"/>
                <w:bCs/>
                <w:sz w:val="20"/>
                <w:szCs w:val="20"/>
              </w:rPr>
            </w:pPr>
            <w:r w:rsidRPr="00B71958">
              <w:rPr>
                <w:rFonts w:cs="Arial"/>
                <w:bCs/>
                <w:sz w:val="20"/>
                <w:szCs w:val="20"/>
              </w:rPr>
              <w:t>5.1. Participação popular ativa na gestão do SAA e no processo de tomada de decisão, com população instruída.</w:t>
            </w:r>
          </w:p>
          <w:p w:rsidR="00B71958" w:rsidRPr="00B71958" w:rsidRDefault="00B71958" w:rsidP="00B71958">
            <w:pPr>
              <w:spacing w:before="20" w:after="20" w:line="240" w:lineRule="auto"/>
              <w:jc w:val="both"/>
              <w:rPr>
                <w:rFonts w:cs="Arial"/>
                <w:bCs/>
                <w:sz w:val="20"/>
                <w:szCs w:val="20"/>
              </w:rPr>
            </w:pPr>
            <w:r w:rsidRPr="00B71958">
              <w:rPr>
                <w:rFonts w:cs="Arial"/>
                <w:bCs/>
                <w:sz w:val="20"/>
                <w:szCs w:val="20"/>
              </w:rPr>
              <w:t>5.2. População sensibilizada sobre questões de escassez de água.</w:t>
            </w:r>
          </w:p>
          <w:p w:rsidR="00B71958" w:rsidRPr="00B71958" w:rsidRDefault="00B71958" w:rsidP="00B71958">
            <w:pPr>
              <w:spacing w:before="20" w:after="20" w:line="240" w:lineRule="auto"/>
              <w:jc w:val="both"/>
              <w:rPr>
                <w:rFonts w:cs="Arial"/>
                <w:bCs/>
                <w:sz w:val="20"/>
                <w:szCs w:val="20"/>
              </w:rPr>
            </w:pPr>
            <w:r w:rsidRPr="00B71958">
              <w:rPr>
                <w:rFonts w:cs="Arial"/>
                <w:bCs/>
                <w:sz w:val="20"/>
                <w:szCs w:val="20"/>
              </w:rPr>
              <w:t>5.3. Possuir canais de comunicação com a população.</w:t>
            </w:r>
          </w:p>
        </w:tc>
        <w:tc>
          <w:tcPr>
            <w:tcW w:w="673" w:type="pct"/>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line="240" w:lineRule="auto"/>
              <w:rPr>
                <w:rFonts w:ascii="Calibri" w:hAnsi="Calibri"/>
                <w:sz w:val="20"/>
                <w:szCs w:val="20"/>
                <w:lang w:eastAsia="pt-BR"/>
              </w:rPr>
            </w:pPr>
          </w:p>
        </w:tc>
        <w:tc>
          <w:tcPr>
            <w:tcW w:w="673" w:type="pct"/>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line="240" w:lineRule="auto"/>
              <w:rPr>
                <w:rFonts w:ascii="Calibri" w:hAnsi="Calibri"/>
                <w:sz w:val="20"/>
                <w:szCs w:val="20"/>
                <w:lang w:eastAsia="pt-BR"/>
              </w:rPr>
            </w:pPr>
          </w:p>
        </w:tc>
        <w:tc>
          <w:tcPr>
            <w:tcW w:w="1557" w:type="pct"/>
            <w:tcBorders>
              <w:top w:val="single" w:sz="4" w:space="0" w:color="auto"/>
              <w:left w:val="single" w:sz="4" w:space="0" w:color="auto"/>
              <w:bottom w:val="single" w:sz="4" w:space="0" w:color="auto"/>
              <w:right w:val="single" w:sz="4" w:space="0" w:color="auto"/>
            </w:tcBorders>
            <w:noWrap/>
            <w:vAlign w:val="center"/>
            <w:hideMark/>
          </w:tcPr>
          <w:p w:rsidR="00B71958" w:rsidRPr="00B71958" w:rsidRDefault="00B71958" w:rsidP="00B71958">
            <w:pPr>
              <w:spacing w:before="20" w:after="20" w:line="240" w:lineRule="auto"/>
              <w:jc w:val="both"/>
              <w:rPr>
                <w:rFonts w:cs="Arial"/>
                <w:bCs/>
                <w:sz w:val="20"/>
                <w:szCs w:val="20"/>
              </w:rPr>
            </w:pPr>
            <w:r w:rsidRPr="00B71958">
              <w:rPr>
                <w:rFonts w:cs="Arial"/>
                <w:bCs/>
                <w:sz w:val="20"/>
                <w:szCs w:val="20"/>
              </w:rPr>
              <w:t>5.4. Obter um índice de 100% de respostas satisfatórias a reclamações.</w:t>
            </w:r>
          </w:p>
        </w:tc>
      </w:tr>
    </w:tbl>
    <w:p w:rsidR="00B71958" w:rsidRPr="00B71958" w:rsidRDefault="00B71958" w:rsidP="00B71958">
      <w:pPr>
        <w:rPr>
          <w:sz w:val="10"/>
          <w:szCs w:val="10"/>
          <w:lang w:eastAsia="pt-B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1"/>
        <w:gridCol w:w="6160"/>
        <w:gridCol w:w="2504"/>
        <w:gridCol w:w="2504"/>
        <w:gridCol w:w="2501"/>
      </w:tblGrid>
      <w:tr w:rsidR="00B71958" w:rsidRPr="00B71958" w:rsidTr="00B71958">
        <w:trPr>
          <w:trHeight w:val="57"/>
          <w:tblHeade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C0C0C0"/>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PROGRAMAS E AÇÕES</w:t>
            </w:r>
          </w:p>
        </w:tc>
      </w:tr>
      <w:tr w:rsidR="00B71958" w:rsidRPr="00B71958" w:rsidTr="00B71958">
        <w:trPr>
          <w:trHeight w:val="57"/>
          <w:tblHeader/>
          <w:jc w:val="center"/>
        </w:trPr>
        <w:tc>
          <w:tcPr>
            <w:tcW w:w="35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CÓDIGO</w:t>
            </w:r>
          </w:p>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(s/o/m/a)*</w:t>
            </w:r>
          </w:p>
        </w:tc>
        <w:tc>
          <w:tcPr>
            <w:tcW w:w="209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DESCRIÇÃO</w:t>
            </w:r>
          </w:p>
        </w:tc>
        <w:tc>
          <w:tcPr>
            <w:tcW w:w="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line="240" w:lineRule="auto"/>
              <w:ind w:firstLine="72"/>
              <w:jc w:val="center"/>
              <w:rPr>
                <w:rFonts w:eastAsia="Times New Roman" w:cs="Arial"/>
                <w:b/>
                <w:bCs/>
                <w:sz w:val="20"/>
                <w:szCs w:val="20"/>
                <w:lang w:eastAsia="pt-BR"/>
              </w:rPr>
            </w:pPr>
            <w:r w:rsidRPr="00B71958">
              <w:rPr>
                <w:rFonts w:eastAsia="Times New Roman" w:cs="Arial"/>
                <w:b/>
                <w:bCs/>
                <w:sz w:val="20"/>
                <w:szCs w:val="20"/>
                <w:lang w:eastAsia="pt-BR"/>
              </w:rPr>
              <w:t>Período de desenvolvimento da ação</w:t>
            </w:r>
          </w:p>
          <w:p w:rsidR="00B71958" w:rsidRPr="00B71958" w:rsidRDefault="00B71958" w:rsidP="00B71958">
            <w:pPr>
              <w:spacing w:line="240" w:lineRule="auto"/>
              <w:jc w:val="center"/>
              <w:rPr>
                <w:rFonts w:eastAsia="Times New Roman" w:cs="Arial"/>
                <w:b/>
                <w:bCs/>
                <w:sz w:val="20"/>
                <w:szCs w:val="20"/>
                <w:lang w:eastAsia="pt-BR"/>
              </w:rPr>
            </w:pPr>
            <w:r w:rsidRPr="00B71958">
              <w:rPr>
                <w:rFonts w:eastAsia="Times New Roman" w:cs="Arial"/>
                <w:b/>
                <w:bCs/>
                <w:sz w:val="20"/>
                <w:szCs w:val="20"/>
                <w:lang w:eastAsia="pt-BR"/>
              </w:rPr>
              <w:t>(ano)</w:t>
            </w:r>
          </w:p>
        </w:tc>
        <w:tc>
          <w:tcPr>
            <w:tcW w:w="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line="240" w:lineRule="auto"/>
              <w:ind w:left="64" w:firstLine="8"/>
              <w:jc w:val="center"/>
              <w:rPr>
                <w:rFonts w:eastAsia="Times New Roman" w:cs="Arial"/>
                <w:b/>
                <w:bCs/>
                <w:sz w:val="20"/>
                <w:szCs w:val="20"/>
                <w:lang w:eastAsia="pt-BR"/>
              </w:rPr>
            </w:pPr>
            <w:r w:rsidRPr="00B71958">
              <w:rPr>
                <w:rFonts w:eastAsia="Times New Roman" w:cs="Arial"/>
                <w:b/>
                <w:bCs/>
                <w:sz w:val="20"/>
                <w:szCs w:val="20"/>
                <w:lang w:eastAsia="pt-BR"/>
              </w:rPr>
              <w:t>Custo total na moeda de 2017</w:t>
            </w:r>
          </w:p>
          <w:p w:rsidR="00B71958" w:rsidRPr="00B71958" w:rsidRDefault="00B71958" w:rsidP="00B71958">
            <w:pPr>
              <w:spacing w:before="20" w:after="20" w:line="240" w:lineRule="auto"/>
              <w:contextualSpacing/>
              <w:jc w:val="center"/>
              <w:rPr>
                <w:rFonts w:eastAsia="Times New Roman" w:cs="Arial"/>
                <w:b/>
                <w:bCs/>
                <w:sz w:val="20"/>
                <w:szCs w:val="20"/>
                <w:lang w:eastAsia="pt-BR"/>
              </w:rPr>
            </w:pPr>
            <w:r w:rsidRPr="00B71958">
              <w:rPr>
                <w:rFonts w:eastAsia="Times New Roman" w:cs="Arial"/>
                <w:b/>
                <w:bCs/>
                <w:sz w:val="20"/>
                <w:szCs w:val="20"/>
                <w:lang w:eastAsia="pt-BR"/>
              </w:rPr>
              <w:t>(R$)</w:t>
            </w:r>
          </w:p>
        </w:tc>
        <w:tc>
          <w:tcPr>
            <w:tcW w:w="85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B71958" w:rsidRPr="00B71958" w:rsidRDefault="00B71958" w:rsidP="00B71958">
            <w:pPr>
              <w:spacing w:line="240" w:lineRule="auto"/>
              <w:ind w:left="64" w:firstLine="8"/>
              <w:jc w:val="center"/>
              <w:rPr>
                <w:rFonts w:eastAsia="Times New Roman" w:cs="Arial"/>
                <w:b/>
                <w:bCs/>
                <w:sz w:val="20"/>
                <w:szCs w:val="20"/>
                <w:lang w:eastAsia="pt-BR"/>
              </w:rPr>
            </w:pPr>
            <w:r w:rsidRPr="00B71958">
              <w:rPr>
                <w:rFonts w:eastAsia="Times New Roman" w:cs="Arial"/>
                <w:b/>
                <w:bCs/>
                <w:sz w:val="20"/>
                <w:szCs w:val="20"/>
                <w:lang w:eastAsia="pt-BR"/>
              </w:rPr>
              <w:t>Responsável pela ação</w:t>
            </w:r>
          </w:p>
        </w:tc>
      </w:tr>
      <w:tr w:rsidR="00B71958" w:rsidRPr="00B71958" w:rsidTr="00B71958">
        <w:trPr>
          <w:trHeight w:val="454"/>
          <w:jc w:val="center"/>
        </w:trPr>
        <w:tc>
          <w:tcPr>
            <w:tcW w:w="354"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1.5.1.48</w:t>
            </w:r>
          </w:p>
        </w:tc>
        <w:tc>
          <w:tcPr>
            <w:tcW w:w="2094"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Realizar periodicamente eventos públicos (como audiências), com o intuito de informar a população sobre a situação dos SAAs no município e receber sugestões/reclamações.</w:t>
            </w:r>
          </w:p>
        </w:tc>
        <w:tc>
          <w:tcPr>
            <w:tcW w:w="851"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1º-20º</w:t>
            </w:r>
          </w:p>
        </w:tc>
        <w:tc>
          <w:tcPr>
            <w:tcW w:w="851"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2.415,70</w:t>
            </w:r>
          </w:p>
        </w:tc>
        <w:tc>
          <w:tcPr>
            <w:tcW w:w="850"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B71958">
        <w:trPr>
          <w:trHeight w:val="454"/>
          <w:jc w:val="center"/>
        </w:trPr>
        <w:tc>
          <w:tcPr>
            <w:tcW w:w="354"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1.5.2.49</w:t>
            </w:r>
          </w:p>
        </w:tc>
        <w:tc>
          <w:tcPr>
            <w:tcW w:w="2094"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Realizar eventos e oficinas sobre Educação Ambiental para a conscientização da população sobre o uso racional da água e conservação dos recursos hídricos, principalmente a conservação das nascentes e cursos d’água que são utilizados para abastecimento. Organizar visitas educativas às ETAs do munícipio.</w:t>
            </w:r>
          </w:p>
        </w:tc>
        <w:tc>
          <w:tcPr>
            <w:tcW w:w="851"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1º-20º</w:t>
            </w:r>
          </w:p>
        </w:tc>
        <w:tc>
          <w:tcPr>
            <w:tcW w:w="851"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right"/>
              <w:rPr>
                <w:rFonts w:eastAsia="Times New Roman" w:cs="Arial"/>
                <w:sz w:val="20"/>
                <w:szCs w:val="20"/>
                <w:lang w:eastAsia="pt-BR"/>
              </w:rPr>
            </w:pPr>
            <w:r w:rsidRPr="00B71958">
              <w:rPr>
                <w:rFonts w:eastAsia="Times New Roman" w:cs="Arial"/>
                <w:sz w:val="20"/>
                <w:szCs w:val="20"/>
                <w:lang w:eastAsia="pt-BR"/>
              </w:rPr>
              <w:t xml:space="preserve"> 2.415,70</w:t>
            </w:r>
          </w:p>
        </w:tc>
        <w:tc>
          <w:tcPr>
            <w:tcW w:w="850"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w:t>
            </w:r>
          </w:p>
        </w:tc>
      </w:tr>
      <w:tr w:rsidR="00B71958" w:rsidRPr="00B71958" w:rsidTr="00B71958">
        <w:trPr>
          <w:trHeight w:val="454"/>
          <w:jc w:val="center"/>
        </w:trPr>
        <w:tc>
          <w:tcPr>
            <w:tcW w:w="354"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1.5.3.50</w:t>
            </w:r>
          </w:p>
        </w:tc>
        <w:tc>
          <w:tcPr>
            <w:tcW w:w="2094"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Alimentar a página do site oficial da Prefeitura ou da rede social ou, ainda, da conta de aplicativo de mensagens instantâneas, com informações atualizadas e pertinentes ao saneamento.</w:t>
            </w:r>
          </w:p>
        </w:tc>
        <w:tc>
          <w:tcPr>
            <w:tcW w:w="851"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1º-20º</w:t>
            </w:r>
          </w:p>
        </w:tc>
        <w:tc>
          <w:tcPr>
            <w:tcW w:w="851"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w:t>
            </w:r>
          </w:p>
        </w:tc>
        <w:tc>
          <w:tcPr>
            <w:tcW w:w="850"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Prefeitura Municipal</w:t>
            </w:r>
          </w:p>
        </w:tc>
      </w:tr>
      <w:tr w:rsidR="00B71958" w:rsidRPr="00B71958" w:rsidTr="00810C89">
        <w:trPr>
          <w:trHeight w:val="680"/>
          <w:jc w:val="center"/>
        </w:trPr>
        <w:tc>
          <w:tcPr>
            <w:tcW w:w="354"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lastRenderedPageBreak/>
              <w:t>1.5.3.51</w:t>
            </w:r>
          </w:p>
        </w:tc>
        <w:tc>
          <w:tcPr>
            <w:tcW w:w="2094"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Implementar um Sistema de Atendimento ao Consumidor (SAC) e cadastro das reclamações da população feitas à Prefeitura, sobre questões relacionadas ao SAA, buscando o atendimento às demandas de maneira mais rápida e eficiente do praticado atualmente.</w:t>
            </w:r>
          </w:p>
        </w:tc>
        <w:tc>
          <w:tcPr>
            <w:tcW w:w="851"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1º-20º</w:t>
            </w:r>
          </w:p>
        </w:tc>
        <w:tc>
          <w:tcPr>
            <w:tcW w:w="851"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w:t>
            </w:r>
          </w:p>
        </w:tc>
        <w:tc>
          <w:tcPr>
            <w:tcW w:w="850"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 / Prefeitura Municipal</w:t>
            </w:r>
          </w:p>
        </w:tc>
      </w:tr>
      <w:tr w:rsidR="00B71958" w:rsidRPr="00B71958" w:rsidTr="00B71958">
        <w:trPr>
          <w:trHeight w:val="454"/>
          <w:jc w:val="center"/>
        </w:trPr>
        <w:tc>
          <w:tcPr>
            <w:tcW w:w="354"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1.5.4.52</w:t>
            </w:r>
          </w:p>
        </w:tc>
        <w:tc>
          <w:tcPr>
            <w:tcW w:w="2094"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66661F">
            <w:pPr>
              <w:numPr>
                <w:ilvl w:val="0"/>
                <w:numId w:val="94"/>
              </w:numPr>
              <w:tabs>
                <w:tab w:val="left" w:pos="0"/>
                <w:tab w:val="left" w:pos="781"/>
                <w:tab w:val="left" w:pos="891"/>
              </w:tabs>
              <w:spacing w:before="20" w:after="20" w:line="240" w:lineRule="auto"/>
              <w:ind w:left="777" w:hanging="425"/>
              <w:contextualSpacing/>
              <w:jc w:val="both"/>
              <w:rPr>
                <w:rFonts w:cs="Arial"/>
                <w:sz w:val="20"/>
                <w:szCs w:val="20"/>
                <w:lang w:eastAsia="pt-BR"/>
              </w:rPr>
            </w:pPr>
            <w:r w:rsidRPr="00B71958">
              <w:rPr>
                <w:rFonts w:cs="Arial"/>
                <w:sz w:val="20"/>
                <w:szCs w:val="20"/>
                <w:lang w:eastAsia="pt-BR"/>
              </w:rPr>
              <w:t>Realizar periodicamente pesquisas de satisfação com a população para obter feedbacks dos serviços prestados, de maneira a verificar os pontos passíveis de melhorias.</w:t>
            </w:r>
          </w:p>
        </w:tc>
        <w:tc>
          <w:tcPr>
            <w:tcW w:w="851"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1º-20º</w:t>
            </w:r>
          </w:p>
        </w:tc>
        <w:tc>
          <w:tcPr>
            <w:tcW w:w="851"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w:t>
            </w:r>
          </w:p>
        </w:tc>
        <w:tc>
          <w:tcPr>
            <w:tcW w:w="850" w:type="pct"/>
            <w:tcBorders>
              <w:top w:val="single" w:sz="4" w:space="0" w:color="auto"/>
              <w:left w:val="single" w:sz="4" w:space="0" w:color="auto"/>
              <w:bottom w:val="single" w:sz="4" w:space="0" w:color="auto"/>
              <w:right w:val="single" w:sz="4" w:space="0" w:color="auto"/>
            </w:tcBorders>
            <w:vAlign w:val="center"/>
            <w:hideMark/>
          </w:tcPr>
          <w:p w:rsidR="00B71958" w:rsidRPr="00B71958" w:rsidRDefault="00B71958" w:rsidP="00B71958">
            <w:pPr>
              <w:spacing w:line="240" w:lineRule="auto"/>
              <w:jc w:val="center"/>
              <w:rPr>
                <w:rFonts w:eastAsia="Times New Roman" w:cs="Arial"/>
                <w:sz w:val="20"/>
                <w:szCs w:val="20"/>
                <w:lang w:eastAsia="pt-BR"/>
              </w:rPr>
            </w:pPr>
            <w:r w:rsidRPr="00B71958">
              <w:rPr>
                <w:rFonts w:eastAsia="Times New Roman" w:cs="Arial"/>
                <w:sz w:val="20"/>
                <w:szCs w:val="20"/>
                <w:lang w:eastAsia="pt-BR"/>
              </w:rPr>
              <w:t>COPASA / Prefeitura Municipal</w:t>
            </w:r>
          </w:p>
        </w:tc>
      </w:tr>
    </w:tbl>
    <w:p w:rsidR="00B71958" w:rsidRPr="00B71958" w:rsidRDefault="00B71958" w:rsidP="00810C89">
      <w:pPr>
        <w:pStyle w:val="Fonte"/>
        <w:rPr>
          <w:lang w:eastAsia="x-none"/>
        </w:rPr>
        <w:sectPr w:rsidR="00B71958" w:rsidRPr="00B71958" w:rsidSect="00B71958">
          <w:footerReference w:type="default" r:id="rId50"/>
          <w:pgSz w:w="16838" w:h="11906" w:orient="landscape" w:code="9"/>
          <w:pgMar w:top="1134" w:right="1134" w:bottom="1418" w:left="1134" w:header="709" w:footer="709" w:gutter="0"/>
          <w:cols w:space="720"/>
          <w:docGrid w:linePitch="326"/>
        </w:sectPr>
      </w:pPr>
      <w:r w:rsidRPr="00B71958">
        <w:t xml:space="preserve">**(s/o/m/a) = nº do setor / nº do objetivo / nº da meta / nº da ação. / </w:t>
      </w:r>
      <w:r w:rsidRPr="00B71958">
        <w:rPr>
          <w:rFonts w:cs="Arial"/>
          <w:color w:val="000000"/>
          <w:sz w:val="19"/>
          <w:szCs w:val="19"/>
        </w:rPr>
        <w:t>*:Dependente de outras ações que possuem custos próprios estimados</w:t>
      </w:r>
      <w:bookmarkStart w:id="710" w:name="_Toc488050770"/>
      <w:bookmarkStart w:id="711" w:name="_Ref488225818"/>
    </w:p>
    <w:p w:rsidR="00040A36" w:rsidRDefault="00040A36" w:rsidP="00BC01B1">
      <w:pPr>
        <w:pStyle w:val="Ttulo3"/>
        <w:rPr>
          <w:color w:val="FF0000"/>
          <w:lang w:val="pt-BR"/>
        </w:rPr>
      </w:pPr>
      <w:bookmarkStart w:id="712" w:name="_Toc441845904"/>
      <w:bookmarkStart w:id="713" w:name="_Toc498594026"/>
      <w:bookmarkStart w:id="714" w:name="_Toc509935518"/>
      <w:bookmarkEnd w:id="710"/>
      <w:bookmarkEnd w:id="711"/>
      <w:r w:rsidRPr="00040A36">
        <w:lastRenderedPageBreak/>
        <w:t>Detalhamento de programas, projetos e ações</w:t>
      </w:r>
      <w:bookmarkEnd w:id="712"/>
      <w:bookmarkEnd w:id="713"/>
      <w:bookmarkEnd w:id="714"/>
    </w:p>
    <w:p w:rsidR="00B71958" w:rsidRPr="00B71958" w:rsidRDefault="00B71958" w:rsidP="00BC01B1">
      <w:pPr>
        <w:pStyle w:val="Ttulo4"/>
      </w:pPr>
      <w:bookmarkStart w:id="715" w:name="_Toc441845905"/>
      <w:bookmarkStart w:id="716" w:name="_Toc498352131"/>
      <w:bookmarkStart w:id="717" w:name="_Toc509935519"/>
      <w:r w:rsidRPr="00B71958">
        <w:t>Programa “Caça Gato”</w:t>
      </w:r>
      <w:bookmarkEnd w:id="715"/>
      <w:bookmarkEnd w:id="716"/>
      <w:bookmarkEnd w:id="717"/>
    </w:p>
    <w:p w:rsidR="00B71958" w:rsidRPr="00B71958" w:rsidRDefault="00B71958" w:rsidP="00B71958">
      <w:pPr>
        <w:spacing w:before="120" w:after="120" w:line="348" w:lineRule="auto"/>
        <w:ind w:firstLine="708"/>
        <w:contextualSpacing/>
        <w:jc w:val="both"/>
        <w:rPr>
          <w:rFonts w:cs="Arial"/>
          <w:szCs w:val="24"/>
          <w:lang w:eastAsia="pt-BR"/>
        </w:rPr>
      </w:pPr>
      <w:r w:rsidRPr="00B71958">
        <w:rPr>
          <w:rFonts w:cs="Arial"/>
          <w:szCs w:val="24"/>
          <w:lang w:eastAsia="pt-BR"/>
        </w:rPr>
        <w:t>O Programa “Caça Gato” viria para auxiliar no combate de casos de ligações clandestinas na rede de abastecimento de água, comumente conhecidos como “gatos”. Neste caso, há a necessidade de legislação específica, que regulamente as ligações como infração e estabeleça meios de punição do infrator. Assim ficaria a cargo da:</w:t>
      </w:r>
    </w:p>
    <w:p w:rsidR="00B71958" w:rsidRPr="00B71958" w:rsidRDefault="00B71958" w:rsidP="00B71958">
      <w:pPr>
        <w:numPr>
          <w:ilvl w:val="0"/>
          <w:numId w:val="5"/>
        </w:numPr>
        <w:spacing w:before="120" w:after="120" w:line="348" w:lineRule="auto"/>
        <w:contextualSpacing/>
        <w:jc w:val="both"/>
        <w:rPr>
          <w:rFonts w:cs="Arial"/>
          <w:szCs w:val="24"/>
          <w:lang w:eastAsia="pt-BR"/>
        </w:rPr>
      </w:pPr>
      <w:r w:rsidRPr="00B71958">
        <w:rPr>
          <w:rFonts w:cs="Arial"/>
          <w:szCs w:val="24"/>
          <w:lang w:eastAsia="pt-BR"/>
        </w:rPr>
        <w:t>Prefeitura Municipal: fornecer informações existentes, disponibilizando estrutura para ação social, como a disponibilização de agentes sociais e educadores para dialogarem com os cidadãos (principalmente os infratores), de salas para realização de reuniões, etc.</w:t>
      </w:r>
    </w:p>
    <w:p w:rsidR="00B71958" w:rsidRPr="00B71958" w:rsidRDefault="00B71958" w:rsidP="00B71958">
      <w:pPr>
        <w:numPr>
          <w:ilvl w:val="0"/>
          <w:numId w:val="5"/>
        </w:numPr>
        <w:spacing w:before="120" w:after="120" w:line="348" w:lineRule="auto"/>
        <w:contextualSpacing/>
        <w:jc w:val="both"/>
        <w:rPr>
          <w:rFonts w:cs="Arial"/>
          <w:szCs w:val="24"/>
          <w:lang w:eastAsia="pt-BR"/>
        </w:rPr>
      </w:pPr>
      <w:r w:rsidRPr="00B71958">
        <w:rPr>
          <w:rFonts w:cs="Arial"/>
          <w:szCs w:val="24"/>
          <w:lang w:eastAsia="pt-BR"/>
        </w:rPr>
        <w:t>COPASA:</w:t>
      </w:r>
      <w:r w:rsidRPr="00B71958">
        <w:t xml:space="preserve"> </w:t>
      </w:r>
      <w:r w:rsidRPr="00B71958">
        <w:rPr>
          <w:rFonts w:cs="Arial"/>
          <w:szCs w:val="24"/>
          <w:lang w:eastAsia="pt-BR"/>
        </w:rPr>
        <w:t>fornecer informações existentes e estrutura técnica, disponibilizando, principalmente, técnicos para visitas a campo e vistorias periódicas.</w:t>
      </w:r>
    </w:p>
    <w:p w:rsidR="00B71958" w:rsidRPr="00B71958" w:rsidRDefault="00B71958" w:rsidP="00B71958">
      <w:pPr>
        <w:numPr>
          <w:ilvl w:val="0"/>
          <w:numId w:val="5"/>
        </w:numPr>
        <w:spacing w:before="120" w:after="120" w:line="348" w:lineRule="auto"/>
        <w:contextualSpacing/>
        <w:jc w:val="both"/>
        <w:rPr>
          <w:rFonts w:cs="Arial"/>
          <w:szCs w:val="24"/>
          <w:lang w:eastAsia="pt-BR"/>
        </w:rPr>
      </w:pPr>
      <w:r w:rsidRPr="00B71958">
        <w:rPr>
          <w:rFonts w:cs="Arial"/>
          <w:szCs w:val="24"/>
          <w:lang w:eastAsia="pt-BR"/>
        </w:rPr>
        <w:t>Câmara Municipal: legislar sobre o assunto, fornecendo instrumentos legais para o controle do problema.</w:t>
      </w:r>
    </w:p>
    <w:p w:rsidR="00B71958" w:rsidRPr="00B71958" w:rsidRDefault="00B71958" w:rsidP="00BC01B1">
      <w:pPr>
        <w:pStyle w:val="Ttulo4"/>
      </w:pPr>
      <w:bookmarkStart w:id="718" w:name="_Toc441845906"/>
      <w:bookmarkStart w:id="719" w:name="_Toc498352132"/>
      <w:bookmarkStart w:id="720" w:name="_Toc509935520"/>
      <w:r w:rsidRPr="00B71958">
        <w:t>Sede</w:t>
      </w:r>
      <w:bookmarkEnd w:id="718"/>
      <w:bookmarkEnd w:id="719"/>
      <w:bookmarkEnd w:id="720"/>
    </w:p>
    <w:p w:rsidR="00B71958" w:rsidRPr="00B71958" w:rsidRDefault="00B71958" w:rsidP="00B71958">
      <w:pPr>
        <w:spacing w:before="120" w:after="120" w:line="348" w:lineRule="auto"/>
        <w:ind w:firstLine="708"/>
        <w:contextualSpacing/>
        <w:jc w:val="both"/>
        <w:rPr>
          <w:rFonts w:cs="Arial"/>
          <w:szCs w:val="24"/>
          <w:lang w:eastAsia="pt-BR"/>
        </w:rPr>
      </w:pPr>
      <w:r w:rsidRPr="00B71958">
        <w:rPr>
          <w:rFonts w:cs="Arial"/>
          <w:szCs w:val="24"/>
          <w:lang w:eastAsia="pt-BR"/>
        </w:rPr>
        <w:t xml:space="preserve">Na sede, o SAA está representado principalmente pelas ações </w:t>
      </w:r>
      <w:r w:rsidRPr="00B71958">
        <w:rPr>
          <w:rFonts w:cs="Arial"/>
          <w:i/>
          <w:szCs w:val="24"/>
          <w:lang w:eastAsia="pt-BR"/>
        </w:rPr>
        <w:t>1.1.1.01 a</w:t>
      </w:r>
      <w:r w:rsidRPr="00B71958">
        <w:rPr>
          <w:rFonts w:cs="Arial"/>
          <w:szCs w:val="24"/>
          <w:lang w:eastAsia="pt-BR"/>
        </w:rPr>
        <w:t xml:space="preserve"> </w:t>
      </w:r>
      <w:r w:rsidRPr="00B71958">
        <w:rPr>
          <w:rFonts w:cs="Arial"/>
          <w:i/>
          <w:szCs w:val="24"/>
          <w:lang w:eastAsia="pt-BR"/>
        </w:rPr>
        <w:t>1.1.1.05</w:t>
      </w:r>
      <w:r w:rsidRPr="00B71958">
        <w:rPr>
          <w:rFonts w:cs="Arial"/>
          <w:szCs w:val="24"/>
          <w:lang w:eastAsia="pt-BR"/>
        </w:rPr>
        <w:t>. A partir dos levantamentos do diagnóstico e dos eventos públicos (seminários e oficinas), percebeu-se que o sistema necessita, entre outras ações:</w:t>
      </w:r>
    </w:p>
    <w:p w:rsidR="00B71958" w:rsidRPr="00B71958" w:rsidRDefault="00B71958" w:rsidP="00B71958">
      <w:pPr>
        <w:numPr>
          <w:ilvl w:val="0"/>
          <w:numId w:val="8"/>
        </w:numPr>
        <w:jc w:val="both"/>
        <w:rPr>
          <w:lang w:eastAsia="x-none"/>
        </w:rPr>
      </w:pPr>
      <w:r w:rsidRPr="00B71958">
        <w:rPr>
          <w:lang w:eastAsia="x-none"/>
        </w:rPr>
        <w:t>Ampliar o SAA quanto à capacidade de captação, tratamento (remoção de ferro e manganês) e reservação.</w:t>
      </w:r>
    </w:p>
    <w:p w:rsidR="00B71958" w:rsidRPr="00B71958" w:rsidRDefault="00B71958" w:rsidP="00B71958">
      <w:pPr>
        <w:numPr>
          <w:ilvl w:val="0"/>
          <w:numId w:val="8"/>
        </w:numPr>
        <w:jc w:val="both"/>
        <w:rPr>
          <w:lang w:eastAsia="x-none"/>
        </w:rPr>
      </w:pPr>
      <w:r w:rsidRPr="00B71958">
        <w:rPr>
          <w:lang w:eastAsia="x-none"/>
        </w:rPr>
        <w:t>Verificar as zonas de pressão, pois há intermitência nas partes altas.</w:t>
      </w:r>
    </w:p>
    <w:p w:rsidR="00B71958" w:rsidRPr="00B71958" w:rsidRDefault="00B71958" w:rsidP="00B71958">
      <w:pPr>
        <w:numPr>
          <w:ilvl w:val="0"/>
          <w:numId w:val="8"/>
        </w:numPr>
        <w:jc w:val="both"/>
        <w:rPr>
          <w:lang w:eastAsia="x-none"/>
        </w:rPr>
      </w:pPr>
      <w:r w:rsidRPr="00B71958">
        <w:rPr>
          <w:lang w:eastAsia="x-none"/>
        </w:rPr>
        <w:t xml:space="preserve">Avaliar possibilidade de implantação de </w:t>
      </w:r>
      <w:r w:rsidRPr="00B71958">
        <w:rPr>
          <w:i/>
          <w:lang w:eastAsia="x-none"/>
        </w:rPr>
        <w:t>booster</w:t>
      </w:r>
      <w:r w:rsidRPr="00B71958">
        <w:rPr>
          <w:lang w:eastAsia="x-none"/>
        </w:rPr>
        <w:t xml:space="preserve"> e reservatório específico para o bairro a fim de sanar este problema.</w:t>
      </w:r>
    </w:p>
    <w:p w:rsidR="00B71958" w:rsidRPr="00B71958" w:rsidRDefault="00B71958" w:rsidP="00B71958">
      <w:pPr>
        <w:numPr>
          <w:ilvl w:val="0"/>
          <w:numId w:val="8"/>
        </w:numPr>
        <w:jc w:val="both"/>
        <w:rPr>
          <w:lang w:eastAsia="x-none"/>
        </w:rPr>
      </w:pPr>
      <w:r w:rsidRPr="00B71958">
        <w:rPr>
          <w:lang w:eastAsia="x-none"/>
        </w:rPr>
        <w:t>Verificar condições da rede de distribuição e substituir e/ou ampliar, se necessário.</w:t>
      </w:r>
    </w:p>
    <w:p w:rsidR="00B71958" w:rsidRPr="00B71958" w:rsidRDefault="00B71958" w:rsidP="00B71958">
      <w:pPr>
        <w:numPr>
          <w:ilvl w:val="0"/>
          <w:numId w:val="8"/>
        </w:numPr>
        <w:jc w:val="both"/>
        <w:rPr>
          <w:lang w:eastAsia="x-none"/>
        </w:rPr>
      </w:pPr>
      <w:r w:rsidRPr="00B71958">
        <w:rPr>
          <w:lang w:eastAsia="x-none"/>
        </w:rPr>
        <w:t>Perfurar e equipar novo poço para reserva do sistema.</w:t>
      </w:r>
    </w:p>
    <w:p w:rsidR="00B71958" w:rsidRPr="00B71958" w:rsidRDefault="00B71958" w:rsidP="00B71958">
      <w:pPr>
        <w:jc w:val="both"/>
        <w:rPr>
          <w:lang w:eastAsia="x-none"/>
        </w:rPr>
      </w:pPr>
    </w:p>
    <w:p w:rsidR="00B71958" w:rsidRPr="00B71958" w:rsidRDefault="00B71958" w:rsidP="00B71958">
      <w:pPr>
        <w:spacing w:before="120" w:after="120" w:line="348" w:lineRule="auto"/>
        <w:ind w:firstLine="708"/>
        <w:contextualSpacing/>
        <w:jc w:val="both"/>
        <w:rPr>
          <w:rFonts w:cs="Arial"/>
          <w:szCs w:val="24"/>
          <w:lang w:eastAsia="pt-BR"/>
        </w:rPr>
      </w:pPr>
      <w:r w:rsidRPr="00B71958">
        <w:rPr>
          <w:rFonts w:cs="Arial"/>
          <w:szCs w:val="24"/>
          <w:lang w:eastAsia="pt-BR"/>
        </w:rPr>
        <w:t xml:space="preserve">A Deliberação Normativa COPAM nº 153 de 26 de julho de 2010 não exige o licenciamento ambiental de ETAs com vazão menor de 20 L/s, e escalona o licenciamento das demais até 2020. Considerando-se que a ETA de Córrego Novo </w:t>
      </w:r>
      <w:r w:rsidRPr="00B71958">
        <w:rPr>
          <w:rFonts w:cs="Arial"/>
          <w:szCs w:val="24"/>
          <w:lang w:eastAsia="pt-BR"/>
        </w:rPr>
        <w:lastRenderedPageBreak/>
        <w:t xml:space="preserve">apresenta uma vazão de tratamento de 9 L/s, </w:t>
      </w:r>
      <w:r w:rsidRPr="00B71958">
        <w:rPr>
          <w:lang w:eastAsia="x-none"/>
        </w:rPr>
        <w:t>não será necessário todo o processo de licenciamento ambiental</w:t>
      </w:r>
      <w:r w:rsidRPr="00B71958">
        <w:rPr>
          <w:rFonts w:cs="Arial"/>
          <w:szCs w:val="24"/>
          <w:lang w:eastAsia="pt-BR"/>
        </w:rPr>
        <w:t xml:space="preserve">. </w:t>
      </w:r>
    </w:p>
    <w:p w:rsidR="00B71958" w:rsidRPr="00B71958" w:rsidRDefault="00B71958" w:rsidP="00B71958">
      <w:pPr>
        <w:spacing w:before="120" w:after="120" w:line="348" w:lineRule="auto"/>
        <w:ind w:firstLine="708"/>
        <w:contextualSpacing/>
        <w:jc w:val="both"/>
        <w:rPr>
          <w:rFonts w:cs="Arial"/>
          <w:szCs w:val="24"/>
          <w:lang w:eastAsia="pt-BR"/>
        </w:rPr>
      </w:pPr>
      <w:r w:rsidRPr="00B71958">
        <w:rPr>
          <w:rFonts w:cs="Arial"/>
          <w:szCs w:val="24"/>
          <w:lang w:eastAsia="pt-BR"/>
        </w:rPr>
        <w:t>Ademais, entende-se que, com a instalação dos filtros na ETA, o lançamento, sem tratamento, dos efluentes da lavagem deste diretamente nos cursos d’água onera em muito a qualidade do curso receptor, o que reforça a necessidade da construção de uma Central de Gerenciamento de Resíduos (ou Unidade de Tratamento de Resíduos - UTR) na ETA, conforme ações indicadas neste PMSB.</w:t>
      </w:r>
    </w:p>
    <w:p w:rsidR="00B71958" w:rsidRPr="00B71958" w:rsidRDefault="00B71958" w:rsidP="00BC01B1">
      <w:pPr>
        <w:pStyle w:val="Ttulo4"/>
      </w:pPr>
      <w:bookmarkStart w:id="721" w:name="_Toc441845909"/>
      <w:bookmarkStart w:id="722" w:name="_Toc498352133"/>
      <w:bookmarkStart w:id="723" w:name="_Toc509935521"/>
      <w:r w:rsidRPr="00B71958">
        <w:t>Localidades rurais</w:t>
      </w:r>
      <w:bookmarkEnd w:id="721"/>
      <w:bookmarkEnd w:id="722"/>
      <w:bookmarkEnd w:id="723"/>
    </w:p>
    <w:p w:rsidR="00B71958" w:rsidRPr="00B71958" w:rsidRDefault="00B71958" w:rsidP="00B71958">
      <w:pPr>
        <w:ind w:firstLine="709"/>
        <w:jc w:val="both"/>
        <w:rPr>
          <w:lang w:eastAsia="x-none"/>
        </w:rPr>
      </w:pPr>
      <w:r w:rsidRPr="00B71958">
        <w:rPr>
          <w:lang w:eastAsia="x-none"/>
        </w:rPr>
        <w:t>No município existem localidades rurais que utilizam captações subterrâneas e/ou superficiais, conforme identificado no momento de diagnóstico. Em cada localidade deverão ser coletadas, inicialmente, informações quanto à situação atual de abastecimento de água, principalmente quanto à infraestrutura instalada e ao atendimento da demanda da população de maneira satisfatória. Posteriormente, será necessário avaliar as condições de reaproveitamento dos equipamentos e a solução ideal para cada localidade, ou seja, implantar solução coletiva ou individual, manancial a ser explorado, tipo de tratamento, etc.</w:t>
      </w:r>
    </w:p>
    <w:p w:rsidR="00B71958" w:rsidRPr="00B71958" w:rsidRDefault="00B71958" w:rsidP="00B71958">
      <w:pPr>
        <w:ind w:firstLine="709"/>
        <w:jc w:val="both"/>
        <w:rPr>
          <w:lang w:eastAsia="x-none"/>
        </w:rPr>
      </w:pPr>
      <w:r w:rsidRPr="00B71958">
        <w:rPr>
          <w:lang w:eastAsia="x-none"/>
        </w:rPr>
        <w:t>A seguir são apresentadas as possíveis situações das localidades e quais ações devem-se tomar.</w:t>
      </w:r>
    </w:p>
    <w:p w:rsidR="00B71958" w:rsidRPr="00810C89" w:rsidRDefault="00B71958" w:rsidP="00BC01B1">
      <w:pPr>
        <w:pStyle w:val="Ttulo5"/>
      </w:pPr>
      <w:bookmarkStart w:id="724" w:name="_Toc441845910"/>
      <w:bookmarkStart w:id="725" w:name="_Ref441846011"/>
      <w:bookmarkStart w:id="726" w:name="_Ref441846024"/>
      <w:bookmarkStart w:id="727" w:name="_Ref441846509"/>
      <w:bookmarkStart w:id="728" w:name="_Toc498352134"/>
      <w:bookmarkStart w:id="729" w:name="_Toc509935522"/>
      <w:r w:rsidRPr="00810C89">
        <w:t>Sistema de abastecimento coletivo com captação subterrânea</w:t>
      </w:r>
      <w:bookmarkEnd w:id="724"/>
      <w:bookmarkEnd w:id="725"/>
      <w:bookmarkEnd w:id="726"/>
      <w:bookmarkEnd w:id="727"/>
      <w:bookmarkEnd w:id="728"/>
      <w:bookmarkEnd w:id="729"/>
    </w:p>
    <w:p w:rsidR="00B71958" w:rsidRPr="00B71958" w:rsidRDefault="00B71958" w:rsidP="00B71958">
      <w:pPr>
        <w:ind w:firstLine="709"/>
        <w:jc w:val="both"/>
        <w:rPr>
          <w:lang w:eastAsia="x-none"/>
        </w:rPr>
      </w:pPr>
      <w:r w:rsidRPr="00B71958">
        <w:rPr>
          <w:lang w:eastAsia="x-none"/>
        </w:rPr>
        <w:t>Alguns sistemas de abastecimento no município utilizam o manancial subterrâneo. Portanto, em locais onde já existem as captações seriam necessárias as seguintes ações:</w:t>
      </w:r>
    </w:p>
    <w:p w:rsidR="00B71958" w:rsidRPr="00B71958" w:rsidRDefault="00B71958" w:rsidP="0066661F">
      <w:pPr>
        <w:numPr>
          <w:ilvl w:val="0"/>
          <w:numId w:val="50"/>
        </w:numPr>
        <w:jc w:val="both"/>
        <w:rPr>
          <w:lang w:eastAsia="x-none"/>
        </w:rPr>
      </w:pPr>
      <w:r w:rsidRPr="00B71958">
        <w:rPr>
          <w:lang w:eastAsia="x-none"/>
        </w:rPr>
        <w:t>Efetuar novo teste de vazão no poço.</w:t>
      </w:r>
    </w:p>
    <w:p w:rsidR="00B71958" w:rsidRPr="00B71958" w:rsidRDefault="00B71958" w:rsidP="0066661F">
      <w:pPr>
        <w:numPr>
          <w:ilvl w:val="0"/>
          <w:numId w:val="50"/>
        </w:numPr>
        <w:jc w:val="both"/>
        <w:rPr>
          <w:lang w:eastAsia="x-none"/>
        </w:rPr>
      </w:pPr>
      <w:r w:rsidRPr="00B71958">
        <w:rPr>
          <w:lang w:eastAsia="x-none"/>
        </w:rPr>
        <w:t>Analisar a água para verificar as atuais condições do poço em funcionamento.</w:t>
      </w:r>
    </w:p>
    <w:p w:rsidR="00B71958" w:rsidRPr="00B71958" w:rsidRDefault="00B71958" w:rsidP="0066661F">
      <w:pPr>
        <w:numPr>
          <w:ilvl w:val="0"/>
          <w:numId w:val="50"/>
        </w:numPr>
        <w:jc w:val="both"/>
        <w:rPr>
          <w:lang w:eastAsia="x-none"/>
        </w:rPr>
      </w:pPr>
      <w:r w:rsidRPr="00B71958">
        <w:rPr>
          <w:lang w:eastAsia="x-none"/>
        </w:rPr>
        <w:t>Implantar tratamento adequado das águas (geralmente apenas cloretação e fluoretação).</w:t>
      </w:r>
    </w:p>
    <w:p w:rsidR="00B71958" w:rsidRPr="00B71958" w:rsidRDefault="00B71958" w:rsidP="0066661F">
      <w:pPr>
        <w:numPr>
          <w:ilvl w:val="0"/>
          <w:numId w:val="50"/>
        </w:numPr>
        <w:jc w:val="both"/>
        <w:rPr>
          <w:lang w:eastAsia="x-none"/>
        </w:rPr>
      </w:pPr>
      <w:r w:rsidRPr="00B71958">
        <w:rPr>
          <w:lang w:eastAsia="x-none"/>
        </w:rPr>
        <w:t>Verificar a capacidade de reservação e substituir e/ou ampliar capacidade, se necessário.</w:t>
      </w:r>
    </w:p>
    <w:p w:rsidR="00B71958" w:rsidRPr="00B71958" w:rsidRDefault="00B71958" w:rsidP="0066661F">
      <w:pPr>
        <w:numPr>
          <w:ilvl w:val="0"/>
          <w:numId w:val="50"/>
        </w:numPr>
        <w:jc w:val="both"/>
        <w:rPr>
          <w:lang w:eastAsia="x-none"/>
        </w:rPr>
      </w:pPr>
      <w:r w:rsidRPr="00B71958">
        <w:rPr>
          <w:lang w:eastAsia="x-none"/>
        </w:rPr>
        <w:t>Automatizar o sistema.</w:t>
      </w:r>
    </w:p>
    <w:p w:rsidR="00B71958" w:rsidRPr="00B71958" w:rsidRDefault="00B71958" w:rsidP="0066661F">
      <w:pPr>
        <w:numPr>
          <w:ilvl w:val="0"/>
          <w:numId w:val="50"/>
        </w:numPr>
        <w:jc w:val="both"/>
        <w:rPr>
          <w:lang w:eastAsia="x-none"/>
        </w:rPr>
      </w:pPr>
      <w:r w:rsidRPr="00B71958">
        <w:rPr>
          <w:lang w:eastAsia="x-none"/>
        </w:rPr>
        <w:lastRenderedPageBreak/>
        <w:t>Verificar condições da rede de distribuição e substituir e/ou ampliar, se necessário.</w:t>
      </w:r>
    </w:p>
    <w:p w:rsidR="00B71958" w:rsidRPr="00B71958" w:rsidRDefault="00B71958" w:rsidP="0066661F">
      <w:pPr>
        <w:numPr>
          <w:ilvl w:val="0"/>
          <w:numId w:val="50"/>
        </w:numPr>
        <w:jc w:val="both"/>
        <w:rPr>
          <w:lang w:eastAsia="x-none"/>
        </w:rPr>
      </w:pPr>
      <w:r w:rsidRPr="00B71958">
        <w:rPr>
          <w:lang w:eastAsia="x-none"/>
        </w:rPr>
        <w:t>Implantar padrões de água com cavaletes para hidrômetros.</w:t>
      </w:r>
    </w:p>
    <w:p w:rsidR="00B71958" w:rsidRPr="00B71958" w:rsidRDefault="00B71958" w:rsidP="0066661F">
      <w:pPr>
        <w:numPr>
          <w:ilvl w:val="0"/>
          <w:numId w:val="50"/>
        </w:numPr>
        <w:jc w:val="both"/>
        <w:rPr>
          <w:lang w:eastAsia="x-none"/>
        </w:rPr>
      </w:pPr>
      <w:r w:rsidRPr="00B71958">
        <w:rPr>
          <w:lang w:eastAsia="x-none"/>
        </w:rPr>
        <w:t>Avaliar necessidade de cobrança dos usuários.</w:t>
      </w:r>
    </w:p>
    <w:p w:rsidR="00B71958" w:rsidRPr="00B71958" w:rsidRDefault="00B71958" w:rsidP="0066661F">
      <w:pPr>
        <w:numPr>
          <w:ilvl w:val="0"/>
          <w:numId w:val="50"/>
        </w:numPr>
        <w:jc w:val="both"/>
        <w:rPr>
          <w:lang w:eastAsia="x-none"/>
        </w:rPr>
      </w:pPr>
      <w:bookmarkStart w:id="730" w:name="_Ref441845820"/>
      <w:bookmarkStart w:id="731" w:name="_Toc441845911"/>
      <w:r w:rsidRPr="00B71958">
        <w:rPr>
          <w:lang w:eastAsia="x-none"/>
        </w:rPr>
        <w:t>Administrar o sistema (Prefeitura ou COPASA).</w:t>
      </w:r>
    </w:p>
    <w:p w:rsidR="00B71958" w:rsidRPr="00B71958" w:rsidRDefault="00B71958" w:rsidP="00BC01B1">
      <w:pPr>
        <w:pStyle w:val="Ttulo5"/>
      </w:pPr>
      <w:bookmarkStart w:id="732" w:name="_Toc498352135"/>
      <w:bookmarkStart w:id="733" w:name="_Toc509935523"/>
      <w:r w:rsidRPr="00B71958">
        <w:t>Sistema de abastecimento coletivo com captação superficial</w:t>
      </w:r>
      <w:bookmarkEnd w:id="730"/>
      <w:bookmarkEnd w:id="731"/>
      <w:bookmarkEnd w:id="732"/>
      <w:bookmarkEnd w:id="733"/>
    </w:p>
    <w:p w:rsidR="00B71958" w:rsidRPr="00B71958" w:rsidRDefault="00B71958" w:rsidP="00B71958">
      <w:pPr>
        <w:ind w:firstLine="709"/>
        <w:jc w:val="both"/>
        <w:rPr>
          <w:lang w:eastAsia="x-none"/>
        </w:rPr>
      </w:pPr>
      <w:r w:rsidRPr="00B71958">
        <w:rPr>
          <w:lang w:eastAsia="x-none"/>
        </w:rPr>
        <w:t>Existem localidades rurais que utilizam captações em nascentes e/ou cursos d’água. Portanto, em locais onde já existem as captações seriam necessárias as seguintes ações:</w:t>
      </w:r>
    </w:p>
    <w:p w:rsidR="00B71958" w:rsidRPr="00B71958" w:rsidRDefault="00B71958" w:rsidP="00B71958">
      <w:pPr>
        <w:numPr>
          <w:ilvl w:val="0"/>
          <w:numId w:val="9"/>
        </w:numPr>
        <w:jc w:val="both"/>
        <w:rPr>
          <w:lang w:eastAsia="x-none"/>
        </w:rPr>
      </w:pPr>
      <w:r w:rsidRPr="00B71958">
        <w:rPr>
          <w:lang w:eastAsia="x-none"/>
        </w:rPr>
        <w:t>Efetuar novo estudo de oferta do manancial já explorado.</w:t>
      </w:r>
    </w:p>
    <w:p w:rsidR="00B71958" w:rsidRPr="00B71958" w:rsidRDefault="00B71958" w:rsidP="00B71958">
      <w:pPr>
        <w:numPr>
          <w:ilvl w:val="0"/>
          <w:numId w:val="9"/>
        </w:numPr>
        <w:jc w:val="both"/>
        <w:rPr>
          <w:lang w:eastAsia="x-none"/>
        </w:rPr>
      </w:pPr>
      <w:r w:rsidRPr="00B71958">
        <w:rPr>
          <w:lang w:eastAsia="x-none"/>
        </w:rPr>
        <w:t>Analisar a água para verificar as atuais condições.</w:t>
      </w:r>
    </w:p>
    <w:p w:rsidR="00B71958" w:rsidRPr="00B71958" w:rsidRDefault="00B71958" w:rsidP="00B71958">
      <w:pPr>
        <w:numPr>
          <w:ilvl w:val="0"/>
          <w:numId w:val="9"/>
        </w:numPr>
        <w:jc w:val="both"/>
        <w:rPr>
          <w:lang w:eastAsia="x-none"/>
        </w:rPr>
      </w:pPr>
      <w:r w:rsidRPr="00B71958">
        <w:rPr>
          <w:lang w:eastAsia="x-none"/>
        </w:rPr>
        <w:t>Implantar tratamento adequado das águas.</w:t>
      </w:r>
    </w:p>
    <w:p w:rsidR="00B71958" w:rsidRPr="00B71958" w:rsidRDefault="00B71958" w:rsidP="00B71958">
      <w:pPr>
        <w:numPr>
          <w:ilvl w:val="0"/>
          <w:numId w:val="9"/>
        </w:numPr>
        <w:jc w:val="both"/>
        <w:rPr>
          <w:lang w:eastAsia="x-none"/>
        </w:rPr>
      </w:pPr>
      <w:r w:rsidRPr="00B71958">
        <w:rPr>
          <w:lang w:eastAsia="x-none"/>
        </w:rPr>
        <w:t>Verificar a capacidade de reservação e substituir e/ou ampliar capacidade, se necessário.</w:t>
      </w:r>
    </w:p>
    <w:p w:rsidR="00B71958" w:rsidRPr="00B71958" w:rsidRDefault="00B71958" w:rsidP="00B71958">
      <w:pPr>
        <w:numPr>
          <w:ilvl w:val="0"/>
          <w:numId w:val="9"/>
        </w:numPr>
        <w:jc w:val="both"/>
        <w:rPr>
          <w:lang w:eastAsia="x-none"/>
        </w:rPr>
      </w:pPr>
      <w:r w:rsidRPr="00B71958">
        <w:rPr>
          <w:lang w:eastAsia="x-none"/>
        </w:rPr>
        <w:t>Automatizar o sistema.</w:t>
      </w:r>
    </w:p>
    <w:p w:rsidR="00B71958" w:rsidRPr="00B71958" w:rsidRDefault="00B71958" w:rsidP="00B71958">
      <w:pPr>
        <w:numPr>
          <w:ilvl w:val="0"/>
          <w:numId w:val="9"/>
        </w:numPr>
        <w:jc w:val="both"/>
        <w:rPr>
          <w:lang w:eastAsia="x-none"/>
        </w:rPr>
      </w:pPr>
      <w:r w:rsidRPr="00B71958">
        <w:rPr>
          <w:lang w:eastAsia="x-none"/>
        </w:rPr>
        <w:t>Verificar condições da rede de distribuição e substituir e/ou ampliar, se necessário.</w:t>
      </w:r>
    </w:p>
    <w:p w:rsidR="00B71958" w:rsidRPr="00B71958" w:rsidRDefault="00B71958" w:rsidP="00B71958">
      <w:pPr>
        <w:numPr>
          <w:ilvl w:val="0"/>
          <w:numId w:val="9"/>
        </w:numPr>
        <w:jc w:val="both"/>
        <w:rPr>
          <w:lang w:eastAsia="x-none"/>
        </w:rPr>
      </w:pPr>
      <w:r w:rsidRPr="00B71958">
        <w:rPr>
          <w:lang w:eastAsia="x-none"/>
        </w:rPr>
        <w:t>Implantar padrões de água com cavaletes para hidrômetros.</w:t>
      </w:r>
    </w:p>
    <w:p w:rsidR="00B71958" w:rsidRPr="00B71958" w:rsidRDefault="00B71958" w:rsidP="00B71958">
      <w:pPr>
        <w:numPr>
          <w:ilvl w:val="0"/>
          <w:numId w:val="9"/>
        </w:numPr>
        <w:jc w:val="both"/>
        <w:rPr>
          <w:lang w:eastAsia="x-none"/>
        </w:rPr>
      </w:pPr>
      <w:r w:rsidRPr="00B71958">
        <w:rPr>
          <w:lang w:eastAsia="x-none"/>
        </w:rPr>
        <w:t>Avaliar necessidade de cobrança dos usuários.</w:t>
      </w:r>
    </w:p>
    <w:p w:rsidR="00B71958" w:rsidRPr="00B71958" w:rsidRDefault="00B71958" w:rsidP="00B71958">
      <w:pPr>
        <w:numPr>
          <w:ilvl w:val="0"/>
          <w:numId w:val="9"/>
        </w:numPr>
        <w:jc w:val="both"/>
        <w:rPr>
          <w:lang w:eastAsia="x-none"/>
        </w:rPr>
      </w:pPr>
      <w:bookmarkStart w:id="734" w:name="_Toc441845912"/>
      <w:r w:rsidRPr="00B71958">
        <w:rPr>
          <w:lang w:eastAsia="x-none"/>
        </w:rPr>
        <w:t>Administrar o sistema (Prefeitura ou COPASA).</w:t>
      </w:r>
    </w:p>
    <w:p w:rsidR="00B71958" w:rsidRPr="00B71958" w:rsidRDefault="00B71958" w:rsidP="00BC01B1">
      <w:pPr>
        <w:pStyle w:val="Ttulo5"/>
      </w:pPr>
      <w:bookmarkStart w:id="735" w:name="_Toc498352136"/>
      <w:bookmarkStart w:id="736" w:name="_Toc509935524"/>
      <w:r w:rsidRPr="00B71958">
        <w:t>Abastecimento de água individualizado</w:t>
      </w:r>
      <w:bookmarkEnd w:id="734"/>
      <w:bookmarkEnd w:id="735"/>
      <w:bookmarkEnd w:id="736"/>
    </w:p>
    <w:p w:rsidR="00B71958" w:rsidRPr="00B71958" w:rsidRDefault="00B71958" w:rsidP="00B71958">
      <w:pPr>
        <w:ind w:firstLine="709"/>
        <w:jc w:val="both"/>
        <w:rPr>
          <w:lang w:eastAsia="x-none"/>
        </w:rPr>
      </w:pPr>
      <w:r w:rsidRPr="00B71958">
        <w:rPr>
          <w:lang w:eastAsia="x-none"/>
        </w:rPr>
        <w:t>Existem localidades rurais onde o agrupamento está se formando ou já está estabelecido, porém cada residência ou um pequeno grupo delas realiza seu próprio abastecimento de água. Nesses casos, deve-se efetuar estudo de viabilidade de sistema coletivo, considerando o seguinte:</w:t>
      </w:r>
    </w:p>
    <w:p w:rsidR="00B71958" w:rsidRPr="00B71958" w:rsidRDefault="00B71958" w:rsidP="00B71958">
      <w:pPr>
        <w:numPr>
          <w:ilvl w:val="1"/>
          <w:numId w:val="10"/>
        </w:numPr>
        <w:ind w:left="1418" w:hanging="425"/>
        <w:jc w:val="both"/>
        <w:rPr>
          <w:lang w:eastAsia="x-none"/>
        </w:rPr>
      </w:pPr>
      <w:r w:rsidRPr="00B71958">
        <w:rPr>
          <w:lang w:eastAsia="x-none"/>
        </w:rPr>
        <w:t>Caso o estudo não conclua favoravelmente a implantar sistema coletivo, continuar o sistema individualizado e aderir ao</w:t>
      </w:r>
      <w:r w:rsidRPr="00B71958">
        <w:t xml:space="preserve"> </w:t>
      </w:r>
      <w:r w:rsidRPr="00B71958">
        <w:rPr>
          <w:lang w:eastAsia="x-none"/>
        </w:rPr>
        <w:t>Programa de Aferição da Qualidade da Água Rural.</w:t>
      </w:r>
    </w:p>
    <w:p w:rsidR="00B71958" w:rsidRPr="00B71958" w:rsidRDefault="00B71958" w:rsidP="00B71958">
      <w:pPr>
        <w:numPr>
          <w:ilvl w:val="1"/>
          <w:numId w:val="10"/>
        </w:numPr>
        <w:ind w:left="1418" w:hanging="425"/>
        <w:jc w:val="both"/>
        <w:rPr>
          <w:lang w:eastAsia="x-none"/>
        </w:rPr>
      </w:pPr>
      <w:r w:rsidRPr="00B71958">
        <w:rPr>
          <w:lang w:eastAsia="x-none"/>
        </w:rPr>
        <w:lastRenderedPageBreak/>
        <w:t>Caso o estudo conclua favoravelmente a implantar sistema coletivo, primeiramente perfurar poços profundos, efetuar teste de vazão e analisar a qualidade da água.</w:t>
      </w:r>
    </w:p>
    <w:p w:rsidR="00B71958" w:rsidRPr="00B71958" w:rsidRDefault="00B71958" w:rsidP="00B71958">
      <w:pPr>
        <w:numPr>
          <w:ilvl w:val="2"/>
          <w:numId w:val="10"/>
        </w:numPr>
        <w:ind w:left="1985" w:hanging="284"/>
        <w:rPr>
          <w:lang w:eastAsia="x-none"/>
        </w:rPr>
      </w:pPr>
      <w:r w:rsidRPr="00B71958">
        <w:rPr>
          <w:lang w:eastAsia="x-none"/>
        </w:rPr>
        <w:t>Caso as análises sejam satisfatórias:</w:t>
      </w:r>
    </w:p>
    <w:p w:rsidR="00B71958" w:rsidRPr="00B71958" w:rsidRDefault="00B71958" w:rsidP="00B71958">
      <w:pPr>
        <w:numPr>
          <w:ilvl w:val="3"/>
          <w:numId w:val="10"/>
        </w:numPr>
        <w:ind w:left="2410" w:hanging="425"/>
        <w:rPr>
          <w:lang w:eastAsia="x-none"/>
        </w:rPr>
      </w:pPr>
      <w:r w:rsidRPr="00B71958">
        <w:rPr>
          <w:lang w:eastAsia="x-none"/>
        </w:rPr>
        <w:t>Implantar tratamento adequado das águas (geralmente apenas cloretação e fluoretação).</w:t>
      </w:r>
    </w:p>
    <w:p w:rsidR="00B71958" w:rsidRPr="00B71958" w:rsidRDefault="00B71958" w:rsidP="00B71958">
      <w:pPr>
        <w:numPr>
          <w:ilvl w:val="3"/>
          <w:numId w:val="10"/>
        </w:numPr>
        <w:ind w:left="2410" w:hanging="425"/>
        <w:rPr>
          <w:lang w:eastAsia="x-none"/>
        </w:rPr>
      </w:pPr>
      <w:r w:rsidRPr="00B71958">
        <w:rPr>
          <w:lang w:eastAsia="x-none"/>
        </w:rPr>
        <w:t>Verificar a capacidade de reservação e substituir e/ou ampliar capacidade, se necessário.</w:t>
      </w:r>
    </w:p>
    <w:p w:rsidR="00B71958" w:rsidRPr="00B71958" w:rsidRDefault="00B71958" w:rsidP="00B71958">
      <w:pPr>
        <w:numPr>
          <w:ilvl w:val="3"/>
          <w:numId w:val="10"/>
        </w:numPr>
        <w:ind w:left="2410" w:hanging="425"/>
        <w:rPr>
          <w:lang w:eastAsia="x-none"/>
        </w:rPr>
      </w:pPr>
      <w:r w:rsidRPr="00B71958">
        <w:rPr>
          <w:lang w:eastAsia="x-none"/>
        </w:rPr>
        <w:t>Automatizar o sistema.</w:t>
      </w:r>
    </w:p>
    <w:p w:rsidR="00B71958" w:rsidRPr="00B71958" w:rsidRDefault="00B71958" w:rsidP="00B71958">
      <w:pPr>
        <w:numPr>
          <w:ilvl w:val="3"/>
          <w:numId w:val="10"/>
        </w:numPr>
        <w:ind w:left="2410" w:hanging="425"/>
        <w:rPr>
          <w:lang w:eastAsia="x-none"/>
        </w:rPr>
      </w:pPr>
      <w:r w:rsidRPr="00B71958">
        <w:rPr>
          <w:lang w:eastAsia="x-none"/>
        </w:rPr>
        <w:t>Verificar condições da rede de distribuição e substituir e/ou ampliar, se necessário.</w:t>
      </w:r>
    </w:p>
    <w:p w:rsidR="00B71958" w:rsidRPr="00B71958" w:rsidRDefault="00B71958" w:rsidP="00B71958">
      <w:pPr>
        <w:numPr>
          <w:ilvl w:val="3"/>
          <w:numId w:val="10"/>
        </w:numPr>
        <w:ind w:left="2410" w:hanging="425"/>
        <w:rPr>
          <w:lang w:eastAsia="x-none"/>
        </w:rPr>
      </w:pPr>
      <w:r w:rsidRPr="00B71958">
        <w:rPr>
          <w:lang w:eastAsia="x-none"/>
        </w:rPr>
        <w:t>Implantar padrões de água com cavaletes para hidrômetros.</w:t>
      </w:r>
    </w:p>
    <w:p w:rsidR="00B71958" w:rsidRPr="00B71958" w:rsidRDefault="00B71958" w:rsidP="00B71958">
      <w:pPr>
        <w:numPr>
          <w:ilvl w:val="3"/>
          <w:numId w:val="10"/>
        </w:numPr>
        <w:ind w:left="2410" w:hanging="425"/>
        <w:rPr>
          <w:lang w:eastAsia="x-none"/>
        </w:rPr>
      </w:pPr>
      <w:r w:rsidRPr="00B71958">
        <w:rPr>
          <w:lang w:eastAsia="x-none"/>
        </w:rPr>
        <w:t>Avaliar necessidade de cobrança dos usuários.</w:t>
      </w:r>
    </w:p>
    <w:p w:rsidR="00B71958" w:rsidRPr="00B71958" w:rsidRDefault="00B71958" w:rsidP="00B71958">
      <w:pPr>
        <w:numPr>
          <w:ilvl w:val="3"/>
          <w:numId w:val="10"/>
        </w:numPr>
        <w:ind w:left="2410" w:hanging="425"/>
        <w:rPr>
          <w:lang w:eastAsia="x-none"/>
        </w:rPr>
      </w:pPr>
      <w:r w:rsidRPr="00B71958">
        <w:rPr>
          <w:lang w:eastAsia="x-none"/>
        </w:rPr>
        <w:t>Administrar o sistema (Prefeitura ou COPASA).</w:t>
      </w:r>
    </w:p>
    <w:p w:rsidR="00B71958" w:rsidRPr="00B71958" w:rsidRDefault="00B71958" w:rsidP="00B71958">
      <w:pPr>
        <w:numPr>
          <w:ilvl w:val="2"/>
          <w:numId w:val="10"/>
        </w:numPr>
        <w:ind w:left="1985" w:hanging="284"/>
        <w:rPr>
          <w:lang w:eastAsia="x-none"/>
        </w:rPr>
      </w:pPr>
      <w:r w:rsidRPr="00B71958">
        <w:rPr>
          <w:lang w:eastAsia="x-none"/>
        </w:rPr>
        <w:t>Caso as análises não sejam satisfatórias:</w:t>
      </w:r>
    </w:p>
    <w:p w:rsidR="00B71958" w:rsidRPr="00B71958" w:rsidRDefault="00B71958" w:rsidP="00B71958">
      <w:pPr>
        <w:numPr>
          <w:ilvl w:val="3"/>
          <w:numId w:val="10"/>
        </w:numPr>
        <w:ind w:left="2410" w:hanging="425"/>
        <w:rPr>
          <w:lang w:eastAsia="x-none"/>
        </w:rPr>
      </w:pPr>
      <w:r w:rsidRPr="00B71958">
        <w:rPr>
          <w:lang w:eastAsia="x-none"/>
        </w:rPr>
        <w:t>Efetuar estudo de oferta de manancial superficial próximo.</w:t>
      </w:r>
    </w:p>
    <w:p w:rsidR="00B71958" w:rsidRPr="00B71958" w:rsidRDefault="00B71958" w:rsidP="00B71958">
      <w:pPr>
        <w:numPr>
          <w:ilvl w:val="3"/>
          <w:numId w:val="10"/>
        </w:numPr>
        <w:ind w:left="2410" w:hanging="425"/>
        <w:rPr>
          <w:lang w:eastAsia="x-none"/>
        </w:rPr>
      </w:pPr>
      <w:r w:rsidRPr="00B71958">
        <w:rPr>
          <w:lang w:eastAsia="x-none"/>
        </w:rPr>
        <w:t>Analisar a água para verificar as atuais condições.</w:t>
      </w:r>
    </w:p>
    <w:p w:rsidR="00B71958" w:rsidRPr="00B71958" w:rsidRDefault="00B71958" w:rsidP="00B71958">
      <w:pPr>
        <w:numPr>
          <w:ilvl w:val="3"/>
          <w:numId w:val="10"/>
        </w:numPr>
        <w:ind w:left="2410" w:hanging="425"/>
        <w:rPr>
          <w:lang w:eastAsia="x-none"/>
        </w:rPr>
      </w:pPr>
      <w:r w:rsidRPr="00B71958">
        <w:rPr>
          <w:lang w:eastAsia="x-none"/>
        </w:rPr>
        <w:t>Implantar tratamento adequado das águas.</w:t>
      </w:r>
    </w:p>
    <w:p w:rsidR="00B71958" w:rsidRPr="00B71958" w:rsidRDefault="00B71958" w:rsidP="00B71958">
      <w:pPr>
        <w:numPr>
          <w:ilvl w:val="3"/>
          <w:numId w:val="10"/>
        </w:numPr>
        <w:ind w:left="2410" w:hanging="425"/>
        <w:rPr>
          <w:lang w:eastAsia="x-none"/>
        </w:rPr>
      </w:pPr>
      <w:r w:rsidRPr="00B71958">
        <w:rPr>
          <w:lang w:eastAsia="x-none"/>
        </w:rPr>
        <w:t>Verificar a capacidade de reservação e substituir e/ou ampliar capacidade, se necessário.</w:t>
      </w:r>
    </w:p>
    <w:p w:rsidR="00B71958" w:rsidRPr="00B71958" w:rsidRDefault="00B71958" w:rsidP="00B71958">
      <w:pPr>
        <w:numPr>
          <w:ilvl w:val="3"/>
          <w:numId w:val="10"/>
        </w:numPr>
        <w:ind w:left="2410" w:hanging="425"/>
        <w:rPr>
          <w:lang w:eastAsia="x-none"/>
        </w:rPr>
      </w:pPr>
      <w:r w:rsidRPr="00B71958">
        <w:rPr>
          <w:lang w:eastAsia="x-none"/>
        </w:rPr>
        <w:t>Automatizar o sistema.</w:t>
      </w:r>
    </w:p>
    <w:p w:rsidR="00B71958" w:rsidRPr="00B71958" w:rsidRDefault="00B71958" w:rsidP="00B71958">
      <w:pPr>
        <w:numPr>
          <w:ilvl w:val="3"/>
          <w:numId w:val="10"/>
        </w:numPr>
        <w:ind w:left="2410" w:hanging="425"/>
        <w:rPr>
          <w:lang w:eastAsia="x-none"/>
        </w:rPr>
      </w:pPr>
      <w:r w:rsidRPr="00B71958">
        <w:rPr>
          <w:lang w:eastAsia="x-none"/>
        </w:rPr>
        <w:t>Verificar condições da rede de distribuição e substituir e/ou ampliar, se necessário.</w:t>
      </w:r>
    </w:p>
    <w:p w:rsidR="00B71958" w:rsidRPr="00B71958" w:rsidRDefault="00B71958" w:rsidP="00B71958">
      <w:pPr>
        <w:numPr>
          <w:ilvl w:val="3"/>
          <w:numId w:val="10"/>
        </w:numPr>
        <w:ind w:left="2410" w:hanging="425"/>
        <w:rPr>
          <w:lang w:eastAsia="x-none"/>
        </w:rPr>
      </w:pPr>
      <w:r w:rsidRPr="00B71958">
        <w:rPr>
          <w:lang w:eastAsia="x-none"/>
        </w:rPr>
        <w:t>Implantar padrões de água com cavaletes para hidrômetros.</w:t>
      </w:r>
    </w:p>
    <w:p w:rsidR="00B71958" w:rsidRPr="00B71958" w:rsidRDefault="00B71958" w:rsidP="00B71958">
      <w:pPr>
        <w:numPr>
          <w:ilvl w:val="3"/>
          <w:numId w:val="10"/>
        </w:numPr>
        <w:ind w:left="2410" w:hanging="425"/>
        <w:rPr>
          <w:lang w:eastAsia="x-none"/>
        </w:rPr>
      </w:pPr>
      <w:r w:rsidRPr="00B71958">
        <w:rPr>
          <w:lang w:eastAsia="x-none"/>
        </w:rPr>
        <w:t>Avaliar necessidade de cobrança dos usuários.</w:t>
      </w:r>
    </w:p>
    <w:p w:rsidR="00B71958" w:rsidRPr="00B71958" w:rsidRDefault="00B71958" w:rsidP="00B71958">
      <w:pPr>
        <w:numPr>
          <w:ilvl w:val="3"/>
          <w:numId w:val="10"/>
        </w:numPr>
        <w:ind w:left="2410" w:hanging="425"/>
        <w:rPr>
          <w:lang w:eastAsia="x-none"/>
        </w:rPr>
      </w:pPr>
      <w:bookmarkStart w:id="737" w:name="_Toc441845914"/>
      <w:r w:rsidRPr="00B71958">
        <w:rPr>
          <w:lang w:eastAsia="x-none"/>
        </w:rPr>
        <w:t>Administrar o sistema (Prefeitura ou COPASA).</w:t>
      </w:r>
    </w:p>
    <w:p w:rsidR="00B71958" w:rsidRPr="00B71958" w:rsidRDefault="00B71958" w:rsidP="00BC01B1">
      <w:pPr>
        <w:pStyle w:val="Ttulo4"/>
      </w:pPr>
      <w:bookmarkStart w:id="738" w:name="_Toc498352137"/>
      <w:bookmarkStart w:id="739" w:name="_Toc509935525"/>
      <w:r w:rsidRPr="00B71958">
        <w:t>Programa de Aferição da Qualidade da Água Rural (PAQAR)</w:t>
      </w:r>
      <w:bookmarkEnd w:id="737"/>
      <w:bookmarkEnd w:id="738"/>
      <w:bookmarkEnd w:id="739"/>
    </w:p>
    <w:p w:rsidR="00B71958" w:rsidRPr="00B71958" w:rsidRDefault="00B71958" w:rsidP="00B71958">
      <w:pPr>
        <w:ind w:firstLine="709"/>
        <w:jc w:val="both"/>
        <w:rPr>
          <w:lang w:eastAsia="x-none"/>
        </w:rPr>
      </w:pPr>
      <w:r w:rsidRPr="00B71958">
        <w:rPr>
          <w:lang w:eastAsia="x-none"/>
        </w:rPr>
        <w:t xml:space="preserve">O Programa de Aferição da Qualidade da Água Rural seria fruto da parceria entre o Departamento Municipal de Saúde, o Departamento Municipal de Educação, o Departamento Municipal de Ação Social e a COPASA. Seria formado um grupo de trabalho composto por agentes de saúde, agentes sociais, educadores de escolas da </w:t>
      </w:r>
      <w:r w:rsidRPr="00B71958">
        <w:rPr>
          <w:lang w:eastAsia="x-none"/>
        </w:rPr>
        <w:lastRenderedPageBreak/>
        <w:t>área rural e técnicos sanitaristas para efetuarem mutirões nas propriedades rurais isoladas do município para aferir a qualidade da água que abastece as propriedades, dando conhecimento à população residente.</w:t>
      </w:r>
    </w:p>
    <w:p w:rsidR="00B71958" w:rsidRPr="00B71958" w:rsidRDefault="00B71958" w:rsidP="00B71958">
      <w:pPr>
        <w:ind w:firstLine="709"/>
        <w:jc w:val="both"/>
        <w:rPr>
          <w:lang w:eastAsia="x-none"/>
        </w:rPr>
      </w:pPr>
      <w:r w:rsidRPr="00B71958">
        <w:rPr>
          <w:lang w:eastAsia="x-none"/>
        </w:rPr>
        <w:t>O mutirão serviria, inicialmente, para realizar o cadastramento das propriedades rurais de acordo com o tipo de captação, tipo de tratamento, infraestrutura instalada e demanda da propriedade. Posteriormente, teriam a função de instalar ou auxiliar a instalação das soluções ideais, monitorar as melhorias e sempre atualizar o cadastro. Estima-se periodicidade semestral para os mutirões, ou seja, a cada seis meses cada propriedade rural receberia a visita do grupo de trabalho.</w:t>
      </w:r>
    </w:p>
    <w:p w:rsidR="00040A36" w:rsidRPr="009E014A" w:rsidRDefault="00040A36" w:rsidP="00BC01B1">
      <w:pPr>
        <w:pStyle w:val="Ttulo3"/>
      </w:pPr>
      <w:bookmarkStart w:id="740" w:name="_Toc441845915"/>
      <w:bookmarkStart w:id="741" w:name="_Toc498594037"/>
      <w:bookmarkStart w:id="742" w:name="_Toc509935526"/>
      <w:r w:rsidRPr="009E014A">
        <w:t>Ações para emergência e contingência</w:t>
      </w:r>
      <w:bookmarkEnd w:id="740"/>
      <w:bookmarkEnd w:id="741"/>
      <w:bookmarkEnd w:id="742"/>
      <w:r w:rsidR="00B36DF7">
        <w:rPr>
          <w:lang w:val="pt-BR"/>
        </w:rPr>
        <w:t xml:space="preserve"> </w:t>
      </w:r>
    </w:p>
    <w:p w:rsidR="00040A36" w:rsidRPr="00601B3C" w:rsidRDefault="00040A36" w:rsidP="00040A36">
      <w:pPr>
        <w:spacing w:before="120" w:after="120"/>
        <w:ind w:firstLine="708"/>
        <w:contextualSpacing/>
        <w:jc w:val="both"/>
        <w:rPr>
          <w:rFonts w:cs="Arial"/>
          <w:szCs w:val="24"/>
          <w:lang w:eastAsia="pt-BR"/>
        </w:rPr>
      </w:pPr>
      <w:r w:rsidRPr="007F06AA">
        <w:rPr>
          <w:rFonts w:cs="Arial"/>
          <w:szCs w:val="24"/>
          <w:lang w:eastAsia="pt-BR"/>
        </w:rPr>
        <w:t xml:space="preserve">A seguir estão listadas as </w:t>
      </w:r>
      <w:r w:rsidR="00706792">
        <w:rPr>
          <w:rFonts w:cs="Arial"/>
          <w:szCs w:val="24"/>
          <w:lang w:eastAsia="pt-BR"/>
        </w:rPr>
        <w:t xml:space="preserve">principais </w:t>
      </w:r>
      <w:r w:rsidRPr="007F06AA">
        <w:rPr>
          <w:rFonts w:cs="Arial"/>
          <w:szCs w:val="24"/>
          <w:lang w:eastAsia="pt-BR"/>
        </w:rPr>
        <w:t>ações de eventos de emergência e contingência relacionados ao SAA. A fim de facilitar a compreensão, esses eventos foram separados em operacionais, de gestão e gerenciamento, e imprevisíveis.</w:t>
      </w:r>
    </w:p>
    <w:p w:rsidR="00040A36" w:rsidRPr="009E014A" w:rsidRDefault="00706792" w:rsidP="00BC01B1">
      <w:pPr>
        <w:pStyle w:val="Ttulo4"/>
      </w:pPr>
      <w:bookmarkStart w:id="743" w:name="_Toc441845916"/>
      <w:bookmarkStart w:id="744" w:name="_Toc498594038"/>
      <w:bookmarkStart w:id="745" w:name="_Toc509935527"/>
      <w:r>
        <w:t xml:space="preserve">Eventos </w:t>
      </w:r>
      <w:bookmarkEnd w:id="743"/>
      <w:bookmarkEnd w:id="744"/>
      <w:r w:rsidR="00615E6E">
        <w:t>operacionais</w:t>
      </w:r>
      <w:bookmarkEnd w:id="745"/>
    </w:p>
    <w:p w:rsidR="00040A36" w:rsidRPr="00601B3C" w:rsidRDefault="00040A36" w:rsidP="00C817CB">
      <w:pPr>
        <w:numPr>
          <w:ilvl w:val="0"/>
          <w:numId w:val="4"/>
        </w:numPr>
        <w:tabs>
          <w:tab w:val="left" w:pos="993"/>
        </w:tabs>
        <w:spacing w:before="120" w:after="120"/>
        <w:ind w:left="0" w:firstLine="709"/>
        <w:contextualSpacing/>
        <w:jc w:val="both"/>
        <w:rPr>
          <w:rFonts w:eastAsia="Times New Roman" w:cs="Arial"/>
          <w:szCs w:val="24"/>
          <w:lang w:val="x-none" w:eastAsia="pt-BR"/>
        </w:rPr>
      </w:pPr>
      <w:r w:rsidRPr="00601B3C">
        <w:rPr>
          <w:rFonts w:eastAsia="Times New Roman" w:cs="Arial"/>
          <w:b/>
          <w:szCs w:val="24"/>
          <w:lang w:val="x-none" w:eastAsia="pt-BR"/>
        </w:rPr>
        <w:t>Ocorrência de danos (rompimento, vazamento, corrosão) no sistema de adução ou distribuição de água</w:t>
      </w:r>
      <w:r w:rsidRPr="00601B3C">
        <w:rPr>
          <w:rFonts w:eastAsia="Times New Roman" w:cs="Arial"/>
          <w:szCs w:val="24"/>
          <w:lang w:val="x-none" w:eastAsia="pt-BR"/>
        </w:rPr>
        <w:t xml:space="preserve">: </w:t>
      </w:r>
      <w:r w:rsidRPr="00601B3C">
        <w:rPr>
          <w:rFonts w:eastAsia="Times New Roman" w:cs="Arial"/>
          <w:szCs w:val="24"/>
          <w:lang w:eastAsia="pt-BR"/>
        </w:rPr>
        <w:t>acionar</w:t>
      </w:r>
      <w:r w:rsidRPr="00601B3C">
        <w:rPr>
          <w:rFonts w:eastAsia="Times New Roman" w:cs="Arial"/>
          <w:szCs w:val="24"/>
          <w:lang w:val="x-none" w:eastAsia="pt-BR"/>
        </w:rPr>
        <w:t xml:space="preserve"> equipamentos reserva</w:t>
      </w:r>
      <w:r w:rsidRPr="00601B3C">
        <w:rPr>
          <w:rFonts w:eastAsia="Times New Roman" w:cs="Arial"/>
          <w:szCs w:val="24"/>
          <w:lang w:eastAsia="pt-BR"/>
        </w:rPr>
        <w:t>; iniciar manutenções corretivas</w:t>
      </w:r>
      <w:r w:rsidRPr="00601B3C">
        <w:rPr>
          <w:rFonts w:eastAsia="Times New Roman" w:cs="Arial"/>
          <w:szCs w:val="24"/>
          <w:lang w:val="x-none" w:eastAsia="pt-BR"/>
        </w:rPr>
        <w:t xml:space="preserve"> e comunicar à população</w:t>
      </w:r>
      <w:r w:rsidRPr="00601B3C">
        <w:rPr>
          <w:rFonts w:eastAsia="Times New Roman" w:cs="Arial"/>
          <w:szCs w:val="24"/>
          <w:lang w:eastAsia="pt-BR"/>
        </w:rPr>
        <w:t xml:space="preserve">, </w:t>
      </w:r>
      <w:r w:rsidRPr="00601B3C">
        <w:rPr>
          <w:rFonts w:eastAsia="Times New Roman" w:cs="Arial"/>
          <w:szCs w:val="24"/>
          <w:lang w:val="x-none" w:eastAsia="pt-BR"/>
        </w:rPr>
        <w:t xml:space="preserve">instituições </w:t>
      </w:r>
      <w:r w:rsidRPr="00601B3C">
        <w:rPr>
          <w:rFonts w:eastAsia="Times New Roman" w:cs="Arial"/>
          <w:szCs w:val="24"/>
          <w:lang w:eastAsia="pt-BR"/>
        </w:rPr>
        <w:t>e</w:t>
      </w:r>
      <w:r w:rsidRPr="00601B3C">
        <w:rPr>
          <w:rFonts w:eastAsia="Times New Roman" w:cs="Arial"/>
          <w:szCs w:val="24"/>
          <w:lang w:val="x-none" w:eastAsia="pt-BR"/>
        </w:rPr>
        <w:t xml:space="preserve"> autoridades</w:t>
      </w:r>
      <w:r w:rsidRPr="00601B3C">
        <w:rPr>
          <w:rFonts w:eastAsia="Times New Roman" w:cs="Arial"/>
          <w:szCs w:val="24"/>
          <w:lang w:eastAsia="pt-BR"/>
        </w:rPr>
        <w:t xml:space="preserve">. </w:t>
      </w:r>
      <w:r w:rsidRPr="00601B3C">
        <w:rPr>
          <w:rFonts w:eastAsia="Times New Roman" w:cs="Arial"/>
          <w:b/>
          <w:szCs w:val="24"/>
          <w:lang w:eastAsia="pt-BR"/>
        </w:rPr>
        <w:t>Responsável:</w:t>
      </w:r>
      <w:r w:rsidRPr="00601B3C">
        <w:rPr>
          <w:rFonts w:eastAsia="Times New Roman" w:cs="Arial"/>
          <w:szCs w:val="24"/>
          <w:lang w:eastAsia="pt-BR"/>
        </w:rPr>
        <w:t xml:space="preserve"> prestador dos serviços de abastecimento de água.</w:t>
      </w:r>
    </w:p>
    <w:p w:rsidR="00040A36" w:rsidRPr="00601B3C" w:rsidRDefault="00040A36" w:rsidP="00C817CB">
      <w:pPr>
        <w:numPr>
          <w:ilvl w:val="0"/>
          <w:numId w:val="4"/>
        </w:numPr>
        <w:tabs>
          <w:tab w:val="left" w:pos="993"/>
        </w:tabs>
        <w:spacing w:before="120" w:after="120"/>
        <w:ind w:left="0" w:firstLine="709"/>
        <w:contextualSpacing/>
        <w:jc w:val="both"/>
        <w:rPr>
          <w:rFonts w:eastAsia="Times New Roman" w:cs="Arial"/>
          <w:szCs w:val="24"/>
          <w:lang w:val="x-none" w:eastAsia="pt-BR"/>
        </w:rPr>
      </w:pPr>
      <w:r w:rsidRPr="00601B3C">
        <w:rPr>
          <w:rFonts w:eastAsia="Times New Roman" w:cs="Arial"/>
          <w:b/>
          <w:szCs w:val="24"/>
          <w:lang w:val="x-none" w:eastAsia="pt-BR"/>
        </w:rPr>
        <w:t>Ocorrência de avarias em sistemas de bombeamento</w:t>
      </w:r>
      <w:r w:rsidRPr="00601B3C">
        <w:rPr>
          <w:rFonts w:eastAsia="Times New Roman" w:cs="Arial"/>
          <w:szCs w:val="24"/>
          <w:lang w:val="x-none" w:eastAsia="pt-BR"/>
        </w:rPr>
        <w:t xml:space="preserve">: </w:t>
      </w:r>
      <w:r w:rsidRPr="00601B3C">
        <w:rPr>
          <w:rFonts w:eastAsia="Times New Roman" w:cs="Arial"/>
          <w:szCs w:val="24"/>
          <w:lang w:eastAsia="pt-BR"/>
        </w:rPr>
        <w:t>a</w:t>
      </w:r>
      <w:r w:rsidRPr="00601B3C">
        <w:rPr>
          <w:rFonts w:eastAsia="Times New Roman" w:cs="Arial"/>
          <w:szCs w:val="24"/>
          <w:lang w:val="x-none" w:eastAsia="pt-BR"/>
        </w:rPr>
        <w:t>cionar equipamentos reserva</w:t>
      </w:r>
      <w:r w:rsidRPr="00601B3C">
        <w:rPr>
          <w:rFonts w:eastAsia="Times New Roman" w:cs="Arial"/>
          <w:szCs w:val="24"/>
          <w:lang w:eastAsia="pt-BR"/>
        </w:rPr>
        <w:t>; iniciar manutenções corretivas</w:t>
      </w:r>
      <w:r w:rsidRPr="00601B3C">
        <w:rPr>
          <w:rFonts w:eastAsia="Times New Roman" w:cs="Arial"/>
          <w:szCs w:val="24"/>
          <w:lang w:val="x-none" w:eastAsia="pt-BR"/>
        </w:rPr>
        <w:t xml:space="preserve"> e comunicar à população</w:t>
      </w:r>
      <w:r w:rsidRPr="00601B3C">
        <w:rPr>
          <w:rFonts w:eastAsia="Times New Roman" w:cs="Arial"/>
          <w:szCs w:val="24"/>
          <w:lang w:eastAsia="pt-BR"/>
        </w:rPr>
        <w:t xml:space="preserve">, </w:t>
      </w:r>
      <w:r w:rsidRPr="00601B3C">
        <w:rPr>
          <w:rFonts w:eastAsia="Times New Roman" w:cs="Arial"/>
          <w:szCs w:val="24"/>
          <w:lang w:val="x-none" w:eastAsia="pt-BR"/>
        </w:rPr>
        <w:t xml:space="preserve">instituições </w:t>
      </w:r>
      <w:r w:rsidRPr="00601B3C">
        <w:rPr>
          <w:rFonts w:eastAsia="Times New Roman" w:cs="Arial"/>
          <w:szCs w:val="24"/>
          <w:lang w:eastAsia="pt-BR"/>
        </w:rPr>
        <w:t>e</w:t>
      </w:r>
      <w:r w:rsidRPr="00601B3C">
        <w:rPr>
          <w:rFonts w:eastAsia="Times New Roman" w:cs="Arial"/>
          <w:szCs w:val="24"/>
          <w:lang w:val="x-none" w:eastAsia="pt-BR"/>
        </w:rPr>
        <w:t xml:space="preserve"> autoridades</w:t>
      </w:r>
      <w:r w:rsidRPr="00601B3C">
        <w:rPr>
          <w:rFonts w:eastAsia="Times New Roman" w:cs="Arial"/>
          <w:szCs w:val="24"/>
          <w:lang w:eastAsia="pt-BR"/>
        </w:rPr>
        <w:t>.</w:t>
      </w:r>
      <w:r w:rsidRPr="00601B3C">
        <w:rPr>
          <w:rFonts w:eastAsia="Times New Roman" w:cs="Arial"/>
          <w:b/>
          <w:szCs w:val="24"/>
          <w:lang w:eastAsia="pt-BR"/>
        </w:rPr>
        <w:t xml:space="preserve"> Responsável:</w:t>
      </w:r>
      <w:r w:rsidRPr="00601B3C">
        <w:rPr>
          <w:rFonts w:eastAsia="Times New Roman" w:cs="Arial"/>
          <w:szCs w:val="24"/>
          <w:lang w:eastAsia="pt-BR"/>
        </w:rPr>
        <w:t xml:space="preserve"> prestador dos serviços de abastecimento de água.</w:t>
      </w:r>
    </w:p>
    <w:p w:rsidR="00040A36" w:rsidRPr="00601B3C" w:rsidRDefault="00040A36" w:rsidP="00C817CB">
      <w:pPr>
        <w:numPr>
          <w:ilvl w:val="0"/>
          <w:numId w:val="4"/>
        </w:numPr>
        <w:tabs>
          <w:tab w:val="left" w:pos="993"/>
        </w:tabs>
        <w:spacing w:before="120" w:after="120"/>
        <w:ind w:left="0" w:firstLine="709"/>
        <w:contextualSpacing/>
        <w:jc w:val="both"/>
        <w:rPr>
          <w:rFonts w:eastAsia="Times New Roman" w:cs="Arial"/>
          <w:szCs w:val="24"/>
          <w:lang w:val="x-none" w:eastAsia="pt-BR"/>
        </w:rPr>
      </w:pPr>
      <w:r w:rsidRPr="00601B3C">
        <w:rPr>
          <w:rFonts w:eastAsia="Times New Roman" w:cs="Arial"/>
          <w:b/>
          <w:szCs w:val="24"/>
          <w:lang w:val="x-none" w:eastAsia="pt-BR"/>
        </w:rPr>
        <w:t>Rompimento de barramentos em reservatórios</w:t>
      </w:r>
      <w:r w:rsidRPr="00601B3C">
        <w:rPr>
          <w:rFonts w:eastAsia="Times New Roman" w:cs="Arial"/>
          <w:szCs w:val="24"/>
          <w:lang w:val="x-none" w:eastAsia="pt-BR"/>
        </w:rPr>
        <w:t>:</w:t>
      </w:r>
      <w:r w:rsidRPr="00601B3C">
        <w:rPr>
          <w:rFonts w:eastAsia="Times New Roman" w:cs="Arial"/>
          <w:szCs w:val="24"/>
          <w:lang w:eastAsia="pt-BR"/>
        </w:rPr>
        <w:t xml:space="preserve"> </w:t>
      </w:r>
      <w:r w:rsidRPr="00601B3C">
        <w:rPr>
          <w:rFonts w:eastAsia="Times New Roman" w:cs="Arial"/>
          <w:szCs w:val="24"/>
          <w:lang w:val="x-none" w:eastAsia="pt-BR"/>
        </w:rPr>
        <w:t>comunicar à população</w:t>
      </w:r>
      <w:r w:rsidRPr="00601B3C">
        <w:rPr>
          <w:rFonts w:eastAsia="Times New Roman" w:cs="Arial"/>
          <w:szCs w:val="24"/>
          <w:lang w:eastAsia="pt-BR"/>
        </w:rPr>
        <w:t xml:space="preserve">, </w:t>
      </w:r>
      <w:r w:rsidRPr="00601B3C">
        <w:rPr>
          <w:rFonts w:eastAsia="Times New Roman" w:cs="Arial"/>
          <w:szCs w:val="24"/>
          <w:lang w:val="x-none" w:eastAsia="pt-BR"/>
        </w:rPr>
        <w:t xml:space="preserve">instituições </w:t>
      </w:r>
      <w:r w:rsidRPr="00601B3C">
        <w:rPr>
          <w:rFonts w:eastAsia="Times New Roman" w:cs="Arial"/>
          <w:szCs w:val="24"/>
          <w:lang w:eastAsia="pt-BR"/>
        </w:rPr>
        <w:t>e</w:t>
      </w:r>
      <w:r w:rsidRPr="00601B3C">
        <w:rPr>
          <w:rFonts w:eastAsia="Times New Roman" w:cs="Arial"/>
          <w:szCs w:val="24"/>
          <w:lang w:val="x-none" w:eastAsia="pt-BR"/>
        </w:rPr>
        <w:t xml:space="preserve"> autoridades</w:t>
      </w:r>
      <w:r w:rsidRPr="00601B3C">
        <w:rPr>
          <w:rFonts w:eastAsia="Times New Roman" w:cs="Arial"/>
          <w:szCs w:val="24"/>
          <w:lang w:eastAsia="pt-BR"/>
        </w:rPr>
        <w:t xml:space="preserve"> e iniciar processo de evacuação das áreas a serem afetadas.</w:t>
      </w:r>
      <w:r w:rsidRPr="00601B3C">
        <w:rPr>
          <w:rFonts w:eastAsia="Times New Roman" w:cs="Arial"/>
          <w:b/>
          <w:szCs w:val="24"/>
          <w:lang w:eastAsia="pt-BR"/>
        </w:rPr>
        <w:t xml:space="preserve"> Responsável:</w:t>
      </w:r>
      <w:r w:rsidRPr="00601B3C">
        <w:rPr>
          <w:rFonts w:eastAsia="Times New Roman" w:cs="Arial"/>
          <w:szCs w:val="24"/>
          <w:lang w:eastAsia="pt-BR"/>
        </w:rPr>
        <w:t xml:space="preserve"> prestador dos serviços de abastecimento de água e empresa geradora de energia que opera na barragem, caso seja para geração de energia também.</w:t>
      </w:r>
    </w:p>
    <w:p w:rsidR="00040A36" w:rsidRPr="00601B3C" w:rsidRDefault="00040A36" w:rsidP="00C817CB">
      <w:pPr>
        <w:numPr>
          <w:ilvl w:val="0"/>
          <w:numId w:val="4"/>
        </w:numPr>
        <w:tabs>
          <w:tab w:val="left" w:pos="993"/>
        </w:tabs>
        <w:spacing w:before="120" w:after="120"/>
        <w:ind w:left="0" w:firstLine="709"/>
        <w:contextualSpacing/>
        <w:jc w:val="both"/>
        <w:rPr>
          <w:rFonts w:eastAsia="Times New Roman" w:cs="Arial"/>
          <w:szCs w:val="24"/>
          <w:lang w:val="x-none" w:eastAsia="pt-BR"/>
        </w:rPr>
      </w:pPr>
      <w:r w:rsidRPr="00601B3C">
        <w:rPr>
          <w:rFonts w:eastAsia="Times New Roman" w:cs="Arial"/>
          <w:b/>
          <w:szCs w:val="24"/>
          <w:lang w:val="x-none" w:eastAsia="pt-BR"/>
        </w:rPr>
        <w:t>Ocorrência de acidentes de trabalho nas unidades de captação, tratamento e distribuição de água</w:t>
      </w:r>
      <w:r w:rsidRPr="00601B3C">
        <w:rPr>
          <w:rFonts w:eastAsia="Times New Roman" w:cs="Arial"/>
          <w:szCs w:val="24"/>
          <w:lang w:val="x-none" w:eastAsia="pt-BR"/>
        </w:rPr>
        <w:t>:</w:t>
      </w:r>
      <w:r w:rsidRPr="00601B3C">
        <w:rPr>
          <w:rFonts w:eastAsia="Times New Roman" w:cs="Arial"/>
          <w:b/>
          <w:szCs w:val="24"/>
          <w:lang w:val="x-none" w:eastAsia="pt-BR"/>
        </w:rPr>
        <w:t xml:space="preserve"> </w:t>
      </w:r>
      <w:r w:rsidRPr="00601B3C">
        <w:rPr>
          <w:rFonts w:eastAsia="Times New Roman" w:cs="Arial"/>
          <w:b/>
          <w:szCs w:val="24"/>
          <w:lang w:eastAsia="pt-BR"/>
        </w:rPr>
        <w:t>i</w:t>
      </w:r>
      <w:r w:rsidRPr="00601B3C">
        <w:rPr>
          <w:rFonts w:eastAsia="Times New Roman" w:cs="Arial"/>
          <w:szCs w:val="24"/>
          <w:lang w:eastAsia="pt-BR"/>
        </w:rPr>
        <w:t xml:space="preserve">niciar primeiros socorros; </w:t>
      </w:r>
      <w:r w:rsidRPr="00601B3C">
        <w:rPr>
          <w:rFonts w:eastAsia="Times New Roman" w:cs="Arial"/>
          <w:szCs w:val="24"/>
          <w:lang w:val="x-none" w:eastAsia="pt-BR"/>
        </w:rPr>
        <w:t xml:space="preserve">comunicar </w:t>
      </w:r>
      <w:r w:rsidRPr="00601B3C">
        <w:rPr>
          <w:rFonts w:eastAsia="Times New Roman" w:cs="Arial"/>
          <w:szCs w:val="24"/>
          <w:lang w:eastAsia="pt-BR"/>
        </w:rPr>
        <w:t>aos socorristas; substituir função do operário lesionado, atribuindo-a a outro funcionário por período temporário</w:t>
      </w:r>
      <w:r w:rsidRPr="00601B3C">
        <w:rPr>
          <w:rFonts w:eastAsia="Times New Roman" w:cs="Arial"/>
          <w:szCs w:val="24"/>
          <w:lang w:val="x-none" w:eastAsia="pt-BR"/>
        </w:rPr>
        <w:t>.</w:t>
      </w:r>
      <w:r w:rsidRPr="00601B3C">
        <w:rPr>
          <w:rFonts w:eastAsia="Times New Roman" w:cs="Arial"/>
          <w:szCs w:val="24"/>
          <w:lang w:eastAsia="pt-BR"/>
        </w:rPr>
        <w:t xml:space="preserve"> </w:t>
      </w:r>
      <w:r w:rsidRPr="00601B3C">
        <w:rPr>
          <w:rFonts w:eastAsia="Times New Roman" w:cs="Arial"/>
          <w:b/>
          <w:szCs w:val="24"/>
          <w:lang w:eastAsia="pt-BR"/>
        </w:rPr>
        <w:t>Responsável:</w:t>
      </w:r>
      <w:r w:rsidRPr="00601B3C">
        <w:rPr>
          <w:rFonts w:eastAsia="Times New Roman" w:cs="Arial"/>
          <w:szCs w:val="24"/>
          <w:lang w:eastAsia="pt-BR"/>
        </w:rPr>
        <w:t xml:space="preserve"> prestador dos serviços de água.</w:t>
      </w:r>
    </w:p>
    <w:p w:rsidR="00040A36" w:rsidRPr="00263CB3" w:rsidRDefault="00040A36" w:rsidP="00C817CB">
      <w:pPr>
        <w:numPr>
          <w:ilvl w:val="0"/>
          <w:numId w:val="4"/>
        </w:numPr>
        <w:tabs>
          <w:tab w:val="left" w:pos="993"/>
        </w:tabs>
        <w:spacing w:before="120" w:after="120"/>
        <w:ind w:left="0" w:firstLine="709"/>
        <w:contextualSpacing/>
        <w:jc w:val="both"/>
        <w:rPr>
          <w:rFonts w:eastAsia="Times New Roman" w:cs="Arial"/>
          <w:szCs w:val="24"/>
          <w:lang w:val="x-none" w:eastAsia="pt-BR"/>
        </w:rPr>
      </w:pPr>
      <w:r w:rsidRPr="00601B3C">
        <w:rPr>
          <w:rFonts w:eastAsia="Times New Roman" w:cs="Arial"/>
          <w:b/>
          <w:szCs w:val="24"/>
          <w:lang w:val="x-none" w:eastAsia="pt-BR"/>
        </w:rPr>
        <w:lastRenderedPageBreak/>
        <w:t>Ocorrência de vazamentos de produtos químicos nas instalações de produção de água</w:t>
      </w:r>
      <w:r w:rsidRPr="00601B3C">
        <w:rPr>
          <w:rFonts w:eastAsia="Times New Roman" w:cs="Arial"/>
          <w:szCs w:val="24"/>
          <w:lang w:val="x-none" w:eastAsia="pt-BR"/>
        </w:rPr>
        <w:t xml:space="preserve">: </w:t>
      </w:r>
      <w:r w:rsidRPr="00601B3C">
        <w:rPr>
          <w:rFonts w:eastAsia="Times New Roman" w:cs="Arial"/>
          <w:szCs w:val="24"/>
          <w:lang w:eastAsia="pt-BR"/>
        </w:rPr>
        <w:t xml:space="preserve">iniciar processo de evacuação do local e comunicar às </w:t>
      </w:r>
      <w:r w:rsidRPr="00601B3C">
        <w:rPr>
          <w:rFonts w:eastAsia="Times New Roman" w:cs="Arial"/>
          <w:szCs w:val="24"/>
          <w:lang w:val="x-none" w:eastAsia="pt-BR"/>
        </w:rPr>
        <w:t xml:space="preserve">instituições </w:t>
      </w:r>
      <w:r w:rsidRPr="00601B3C">
        <w:rPr>
          <w:rFonts w:eastAsia="Times New Roman" w:cs="Arial"/>
          <w:szCs w:val="24"/>
          <w:lang w:eastAsia="pt-BR"/>
        </w:rPr>
        <w:t>e</w:t>
      </w:r>
      <w:r w:rsidRPr="00601B3C">
        <w:rPr>
          <w:rFonts w:eastAsia="Times New Roman" w:cs="Arial"/>
          <w:szCs w:val="24"/>
          <w:lang w:val="x-none" w:eastAsia="pt-BR"/>
        </w:rPr>
        <w:t xml:space="preserve"> autoridades</w:t>
      </w:r>
      <w:r w:rsidRPr="00601B3C">
        <w:rPr>
          <w:rFonts w:eastAsia="Times New Roman" w:cs="Arial"/>
          <w:szCs w:val="24"/>
          <w:lang w:eastAsia="pt-BR"/>
        </w:rPr>
        <w:t xml:space="preserve"> que realizam os trabalhos de contenção e remediação</w:t>
      </w:r>
      <w:r w:rsidRPr="00601B3C">
        <w:rPr>
          <w:rFonts w:eastAsia="Times New Roman" w:cs="Arial"/>
          <w:szCs w:val="24"/>
          <w:lang w:val="x-none" w:eastAsia="pt-BR"/>
        </w:rPr>
        <w:t>.</w:t>
      </w:r>
      <w:r w:rsidRPr="00601B3C">
        <w:rPr>
          <w:rFonts w:eastAsia="Times New Roman" w:cs="Arial"/>
          <w:b/>
          <w:szCs w:val="24"/>
          <w:lang w:eastAsia="pt-BR"/>
        </w:rPr>
        <w:t xml:space="preserve"> Responsável:</w:t>
      </w:r>
      <w:r w:rsidRPr="00601B3C">
        <w:rPr>
          <w:rFonts w:eastAsia="Times New Roman" w:cs="Arial"/>
          <w:szCs w:val="24"/>
          <w:lang w:eastAsia="pt-BR"/>
        </w:rPr>
        <w:t xml:space="preserve"> prestador dos serviços de abastecimento de água.</w:t>
      </w:r>
    </w:p>
    <w:p w:rsidR="00040A36" w:rsidRPr="00DA37F5" w:rsidRDefault="00040A36" w:rsidP="00C817CB">
      <w:pPr>
        <w:numPr>
          <w:ilvl w:val="0"/>
          <w:numId w:val="4"/>
        </w:numPr>
        <w:tabs>
          <w:tab w:val="left" w:pos="993"/>
        </w:tabs>
        <w:spacing w:before="120" w:after="120"/>
        <w:ind w:left="0" w:firstLine="709"/>
        <w:contextualSpacing/>
        <w:jc w:val="both"/>
        <w:rPr>
          <w:rFonts w:eastAsia="Times New Roman" w:cs="Arial"/>
          <w:b/>
          <w:szCs w:val="24"/>
          <w:lang w:val="x-none" w:eastAsia="pt-BR"/>
        </w:rPr>
      </w:pPr>
      <w:r w:rsidRPr="00C71477">
        <w:rPr>
          <w:rFonts w:eastAsia="Times New Roman" w:cs="Arial"/>
          <w:b/>
          <w:szCs w:val="24"/>
          <w:lang w:val="x-none" w:eastAsia="pt-BR"/>
        </w:rPr>
        <w:t xml:space="preserve">Interrupção do fornecimento de energia elétrica nas instalações de captação, tratamento de água ou sistemas de bombeamento: </w:t>
      </w:r>
      <w:r w:rsidRPr="00C71477">
        <w:rPr>
          <w:rFonts w:eastAsia="Times New Roman" w:cs="Arial"/>
          <w:szCs w:val="24"/>
          <w:lang w:val="x-none" w:eastAsia="pt-BR"/>
        </w:rPr>
        <w:t>comunicar à companhia fornecedora de energia elétrica</w:t>
      </w:r>
      <w:r>
        <w:rPr>
          <w:rFonts w:eastAsia="Times New Roman" w:cs="Arial"/>
          <w:szCs w:val="24"/>
          <w:lang w:eastAsia="pt-BR"/>
        </w:rPr>
        <w:t xml:space="preserve">, </w:t>
      </w:r>
      <w:r w:rsidRPr="00C71477">
        <w:rPr>
          <w:rFonts w:eastAsia="Times New Roman" w:cs="Arial"/>
          <w:szCs w:val="24"/>
          <w:lang w:val="x-none" w:eastAsia="pt-BR"/>
        </w:rPr>
        <w:t>instituições e autoridades e realizar ate</w:t>
      </w:r>
      <w:r>
        <w:rPr>
          <w:rFonts w:eastAsia="Times New Roman" w:cs="Arial"/>
          <w:szCs w:val="24"/>
          <w:lang w:val="x-none" w:eastAsia="pt-BR"/>
        </w:rPr>
        <w:t>ndimento emergencial com carros-</w:t>
      </w:r>
      <w:r w:rsidRPr="00C71477">
        <w:rPr>
          <w:rFonts w:eastAsia="Times New Roman" w:cs="Arial"/>
          <w:szCs w:val="24"/>
          <w:lang w:val="x-none" w:eastAsia="pt-BR"/>
        </w:rPr>
        <w:t>pipa.</w:t>
      </w:r>
      <w:r w:rsidRPr="00C71477">
        <w:rPr>
          <w:rFonts w:eastAsia="Times New Roman" w:cs="Arial"/>
          <w:b/>
          <w:szCs w:val="24"/>
          <w:lang w:val="x-none" w:eastAsia="pt-BR"/>
        </w:rPr>
        <w:t xml:space="preserve"> Responsável: </w:t>
      </w:r>
      <w:r w:rsidRPr="00C71477">
        <w:rPr>
          <w:rFonts w:eastAsia="Times New Roman" w:cs="Arial"/>
          <w:szCs w:val="24"/>
          <w:lang w:val="x-none" w:eastAsia="pt-BR"/>
        </w:rPr>
        <w:t>prestador dos serviços de abastecimento de água.</w:t>
      </w:r>
    </w:p>
    <w:p w:rsidR="00040A36" w:rsidRPr="00F15CF7" w:rsidRDefault="00706792" w:rsidP="00BC01B1">
      <w:pPr>
        <w:pStyle w:val="Ttulo4"/>
      </w:pPr>
      <w:bookmarkStart w:id="746" w:name="_Toc441845917"/>
      <w:bookmarkStart w:id="747" w:name="_Toc498594039"/>
      <w:bookmarkStart w:id="748" w:name="_Toc509935528"/>
      <w:r>
        <w:rPr>
          <w:lang w:val="pt-BR"/>
        </w:rPr>
        <w:t>Eventos de g</w:t>
      </w:r>
      <w:r w:rsidR="00040A36" w:rsidRPr="00F15CF7">
        <w:t>estão e gerenciamento</w:t>
      </w:r>
      <w:bookmarkEnd w:id="746"/>
      <w:bookmarkEnd w:id="747"/>
      <w:bookmarkEnd w:id="748"/>
    </w:p>
    <w:p w:rsidR="00040A36" w:rsidRPr="00601B3C" w:rsidRDefault="00040A36" w:rsidP="00C817CB">
      <w:pPr>
        <w:numPr>
          <w:ilvl w:val="0"/>
          <w:numId w:val="4"/>
        </w:numPr>
        <w:tabs>
          <w:tab w:val="left" w:pos="993"/>
        </w:tabs>
        <w:spacing w:before="120" w:after="120"/>
        <w:ind w:left="0" w:firstLine="709"/>
        <w:contextualSpacing/>
        <w:jc w:val="both"/>
        <w:rPr>
          <w:rFonts w:eastAsia="Times New Roman" w:cs="Arial"/>
          <w:szCs w:val="24"/>
          <w:lang w:val="x-none" w:eastAsia="pt-BR"/>
        </w:rPr>
      </w:pPr>
      <w:r w:rsidRPr="00601B3C">
        <w:rPr>
          <w:rFonts w:eastAsia="Times New Roman"/>
          <w:b/>
          <w:szCs w:val="20"/>
          <w:lang w:val="x-none" w:eastAsia="pt-BR"/>
        </w:rPr>
        <w:t>Paralisação de funcionários nas unidades de captação, tratamento e distribuição de água</w:t>
      </w:r>
      <w:r w:rsidRPr="00601B3C">
        <w:rPr>
          <w:rFonts w:eastAsia="Times New Roman"/>
          <w:szCs w:val="20"/>
          <w:lang w:val="x-none" w:eastAsia="pt-BR"/>
        </w:rPr>
        <w:t xml:space="preserve">: </w:t>
      </w:r>
      <w:r w:rsidRPr="00601B3C">
        <w:rPr>
          <w:rFonts w:eastAsia="Times New Roman" w:cs="Arial"/>
          <w:szCs w:val="24"/>
          <w:lang w:val="x-none" w:eastAsia="pt-BR"/>
        </w:rPr>
        <w:t>comunicar à população</w:t>
      </w:r>
      <w:r w:rsidRPr="00601B3C">
        <w:rPr>
          <w:rFonts w:eastAsia="Times New Roman" w:cs="Arial"/>
          <w:szCs w:val="24"/>
          <w:lang w:eastAsia="pt-BR"/>
        </w:rPr>
        <w:t xml:space="preserve">, </w:t>
      </w:r>
      <w:r w:rsidRPr="00601B3C">
        <w:rPr>
          <w:rFonts w:eastAsia="Times New Roman" w:cs="Arial"/>
          <w:szCs w:val="24"/>
          <w:lang w:val="x-none" w:eastAsia="pt-BR"/>
        </w:rPr>
        <w:t xml:space="preserve">instituições </w:t>
      </w:r>
      <w:r w:rsidRPr="00601B3C">
        <w:rPr>
          <w:rFonts w:eastAsia="Times New Roman" w:cs="Arial"/>
          <w:szCs w:val="24"/>
          <w:lang w:eastAsia="pt-BR"/>
        </w:rPr>
        <w:t>e</w:t>
      </w:r>
      <w:r w:rsidRPr="00601B3C">
        <w:rPr>
          <w:rFonts w:eastAsia="Times New Roman" w:cs="Arial"/>
          <w:szCs w:val="24"/>
          <w:lang w:val="x-none" w:eastAsia="pt-BR"/>
        </w:rPr>
        <w:t xml:space="preserve"> autoridades</w:t>
      </w:r>
      <w:r w:rsidRPr="00601B3C">
        <w:rPr>
          <w:rFonts w:eastAsia="Times New Roman" w:cs="Arial"/>
          <w:szCs w:val="24"/>
          <w:lang w:eastAsia="pt-BR"/>
        </w:rPr>
        <w:t>; iniciar processo de negociações e atribuir funções temporárias aos funcionários não paralisados</w:t>
      </w:r>
      <w:r w:rsidRPr="00601B3C">
        <w:rPr>
          <w:rFonts w:eastAsia="Times New Roman"/>
          <w:szCs w:val="20"/>
          <w:lang w:val="x-none" w:eastAsia="pt-BR"/>
        </w:rPr>
        <w:t>.</w:t>
      </w:r>
      <w:r w:rsidRPr="00601B3C">
        <w:rPr>
          <w:rFonts w:eastAsia="Times New Roman" w:cs="Arial"/>
          <w:b/>
          <w:szCs w:val="24"/>
          <w:lang w:eastAsia="pt-BR"/>
        </w:rPr>
        <w:t xml:space="preserve"> Responsável:</w:t>
      </w:r>
      <w:r w:rsidRPr="00601B3C">
        <w:rPr>
          <w:rFonts w:eastAsia="Times New Roman" w:cs="Arial"/>
          <w:szCs w:val="24"/>
          <w:lang w:eastAsia="pt-BR"/>
        </w:rPr>
        <w:t xml:space="preserve"> prestador dos serviços de abastecimento de água.</w:t>
      </w:r>
    </w:p>
    <w:p w:rsidR="00040A36" w:rsidRPr="00601B3C" w:rsidRDefault="00040A36" w:rsidP="00C817CB">
      <w:pPr>
        <w:numPr>
          <w:ilvl w:val="0"/>
          <w:numId w:val="4"/>
        </w:numPr>
        <w:tabs>
          <w:tab w:val="left" w:pos="993"/>
        </w:tabs>
        <w:spacing w:before="120" w:after="120"/>
        <w:ind w:left="0" w:firstLine="709"/>
        <w:contextualSpacing/>
        <w:jc w:val="both"/>
        <w:rPr>
          <w:rFonts w:eastAsia="Times New Roman"/>
          <w:szCs w:val="20"/>
          <w:lang w:val="x-none" w:eastAsia="pt-BR"/>
        </w:rPr>
      </w:pPr>
      <w:r w:rsidRPr="00601B3C">
        <w:rPr>
          <w:rFonts w:eastAsia="Times New Roman"/>
          <w:b/>
          <w:szCs w:val="20"/>
          <w:lang w:val="x-none" w:eastAsia="pt-BR"/>
        </w:rPr>
        <w:t xml:space="preserve">Falta de financiamento para o sistema operacional e a realização de manutenções: </w:t>
      </w:r>
      <w:r w:rsidRPr="00601B3C">
        <w:rPr>
          <w:rFonts w:eastAsia="Times New Roman"/>
          <w:szCs w:val="20"/>
          <w:lang w:val="x-none" w:eastAsia="pt-BR"/>
        </w:rPr>
        <w:t>comunicar à população, instituições e autoridades e procurar soluções emergenciais de conseguir receitas, tais como: uma emenda na câmara de vereadores do município</w:t>
      </w:r>
      <w:r w:rsidRPr="00601B3C">
        <w:rPr>
          <w:rFonts w:eastAsia="Times New Roman"/>
          <w:szCs w:val="20"/>
          <w:lang w:eastAsia="pt-BR"/>
        </w:rPr>
        <w:t xml:space="preserve"> e/ou em entidades governamentais estaduais e federais;</w:t>
      </w:r>
      <w:r w:rsidRPr="00601B3C">
        <w:rPr>
          <w:rFonts w:eastAsia="Times New Roman"/>
          <w:szCs w:val="20"/>
          <w:lang w:val="x-none" w:eastAsia="pt-BR"/>
        </w:rPr>
        <w:t xml:space="preserve"> fundos de socorro </w:t>
      </w:r>
      <w:r w:rsidRPr="00601B3C">
        <w:rPr>
          <w:rFonts w:eastAsia="Times New Roman"/>
          <w:szCs w:val="20"/>
          <w:lang w:eastAsia="pt-BR"/>
        </w:rPr>
        <w:t>às</w:t>
      </w:r>
      <w:r w:rsidRPr="00601B3C">
        <w:rPr>
          <w:rFonts w:eastAsia="Times New Roman"/>
          <w:szCs w:val="20"/>
          <w:lang w:val="x-none" w:eastAsia="pt-BR"/>
        </w:rPr>
        <w:t xml:space="preserve"> necessidades básicas como </w:t>
      </w:r>
      <w:r w:rsidRPr="00601B3C">
        <w:rPr>
          <w:rFonts w:eastAsia="Times New Roman"/>
          <w:szCs w:val="20"/>
          <w:lang w:eastAsia="pt-BR"/>
        </w:rPr>
        <w:t>a “P</w:t>
      </w:r>
      <w:r w:rsidRPr="00601B3C">
        <w:rPr>
          <w:rFonts w:eastAsia="Times New Roman"/>
          <w:szCs w:val="20"/>
          <w:lang w:val="x-none" w:eastAsia="pt-BR"/>
        </w:rPr>
        <w:t>arceria de Fundos de Água da América Latina</w:t>
      </w:r>
      <w:r w:rsidRPr="00601B3C">
        <w:rPr>
          <w:rFonts w:eastAsia="Times New Roman"/>
          <w:szCs w:val="20"/>
          <w:lang w:eastAsia="pt-BR"/>
        </w:rPr>
        <w:t>”, etc</w:t>
      </w:r>
      <w:r w:rsidRPr="00601B3C">
        <w:rPr>
          <w:rFonts w:eastAsia="Times New Roman"/>
          <w:szCs w:val="20"/>
          <w:lang w:val="x-none" w:eastAsia="pt-BR"/>
        </w:rPr>
        <w:t>.</w:t>
      </w:r>
      <w:r w:rsidRPr="00601B3C">
        <w:rPr>
          <w:rFonts w:eastAsia="Times New Roman" w:cs="Arial"/>
          <w:b/>
          <w:szCs w:val="24"/>
          <w:lang w:eastAsia="pt-BR"/>
        </w:rPr>
        <w:t xml:space="preserve"> Responsável:</w:t>
      </w:r>
      <w:r w:rsidRPr="00601B3C">
        <w:rPr>
          <w:rFonts w:eastAsia="Times New Roman" w:cs="Arial"/>
          <w:szCs w:val="24"/>
          <w:lang w:eastAsia="pt-BR"/>
        </w:rPr>
        <w:t xml:space="preserve"> prestador dos serviços de abastecimento de água e Executivo Municipal.</w:t>
      </w:r>
    </w:p>
    <w:p w:rsidR="00040A36" w:rsidRPr="00601B3C" w:rsidRDefault="00040A36" w:rsidP="00C817CB">
      <w:pPr>
        <w:numPr>
          <w:ilvl w:val="0"/>
          <w:numId w:val="4"/>
        </w:numPr>
        <w:tabs>
          <w:tab w:val="left" w:pos="993"/>
        </w:tabs>
        <w:spacing w:before="120" w:after="120"/>
        <w:ind w:left="0" w:firstLine="709"/>
        <w:contextualSpacing/>
        <w:jc w:val="both"/>
        <w:rPr>
          <w:rFonts w:eastAsia="Times New Roman" w:cs="Arial"/>
          <w:szCs w:val="24"/>
          <w:lang w:val="x-none" w:eastAsia="pt-BR"/>
        </w:rPr>
      </w:pPr>
      <w:r w:rsidRPr="00601B3C">
        <w:rPr>
          <w:rFonts w:eastAsia="Times New Roman"/>
          <w:b/>
          <w:szCs w:val="20"/>
          <w:lang w:val="x-none" w:eastAsia="pt-BR"/>
        </w:rPr>
        <w:t>Falta de produtos químicos necessários para o funcionamento da ETA</w:t>
      </w:r>
      <w:r w:rsidRPr="00601B3C">
        <w:rPr>
          <w:rFonts w:eastAsia="Times New Roman"/>
          <w:szCs w:val="20"/>
          <w:lang w:val="x-none" w:eastAsia="pt-BR"/>
        </w:rPr>
        <w:t xml:space="preserve">: comunicar à população, instituições e autoridades e procurar soluções emergenciais de conseguir </w:t>
      </w:r>
      <w:r w:rsidRPr="00601B3C">
        <w:rPr>
          <w:rFonts w:eastAsia="Times New Roman"/>
          <w:szCs w:val="20"/>
          <w:lang w:eastAsia="pt-BR"/>
        </w:rPr>
        <w:t>os mesmos produtos ou similares no mercado</w:t>
      </w:r>
      <w:r w:rsidRPr="00601B3C">
        <w:rPr>
          <w:rFonts w:eastAsia="Times New Roman"/>
          <w:szCs w:val="20"/>
          <w:lang w:val="x-none" w:eastAsia="pt-BR"/>
        </w:rPr>
        <w:t xml:space="preserve">, tais como: </w:t>
      </w:r>
      <w:r w:rsidRPr="00601B3C">
        <w:rPr>
          <w:rFonts w:eastAsia="Times New Roman"/>
          <w:szCs w:val="20"/>
          <w:lang w:eastAsia="pt-BR"/>
        </w:rPr>
        <w:t>doações de municípios vizinhos ou de outros sistemas de tratamento do município</w:t>
      </w:r>
      <w:r w:rsidRPr="00601B3C">
        <w:rPr>
          <w:rFonts w:eastAsia="Times New Roman"/>
          <w:szCs w:val="20"/>
          <w:lang w:val="x-none" w:eastAsia="pt-BR"/>
        </w:rPr>
        <w:t>.</w:t>
      </w:r>
      <w:r w:rsidRPr="00601B3C">
        <w:rPr>
          <w:rFonts w:eastAsia="Times New Roman"/>
          <w:szCs w:val="20"/>
          <w:lang w:eastAsia="pt-BR"/>
        </w:rPr>
        <w:t xml:space="preserve"> </w:t>
      </w:r>
      <w:r w:rsidRPr="00601B3C">
        <w:rPr>
          <w:rFonts w:eastAsia="Times New Roman" w:cs="Arial"/>
          <w:b/>
          <w:szCs w:val="24"/>
          <w:lang w:eastAsia="pt-BR"/>
        </w:rPr>
        <w:t>Responsável:</w:t>
      </w:r>
      <w:r w:rsidRPr="00601B3C">
        <w:rPr>
          <w:rFonts w:eastAsia="Times New Roman" w:cs="Arial"/>
          <w:szCs w:val="24"/>
          <w:lang w:eastAsia="pt-BR"/>
        </w:rPr>
        <w:t xml:space="preserve"> prestador dos serviços de abastecimento de água.</w:t>
      </w:r>
    </w:p>
    <w:p w:rsidR="00040A36" w:rsidRPr="00F15CF7" w:rsidRDefault="00706792" w:rsidP="00BC01B1">
      <w:pPr>
        <w:pStyle w:val="Ttulo4"/>
      </w:pPr>
      <w:bookmarkStart w:id="749" w:name="_Toc441845918"/>
      <w:bookmarkStart w:id="750" w:name="_Toc498594040"/>
      <w:bookmarkStart w:id="751" w:name="_Toc509935529"/>
      <w:r>
        <w:t xml:space="preserve">Eventos </w:t>
      </w:r>
      <w:bookmarkEnd w:id="749"/>
      <w:bookmarkEnd w:id="750"/>
      <w:r w:rsidR="00615E6E">
        <w:t>imprevisíveis</w:t>
      </w:r>
      <w:bookmarkEnd w:id="751"/>
    </w:p>
    <w:p w:rsidR="00040A36" w:rsidRPr="00601B3C" w:rsidRDefault="00040A36" w:rsidP="00C817CB">
      <w:pPr>
        <w:numPr>
          <w:ilvl w:val="0"/>
          <w:numId w:val="4"/>
        </w:numPr>
        <w:tabs>
          <w:tab w:val="left" w:pos="993"/>
        </w:tabs>
        <w:spacing w:before="120" w:after="120"/>
        <w:ind w:left="0" w:firstLine="709"/>
        <w:contextualSpacing/>
        <w:jc w:val="both"/>
        <w:rPr>
          <w:rFonts w:eastAsia="Times New Roman"/>
          <w:szCs w:val="20"/>
          <w:lang w:val="x-none" w:eastAsia="pt-BR"/>
        </w:rPr>
      </w:pPr>
      <w:r w:rsidRPr="00601B3C">
        <w:rPr>
          <w:rFonts w:eastAsia="Times New Roman" w:cs="Arial"/>
          <w:b/>
          <w:szCs w:val="24"/>
          <w:lang w:val="x-none" w:eastAsia="pt-BR"/>
        </w:rPr>
        <w:t xml:space="preserve">Redução da disponibilidade </w:t>
      </w:r>
      <w:r w:rsidRPr="00AF3FB9">
        <w:rPr>
          <w:rFonts w:eastAsia="Times New Roman" w:cs="Arial"/>
          <w:b/>
          <w:szCs w:val="24"/>
          <w:lang w:val="x-none" w:eastAsia="pt-BR"/>
        </w:rPr>
        <w:t>hídrica em períodos de estiagem</w:t>
      </w:r>
      <w:r w:rsidRPr="00AF3FB9">
        <w:rPr>
          <w:rFonts w:eastAsia="Times New Roman" w:cs="Arial"/>
          <w:b/>
          <w:szCs w:val="24"/>
          <w:lang w:eastAsia="pt-BR"/>
        </w:rPr>
        <w:t xml:space="preserve"> além do esperado</w:t>
      </w:r>
      <w:r w:rsidRPr="00AF3FB9">
        <w:rPr>
          <w:rFonts w:eastAsia="Times New Roman" w:cs="Arial"/>
          <w:szCs w:val="24"/>
          <w:lang w:val="x-none" w:eastAsia="pt-BR"/>
        </w:rPr>
        <w:t xml:space="preserve">: </w:t>
      </w:r>
      <w:r w:rsidRPr="00AF3FB9">
        <w:rPr>
          <w:rFonts w:eastAsia="Times New Roman"/>
          <w:szCs w:val="20"/>
          <w:lang w:val="x-none" w:eastAsia="pt-BR"/>
        </w:rPr>
        <w:t>comunicar à população, instituiçõ</w:t>
      </w:r>
      <w:r w:rsidRPr="00601B3C">
        <w:rPr>
          <w:rFonts w:eastAsia="Times New Roman"/>
          <w:szCs w:val="20"/>
          <w:lang w:val="x-none" w:eastAsia="pt-BR"/>
        </w:rPr>
        <w:t xml:space="preserve">es e autoridades e procurar soluções emergenciais de conseguir </w:t>
      </w:r>
      <w:r w:rsidRPr="00601B3C">
        <w:rPr>
          <w:rFonts w:eastAsia="Times New Roman"/>
          <w:szCs w:val="20"/>
          <w:lang w:eastAsia="pt-BR"/>
        </w:rPr>
        <w:t xml:space="preserve">maior oferta, como: negociar acordos para que barramentos </w:t>
      </w:r>
      <w:r w:rsidRPr="00601B3C">
        <w:rPr>
          <w:rFonts w:eastAsia="Times New Roman"/>
          <w:szCs w:val="20"/>
          <w:lang w:eastAsia="pt-BR"/>
        </w:rPr>
        <w:lastRenderedPageBreak/>
        <w:t>a montante da captação abram as comportas para se ter maior vazão; procurar outros mananciais para captações; construir barramentos nas captações a fio d’águ</w:t>
      </w:r>
      <w:r>
        <w:rPr>
          <w:rFonts w:eastAsia="Times New Roman"/>
          <w:szCs w:val="20"/>
          <w:lang w:eastAsia="pt-BR"/>
        </w:rPr>
        <w:t>a; doar água por meio de carros-</w:t>
      </w:r>
      <w:r w:rsidRPr="00601B3C">
        <w:rPr>
          <w:rFonts w:eastAsia="Times New Roman"/>
          <w:szCs w:val="20"/>
          <w:lang w:eastAsia="pt-BR"/>
        </w:rPr>
        <w:t>pipa de municípios vizinhos ou de outros sistemas de tratamento do município; realizar racionamento de água</w:t>
      </w:r>
      <w:r w:rsidRPr="00601B3C">
        <w:rPr>
          <w:rFonts w:eastAsia="Times New Roman"/>
          <w:szCs w:val="20"/>
          <w:lang w:val="x-none" w:eastAsia="pt-BR"/>
        </w:rPr>
        <w:t>.</w:t>
      </w:r>
      <w:r w:rsidRPr="00601B3C">
        <w:rPr>
          <w:rFonts w:eastAsia="Times New Roman"/>
          <w:szCs w:val="20"/>
          <w:lang w:eastAsia="pt-BR"/>
        </w:rPr>
        <w:t xml:space="preserve"> </w:t>
      </w:r>
      <w:r w:rsidRPr="00601B3C">
        <w:rPr>
          <w:rFonts w:eastAsia="Times New Roman" w:cs="Arial"/>
          <w:b/>
          <w:szCs w:val="24"/>
          <w:lang w:eastAsia="pt-BR"/>
        </w:rPr>
        <w:t>Responsável:</w:t>
      </w:r>
      <w:r w:rsidRPr="00601B3C">
        <w:rPr>
          <w:rFonts w:eastAsia="Times New Roman" w:cs="Arial"/>
          <w:szCs w:val="24"/>
          <w:lang w:eastAsia="pt-BR"/>
        </w:rPr>
        <w:t xml:space="preserve"> prestador dos serviços de abastecimento de água e Executivo Municipal.</w:t>
      </w:r>
    </w:p>
    <w:p w:rsidR="00040A36" w:rsidRPr="00601B3C" w:rsidRDefault="00040A36" w:rsidP="00C817CB">
      <w:pPr>
        <w:numPr>
          <w:ilvl w:val="0"/>
          <w:numId w:val="4"/>
        </w:numPr>
        <w:tabs>
          <w:tab w:val="left" w:pos="993"/>
        </w:tabs>
        <w:spacing w:before="120" w:after="120"/>
        <w:ind w:left="0" w:firstLine="709"/>
        <w:contextualSpacing/>
        <w:jc w:val="both"/>
        <w:rPr>
          <w:rFonts w:eastAsia="Times New Roman" w:cs="Arial"/>
          <w:b/>
          <w:szCs w:val="24"/>
          <w:lang w:val="x-none" w:eastAsia="pt-BR"/>
        </w:rPr>
      </w:pPr>
      <w:r w:rsidRPr="00601B3C">
        <w:rPr>
          <w:rFonts w:eastAsia="Times New Roman" w:cs="Arial"/>
          <w:b/>
          <w:szCs w:val="24"/>
          <w:lang w:val="x-none" w:eastAsia="pt-BR"/>
        </w:rPr>
        <w:t xml:space="preserve">Contaminação das fontes (mananciais) de água: </w:t>
      </w:r>
      <w:r w:rsidRPr="00601B3C">
        <w:rPr>
          <w:rFonts w:eastAsia="Times New Roman" w:cs="Arial"/>
          <w:szCs w:val="24"/>
          <w:lang w:val="x-none" w:eastAsia="pt-BR"/>
        </w:rPr>
        <w:t>comunicar à população, instituições e autoridades e</w:t>
      </w:r>
      <w:r w:rsidRPr="00601B3C">
        <w:rPr>
          <w:rFonts w:eastAsia="Times New Roman" w:cs="Arial"/>
          <w:szCs w:val="24"/>
          <w:lang w:eastAsia="pt-BR"/>
        </w:rPr>
        <w:t xml:space="preserve"> suspender a captação do manancial contaminado; buscar emergencialmente novos mananciais para captação; realizar atendimento emergencial com </w:t>
      </w:r>
      <w:r w:rsidRPr="00601B3C">
        <w:rPr>
          <w:rFonts w:eastAsia="Times New Roman"/>
          <w:szCs w:val="20"/>
          <w:lang w:eastAsia="pt-BR"/>
        </w:rPr>
        <w:t>carros</w:t>
      </w:r>
      <w:r>
        <w:rPr>
          <w:rFonts w:eastAsia="Times New Roman"/>
          <w:szCs w:val="20"/>
          <w:lang w:eastAsia="pt-BR"/>
        </w:rPr>
        <w:t>-</w:t>
      </w:r>
      <w:r w:rsidRPr="00601B3C">
        <w:rPr>
          <w:rFonts w:eastAsia="Times New Roman"/>
          <w:szCs w:val="20"/>
          <w:lang w:eastAsia="pt-BR"/>
        </w:rPr>
        <w:t>pipa de municípios vizinhos ou de outros sistemas de tratamento do município até sanar o problema e reiniciar o atendimento convencional</w:t>
      </w:r>
      <w:r w:rsidRPr="00601B3C">
        <w:rPr>
          <w:rFonts w:eastAsia="Times New Roman"/>
          <w:szCs w:val="20"/>
          <w:lang w:val="x-none" w:eastAsia="pt-BR"/>
        </w:rPr>
        <w:t>.</w:t>
      </w:r>
      <w:r w:rsidRPr="00601B3C">
        <w:rPr>
          <w:rFonts w:eastAsia="Times New Roman"/>
          <w:szCs w:val="20"/>
          <w:lang w:eastAsia="pt-BR"/>
        </w:rPr>
        <w:t xml:space="preserve"> </w:t>
      </w:r>
      <w:r w:rsidRPr="00601B3C">
        <w:rPr>
          <w:rFonts w:eastAsia="Times New Roman" w:cs="Arial"/>
          <w:b/>
          <w:szCs w:val="24"/>
          <w:lang w:eastAsia="pt-BR"/>
        </w:rPr>
        <w:t>Responsável:</w:t>
      </w:r>
      <w:r w:rsidRPr="00601B3C">
        <w:rPr>
          <w:rFonts w:eastAsia="Times New Roman" w:cs="Arial"/>
          <w:szCs w:val="24"/>
          <w:lang w:eastAsia="pt-BR"/>
        </w:rPr>
        <w:t xml:space="preserve"> </w:t>
      </w:r>
      <w:r>
        <w:rPr>
          <w:rFonts w:eastAsia="Times New Roman" w:cs="Arial"/>
          <w:szCs w:val="24"/>
          <w:lang w:eastAsia="pt-BR"/>
        </w:rPr>
        <w:t xml:space="preserve">no </w:t>
      </w:r>
      <w:r w:rsidRPr="00601B3C">
        <w:rPr>
          <w:rFonts w:eastAsia="Times New Roman" w:cs="Arial"/>
          <w:szCs w:val="24"/>
          <w:lang w:eastAsia="pt-BR"/>
        </w:rPr>
        <w:t>caso de desastre natural é o prestador dos serviços de abastecimento de água, caso contrário é o responsável pela contaminação.</w:t>
      </w:r>
    </w:p>
    <w:p w:rsidR="00040A36" w:rsidRPr="00601B3C" w:rsidRDefault="00040A36" w:rsidP="00C817CB">
      <w:pPr>
        <w:numPr>
          <w:ilvl w:val="0"/>
          <w:numId w:val="4"/>
        </w:numPr>
        <w:tabs>
          <w:tab w:val="left" w:pos="993"/>
        </w:tabs>
        <w:spacing w:before="120" w:after="120"/>
        <w:ind w:left="0" w:firstLine="709"/>
        <w:contextualSpacing/>
        <w:jc w:val="both"/>
        <w:rPr>
          <w:rFonts w:eastAsia="Times New Roman" w:cs="Arial"/>
          <w:szCs w:val="24"/>
          <w:lang w:val="x-none" w:eastAsia="pt-BR"/>
        </w:rPr>
      </w:pPr>
      <w:r w:rsidRPr="00601B3C">
        <w:rPr>
          <w:rFonts w:eastAsia="Times New Roman" w:cs="Arial"/>
          <w:b/>
          <w:szCs w:val="24"/>
          <w:lang w:val="x-none" w:eastAsia="pt-BR"/>
        </w:rPr>
        <w:t>Contaminação no sistema de distribuição da água (reservatórios e rede de distribuição)</w:t>
      </w:r>
      <w:r w:rsidRPr="00601B3C">
        <w:rPr>
          <w:rFonts w:eastAsia="Times New Roman" w:cs="Arial"/>
          <w:szCs w:val="24"/>
          <w:lang w:val="x-none" w:eastAsia="pt-BR"/>
        </w:rPr>
        <w:t>: comunicar à população, instituições e autoridades e</w:t>
      </w:r>
      <w:r w:rsidRPr="00601B3C">
        <w:rPr>
          <w:rFonts w:eastAsia="Times New Roman" w:cs="Arial"/>
          <w:szCs w:val="24"/>
          <w:lang w:eastAsia="pt-BR"/>
        </w:rPr>
        <w:t xml:space="preserve"> suspender o atendimento, abrir o extravasador do reservatórios (ladrão) e a descarga de toda a rede captação do manancial contaminados; efetuar limpeza do sistema de reservação e de distribuição contaminados; realizar atendimento emergencial com </w:t>
      </w:r>
      <w:r w:rsidRPr="00601B3C">
        <w:rPr>
          <w:rFonts w:eastAsia="Times New Roman"/>
          <w:szCs w:val="20"/>
          <w:lang w:eastAsia="pt-BR"/>
        </w:rPr>
        <w:t>carros</w:t>
      </w:r>
      <w:r>
        <w:rPr>
          <w:rFonts w:eastAsia="Times New Roman"/>
          <w:szCs w:val="20"/>
          <w:lang w:eastAsia="pt-BR"/>
        </w:rPr>
        <w:t>-</w:t>
      </w:r>
      <w:r w:rsidRPr="00601B3C">
        <w:rPr>
          <w:rFonts w:eastAsia="Times New Roman"/>
          <w:szCs w:val="20"/>
          <w:lang w:eastAsia="pt-BR"/>
        </w:rPr>
        <w:t>pipa de municípios vizinhos ou de outros sistemas de tratamento do município até sanar o problema e reiniciar o atendimento convencional</w:t>
      </w:r>
      <w:r w:rsidRPr="00601B3C">
        <w:rPr>
          <w:rFonts w:eastAsia="Times New Roman"/>
          <w:szCs w:val="20"/>
          <w:lang w:val="x-none" w:eastAsia="pt-BR"/>
        </w:rPr>
        <w:t>.</w:t>
      </w:r>
      <w:r w:rsidRPr="00601B3C">
        <w:rPr>
          <w:rFonts w:eastAsia="Times New Roman"/>
          <w:szCs w:val="20"/>
          <w:lang w:eastAsia="pt-BR"/>
        </w:rPr>
        <w:t xml:space="preserve"> </w:t>
      </w:r>
      <w:r w:rsidRPr="00601B3C">
        <w:rPr>
          <w:rFonts w:eastAsia="Times New Roman" w:cs="Arial"/>
          <w:b/>
          <w:szCs w:val="24"/>
          <w:lang w:eastAsia="pt-BR"/>
        </w:rPr>
        <w:t>Responsável:</w:t>
      </w:r>
      <w:r w:rsidRPr="00601B3C">
        <w:rPr>
          <w:rFonts w:eastAsia="Times New Roman" w:cs="Arial"/>
          <w:szCs w:val="24"/>
          <w:lang w:eastAsia="pt-BR"/>
        </w:rPr>
        <w:t xml:space="preserve"> </w:t>
      </w:r>
      <w:r>
        <w:rPr>
          <w:rFonts w:eastAsia="Times New Roman" w:cs="Arial"/>
          <w:szCs w:val="24"/>
          <w:lang w:eastAsia="pt-BR"/>
        </w:rPr>
        <w:t xml:space="preserve">no </w:t>
      </w:r>
      <w:r w:rsidRPr="00601B3C">
        <w:rPr>
          <w:rFonts w:eastAsia="Times New Roman" w:cs="Arial"/>
          <w:szCs w:val="24"/>
          <w:lang w:eastAsia="pt-BR"/>
        </w:rPr>
        <w:t>caso de desastre natural é o prestador dos serviços de abastecimento de água, caso contrário é o responsável pela contaminação.</w:t>
      </w:r>
    </w:p>
    <w:p w:rsidR="00040A36" w:rsidRPr="00601B3C" w:rsidRDefault="00040A36" w:rsidP="00C817CB">
      <w:pPr>
        <w:numPr>
          <w:ilvl w:val="0"/>
          <w:numId w:val="4"/>
        </w:numPr>
        <w:tabs>
          <w:tab w:val="left" w:pos="993"/>
        </w:tabs>
        <w:spacing w:before="120" w:after="120"/>
        <w:ind w:left="0" w:firstLine="709"/>
        <w:contextualSpacing/>
        <w:jc w:val="both"/>
        <w:rPr>
          <w:rFonts w:eastAsia="Times New Roman" w:cs="Arial"/>
          <w:szCs w:val="24"/>
          <w:lang w:val="x-none" w:eastAsia="pt-BR"/>
        </w:rPr>
      </w:pPr>
      <w:r w:rsidRPr="00601B3C">
        <w:rPr>
          <w:rFonts w:eastAsia="Times New Roman" w:cs="Arial"/>
          <w:b/>
          <w:szCs w:val="24"/>
          <w:lang w:val="x-none" w:eastAsia="pt-BR"/>
        </w:rPr>
        <w:t>Ocorrência de danos às instalações e equipamentos do sistema devido a desastres naturais</w:t>
      </w:r>
      <w:r w:rsidRPr="00601B3C">
        <w:rPr>
          <w:rFonts w:eastAsia="Times New Roman" w:cs="Arial"/>
          <w:szCs w:val="24"/>
          <w:lang w:val="x-none" w:eastAsia="pt-BR"/>
        </w:rPr>
        <w:t>: comunicar à população, instituições e autoridades e</w:t>
      </w:r>
      <w:r w:rsidRPr="00601B3C">
        <w:rPr>
          <w:rFonts w:eastAsia="Times New Roman" w:cs="Arial"/>
          <w:szCs w:val="24"/>
          <w:lang w:eastAsia="pt-BR"/>
        </w:rPr>
        <w:t xml:space="preserve"> realizar avaliação dos estragos; elaborar plano de manutenção corretiva; fazer as ações necessárias para reestabelecer o sistema; realizar atendimento emergencial com </w:t>
      </w:r>
      <w:r w:rsidRPr="00601B3C">
        <w:rPr>
          <w:rFonts w:eastAsia="Times New Roman"/>
          <w:szCs w:val="20"/>
          <w:lang w:eastAsia="pt-BR"/>
        </w:rPr>
        <w:t>carros</w:t>
      </w:r>
      <w:r>
        <w:rPr>
          <w:rFonts w:eastAsia="Times New Roman"/>
          <w:szCs w:val="20"/>
          <w:lang w:eastAsia="pt-BR"/>
        </w:rPr>
        <w:t>-</w:t>
      </w:r>
      <w:r w:rsidRPr="00601B3C">
        <w:rPr>
          <w:rFonts w:eastAsia="Times New Roman"/>
          <w:szCs w:val="20"/>
          <w:lang w:eastAsia="pt-BR"/>
        </w:rPr>
        <w:t>pipa de municípios vizinhos ou de outros sistemas de tratamento do município até sanar o problema e reiniciar o atendimento convencional</w:t>
      </w:r>
      <w:r w:rsidRPr="00601B3C">
        <w:rPr>
          <w:rFonts w:eastAsia="Times New Roman"/>
          <w:szCs w:val="20"/>
          <w:lang w:val="x-none" w:eastAsia="pt-BR"/>
        </w:rPr>
        <w:t>.</w:t>
      </w:r>
      <w:r w:rsidRPr="00601B3C">
        <w:rPr>
          <w:rFonts w:eastAsia="Times New Roman"/>
          <w:szCs w:val="20"/>
          <w:lang w:eastAsia="pt-BR"/>
        </w:rPr>
        <w:t xml:space="preserve"> </w:t>
      </w:r>
      <w:r w:rsidRPr="00601B3C">
        <w:rPr>
          <w:rFonts w:eastAsia="Times New Roman" w:cs="Arial"/>
          <w:b/>
          <w:szCs w:val="24"/>
          <w:lang w:eastAsia="pt-BR"/>
        </w:rPr>
        <w:t>Responsável:</w:t>
      </w:r>
      <w:r w:rsidRPr="00601B3C">
        <w:rPr>
          <w:rFonts w:eastAsia="Times New Roman" w:cs="Arial"/>
          <w:szCs w:val="24"/>
          <w:lang w:eastAsia="pt-BR"/>
        </w:rPr>
        <w:t xml:space="preserve"> prestador dos serviços de abastecimento de água e Executivo Municipal.</w:t>
      </w:r>
    </w:p>
    <w:p w:rsidR="00040A36" w:rsidRPr="00601B3C" w:rsidRDefault="00040A36" w:rsidP="00C817CB">
      <w:pPr>
        <w:numPr>
          <w:ilvl w:val="0"/>
          <w:numId w:val="4"/>
        </w:numPr>
        <w:tabs>
          <w:tab w:val="left" w:pos="993"/>
        </w:tabs>
        <w:spacing w:before="120" w:after="120"/>
        <w:ind w:left="0" w:firstLine="709"/>
        <w:contextualSpacing/>
        <w:jc w:val="both"/>
        <w:rPr>
          <w:rFonts w:eastAsia="Times New Roman" w:cs="Arial"/>
          <w:szCs w:val="24"/>
          <w:lang w:val="x-none" w:eastAsia="pt-BR"/>
        </w:rPr>
      </w:pPr>
      <w:r w:rsidRPr="00601B3C">
        <w:rPr>
          <w:rFonts w:eastAsia="Times New Roman" w:cs="Arial"/>
          <w:b/>
          <w:szCs w:val="24"/>
          <w:lang w:val="x-none" w:eastAsia="pt-BR"/>
        </w:rPr>
        <w:t>Ocorrência de incêndios em estabelecimentos e edificações do SAA</w:t>
      </w:r>
      <w:r w:rsidRPr="00601B3C">
        <w:rPr>
          <w:rFonts w:eastAsia="Times New Roman" w:cs="Arial"/>
          <w:szCs w:val="24"/>
          <w:lang w:val="x-none" w:eastAsia="pt-BR"/>
        </w:rPr>
        <w:t>: comunicar à população, instituições e autoridades e</w:t>
      </w:r>
      <w:r w:rsidRPr="00601B3C">
        <w:rPr>
          <w:rFonts w:eastAsia="Times New Roman" w:cs="Arial"/>
          <w:szCs w:val="24"/>
          <w:lang w:eastAsia="pt-BR"/>
        </w:rPr>
        <w:t xml:space="preserve"> realizar evacuação total da área atingida. Após incêndio encerrado, avaliar estragos; elaborar plano de manutenção </w:t>
      </w:r>
      <w:r w:rsidRPr="00601B3C">
        <w:rPr>
          <w:rFonts w:eastAsia="Times New Roman" w:cs="Arial"/>
          <w:szCs w:val="24"/>
          <w:lang w:eastAsia="pt-BR"/>
        </w:rPr>
        <w:lastRenderedPageBreak/>
        <w:t xml:space="preserve">corretiva, fazer as ações necessárias para reestabelecer o sistema, realizar atendimento emergencial com </w:t>
      </w:r>
      <w:r w:rsidRPr="00601B3C">
        <w:rPr>
          <w:rFonts w:eastAsia="Times New Roman"/>
          <w:szCs w:val="20"/>
          <w:lang w:eastAsia="pt-BR"/>
        </w:rPr>
        <w:t>carros</w:t>
      </w:r>
      <w:r>
        <w:rPr>
          <w:rFonts w:eastAsia="Times New Roman"/>
          <w:szCs w:val="20"/>
          <w:lang w:eastAsia="pt-BR"/>
        </w:rPr>
        <w:t>-</w:t>
      </w:r>
      <w:r w:rsidRPr="00601B3C">
        <w:rPr>
          <w:rFonts w:eastAsia="Times New Roman"/>
          <w:szCs w:val="20"/>
          <w:lang w:eastAsia="pt-BR"/>
        </w:rPr>
        <w:t>pipa de municípios vizinhos ou de outros sistemas de tratamento do município até sanar o problema e reiniciar o atendimento convencional</w:t>
      </w:r>
      <w:r w:rsidRPr="00601B3C">
        <w:rPr>
          <w:rFonts w:eastAsia="Times New Roman"/>
          <w:szCs w:val="20"/>
          <w:lang w:val="x-none" w:eastAsia="pt-BR"/>
        </w:rPr>
        <w:t>.</w:t>
      </w:r>
      <w:r w:rsidRPr="00601B3C">
        <w:rPr>
          <w:rFonts w:eastAsia="Times New Roman"/>
          <w:szCs w:val="20"/>
          <w:lang w:eastAsia="pt-BR"/>
        </w:rPr>
        <w:t xml:space="preserve"> </w:t>
      </w:r>
      <w:r w:rsidRPr="00601B3C">
        <w:rPr>
          <w:rFonts w:eastAsia="Times New Roman" w:cs="Arial"/>
          <w:b/>
          <w:szCs w:val="24"/>
          <w:lang w:eastAsia="pt-BR"/>
        </w:rPr>
        <w:t>Responsável:</w:t>
      </w:r>
      <w:r w:rsidRPr="00601B3C">
        <w:rPr>
          <w:rFonts w:eastAsia="Times New Roman" w:cs="Arial"/>
          <w:szCs w:val="24"/>
          <w:lang w:eastAsia="pt-BR"/>
        </w:rPr>
        <w:t xml:space="preserve"> prestador dos serviços de abastecimento de água.</w:t>
      </w:r>
    </w:p>
    <w:p w:rsidR="00040A36" w:rsidRPr="00601B3C" w:rsidRDefault="00040A36" w:rsidP="00C817CB">
      <w:pPr>
        <w:numPr>
          <w:ilvl w:val="0"/>
          <w:numId w:val="4"/>
        </w:numPr>
        <w:tabs>
          <w:tab w:val="left" w:pos="993"/>
        </w:tabs>
        <w:spacing w:before="120" w:after="120"/>
        <w:ind w:left="0" w:firstLine="709"/>
        <w:contextualSpacing/>
        <w:jc w:val="both"/>
        <w:rPr>
          <w:rFonts w:eastAsia="Times New Roman" w:cs="Arial"/>
          <w:szCs w:val="24"/>
          <w:lang w:val="x-none" w:eastAsia="pt-BR"/>
        </w:rPr>
      </w:pPr>
      <w:r w:rsidRPr="00987B61">
        <w:rPr>
          <w:rFonts w:eastAsia="Times New Roman" w:cs="Arial"/>
          <w:b/>
          <w:szCs w:val="24"/>
          <w:lang w:val="x-none" w:eastAsia="pt-BR"/>
        </w:rPr>
        <w:t>Interrupção do fornecimento de energia elétrica nas instalações de captação e tratamento de água</w:t>
      </w:r>
      <w:r w:rsidRPr="00987B61">
        <w:rPr>
          <w:rFonts w:eastAsia="Times New Roman" w:cs="Arial"/>
          <w:szCs w:val="24"/>
          <w:lang w:val="x-none" w:eastAsia="pt-BR"/>
        </w:rPr>
        <w:t>:</w:t>
      </w:r>
      <w:r w:rsidRPr="00601B3C">
        <w:rPr>
          <w:rFonts w:eastAsia="Times New Roman" w:cs="Arial"/>
          <w:szCs w:val="24"/>
          <w:lang w:val="x-none" w:eastAsia="pt-BR"/>
        </w:rPr>
        <w:t xml:space="preserve"> comunicar à</w:t>
      </w:r>
      <w:r w:rsidRPr="00601B3C">
        <w:rPr>
          <w:rFonts w:eastAsia="Times New Roman" w:cs="Arial"/>
          <w:szCs w:val="24"/>
          <w:lang w:eastAsia="pt-BR"/>
        </w:rPr>
        <w:t xml:space="preserve"> companhia fornecedora de energia elétrica</w:t>
      </w:r>
      <w:r w:rsidRPr="00601B3C">
        <w:rPr>
          <w:rFonts w:eastAsia="Times New Roman" w:cs="Arial"/>
          <w:szCs w:val="24"/>
          <w:lang w:val="x-none" w:eastAsia="pt-BR"/>
        </w:rPr>
        <w:t>, instituições e autoridades e</w:t>
      </w:r>
      <w:r w:rsidRPr="00601B3C">
        <w:rPr>
          <w:rFonts w:eastAsia="Times New Roman" w:cs="Arial"/>
          <w:szCs w:val="24"/>
          <w:lang w:eastAsia="pt-BR"/>
        </w:rPr>
        <w:t xml:space="preserve"> realizar atendimento emergencial com </w:t>
      </w:r>
      <w:r w:rsidRPr="00601B3C">
        <w:rPr>
          <w:rFonts w:eastAsia="Times New Roman"/>
          <w:szCs w:val="20"/>
          <w:lang w:eastAsia="pt-BR"/>
        </w:rPr>
        <w:t>carros</w:t>
      </w:r>
      <w:r>
        <w:rPr>
          <w:rFonts w:eastAsia="Times New Roman"/>
          <w:szCs w:val="20"/>
          <w:lang w:eastAsia="pt-BR"/>
        </w:rPr>
        <w:t>-</w:t>
      </w:r>
      <w:r w:rsidRPr="00601B3C">
        <w:rPr>
          <w:rFonts w:eastAsia="Times New Roman"/>
          <w:szCs w:val="20"/>
          <w:lang w:eastAsia="pt-BR"/>
        </w:rPr>
        <w:t>pipa de municípios vizinhos ou de outros sistemas de tratamento do município até sanar o problema e reiniciar o atendimento convencional</w:t>
      </w:r>
      <w:r w:rsidRPr="00601B3C">
        <w:rPr>
          <w:rFonts w:eastAsia="Times New Roman"/>
          <w:szCs w:val="20"/>
          <w:lang w:val="x-none" w:eastAsia="pt-BR"/>
        </w:rPr>
        <w:t>.</w:t>
      </w:r>
      <w:r w:rsidRPr="00601B3C">
        <w:rPr>
          <w:rFonts w:eastAsia="Times New Roman"/>
          <w:szCs w:val="20"/>
          <w:lang w:eastAsia="pt-BR"/>
        </w:rPr>
        <w:t xml:space="preserve"> </w:t>
      </w:r>
      <w:r w:rsidRPr="00601B3C">
        <w:rPr>
          <w:rFonts w:eastAsia="Times New Roman" w:cs="Arial"/>
          <w:b/>
          <w:szCs w:val="24"/>
          <w:lang w:eastAsia="pt-BR"/>
        </w:rPr>
        <w:t>Responsável:</w:t>
      </w:r>
      <w:r w:rsidRPr="00601B3C">
        <w:rPr>
          <w:rFonts w:eastAsia="Times New Roman" w:cs="Arial"/>
          <w:szCs w:val="24"/>
          <w:lang w:eastAsia="pt-BR"/>
        </w:rPr>
        <w:t xml:space="preserve"> prestador dos serviços de abastecimento de água.</w:t>
      </w:r>
    </w:p>
    <w:p w:rsidR="00040A36" w:rsidRPr="00437E99" w:rsidRDefault="00040A36" w:rsidP="00C817CB">
      <w:pPr>
        <w:numPr>
          <w:ilvl w:val="0"/>
          <w:numId w:val="4"/>
        </w:numPr>
        <w:tabs>
          <w:tab w:val="left" w:pos="993"/>
        </w:tabs>
        <w:spacing w:before="120" w:after="120"/>
        <w:ind w:left="0" w:firstLine="709"/>
        <w:contextualSpacing/>
        <w:jc w:val="both"/>
        <w:rPr>
          <w:rFonts w:eastAsia="Times New Roman" w:cs="Arial"/>
          <w:szCs w:val="24"/>
          <w:lang w:val="x-none" w:eastAsia="pt-BR"/>
        </w:rPr>
      </w:pPr>
      <w:r w:rsidRPr="00987B61">
        <w:rPr>
          <w:rFonts w:eastAsia="Times New Roman" w:cs="Arial"/>
          <w:b/>
          <w:szCs w:val="24"/>
          <w:lang w:val="x-none" w:eastAsia="pt-BR"/>
        </w:rPr>
        <w:t xml:space="preserve">Interrupção no </w:t>
      </w:r>
      <w:r w:rsidRPr="00437E99">
        <w:rPr>
          <w:rFonts w:eastAsia="Times New Roman" w:cs="Arial"/>
          <w:b/>
          <w:szCs w:val="24"/>
          <w:lang w:val="x-none" w:eastAsia="pt-BR"/>
        </w:rPr>
        <w:t>fornecimento de energia elétrica em sistemas de bombeamento</w:t>
      </w:r>
      <w:r w:rsidRPr="00437E99">
        <w:rPr>
          <w:rFonts w:eastAsia="Times New Roman" w:cs="Arial"/>
          <w:szCs w:val="24"/>
          <w:lang w:val="x-none" w:eastAsia="pt-BR"/>
        </w:rPr>
        <w:t>: comunicar à</w:t>
      </w:r>
      <w:r w:rsidRPr="00437E99">
        <w:rPr>
          <w:rFonts w:eastAsia="Times New Roman" w:cs="Arial"/>
          <w:szCs w:val="24"/>
          <w:lang w:eastAsia="pt-BR"/>
        </w:rPr>
        <w:t xml:space="preserve"> companhia fornecedora de energia elétrica</w:t>
      </w:r>
      <w:r w:rsidRPr="00437E99">
        <w:rPr>
          <w:rFonts w:eastAsia="Times New Roman" w:cs="Arial"/>
          <w:szCs w:val="24"/>
          <w:lang w:val="x-none" w:eastAsia="pt-BR"/>
        </w:rPr>
        <w:t xml:space="preserve"> população, instituições e autoridades e</w:t>
      </w:r>
      <w:r w:rsidRPr="00437E99">
        <w:rPr>
          <w:rFonts w:eastAsia="Times New Roman" w:cs="Arial"/>
          <w:szCs w:val="24"/>
          <w:lang w:eastAsia="pt-BR"/>
        </w:rPr>
        <w:t xml:space="preserve"> realizar atendimento emergencial com </w:t>
      </w:r>
      <w:r w:rsidRPr="00437E99">
        <w:rPr>
          <w:rFonts w:eastAsia="Times New Roman"/>
          <w:szCs w:val="20"/>
          <w:lang w:eastAsia="pt-BR"/>
        </w:rPr>
        <w:t xml:space="preserve">carros-pipa. </w:t>
      </w:r>
      <w:r w:rsidRPr="00437E99">
        <w:rPr>
          <w:rFonts w:eastAsia="Times New Roman" w:cs="Arial"/>
          <w:b/>
          <w:szCs w:val="24"/>
          <w:lang w:eastAsia="pt-BR"/>
        </w:rPr>
        <w:t>Responsável:</w:t>
      </w:r>
      <w:r w:rsidRPr="00437E99">
        <w:rPr>
          <w:rFonts w:eastAsia="Times New Roman" w:cs="Arial"/>
          <w:szCs w:val="24"/>
          <w:lang w:eastAsia="pt-BR"/>
        </w:rPr>
        <w:t xml:space="preserve"> prestador dos serviços de abastecimento de água.</w:t>
      </w:r>
    </w:p>
    <w:p w:rsidR="00040A36" w:rsidRPr="00437E99" w:rsidRDefault="00040A36" w:rsidP="00C817CB">
      <w:pPr>
        <w:numPr>
          <w:ilvl w:val="0"/>
          <w:numId w:val="4"/>
        </w:numPr>
        <w:tabs>
          <w:tab w:val="left" w:pos="993"/>
        </w:tabs>
        <w:spacing w:before="120" w:after="120"/>
        <w:ind w:left="0" w:firstLine="709"/>
        <w:contextualSpacing/>
        <w:jc w:val="both"/>
        <w:rPr>
          <w:szCs w:val="24"/>
        </w:rPr>
      </w:pPr>
      <w:r w:rsidRPr="00437E99">
        <w:rPr>
          <w:b/>
          <w:szCs w:val="24"/>
        </w:rPr>
        <w:t>Avarias no gerador de energia</w:t>
      </w:r>
      <w:r w:rsidRPr="00437E99">
        <w:rPr>
          <w:szCs w:val="24"/>
        </w:rPr>
        <w:t>: comunicar</w:t>
      </w:r>
      <w:r w:rsidRPr="00437E99">
        <w:rPr>
          <w:rFonts w:eastAsia="Times New Roman" w:cs="Arial"/>
          <w:szCs w:val="24"/>
          <w:lang w:val="x-none" w:eastAsia="pt-BR"/>
        </w:rPr>
        <w:t xml:space="preserve"> </w:t>
      </w:r>
      <w:r w:rsidRPr="00437E99">
        <w:rPr>
          <w:rFonts w:eastAsia="Times New Roman" w:cs="Arial"/>
          <w:szCs w:val="24"/>
          <w:lang w:eastAsia="pt-BR"/>
        </w:rPr>
        <w:t xml:space="preserve">ao responsável pela manutenção </w:t>
      </w:r>
      <w:r w:rsidRPr="00437E99">
        <w:rPr>
          <w:rFonts w:eastAsia="Times New Roman" w:cs="Arial"/>
          <w:szCs w:val="24"/>
          <w:lang w:val="x-none" w:eastAsia="pt-BR"/>
        </w:rPr>
        <w:t>e</w:t>
      </w:r>
      <w:r w:rsidRPr="00437E99">
        <w:rPr>
          <w:rFonts w:eastAsia="Times New Roman" w:cs="Arial"/>
          <w:szCs w:val="24"/>
          <w:lang w:eastAsia="pt-BR"/>
        </w:rPr>
        <w:t xml:space="preserve"> realizar atendimento emergencial com </w:t>
      </w:r>
      <w:r w:rsidRPr="00437E99">
        <w:rPr>
          <w:rFonts w:eastAsia="Times New Roman"/>
          <w:szCs w:val="20"/>
          <w:lang w:eastAsia="pt-BR"/>
        </w:rPr>
        <w:t>carros-pipa, caso necessário</w:t>
      </w:r>
      <w:r w:rsidRPr="00437E99">
        <w:rPr>
          <w:rFonts w:eastAsia="Times New Roman"/>
          <w:szCs w:val="20"/>
          <w:lang w:val="x-none" w:eastAsia="pt-BR"/>
        </w:rPr>
        <w:t>.</w:t>
      </w:r>
      <w:r w:rsidRPr="00437E99">
        <w:rPr>
          <w:rFonts w:eastAsia="Times New Roman"/>
          <w:szCs w:val="20"/>
          <w:lang w:eastAsia="pt-BR"/>
        </w:rPr>
        <w:t xml:space="preserve"> </w:t>
      </w:r>
      <w:r w:rsidRPr="00437E99">
        <w:rPr>
          <w:rFonts w:eastAsia="Times New Roman" w:cs="Arial"/>
          <w:b/>
          <w:szCs w:val="24"/>
          <w:lang w:eastAsia="pt-BR"/>
        </w:rPr>
        <w:t>Responsável:</w:t>
      </w:r>
      <w:r w:rsidRPr="00437E99">
        <w:rPr>
          <w:rFonts w:eastAsia="Times New Roman" w:cs="Arial"/>
          <w:szCs w:val="24"/>
          <w:lang w:eastAsia="pt-BR"/>
        </w:rPr>
        <w:t xml:space="preserve"> prestador dos serviços de abastecimento de água.</w:t>
      </w:r>
    </w:p>
    <w:p w:rsidR="00040A36" w:rsidRPr="009E014A" w:rsidRDefault="00040A36" w:rsidP="00BC01B1">
      <w:pPr>
        <w:pStyle w:val="Ttulo3"/>
      </w:pPr>
      <w:bookmarkStart w:id="752" w:name="_Toc498594041"/>
      <w:bookmarkStart w:id="753" w:name="_Toc509935530"/>
      <w:r w:rsidRPr="009E014A">
        <w:t xml:space="preserve">Plano de Segurança da Água </w:t>
      </w:r>
      <w:r w:rsidR="00DC15A5">
        <w:t>–</w:t>
      </w:r>
      <w:r w:rsidRPr="009E014A">
        <w:t xml:space="preserve"> PSA</w:t>
      </w:r>
      <w:bookmarkEnd w:id="752"/>
      <w:bookmarkEnd w:id="753"/>
      <w:r w:rsidR="00DC15A5">
        <w:rPr>
          <w:lang w:val="pt-BR"/>
        </w:rPr>
        <w:t xml:space="preserve"> </w:t>
      </w:r>
    </w:p>
    <w:p w:rsidR="00040A36" w:rsidRPr="00437E99" w:rsidRDefault="00040A36" w:rsidP="00040A36">
      <w:pPr>
        <w:autoSpaceDE w:val="0"/>
        <w:autoSpaceDN w:val="0"/>
        <w:adjustRightInd w:val="0"/>
        <w:spacing w:before="120" w:after="120"/>
        <w:ind w:firstLine="709"/>
        <w:contextualSpacing/>
        <w:jc w:val="both"/>
        <w:rPr>
          <w:rFonts w:cs="Arial"/>
          <w:szCs w:val="24"/>
        </w:rPr>
      </w:pPr>
      <w:r w:rsidRPr="00437E99">
        <w:rPr>
          <w:rFonts w:cs="Arial"/>
          <w:szCs w:val="24"/>
        </w:rPr>
        <w:t xml:space="preserve">Em 2012, o Ministério da Saúde elaborou um documento-base com diretrizes gerais a fim de orientar a elaboração, implantação e desenvolvimento de um PSA. Neste documento constam as diretrizes e especificações que o município de </w:t>
      </w:r>
      <w:r w:rsidR="00B71958">
        <w:rPr>
          <w:rFonts w:cs="Arial"/>
          <w:szCs w:val="24"/>
        </w:rPr>
        <w:t>Córrego Novo</w:t>
      </w:r>
      <w:r w:rsidRPr="00437E99">
        <w:rPr>
          <w:rFonts w:cs="Arial"/>
          <w:szCs w:val="24"/>
        </w:rPr>
        <w:t xml:space="preserve"> pode se basear para elaboração, implantação e desenvolvimento do seu Plano de Segurança de Água. A seguir são apresentadas algumas breves informações sobre o PSA.</w:t>
      </w:r>
    </w:p>
    <w:p w:rsidR="00040A36" w:rsidRPr="00437E99" w:rsidRDefault="00040A36" w:rsidP="00040A36">
      <w:pPr>
        <w:autoSpaceDE w:val="0"/>
        <w:autoSpaceDN w:val="0"/>
        <w:adjustRightInd w:val="0"/>
        <w:spacing w:before="120" w:after="120"/>
        <w:ind w:firstLine="709"/>
        <w:contextualSpacing/>
        <w:jc w:val="both"/>
        <w:rPr>
          <w:rFonts w:cs="Arial"/>
          <w:szCs w:val="24"/>
        </w:rPr>
      </w:pPr>
      <w:r w:rsidRPr="00437E99">
        <w:rPr>
          <w:rFonts w:cs="Arial"/>
          <w:szCs w:val="24"/>
        </w:rPr>
        <w:t>De acordo com este documento, o PSA é um instrumento com abordagem preventiva, com o objetivo de garantir a segurança da água para o consumo humano. Tem como finalidade ajudar os responsáveis pelo abastecimento de água na identificação e priorização de perigos e riscos em sistemas e nas soluções alternativas coletivas de abastecimento de água, desde o manancial até o consumidor. Seus objetivos específicos são:</w:t>
      </w:r>
    </w:p>
    <w:p w:rsidR="00040A36" w:rsidRPr="00437E99" w:rsidRDefault="00040A36" w:rsidP="0066661F">
      <w:pPr>
        <w:pStyle w:val="PargrafodaLista"/>
        <w:numPr>
          <w:ilvl w:val="0"/>
          <w:numId w:val="53"/>
        </w:numPr>
        <w:autoSpaceDE w:val="0"/>
        <w:autoSpaceDN w:val="0"/>
        <w:adjustRightInd w:val="0"/>
        <w:spacing w:before="120" w:after="120"/>
        <w:rPr>
          <w:rFonts w:cs="Arial"/>
          <w:szCs w:val="24"/>
        </w:rPr>
      </w:pPr>
      <w:r w:rsidRPr="00437E99">
        <w:rPr>
          <w:rFonts w:cs="Arial"/>
          <w:szCs w:val="24"/>
        </w:rPr>
        <w:lastRenderedPageBreak/>
        <w:t>Eliminar a contaminação da água por meio do processo de tratamento adequado.</w:t>
      </w:r>
    </w:p>
    <w:p w:rsidR="00040A36" w:rsidRPr="00437E99" w:rsidRDefault="00040A36" w:rsidP="0066661F">
      <w:pPr>
        <w:pStyle w:val="PargrafodaLista"/>
        <w:numPr>
          <w:ilvl w:val="0"/>
          <w:numId w:val="53"/>
        </w:numPr>
        <w:autoSpaceDE w:val="0"/>
        <w:autoSpaceDN w:val="0"/>
        <w:adjustRightInd w:val="0"/>
        <w:spacing w:before="120" w:after="120"/>
        <w:rPr>
          <w:rFonts w:cs="Arial"/>
          <w:szCs w:val="24"/>
        </w:rPr>
      </w:pPr>
      <w:r w:rsidRPr="00437E99">
        <w:rPr>
          <w:rFonts w:cs="Arial"/>
          <w:szCs w:val="24"/>
        </w:rPr>
        <w:t>Prevenir a (re)contaminação no sistema de distribuição da água (reservatórios e rede de distribuição) (WHO, 2011).</w:t>
      </w:r>
    </w:p>
    <w:p w:rsidR="00040A36" w:rsidRPr="00437E99" w:rsidRDefault="00040A36" w:rsidP="0066661F">
      <w:pPr>
        <w:pStyle w:val="PargrafodaLista"/>
        <w:numPr>
          <w:ilvl w:val="0"/>
          <w:numId w:val="53"/>
        </w:numPr>
        <w:autoSpaceDE w:val="0"/>
        <w:autoSpaceDN w:val="0"/>
        <w:adjustRightInd w:val="0"/>
        <w:spacing w:before="120" w:after="120"/>
        <w:rPr>
          <w:rFonts w:cs="Arial"/>
          <w:szCs w:val="24"/>
        </w:rPr>
      </w:pPr>
      <w:r w:rsidRPr="00437E99">
        <w:rPr>
          <w:rFonts w:cs="Arial"/>
          <w:szCs w:val="24"/>
        </w:rPr>
        <w:t>Prevenir ou minimizar a contaminação dos mananciais de captação.</w:t>
      </w:r>
    </w:p>
    <w:p w:rsidR="00040A36" w:rsidRPr="00437E99" w:rsidRDefault="00040A36" w:rsidP="00040A36">
      <w:pPr>
        <w:autoSpaceDE w:val="0"/>
        <w:autoSpaceDN w:val="0"/>
        <w:adjustRightInd w:val="0"/>
        <w:spacing w:before="120" w:after="120"/>
        <w:ind w:firstLine="709"/>
        <w:contextualSpacing/>
        <w:jc w:val="both"/>
        <w:rPr>
          <w:rFonts w:cs="Arial"/>
          <w:szCs w:val="24"/>
        </w:rPr>
      </w:pPr>
      <w:r w:rsidRPr="00B71958">
        <w:rPr>
          <w:rFonts w:cs="Arial"/>
          <w:szCs w:val="24"/>
        </w:rPr>
        <w:t xml:space="preserve">Cabe aos responsáveis pelo SAA, no caso a COPASA, elaborar os respectivos PSAs acompanhados por representantes do setor de saúde, da esfera federativa correspondente, e pelo </w:t>
      </w:r>
      <w:r w:rsidRPr="00B71958">
        <w:rPr>
          <w:rFonts w:cs="Arial"/>
          <w:b/>
          <w:szCs w:val="24"/>
        </w:rPr>
        <w:t xml:space="preserve">CBH </w:t>
      </w:r>
      <w:r w:rsidR="00B71958" w:rsidRPr="00B71958">
        <w:rPr>
          <w:rFonts w:cs="Arial"/>
          <w:b/>
          <w:szCs w:val="24"/>
        </w:rPr>
        <w:t>Piranga</w:t>
      </w:r>
      <w:r w:rsidRPr="00B71958">
        <w:rPr>
          <w:rFonts w:cs="Arial"/>
          <w:b/>
          <w:szCs w:val="24"/>
        </w:rPr>
        <w:t>.</w:t>
      </w:r>
      <w:r w:rsidRPr="00B71958">
        <w:rPr>
          <w:rFonts w:cs="Arial"/>
          <w:szCs w:val="24"/>
        </w:rPr>
        <w:t xml:space="preserve"> </w:t>
      </w:r>
      <w:r w:rsidRPr="00437E99">
        <w:rPr>
          <w:rFonts w:cs="Arial"/>
          <w:szCs w:val="24"/>
        </w:rPr>
        <w:t>O PSA deve abranger a avaliação do sistema, o monitoramento operacional e os planos de gestão, incluindo a organização da documentação e a comunicação de risco. Ele também tem a obrigação de abordar todas as etapas do abastecimento de água para consumo humano e manter o foco no controle da captação, no tratamento e na distribuição da água para esse consumo.</w:t>
      </w:r>
    </w:p>
    <w:p w:rsidR="00040A36" w:rsidRPr="00437E99" w:rsidRDefault="00040A36" w:rsidP="00040A36">
      <w:pPr>
        <w:autoSpaceDE w:val="0"/>
        <w:autoSpaceDN w:val="0"/>
        <w:adjustRightInd w:val="0"/>
        <w:spacing w:before="120" w:after="120"/>
        <w:ind w:firstLine="709"/>
        <w:contextualSpacing/>
        <w:jc w:val="both"/>
        <w:rPr>
          <w:rFonts w:cs="Arial"/>
          <w:szCs w:val="24"/>
        </w:rPr>
      </w:pPr>
      <w:r w:rsidRPr="00437E99">
        <w:rPr>
          <w:rFonts w:cs="Arial"/>
          <w:szCs w:val="24"/>
        </w:rPr>
        <w:t>Os benefícios da implementação do PSA para os responsáveis pelo abastecimento de água incluem:</w:t>
      </w:r>
    </w:p>
    <w:p w:rsidR="00040A36" w:rsidRPr="00437E99" w:rsidRDefault="00040A36" w:rsidP="0066661F">
      <w:pPr>
        <w:pStyle w:val="PargrafodaLista"/>
        <w:numPr>
          <w:ilvl w:val="0"/>
          <w:numId w:val="53"/>
        </w:numPr>
        <w:autoSpaceDE w:val="0"/>
        <w:autoSpaceDN w:val="0"/>
        <w:adjustRightInd w:val="0"/>
        <w:spacing w:before="120" w:after="120"/>
        <w:rPr>
          <w:rFonts w:cs="Arial"/>
          <w:szCs w:val="24"/>
        </w:rPr>
      </w:pPr>
      <w:r w:rsidRPr="00437E99">
        <w:rPr>
          <w:rFonts w:cs="Arial"/>
          <w:szCs w:val="24"/>
        </w:rPr>
        <w:t>Garantir a qualidade da água, atendendo ao padrão de potabilidade estabelecido pela legislação vigente;</w:t>
      </w:r>
    </w:p>
    <w:p w:rsidR="00040A36" w:rsidRPr="00437E99" w:rsidRDefault="00040A36" w:rsidP="0066661F">
      <w:pPr>
        <w:pStyle w:val="PargrafodaLista"/>
        <w:numPr>
          <w:ilvl w:val="0"/>
          <w:numId w:val="53"/>
        </w:numPr>
        <w:autoSpaceDE w:val="0"/>
        <w:autoSpaceDN w:val="0"/>
        <w:adjustRightInd w:val="0"/>
        <w:spacing w:before="120" w:after="120"/>
        <w:rPr>
          <w:rFonts w:cs="Arial"/>
          <w:szCs w:val="24"/>
        </w:rPr>
      </w:pPr>
      <w:r w:rsidRPr="00437E99">
        <w:rPr>
          <w:rFonts w:cs="Arial"/>
          <w:szCs w:val="24"/>
        </w:rPr>
        <w:t>Garantir maior segurança e confiabilidade, por parte dos consumidores, diminuindo as reclamações;</w:t>
      </w:r>
    </w:p>
    <w:p w:rsidR="00040A36" w:rsidRPr="00437E99" w:rsidRDefault="00040A36" w:rsidP="0066661F">
      <w:pPr>
        <w:pStyle w:val="PargrafodaLista"/>
        <w:numPr>
          <w:ilvl w:val="0"/>
          <w:numId w:val="53"/>
        </w:numPr>
        <w:autoSpaceDE w:val="0"/>
        <w:autoSpaceDN w:val="0"/>
        <w:adjustRightInd w:val="0"/>
        <w:spacing w:before="120" w:after="120"/>
        <w:rPr>
          <w:rFonts w:cs="Arial"/>
          <w:szCs w:val="24"/>
        </w:rPr>
      </w:pPr>
      <w:r w:rsidRPr="00437E99">
        <w:rPr>
          <w:rFonts w:cs="Arial"/>
          <w:szCs w:val="24"/>
        </w:rPr>
        <w:t>Identificar perigos e riscos, oportunamente;</w:t>
      </w:r>
    </w:p>
    <w:p w:rsidR="00040A36" w:rsidRPr="00437E99" w:rsidRDefault="00040A36" w:rsidP="0066661F">
      <w:pPr>
        <w:pStyle w:val="PargrafodaLista"/>
        <w:numPr>
          <w:ilvl w:val="0"/>
          <w:numId w:val="53"/>
        </w:numPr>
        <w:autoSpaceDE w:val="0"/>
        <w:autoSpaceDN w:val="0"/>
        <w:adjustRightInd w:val="0"/>
        <w:spacing w:before="120" w:after="120"/>
        <w:rPr>
          <w:rFonts w:cs="Arial"/>
          <w:szCs w:val="24"/>
        </w:rPr>
      </w:pPr>
      <w:r w:rsidRPr="00437E99">
        <w:rPr>
          <w:rFonts w:cs="Arial"/>
          <w:szCs w:val="24"/>
        </w:rPr>
        <w:t>Melhorar a atuação intersetorial;</w:t>
      </w:r>
    </w:p>
    <w:p w:rsidR="00040A36" w:rsidRPr="00437E99" w:rsidRDefault="00040A36" w:rsidP="0066661F">
      <w:pPr>
        <w:pStyle w:val="PargrafodaLista"/>
        <w:numPr>
          <w:ilvl w:val="0"/>
          <w:numId w:val="53"/>
        </w:numPr>
        <w:autoSpaceDE w:val="0"/>
        <w:autoSpaceDN w:val="0"/>
        <w:adjustRightInd w:val="0"/>
        <w:spacing w:before="120" w:after="120"/>
        <w:rPr>
          <w:rFonts w:cs="Arial"/>
          <w:szCs w:val="24"/>
        </w:rPr>
      </w:pPr>
      <w:r w:rsidRPr="00437E99">
        <w:rPr>
          <w:rFonts w:cs="Arial"/>
          <w:szCs w:val="24"/>
        </w:rPr>
        <w:t>Otimizar investimentos;</w:t>
      </w:r>
    </w:p>
    <w:p w:rsidR="00040A36" w:rsidRPr="00437E99" w:rsidRDefault="00040A36" w:rsidP="0066661F">
      <w:pPr>
        <w:pStyle w:val="PargrafodaLista"/>
        <w:numPr>
          <w:ilvl w:val="0"/>
          <w:numId w:val="53"/>
        </w:numPr>
        <w:autoSpaceDE w:val="0"/>
        <w:autoSpaceDN w:val="0"/>
        <w:adjustRightInd w:val="0"/>
        <w:spacing w:before="120" w:after="120"/>
        <w:rPr>
          <w:rFonts w:cs="Arial"/>
          <w:szCs w:val="24"/>
        </w:rPr>
      </w:pPr>
      <w:r w:rsidRPr="00437E99">
        <w:rPr>
          <w:rFonts w:cs="Arial"/>
          <w:szCs w:val="24"/>
        </w:rPr>
        <w:t>Otimizar processos de trabalho, por meio da organização da documentação e dos procedimentos operacionais existentes, levando a ganhos em eficiência, melhoria de desempenho e resposta mais rápida em caso de incidentes;</w:t>
      </w:r>
    </w:p>
    <w:p w:rsidR="00040A36" w:rsidRPr="00437E99" w:rsidRDefault="00040A36" w:rsidP="0066661F">
      <w:pPr>
        <w:pStyle w:val="PargrafodaLista"/>
        <w:numPr>
          <w:ilvl w:val="0"/>
          <w:numId w:val="53"/>
        </w:numPr>
        <w:autoSpaceDE w:val="0"/>
        <w:autoSpaceDN w:val="0"/>
        <w:adjustRightInd w:val="0"/>
        <w:spacing w:before="120" w:after="120"/>
        <w:rPr>
          <w:rFonts w:cs="Arial"/>
          <w:szCs w:val="24"/>
        </w:rPr>
      </w:pPr>
      <w:r w:rsidRPr="00437E99">
        <w:rPr>
          <w:rFonts w:cs="Arial"/>
          <w:szCs w:val="24"/>
        </w:rPr>
        <w:t>Qualificar profissionais;</w:t>
      </w:r>
    </w:p>
    <w:p w:rsidR="00040A36" w:rsidRPr="00437E99" w:rsidRDefault="00040A36" w:rsidP="0066661F">
      <w:pPr>
        <w:pStyle w:val="PargrafodaLista"/>
        <w:numPr>
          <w:ilvl w:val="0"/>
          <w:numId w:val="53"/>
        </w:numPr>
        <w:autoSpaceDE w:val="0"/>
        <w:autoSpaceDN w:val="0"/>
        <w:adjustRightInd w:val="0"/>
        <w:spacing w:before="120" w:after="120"/>
        <w:rPr>
          <w:rFonts w:cs="Arial"/>
          <w:szCs w:val="24"/>
        </w:rPr>
      </w:pPr>
      <w:r w:rsidRPr="00437E99">
        <w:rPr>
          <w:rFonts w:cs="Arial"/>
          <w:szCs w:val="24"/>
        </w:rPr>
        <w:t>Reduzir custos de tratamento.</w:t>
      </w:r>
    </w:p>
    <w:p w:rsidR="00040A36" w:rsidRPr="00437E99" w:rsidRDefault="00040A36" w:rsidP="00040A36">
      <w:pPr>
        <w:autoSpaceDE w:val="0"/>
        <w:autoSpaceDN w:val="0"/>
        <w:adjustRightInd w:val="0"/>
        <w:spacing w:before="120" w:after="120"/>
        <w:ind w:firstLine="709"/>
        <w:contextualSpacing/>
        <w:jc w:val="both"/>
        <w:rPr>
          <w:rFonts w:cs="Arial"/>
          <w:szCs w:val="24"/>
        </w:rPr>
      </w:pPr>
      <w:r w:rsidRPr="00437E99">
        <w:rPr>
          <w:rFonts w:cs="Arial"/>
          <w:szCs w:val="24"/>
        </w:rPr>
        <w:t xml:space="preserve">A abordagem do PSA baseia-se em muitos dos princípios e conceitos de outras abordagens de gerenciamento de risco, destacando-se os de: Análise de Perigo e </w:t>
      </w:r>
      <w:r w:rsidRPr="00437E99">
        <w:rPr>
          <w:rFonts w:cs="Arial"/>
          <w:szCs w:val="24"/>
        </w:rPr>
        <w:lastRenderedPageBreak/>
        <w:t xml:space="preserve">Pontos Críticos de Controle (APPCC); Análise de Risco; Boas Práticas; e Múltiplas Barreiras, descritos conforme </w:t>
      </w:r>
      <w:r w:rsidR="007839E8">
        <w:rPr>
          <w:rFonts w:cs="Arial"/>
          <w:szCs w:val="24"/>
        </w:rPr>
        <w:fldChar w:fldCharType="begin"/>
      </w:r>
      <w:r w:rsidR="007839E8">
        <w:rPr>
          <w:rFonts w:cs="Arial"/>
          <w:szCs w:val="24"/>
        </w:rPr>
        <w:instrText xml:space="preserve"> REF _Ref507603069 \h </w:instrText>
      </w:r>
      <w:r w:rsidR="007839E8">
        <w:rPr>
          <w:rFonts w:cs="Arial"/>
          <w:szCs w:val="24"/>
        </w:rPr>
      </w:r>
      <w:r w:rsidR="007839E8">
        <w:rPr>
          <w:rFonts w:cs="Arial"/>
          <w:szCs w:val="24"/>
        </w:rPr>
        <w:fldChar w:fldCharType="separate"/>
      </w:r>
      <w:r w:rsidR="001B481B">
        <w:t xml:space="preserve">Quadro </w:t>
      </w:r>
      <w:r w:rsidR="001B481B">
        <w:rPr>
          <w:noProof/>
        </w:rPr>
        <w:t>62</w:t>
      </w:r>
      <w:r w:rsidR="007839E8">
        <w:rPr>
          <w:rFonts w:cs="Arial"/>
          <w:szCs w:val="24"/>
        </w:rPr>
        <w:fldChar w:fldCharType="end"/>
      </w:r>
      <w:r w:rsidRPr="00437E99">
        <w:rPr>
          <w:rFonts w:cs="Arial"/>
          <w:szCs w:val="24"/>
        </w:rPr>
        <w:t>.</w:t>
      </w:r>
    </w:p>
    <w:p w:rsidR="00040A36" w:rsidRPr="00437E99" w:rsidRDefault="007839E8" w:rsidP="007839E8">
      <w:pPr>
        <w:pStyle w:val="Legenda"/>
      </w:pPr>
      <w:bookmarkStart w:id="754" w:name="_Ref507603069"/>
      <w:bookmarkStart w:id="755" w:name="_Toc498594127"/>
      <w:bookmarkStart w:id="756" w:name="_Toc509935839"/>
      <w:r>
        <w:t xml:space="preserve">Quadro </w:t>
      </w:r>
      <w:r w:rsidR="000A1C78">
        <w:fldChar w:fldCharType="begin"/>
      </w:r>
      <w:r w:rsidR="000A1C78">
        <w:instrText xml:space="preserve"> SEQ Quadro \* ARABIC </w:instrText>
      </w:r>
      <w:r w:rsidR="000A1C78">
        <w:fldChar w:fldCharType="separate"/>
      </w:r>
      <w:r w:rsidR="001B481B">
        <w:rPr>
          <w:noProof/>
        </w:rPr>
        <w:t>62</w:t>
      </w:r>
      <w:r w:rsidR="000A1C78">
        <w:rPr>
          <w:noProof/>
        </w:rPr>
        <w:fldChar w:fldCharType="end"/>
      </w:r>
      <w:bookmarkEnd w:id="754"/>
      <w:r w:rsidR="00040A36" w:rsidRPr="00437E99">
        <w:t xml:space="preserve"> - Princípios e conceitos-base do PSA</w:t>
      </w:r>
      <w:bookmarkEnd w:id="755"/>
      <w:bookmarkEnd w:id="7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7413"/>
      </w:tblGrid>
      <w:tr w:rsidR="00040A36" w:rsidRPr="00615E6E" w:rsidTr="000336E1">
        <w:trPr>
          <w:trHeight w:val="20"/>
        </w:trPr>
        <w:tc>
          <w:tcPr>
            <w:tcW w:w="0" w:type="auto"/>
            <w:shd w:val="clear" w:color="auto" w:fill="auto"/>
            <w:vAlign w:val="center"/>
          </w:tcPr>
          <w:p w:rsidR="00040A36" w:rsidRPr="00615E6E" w:rsidRDefault="00040A36" w:rsidP="00615E6E">
            <w:pPr>
              <w:autoSpaceDE w:val="0"/>
              <w:autoSpaceDN w:val="0"/>
              <w:adjustRightInd w:val="0"/>
              <w:spacing w:before="120" w:after="120" w:line="240" w:lineRule="auto"/>
              <w:rPr>
                <w:rFonts w:cs="Arial"/>
                <w:b/>
                <w:sz w:val="22"/>
              </w:rPr>
            </w:pPr>
            <w:r w:rsidRPr="00615E6E">
              <w:rPr>
                <w:rFonts w:cs="Arial"/>
                <w:b/>
                <w:sz w:val="22"/>
              </w:rPr>
              <w:t>Análise de Perigos e Pontos Críticos de Controle (APPCC)</w:t>
            </w:r>
          </w:p>
        </w:tc>
        <w:tc>
          <w:tcPr>
            <w:tcW w:w="0" w:type="auto"/>
            <w:shd w:val="clear" w:color="auto" w:fill="auto"/>
            <w:vAlign w:val="center"/>
          </w:tcPr>
          <w:p w:rsidR="00040A36" w:rsidRPr="00615E6E" w:rsidRDefault="00040A36" w:rsidP="00615E6E">
            <w:pPr>
              <w:autoSpaceDE w:val="0"/>
              <w:autoSpaceDN w:val="0"/>
              <w:adjustRightInd w:val="0"/>
              <w:spacing w:before="120" w:after="120" w:line="240" w:lineRule="auto"/>
              <w:jc w:val="both"/>
              <w:rPr>
                <w:rFonts w:cs="Arial"/>
                <w:b/>
                <w:sz w:val="22"/>
              </w:rPr>
            </w:pPr>
            <w:r w:rsidRPr="00615E6E">
              <w:rPr>
                <w:rFonts w:cs="Arial"/>
                <w:sz w:val="22"/>
              </w:rPr>
              <w:t>APPCC é um enfoque sistemático para identificar perigos e estimar os riscos que podem afetar a inocuidade da água, a fim de estabelecer as medidas para controlá-los (WHO, 1998).</w:t>
            </w:r>
          </w:p>
        </w:tc>
      </w:tr>
      <w:tr w:rsidR="00040A36" w:rsidRPr="00615E6E" w:rsidTr="000336E1">
        <w:trPr>
          <w:trHeight w:val="20"/>
        </w:trPr>
        <w:tc>
          <w:tcPr>
            <w:tcW w:w="0" w:type="auto"/>
            <w:shd w:val="clear" w:color="auto" w:fill="auto"/>
            <w:vAlign w:val="center"/>
          </w:tcPr>
          <w:p w:rsidR="00040A36" w:rsidRPr="00615E6E" w:rsidRDefault="00040A36" w:rsidP="00615E6E">
            <w:pPr>
              <w:autoSpaceDE w:val="0"/>
              <w:autoSpaceDN w:val="0"/>
              <w:adjustRightInd w:val="0"/>
              <w:spacing w:before="120" w:after="120" w:line="240" w:lineRule="auto"/>
              <w:rPr>
                <w:rFonts w:cs="Arial"/>
                <w:b/>
                <w:sz w:val="22"/>
              </w:rPr>
            </w:pPr>
            <w:r w:rsidRPr="00615E6E">
              <w:rPr>
                <w:rFonts w:cs="Arial"/>
                <w:b/>
                <w:sz w:val="22"/>
              </w:rPr>
              <w:t>Análise de Risco</w:t>
            </w:r>
          </w:p>
        </w:tc>
        <w:tc>
          <w:tcPr>
            <w:tcW w:w="0" w:type="auto"/>
            <w:shd w:val="clear" w:color="auto" w:fill="auto"/>
            <w:vAlign w:val="center"/>
          </w:tcPr>
          <w:p w:rsidR="00040A36" w:rsidRPr="00615E6E" w:rsidRDefault="00040A36" w:rsidP="00615E6E">
            <w:pPr>
              <w:autoSpaceDE w:val="0"/>
              <w:autoSpaceDN w:val="0"/>
              <w:adjustRightInd w:val="0"/>
              <w:spacing w:before="120" w:after="120" w:line="240" w:lineRule="auto"/>
              <w:jc w:val="both"/>
              <w:rPr>
                <w:rFonts w:cs="Arial"/>
                <w:b/>
                <w:sz w:val="22"/>
              </w:rPr>
            </w:pPr>
            <w:r w:rsidRPr="00615E6E">
              <w:rPr>
                <w:rFonts w:cs="Arial"/>
                <w:sz w:val="22"/>
              </w:rPr>
              <w:t>A Análise de Risco tem por objetivo hierarquizar e priorizar os riscos para auxiliar na avaliação e no gerenciamento. Inclui as etapas de Avaliação, Gestão e Comunicação de Risco (AS/NZS, 2004).</w:t>
            </w:r>
          </w:p>
        </w:tc>
      </w:tr>
      <w:tr w:rsidR="00040A36" w:rsidRPr="00615E6E" w:rsidTr="000336E1">
        <w:trPr>
          <w:trHeight w:val="20"/>
        </w:trPr>
        <w:tc>
          <w:tcPr>
            <w:tcW w:w="0" w:type="auto"/>
            <w:shd w:val="clear" w:color="auto" w:fill="auto"/>
            <w:vAlign w:val="center"/>
          </w:tcPr>
          <w:p w:rsidR="00040A36" w:rsidRPr="00615E6E" w:rsidRDefault="00040A36" w:rsidP="00615E6E">
            <w:pPr>
              <w:autoSpaceDE w:val="0"/>
              <w:autoSpaceDN w:val="0"/>
              <w:adjustRightInd w:val="0"/>
              <w:spacing w:before="120" w:after="120" w:line="240" w:lineRule="auto"/>
              <w:rPr>
                <w:rFonts w:cs="Arial"/>
                <w:b/>
                <w:sz w:val="22"/>
              </w:rPr>
            </w:pPr>
            <w:r w:rsidRPr="00615E6E">
              <w:rPr>
                <w:rFonts w:cs="Arial"/>
                <w:b/>
                <w:sz w:val="22"/>
              </w:rPr>
              <w:t>Boas Práticas</w:t>
            </w:r>
          </w:p>
        </w:tc>
        <w:tc>
          <w:tcPr>
            <w:tcW w:w="0" w:type="auto"/>
            <w:shd w:val="clear" w:color="auto" w:fill="auto"/>
            <w:vAlign w:val="center"/>
          </w:tcPr>
          <w:p w:rsidR="00040A36" w:rsidRPr="00615E6E" w:rsidRDefault="00040A36" w:rsidP="00615E6E">
            <w:pPr>
              <w:autoSpaceDE w:val="0"/>
              <w:autoSpaceDN w:val="0"/>
              <w:adjustRightInd w:val="0"/>
              <w:spacing w:before="120" w:after="120" w:line="240" w:lineRule="auto"/>
              <w:jc w:val="both"/>
              <w:rPr>
                <w:rFonts w:cs="Arial"/>
                <w:b/>
                <w:sz w:val="22"/>
              </w:rPr>
            </w:pPr>
            <w:r w:rsidRPr="00615E6E">
              <w:rPr>
                <w:rFonts w:cs="Arial"/>
                <w:sz w:val="22"/>
              </w:rPr>
              <w:t>Entende-se por Boas Práticas as medidas de controle que possibilitem a eficácia de cada uma das barreiras, com o objetivo de prevenir risco. São procedimentos adotados nas fases de concepção, projeto, construção e, sobretudo, na operação e manutenção de um sistema ou solução alternativa de abastecimento de água, que minimizem os riscos à saúde humana (BASTOS et al., 2006).</w:t>
            </w:r>
          </w:p>
        </w:tc>
      </w:tr>
      <w:tr w:rsidR="00040A36" w:rsidRPr="00615E6E" w:rsidTr="000336E1">
        <w:trPr>
          <w:trHeight w:val="20"/>
        </w:trPr>
        <w:tc>
          <w:tcPr>
            <w:tcW w:w="0" w:type="auto"/>
            <w:shd w:val="clear" w:color="auto" w:fill="auto"/>
            <w:vAlign w:val="center"/>
          </w:tcPr>
          <w:p w:rsidR="00040A36" w:rsidRPr="00615E6E" w:rsidRDefault="00040A36" w:rsidP="00615E6E">
            <w:pPr>
              <w:autoSpaceDE w:val="0"/>
              <w:autoSpaceDN w:val="0"/>
              <w:adjustRightInd w:val="0"/>
              <w:spacing w:before="120" w:after="120" w:line="240" w:lineRule="auto"/>
              <w:rPr>
                <w:rFonts w:cs="Arial"/>
                <w:b/>
                <w:sz w:val="22"/>
              </w:rPr>
            </w:pPr>
            <w:r w:rsidRPr="00615E6E">
              <w:rPr>
                <w:rFonts w:cs="Arial"/>
                <w:b/>
                <w:sz w:val="22"/>
              </w:rPr>
              <w:t>Múltiplas Barreiras</w:t>
            </w:r>
          </w:p>
        </w:tc>
        <w:tc>
          <w:tcPr>
            <w:tcW w:w="0" w:type="auto"/>
            <w:shd w:val="clear" w:color="auto" w:fill="auto"/>
            <w:vAlign w:val="center"/>
          </w:tcPr>
          <w:p w:rsidR="00040A36" w:rsidRPr="00615E6E" w:rsidRDefault="00040A36" w:rsidP="00615E6E">
            <w:pPr>
              <w:autoSpaceDE w:val="0"/>
              <w:autoSpaceDN w:val="0"/>
              <w:adjustRightInd w:val="0"/>
              <w:spacing w:before="120" w:after="120" w:line="240" w:lineRule="auto"/>
              <w:jc w:val="both"/>
              <w:rPr>
                <w:rFonts w:cs="Arial"/>
                <w:b/>
                <w:sz w:val="22"/>
              </w:rPr>
            </w:pPr>
            <w:r w:rsidRPr="00615E6E">
              <w:rPr>
                <w:rFonts w:cs="Arial"/>
                <w:sz w:val="22"/>
              </w:rPr>
              <w:t>O Princípio de Múltiplas Barreiras constitui-se de etapas do sistema onde se estabelecem procedimentos para prevenir, reduzir, eliminar ou minimizar a contaminação. A legislação brasileira recomenda esse princípio, por meio da avaliação sistemática do sistema de abastecimento de água, com base na ocupação da bacia contribuinte ao manancial, no histórico das características de suas águas, nas características físicas do sistema, nas práticas operacionais e na qualidade da água distribuída (Brasil, 2011).</w:t>
            </w:r>
          </w:p>
        </w:tc>
      </w:tr>
    </w:tbl>
    <w:p w:rsidR="00040A36" w:rsidRPr="00437E99" w:rsidRDefault="00040A36" w:rsidP="00AC47A2">
      <w:pPr>
        <w:pStyle w:val="Fonte"/>
      </w:pPr>
      <w:r w:rsidRPr="00437E99">
        <w:t>Fonte: Brasil, 2012.</w:t>
      </w:r>
    </w:p>
    <w:p w:rsidR="00040A36" w:rsidRDefault="00040A36" w:rsidP="00040A36">
      <w:pPr>
        <w:autoSpaceDE w:val="0"/>
        <w:autoSpaceDN w:val="0"/>
        <w:adjustRightInd w:val="0"/>
        <w:spacing w:before="120" w:after="120"/>
        <w:ind w:firstLine="709"/>
        <w:contextualSpacing/>
        <w:jc w:val="both"/>
        <w:rPr>
          <w:rFonts w:cs="Arial"/>
          <w:szCs w:val="24"/>
        </w:rPr>
      </w:pPr>
      <w:r w:rsidRPr="00437E99">
        <w:rPr>
          <w:rFonts w:cs="Arial"/>
          <w:szCs w:val="24"/>
        </w:rPr>
        <w:t>De forma geral, as etapas para o desenvolvimento do PSA (</w:t>
      </w:r>
      <w:r w:rsidRPr="00437E99">
        <w:rPr>
          <w:rFonts w:cs="Arial"/>
          <w:szCs w:val="24"/>
        </w:rPr>
        <w:fldChar w:fldCharType="begin"/>
      </w:r>
      <w:r w:rsidRPr="00437E99">
        <w:rPr>
          <w:rFonts w:cs="Arial"/>
          <w:szCs w:val="24"/>
        </w:rPr>
        <w:instrText xml:space="preserve"> REF _Ref494873810 \h  \* MERGEFORMAT </w:instrText>
      </w:r>
      <w:r w:rsidRPr="00437E99">
        <w:rPr>
          <w:rFonts w:cs="Arial"/>
          <w:szCs w:val="24"/>
        </w:rPr>
      </w:r>
      <w:r w:rsidRPr="00437E99">
        <w:rPr>
          <w:rFonts w:cs="Arial"/>
          <w:szCs w:val="24"/>
        </w:rPr>
        <w:fldChar w:fldCharType="separate"/>
      </w:r>
      <w:r w:rsidR="001B481B" w:rsidRPr="001B481B">
        <w:rPr>
          <w:rFonts w:cs="Arial"/>
          <w:szCs w:val="24"/>
        </w:rPr>
        <w:t xml:space="preserve">Figura </w:t>
      </w:r>
      <w:r w:rsidR="001B481B" w:rsidRPr="001B481B">
        <w:rPr>
          <w:rFonts w:cs="Arial"/>
          <w:noProof/>
          <w:szCs w:val="24"/>
        </w:rPr>
        <w:t>6</w:t>
      </w:r>
      <w:r w:rsidRPr="00437E99">
        <w:rPr>
          <w:rFonts w:cs="Arial"/>
          <w:szCs w:val="24"/>
        </w:rPr>
        <w:fldChar w:fldCharType="end"/>
      </w:r>
      <w:r w:rsidRPr="00437E99">
        <w:rPr>
          <w:rFonts w:cs="Arial"/>
          <w:szCs w:val="24"/>
        </w:rPr>
        <w:t>) incluem a avaliação do sistema, o monitoramento operacional e os planos de gestão (WHO, 2011).</w:t>
      </w:r>
    </w:p>
    <w:p w:rsidR="00040A36" w:rsidRPr="00437E99" w:rsidRDefault="00040A36" w:rsidP="00E95583">
      <w:pPr>
        <w:pStyle w:val="Legenda"/>
      </w:pPr>
      <w:bookmarkStart w:id="757" w:name="_Ref494873810"/>
      <w:bookmarkStart w:id="758" w:name="_Toc498594099"/>
      <w:bookmarkStart w:id="759" w:name="_Toc509935771"/>
      <w:r w:rsidRPr="00437E99">
        <w:lastRenderedPageBreak/>
        <w:t xml:space="preserve">Figura </w:t>
      </w:r>
      <w:r w:rsidR="000A1C78">
        <w:fldChar w:fldCharType="begin"/>
      </w:r>
      <w:r w:rsidR="000A1C78">
        <w:instrText xml:space="preserve"> SEQ Figura \* ARABIC </w:instrText>
      </w:r>
      <w:r w:rsidR="000A1C78">
        <w:fldChar w:fldCharType="separate"/>
      </w:r>
      <w:r w:rsidR="001B481B">
        <w:rPr>
          <w:noProof/>
        </w:rPr>
        <w:t>6</w:t>
      </w:r>
      <w:r w:rsidR="000A1C78">
        <w:rPr>
          <w:noProof/>
        </w:rPr>
        <w:fldChar w:fldCharType="end"/>
      </w:r>
      <w:bookmarkEnd w:id="757"/>
      <w:r w:rsidRPr="00437E99">
        <w:t xml:space="preserve"> - Etapas para o desenvolvimento de um Plano de Segurança da Água</w:t>
      </w:r>
      <w:bookmarkEnd w:id="758"/>
      <w:bookmarkEnd w:id="759"/>
    </w:p>
    <w:p w:rsidR="00040A36" w:rsidRPr="00437E99" w:rsidRDefault="00040A36" w:rsidP="00040A36">
      <w:pPr>
        <w:pStyle w:val="figura"/>
        <w:rPr>
          <w:sz w:val="24"/>
        </w:rPr>
      </w:pPr>
      <w:r>
        <w:rPr>
          <w:noProof/>
        </w:rPr>
        <w:drawing>
          <wp:inline distT="0" distB="0" distL="0" distR="0" wp14:anchorId="11AEE7BC" wp14:editId="7DFCC0CE">
            <wp:extent cx="5038725" cy="6086475"/>
            <wp:effectExtent l="0" t="0" r="9525" b="952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1">
                      <a:extLst>
                        <a:ext uri="{28A0092B-C50C-407E-A947-70E740481C1C}">
                          <a14:useLocalDpi xmlns:a14="http://schemas.microsoft.com/office/drawing/2010/main" val="0"/>
                        </a:ext>
                      </a:extLst>
                    </a:blip>
                    <a:srcRect l="25275" t="27364" r="46153" b="11266"/>
                    <a:stretch>
                      <a:fillRect/>
                    </a:stretch>
                  </pic:blipFill>
                  <pic:spPr bwMode="auto">
                    <a:xfrm>
                      <a:off x="0" y="0"/>
                      <a:ext cx="5038725" cy="6086475"/>
                    </a:xfrm>
                    <a:prstGeom prst="rect">
                      <a:avLst/>
                    </a:prstGeom>
                    <a:noFill/>
                    <a:ln>
                      <a:noFill/>
                    </a:ln>
                  </pic:spPr>
                </pic:pic>
              </a:graphicData>
            </a:graphic>
          </wp:inline>
        </w:drawing>
      </w:r>
    </w:p>
    <w:p w:rsidR="00040A36" w:rsidRPr="00437E99" w:rsidRDefault="00040A36" w:rsidP="00AC47A2">
      <w:pPr>
        <w:pStyle w:val="Fonte"/>
      </w:pPr>
      <w:r w:rsidRPr="00437E99">
        <w:t>Fonte: Brasil (2012). Adaptado de WHO (2004); WHO (2005).</w:t>
      </w:r>
    </w:p>
    <w:p w:rsidR="00040A36" w:rsidRPr="00437E99" w:rsidRDefault="00040A36" w:rsidP="00040A36">
      <w:pPr>
        <w:autoSpaceDE w:val="0"/>
        <w:autoSpaceDN w:val="0"/>
        <w:adjustRightInd w:val="0"/>
        <w:spacing w:before="120" w:after="120"/>
        <w:ind w:firstLine="709"/>
        <w:contextualSpacing/>
        <w:jc w:val="both"/>
        <w:rPr>
          <w:rFonts w:cs="Arial"/>
          <w:szCs w:val="24"/>
        </w:rPr>
      </w:pPr>
      <w:r w:rsidRPr="00437E99">
        <w:rPr>
          <w:rFonts w:cs="Arial"/>
          <w:szCs w:val="24"/>
        </w:rPr>
        <w:t>O Ministério da Saúde indica que as etapas específicas de desenvolvimento do PSA são (Brasil, 2012):</w:t>
      </w:r>
    </w:p>
    <w:p w:rsidR="00040A36" w:rsidRPr="00437E99" w:rsidRDefault="00040A36" w:rsidP="0066661F">
      <w:pPr>
        <w:pStyle w:val="PargrafodaLista"/>
        <w:numPr>
          <w:ilvl w:val="0"/>
          <w:numId w:val="52"/>
        </w:numPr>
        <w:autoSpaceDE w:val="0"/>
        <w:autoSpaceDN w:val="0"/>
        <w:adjustRightInd w:val="0"/>
        <w:spacing w:before="120" w:after="120"/>
        <w:rPr>
          <w:rFonts w:cs="Arial"/>
          <w:szCs w:val="24"/>
        </w:rPr>
      </w:pPr>
      <w:r w:rsidRPr="00437E99">
        <w:rPr>
          <w:rFonts w:cs="Arial"/>
          <w:szCs w:val="24"/>
        </w:rPr>
        <w:t>Constituição da equipe técnica multidisciplinar para realizar o levantamento das informações e o planejamento, desenvolvimento, aplicação e verificação do PSA;</w:t>
      </w:r>
    </w:p>
    <w:p w:rsidR="00040A36" w:rsidRPr="00437E99" w:rsidRDefault="00040A36" w:rsidP="0066661F">
      <w:pPr>
        <w:pStyle w:val="PargrafodaLista"/>
        <w:numPr>
          <w:ilvl w:val="0"/>
          <w:numId w:val="52"/>
        </w:numPr>
        <w:autoSpaceDE w:val="0"/>
        <w:autoSpaceDN w:val="0"/>
        <w:adjustRightInd w:val="0"/>
        <w:spacing w:before="120" w:after="120"/>
        <w:rPr>
          <w:rFonts w:cs="Arial"/>
          <w:szCs w:val="24"/>
        </w:rPr>
      </w:pPr>
      <w:r w:rsidRPr="00437E99">
        <w:rPr>
          <w:rFonts w:cs="Arial"/>
          <w:szCs w:val="24"/>
        </w:rPr>
        <w:lastRenderedPageBreak/>
        <w:t>Descrição e avaliação do sistema de abastecimento de água existente ou proposto, com construção do diagrama de fluxo e sistematização da documentação;</w:t>
      </w:r>
    </w:p>
    <w:p w:rsidR="00040A36" w:rsidRPr="00437E99" w:rsidRDefault="00040A36" w:rsidP="0066661F">
      <w:pPr>
        <w:pStyle w:val="PargrafodaLista"/>
        <w:numPr>
          <w:ilvl w:val="0"/>
          <w:numId w:val="52"/>
        </w:numPr>
        <w:autoSpaceDE w:val="0"/>
        <w:autoSpaceDN w:val="0"/>
        <w:adjustRightInd w:val="0"/>
        <w:spacing w:before="120" w:after="120"/>
        <w:rPr>
          <w:rFonts w:cs="Arial"/>
          <w:szCs w:val="24"/>
        </w:rPr>
      </w:pPr>
      <w:r w:rsidRPr="00437E99">
        <w:rPr>
          <w:rFonts w:cs="Arial"/>
          <w:szCs w:val="24"/>
        </w:rPr>
        <w:t>Identificação e análise dos perigos potenciais e caracterização dos riscos;</w:t>
      </w:r>
    </w:p>
    <w:p w:rsidR="00040A36" w:rsidRPr="00437E99" w:rsidRDefault="00040A36" w:rsidP="0066661F">
      <w:pPr>
        <w:pStyle w:val="PargrafodaLista"/>
        <w:numPr>
          <w:ilvl w:val="0"/>
          <w:numId w:val="52"/>
        </w:numPr>
        <w:autoSpaceDE w:val="0"/>
        <w:autoSpaceDN w:val="0"/>
        <w:adjustRightInd w:val="0"/>
        <w:spacing w:before="120" w:after="120"/>
        <w:rPr>
          <w:rFonts w:cs="Arial"/>
          <w:szCs w:val="24"/>
        </w:rPr>
      </w:pPr>
      <w:r w:rsidRPr="00437E99">
        <w:rPr>
          <w:rFonts w:cs="Arial"/>
          <w:szCs w:val="24"/>
        </w:rPr>
        <w:t>Identificação, avaliação e monitoramento das medidas de controle;</w:t>
      </w:r>
    </w:p>
    <w:p w:rsidR="00040A36" w:rsidRPr="00437E99" w:rsidRDefault="00040A36" w:rsidP="0066661F">
      <w:pPr>
        <w:pStyle w:val="PargrafodaLista"/>
        <w:numPr>
          <w:ilvl w:val="0"/>
          <w:numId w:val="52"/>
        </w:numPr>
        <w:autoSpaceDE w:val="0"/>
        <w:autoSpaceDN w:val="0"/>
        <w:adjustRightInd w:val="0"/>
        <w:spacing w:before="120" w:after="120"/>
        <w:rPr>
          <w:rFonts w:cs="Arial"/>
          <w:szCs w:val="24"/>
        </w:rPr>
      </w:pPr>
      <w:r w:rsidRPr="00437E99">
        <w:rPr>
          <w:rFonts w:cs="Arial"/>
          <w:szCs w:val="24"/>
        </w:rPr>
        <w:t>Identificação dos pontos críticos de controle;</w:t>
      </w:r>
    </w:p>
    <w:p w:rsidR="00040A36" w:rsidRPr="00437E99" w:rsidRDefault="00040A36" w:rsidP="0066661F">
      <w:pPr>
        <w:pStyle w:val="PargrafodaLista"/>
        <w:numPr>
          <w:ilvl w:val="0"/>
          <w:numId w:val="52"/>
        </w:numPr>
        <w:autoSpaceDE w:val="0"/>
        <w:autoSpaceDN w:val="0"/>
        <w:adjustRightInd w:val="0"/>
        <w:spacing w:before="120" w:after="120"/>
        <w:rPr>
          <w:rFonts w:cs="Arial"/>
          <w:szCs w:val="24"/>
        </w:rPr>
      </w:pPr>
      <w:r w:rsidRPr="00437E99">
        <w:rPr>
          <w:rFonts w:cs="Arial"/>
          <w:szCs w:val="24"/>
        </w:rPr>
        <w:t>Monitoramento operacional da implementação do PSA;</w:t>
      </w:r>
    </w:p>
    <w:p w:rsidR="00040A36" w:rsidRPr="00437E99" w:rsidRDefault="00040A36" w:rsidP="0066661F">
      <w:pPr>
        <w:pStyle w:val="PargrafodaLista"/>
        <w:numPr>
          <w:ilvl w:val="0"/>
          <w:numId w:val="52"/>
        </w:numPr>
        <w:autoSpaceDE w:val="0"/>
        <w:autoSpaceDN w:val="0"/>
        <w:adjustRightInd w:val="0"/>
        <w:spacing w:before="120" w:after="120"/>
        <w:rPr>
          <w:rFonts w:cs="Arial"/>
          <w:szCs w:val="24"/>
        </w:rPr>
      </w:pPr>
      <w:r w:rsidRPr="00437E99">
        <w:rPr>
          <w:rFonts w:cs="Arial"/>
          <w:szCs w:val="24"/>
        </w:rPr>
        <w:t>Estabelecimento de limites críticos, procedimentos de monitoramento e ações corretivas para condições normais e de incidentes;</w:t>
      </w:r>
    </w:p>
    <w:p w:rsidR="00040A36" w:rsidRPr="00437E99" w:rsidRDefault="00040A36" w:rsidP="0066661F">
      <w:pPr>
        <w:pStyle w:val="PargrafodaLista"/>
        <w:numPr>
          <w:ilvl w:val="0"/>
          <w:numId w:val="52"/>
        </w:numPr>
        <w:autoSpaceDE w:val="0"/>
        <w:autoSpaceDN w:val="0"/>
        <w:adjustRightInd w:val="0"/>
        <w:spacing w:before="120" w:after="120"/>
        <w:rPr>
          <w:rFonts w:cs="Arial"/>
          <w:szCs w:val="24"/>
        </w:rPr>
      </w:pPr>
      <w:r w:rsidRPr="00437E99">
        <w:rPr>
          <w:rFonts w:cs="Arial"/>
          <w:szCs w:val="24"/>
        </w:rPr>
        <w:t>Estabelecimento de planos de gestão;</w:t>
      </w:r>
    </w:p>
    <w:p w:rsidR="00040A36" w:rsidRPr="00437E99" w:rsidRDefault="00040A36" w:rsidP="0066661F">
      <w:pPr>
        <w:pStyle w:val="PargrafodaLista"/>
        <w:numPr>
          <w:ilvl w:val="0"/>
          <w:numId w:val="52"/>
        </w:numPr>
        <w:autoSpaceDE w:val="0"/>
        <w:autoSpaceDN w:val="0"/>
        <w:adjustRightInd w:val="0"/>
        <w:spacing w:before="120" w:after="120"/>
        <w:rPr>
          <w:rFonts w:cs="Arial"/>
          <w:szCs w:val="24"/>
        </w:rPr>
      </w:pPr>
      <w:r w:rsidRPr="00437E99">
        <w:rPr>
          <w:rFonts w:cs="Arial"/>
          <w:szCs w:val="24"/>
        </w:rPr>
        <w:t>Desenvolvimento de programas de apoio, como treinamentos, práticas de higiene, procedimentos de operação-padrão, atualização, aperfeiçoamento, pesquisa e desenvolvimento;</w:t>
      </w:r>
    </w:p>
    <w:p w:rsidR="00040A36" w:rsidRPr="00437E99" w:rsidRDefault="00040A36" w:rsidP="0066661F">
      <w:pPr>
        <w:pStyle w:val="PargrafodaLista"/>
        <w:numPr>
          <w:ilvl w:val="0"/>
          <w:numId w:val="52"/>
        </w:numPr>
        <w:autoSpaceDE w:val="0"/>
        <w:autoSpaceDN w:val="0"/>
        <w:adjustRightInd w:val="0"/>
        <w:spacing w:before="120" w:after="120"/>
        <w:rPr>
          <w:rFonts w:cs="Arial"/>
          <w:szCs w:val="24"/>
        </w:rPr>
      </w:pPr>
      <w:r w:rsidRPr="00437E99">
        <w:rPr>
          <w:rFonts w:cs="Arial"/>
          <w:szCs w:val="24"/>
        </w:rPr>
        <w:t>Estabelecimento de comunicação de risco; e</w:t>
      </w:r>
    </w:p>
    <w:p w:rsidR="00040A36" w:rsidRPr="00437E99" w:rsidRDefault="00040A36" w:rsidP="0066661F">
      <w:pPr>
        <w:pStyle w:val="PargrafodaLista"/>
        <w:numPr>
          <w:ilvl w:val="0"/>
          <w:numId w:val="52"/>
        </w:numPr>
        <w:autoSpaceDE w:val="0"/>
        <w:autoSpaceDN w:val="0"/>
        <w:adjustRightInd w:val="0"/>
        <w:spacing w:before="120" w:after="120"/>
        <w:rPr>
          <w:rFonts w:cs="Arial"/>
          <w:szCs w:val="24"/>
        </w:rPr>
      </w:pPr>
      <w:r w:rsidRPr="00437E99">
        <w:rPr>
          <w:rFonts w:cs="Arial"/>
          <w:szCs w:val="24"/>
        </w:rPr>
        <w:t>Validação e verificação do PSA, avaliando seu funcionamento.</w:t>
      </w:r>
    </w:p>
    <w:p w:rsidR="00040A36" w:rsidRDefault="00040A36" w:rsidP="00BC01B1">
      <w:pPr>
        <w:pStyle w:val="Ttulo3"/>
        <w:rPr>
          <w:color w:val="FF0000"/>
          <w:lang w:val="pt-BR"/>
        </w:rPr>
      </w:pPr>
      <w:bookmarkStart w:id="760" w:name="_Toc498594042"/>
      <w:bookmarkStart w:id="761" w:name="_Toc509935531"/>
      <w:r w:rsidRPr="009E014A">
        <w:t>Particularidades regionai</w:t>
      </w:r>
      <w:bookmarkEnd w:id="760"/>
      <w:r w:rsidR="007839E8">
        <w:rPr>
          <w:lang w:val="pt-BR"/>
        </w:rPr>
        <w:t>s</w:t>
      </w:r>
      <w:bookmarkEnd w:id="761"/>
    </w:p>
    <w:p w:rsidR="007839E8" w:rsidRPr="007839E8" w:rsidRDefault="007839E8" w:rsidP="007839E8">
      <w:pPr>
        <w:ind w:firstLine="709"/>
        <w:jc w:val="both"/>
        <w:rPr>
          <w:rFonts w:cs="Arial"/>
          <w:szCs w:val="24"/>
          <w:lang w:eastAsia="pt-BR"/>
        </w:rPr>
      </w:pPr>
      <w:r w:rsidRPr="007839E8">
        <w:rPr>
          <w:rFonts w:cs="Arial"/>
          <w:szCs w:val="24"/>
          <w:lang w:eastAsia="pt-BR"/>
        </w:rPr>
        <w:t>O município de Córrego Novo está entre os municípios da bacia do rio Doce que foram diretamente afetados pelo desastre da barragem de rejeitos da SAMARCO, pois o rio Doce passa pelo território municipal. Seu curso não está próximo aos aglomerados urbanos do município e não há sistemas de abastecimento público de água que realizem captações no rio, todavia existiam outros usos que os munícipes faziam, tais como: dessedentação de animais em propriedades rurais, pesca e atividades de lazer.</w:t>
      </w:r>
    </w:p>
    <w:p w:rsidR="007839E8" w:rsidRPr="007839E8" w:rsidRDefault="007839E8" w:rsidP="007839E8">
      <w:pPr>
        <w:ind w:firstLine="709"/>
        <w:jc w:val="both"/>
        <w:rPr>
          <w:rFonts w:cs="Arial"/>
          <w:szCs w:val="24"/>
          <w:lang w:eastAsia="pt-BR"/>
        </w:rPr>
      </w:pPr>
      <w:r w:rsidRPr="007839E8">
        <w:rPr>
          <w:rFonts w:cs="Arial"/>
          <w:szCs w:val="24"/>
          <w:lang w:eastAsia="pt-BR"/>
        </w:rPr>
        <w:t>Córrego Novo, assim com os demais municípios atingidos, tem os desafios de:</w:t>
      </w:r>
    </w:p>
    <w:p w:rsidR="007839E8" w:rsidRPr="007839E8" w:rsidRDefault="007839E8" w:rsidP="0066661F">
      <w:pPr>
        <w:numPr>
          <w:ilvl w:val="0"/>
          <w:numId w:val="51"/>
        </w:numPr>
        <w:jc w:val="both"/>
        <w:rPr>
          <w:rFonts w:cs="Arial"/>
          <w:szCs w:val="24"/>
          <w:lang w:eastAsia="pt-BR"/>
        </w:rPr>
      </w:pPr>
      <w:r w:rsidRPr="007839E8">
        <w:rPr>
          <w:rFonts w:cs="Arial"/>
          <w:szCs w:val="24"/>
          <w:lang w:eastAsia="pt-BR"/>
        </w:rPr>
        <w:t>Avaliar novas captações para atender à população ou ampliar a qualidade do tratamento, visto que as águas do rio Doce tiveram a qualidade muito afetada.</w:t>
      </w:r>
    </w:p>
    <w:p w:rsidR="007839E8" w:rsidRPr="007839E8" w:rsidRDefault="007839E8" w:rsidP="0066661F">
      <w:pPr>
        <w:numPr>
          <w:ilvl w:val="0"/>
          <w:numId w:val="51"/>
        </w:numPr>
        <w:jc w:val="both"/>
        <w:rPr>
          <w:rFonts w:cs="Arial"/>
          <w:szCs w:val="24"/>
          <w:lang w:eastAsia="pt-BR"/>
        </w:rPr>
      </w:pPr>
      <w:r w:rsidRPr="007839E8">
        <w:rPr>
          <w:rFonts w:cs="Arial"/>
          <w:szCs w:val="24"/>
          <w:lang w:eastAsia="pt-BR"/>
        </w:rPr>
        <w:t>Convencer a população, a partir da apresentação de análises laboratoriais atualizadas, de que a água fornecida pelo sistema é adequada para o consumo humano.</w:t>
      </w:r>
    </w:p>
    <w:p w:rsidR="007839E8" w:rsidRPr="007839E8" w:rsidRDefault="007839E8" w:rsidP="0066661F">
      <w:pPr>
        <w:numPr>
          <w:ilvl w:val="0"/>
          <w:numId w:val="51"/>
        </w:numPr>
        <w:jc w:val="both"/>
        <w:rPr>
          <w:rFonts w:cs="Arial"/>
          <w:szCs w:val="24"/>
          <w:lang w:eastAsia="pt-BR"/>
        </w:rPr>
      </w:pPr>
      <w:r w:rsidRPr="007839E8">
        <w:rPr>
          <w:rFonts w:cs="Arial"/>
          <w:szCs w:val="24"/>
          <w:lang w:eastAsia="pt-BR"/>
        </w:rPr>
        <w:lastRenderedPageBreak/>
        <w:t>Realizar programas, projetos e ações para atender às populações ribeirinhas que foram diretamente afetadas pelo desastre e utilizavam a água do rio Doce para consumo humano, agricultura, pesca e/ou dessedentação animal.</w:t>
      </w:r>
    </w:p>
    <w:p w:rsidR="007839E8" w:rsidRPr="000C0280" w:rsidRDefault="007839E8" w:rsidP="0066661F">
      <w:pPr>
        <w:numPr>
          <w:ilvl w:val="0"/>
          <w:numId w:val="51"/>
        </w:numPr>
        <w:jc w:val="both"/>
        <w:rPr>
          <w:rFonts w:cs="Arial"/>
          <w:szCs w:val="24"/>
          <w:lang w:eastAsia="pt-BR"/>
        </w:rPr>
      </w:pPr>
      <w:r w:rsidRPr="007839E8">
        <w:rPr>
          <w:rFonts w:cs="Arial"/>
          <w:szCs w:val="24"/>
          <w:lang w:eastAsia="pt-BR"/>
        </w:rPr>
        <w:t xml:space="preserve">Trabalhar em conjunto com os responsáveis pelo acidente para mitigar os impactos e prevenir novos eventos adversos. </w:t>
      </w:r>
    </w:p>
    <w:p w:rsidR="0081570C" w:rsidRPr="008044FA" w:rsidRDefault="0081570C" w:rsidP="00BC01B1">
      <w:pPr>
        <w:pStyle w:val="SHS-Ttulo02"/>
      </w:pPr>
      <w:bookmarkStart w:id="762" w:name="_Toc498593494"/>
      <w:bookmarkStart w:id="763" w:name="_Toc509935532"/>
      <w:r w:rsidRPr="008044FA">
        <w:t>Sistema de Esgotamento Sanitário</w:t>
      </w:r>
      <w:r>
        <w:t xml:space="preserve"> (SES)</w:t>
      </w:r>
      <w:bookmarkEnd w:id="644"/>
      <w:bookmarkEnd w:id="645"/>
      <w:bookmarkEnd w:id="762"/>
      <w:bookmarkEnd w:id="763"/>
    </w:p>
    <w:p w:rsidR="0081570C" w:rsidRPr="000C0280" w:rsidRDefault="0081570C" w:rsidP="00BC01B1">
      <w:pPr>
        <w:pStyle w:val="Ttulo3"/>
        <w:rPr>
          <w:color w:val="FF0000"/>
          <w:lang w:val="pt-BR"/>
        </w:rPr>
      </w:pPr>
      <w:bookmarkStart w:id="764" w:name="_Toc484422554"/>
      <w:bookmarkStart w:id="765" w:name="_Toc484611631"/>
      <w:bookmarkStart w:id="766" w:name="_Toc498593495"/>
      <w:bookmarkStart w:id="767" w:name="_Toc509935533"/>
      <w:r w:rsidRPr="000C0280">
        <w:t>Proposição de cenários</w:t>
      </w:r>
      <w:bookmarkEnd w:id="764"/>
      <w:bookmarkEnd w:id="765"/>
      <w:bookmarkEnd w:id="766"/>
      <w:bookmarkEnd w:id="767"/>
      <w:r w:rsidR="005043FD" w:rsidRPr="000C0280">
        <w:rPr>
          <w:lang w:val="pt-BR"/>
        </w:rPr>
        <w:t xml:space="preserve"> </w:t>
      </w:r>
    </w:p>
    <w:p w:rsidR="000C0280" w:rsidRDefault="000C0280" w:rsidP="000C0280">
      <w:pPr>
        <w:spacing w:before="120" w:after="120"/>
        <w:ind w:firstLine="708"/>
        <w:contextualSpacing/>
        <w:rPr>
          <w:rFonts w:cs="Arial"/>
          <w:szCs w:val="24"/>
        </w:rPr>
      </w:pPr>
      <w:r w:rsidRPr="00F1493C">
        <w:rPr>
          <w:rFonts w:cs="Arial"/>
          <w:szCs w:val="24"/>
        </w:rPr>
        <w:t xml:space="preserve">O setor de esgotamento sanitário foi analisado pela metodologia SWOT, que subsidiou a configuração dos cenários </w:t>
      </w:r>
      <w:r>
        <w:rPr>
          <w:rFonts w:cs="Arial"/>
          <w:szCs w:val="24"/>
        </w:rPr>
        <w:t>p</w:t>
      </w:r>
      <w:r w:rsidRPr="00BF629C">
        <w:rPr>
          <w:rFonts w:cs="Arial"/>
          <w:szCs w:val="24"/>
        </w:rPr>
        <w:t>revisível</w:t>
      </w:r>
      <w:r w:rsidRPr="00F1493C">
        <w:rPr>
          <w:rFonts w:cs="Arial"/>
          <w:szCs w:val="24"/>
        </w:rPr>
        <w:t xml:space="preserve"> e </w:t>
      </w:r>
      <w:r>
        <w:rPr>
          <w:rFonts w:cs="Arial"/>
          <w:szCs w:val="24"/>
        </w:rPr>
        <w:t>n</w:t>
      </w:r>
      <w:r w:rsidRPr="00BF629C">
        <w:rPr>
          <w:rFonts w:cs="Arial"/>
          <w:szCs w:val="24"/>
        </w:rPr>
        <w:t>ormativo</w:t>
      </w:r>
      <w:r w:rsidRPr="00F1493C">
        <w:rPr>
          <w:rFonts w:cs="Arial"/>
          <w:szCs w:val="24"/>
        </w:rPr>
        <w:t xml:space="preserve"> para este eixo, adotando-se o cenário normativo para a proposição de objetivos</w:t>
      </w:r>
      <w:r>
        <w:rPr>
          <w:rFonts w:cs="Arial"/>
          <w:szCs w:val="24"/>
        </w:rPr>
        <w:t xml:space="preserve"> e </w:t>
      </w:r>
      <w:r w:rsidRPr="00F1493C">
        <w:rPr>
          <w:rFonts w:cs="Arial"/>
          <w:szCs w:val="24"/>
        </w:rPr>
        <w:t xml:space="preserve">metas. O </w:t>
      </w:r>
      <w:r>
        <w:rPr>
          <w:rFonts w:cs="Arial"/>
          <w:szCs w:val="24"/>
        </w:rPr>
        <w:fldChar w:fldCharType="begin"/>
      </w:r>
      <w:r>
        <w:rPr>
          <w:rFonts w:cs="Arial"/>
          <w:szCs w:val="24"/>
        </w:rPr>
        <w:instrText xml:space="preserve"> REF _Ref507656086 \h </w:instrText>
      </w:r>
      <w:r>
        <w:rPr>
          <w:rFonts w:cs="Arial"/>
          <w:szCs w:val="24"/>
        </w:rPr>
      </w:r>
      <w:r>
        <w:rPr>
          <w:rFonts w:cs="Arial"/>
          <w:szCs w:val="24"/>
        </w:rPr>
        <w:fldChar w:fldCharType="separate"/>
      </w:r>
      <w:r w:rsidR="001B481B">
        <w:t xml:space="preserve">Quadro </w:t>
      </w:r>
      <w:r w:rsidR="001B481B">
        <w:rPr>
          <w:noProof/>
        </w:rPr>
        <w:t>63</w:t>
      </w:r>
      <w:r>
        <w:rPr>
          <w:rFonts w:cs="Arial"/>
          <w:szCs w:val="24"/>
        </w:rPr>
        <w:fldChar w:fldCharType="end"/>
      </w:r>
      <w:r>
        <w:rPr>
          <w:rFonts w:cs="Arial"/>
          <w:szCs w:val="24"/>
        </w:rPr>
        <w:t xml:space="preserve"> </w:t>
      </w:r>
      <w:r w:rsidRPr="00F1493C">
        <w:rPr>
          <w:rFonts w:cs="Arial"/>
          <w:szCs w:val="24"/>
        </w:rPr>
        <w:t>apresenta a Matriz SWOT gerada pela análise.</w:t>
      </w:r>
    </w:p>
    <w:p w:rsidR="000C0280" w:rsidRDefault="000C0280" w:rsidP="000C0280">
      <w:pPr>
        <w:spacing w:before="120" w:after="120"/>
        <w:ind w:firstLine="708"/>
        <w:contextualSpacing/>
        <w:rPr>
          <w:rFonts w:cs="Arial"/>
          <w:szCs w:val="24"/>
        </w:rPr>
        <w:sectPr w:rsidR="000C0280" w:rsidSect="000C0280">
          <w:footerReference w:type="default" r:id="rId52"/>
          <w:pgSz w:w="11906" w:h="16838"/>
          <w:pgMar w:top="1134" w:right="1134" w:bottom="1134" w:left="1418" w:header="709" w:footer="709" w:gutter="0"/>
          <w:cols w:space="708"/>
          <w:docGrid w:linePitch="360"/>
        </w:sectPr>
      </w:pPr>
    </w:p>
    <w:p w:rsidR="000C0280" w:rsidRPr="005D3214" w:rsidRDefault="000C0280" w:rsidP="000C0280">
      <w:pPr>
        <w:pStyle w:val="Legenda"/>
      </w:pPr>
      <w:bookmarkStart w:id="768" w:name="_Ref507656086"/>
      <w:bookmarkStart w:id="769" w:name="_Toc484423917"/>
      <w:bookmarkStart w:id="770" w:name="_Toc484532479"/>
      <w:bookmarkStart w:id="771" w:name="_Toc498099253"/>
      <w:bookmarkStart w:id="772" w:name="_Toc509935840"/>
      <w:r>
        <w:lastRenderedPageBreak/>
        <w:t xml:space="preserve">Quadro </w:t>
      </w:r>
      <w:r w:rsidR="000A1C78">
        <w:fldChar w:fldCharType="begin"/>
      </w:r>
      <w:r w:rsidR="000A1C78">
        <w:instrText xml:space="preserve"> SEQ Quadro \* ARABIC </w:instrText>
      </w:r>
      <w:r w:rsidR="000A1C78">
        <w:fldChar w:fldCharType="separate"/>
      </w:r>
      <w:r w:rsidR="001B481B">
        <w:rPr>
          <w:noProof/>
        </w:rPr>
        <w:t>63</w:t>
      </w:r>
      <w:r w:rsidR="000A1C78">
        <w:rPr>
          <w:noProof/>
        </w:rPr>
        <w:fldChar w:fldCharType="end"/>
      </w:r>
      <w:bookmarkEnd w:id="768"/>
      <w:r>
        <w:rPr>
          <w:lang w:val="pt-BR"/>
        </w:rPr>
        <w:t xml:space="preserve"> - </w:t>
      </w:r>
      <w:r w:rsidRPr="005D3214">
        <w:t xml:space="preserve">Matriz SWOT do </w:t>
      </w:r>
      <w:r>
        <w:rPr>
          <w:lang w:val="pt-BR"/>
        </w:rPr>
        <w:t>Sistema de Esgotamento Sanitário (SES)</w:t>
      </w:r>
      <w:bookmarkEnd w:id="769"/>
      <w:bookmarkEnd w:id="770"/>
      <w:bookmarkEnd w:id="771"/>
      <w:bookmarkEnd w:id="7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1"/>
        <w:gridCol w:w="5030"/>
        <w:gridCol w:w="3179"/>
        <w:gridCol w:w="5426"/>
      </w:tblGrid>
      <w:tr w:rsidR="000C0280" w:rsidRPr="007F35D1" w:rsidTr="000C0280">
        <w:trPr>
          <w:trHeight w:val="332"/>
          <w:tblHeader/>
          <w:jc w:val="center"/>
        </w:trPr>
        <w:tc>
          <w:tcPr>
            <w:tcW w:w="389" w:type="pct"/>
            <w:tcBorders>
              <w:top w:val="nil"/>
              <w:left w:val="nil"/>
              <w:bottom w:val="single" w:sz="4" w:space="0" w:color="auto"/>
              <w:right w:val="single" w:sz="4" w:space="0" w:color="auto"/>
            </w:tcBorders>
            <w:shd w:val="clear" w:color="auto" w:fill="auto"/>
            <w:vAlign w:val="center"/>
          </w:tcPr>
          <w:p w:rsidR="000C0280" w:rsidRPr="007F35D1" w:rsidRDefault="000C0280" w:rsidP="000C0280">
            <w:pPr>
              <w:autoSpaceDE w:val="0"/>
              <w:autoSpaceDN w:val="0"/>
              <w:adjustRightInd w:val="0"/>
              <w:spacing w:line="240" w:lineRule="auto"/>
              <w:contextualSpacing/>
              <w:rPr>
                <w:rFonts w:cs="Arial"/>
                <w:sz w:val="20"/>
                <w:szCs w:val="20"/>
              </w:rPr>
            </w:pPr>
          </w:p>
        </w:tc>
        <w:tc>
          <w:tcPr>
            <w:tcW w:w="1701" w:type="pct"/>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hideMark/>
          </w:tcPr>
          <w:p w:rsidR="000C0280" w:rsidRPr="007F35D1" w:rsidRDefault="000C0280" w:rsidP="000C0280">
            <w:pPr>
              <w:autoSpaceDE w:val="0"/>
              <w:autoSpaceDN w:val="0"/>
              <w:adjustRightInd w:val="0"/>
              <w:spacing w:line="240" w:lineRule="auto"/>
              <w:ind w:hanging="5"/>
              <w:contextualSpacing/>
              <w:jc w:val="center"/>
              <w:rPr>
                <w:rFonts w:cs="Arial"/>
                <w:b/>
                <w:sz w:val="20"/>
                <w:szCs w:val="20"/>
              </w:rPr>
            </w:pPr>
            <w:r w:rsidRPr="007F35D1">
              <w:rPr>
                <w:rFonts w:cs="Arial"/>
                <w:b/>
                <w:sz w:val="20"/>
                <w:szCs w:val="20"/>
              </w:rPr>
              <w:t>PONTOS POSITIVOS</w:t>
            </w:r>
          </w:p>
        </w:tc>
        <w:tc>
          <w:tcPr>
            <w:tcW w:w="1075" w:type="pct"/>
            <w:tcBorders>
              <w:top w:val="single" w:sz="4" w:space="0" w:color="auto"/>
              <w:left w:val="single" w:sz="4" w:space="0" w:color="auto"/>
              <w:bottom w:val="single" w:sz="4" w:space="0" w:color="auto"/>
              <w:right w:val="single" w:sz="4" w:space="0" w:color="auto"/>
            </w:tcBorders>
            <w:shd w:val="clear" w:color="auto" w:fill="95B3D7"/>
            <w:vAlign w:val="center"/>
          </w:tcPr>
          <w:p w:rsidR="000C0280" w:rsidRPr="007F35D1" w:rsidRDefault="000C0280" w:rsidP="000C0280">
            <w:pPr>
              <w:autoSpaceDE w:val="0"/>
              <w:autoSpaceDN w:val="0"/>
              <w:adjustRightInd w:val="0"/>
              <w:spacing w:line="240" w:lineRule="auto"/>
              <w:ind w:hanging="5"/>
              <w:contextualSpacing/>
              <w:jc w:val="center"/>
              <w:rPr>
                <w:rFonts w:cs="Arial"/>
                <w:b/>
                <w:sz w:val="20"/>
                <w:szCs w:val="20"/>
              </w:rPr>
            </w:pPr>
            <w:r w:rsidRPr="007F35D1">
              <w:rPr>
                <w:rFonts w:cs="Arial"/>
                <w:b/>
                <w:sz w:val="20"/>
                <w:szCs w:val="20"/>
              </w:rPr>
              <w:t>ITENS DE REFLEXÃO</w:t>
            </w:r>
          </w:p>
        </w:tc>
        <w:tc>
          <w:tcPr>
            <w:tcW w:w="1835" w:type="pct"/>
            <w:tcBorders>
              <w:top w:val="single" w:sz="4" w:space="0" w:color="auto"/>
              <w:left w:val="single" w:sz="4" w:space="0" w:color="auto"/>
              <w:bottom w:val="single" w:sz="4" w:space="0" w:color="auto"/>
              <w:right w:val="single" w:sz="4" w:space="0" w:color="auto"/>
            </w:tcBorders>
            <w:shd w:val="clear" w:color="auto" w:fill="95B3D7"/>
            <w:vAlign w:val="center"/>
            <w:hideMark/>
          </w:tcPr>
          <w:p w:rsidR="000C0280" w:rsidRPr="007F35D1" w:rsidRDefault="000C0280" w:rsidP="000C0280">
            <w:pPr>
              <w:autoSpaceDE w:val="0"/>
              <w:autoSpaceDN w:val="0"/>
              <w:adjustRightInd w:val="0"/>
              <w:spacing w:line="240" w:lineRule="auto"/>
              <w:ind w:hanging="5"/>
              <w:contextualSpacing/>
              <w:jc w:val="center"/>
              <w:rPr>
                <w:rFonts w:cs="Arial"/>
                <w:b/>
                <w:sz w:val="20"/>
                <w:szCs w:val="20"/>
              </w:rPr>
            </w:pPr>
            <w:r w:rsidRPr="007F35D1">
              <w:rPr>
                <w:rFonts w:cs="Arial"/>
                <w:b/>
                <w:sz w:val="20"/>
                <w:szCs w:val="20"/>
              </w:rPr>
              <w:t>PONTOS NEGATIVOS</w:t>
            </w:r>
          </w:p>
        </w:tc>
      </w:tr>
      <w:tr w:rsidR="000C0280" w:rsidRPr="007F35D1" w:rsidTr="000C0280">
        <w:trPr>
          <w:trHeight w:val="1020"/>
          <w:jc w:val="center"/>
        </w:trPr>
        <w:tc>
          <w:tcPr>
            <w:tcW w:w="389" w:type="pct"/>
            <w:tcBorders>
              <w:top w:val="single" w:sz="4" w:space="0" w:color="auto"/>
              <w:left w:val="single" w:sz="4" w:space="0" w:color="auto"/>
              <w:bottom w:val="single" w:sz="4" w:space="0" w:color="auto"/>
              <w:right w:val="single" w:sz="4" w:space="0" w:color="auto"/>
            </w:tcBorders>
            <w:shd w:val="clear" w:color="auto" w:fill="365F91"/>
            <w:vAlign w:val="center"/>
            <w:hideMark/>
          </w:tcPr>
          <w:p w:rsidR="000C0280" w:rsidRPr="007F35D1" w:rsidRDefault="000C0280" w:rsidP="000C0280">
            <w:pPr>
              <w:autoSpaceDE w:val="0"/>
              <w:autoSpaceDN w:val="0"/>
              <w:adjustRightInd w:val="0"/>
              <w:spacing w:line="240" w:lineRule="auto"/>
              <w:contextualSpacing/>
              <w:jc w:val="center"/>
              <w:rPr>
                <w:rFonts w:cs="Arial"/>
                <w:b/>
                <w:color w:val="FFFFFF" w:themeColor="background1"/>
                <w:sz w:val="20"/>
                <w:szCs w:val="20"/>
              </w:rPr>
            </w:pPr>
            <w:r w:rsidRPr="007F35D1">
              <w:rPr>
                <w:rFonts w:cs="Arial"/>
                <w:b/>
                <w:color w:val="FFFFFF" w:themeColor="background1"/>
                <w:sz w:val="20"/>
                <w:szCs w:val="20"/>
              </w:rPr>
              <w:t>Ambiente Interno</w:t>
            </w:r>
          </w:p>
        </w:tc>
        <w:tc>
          <w:tcPr>
            <w:tcW w:w="1701" w:type="pct"/>
            <w:tcBorders>
              <w:top w:val="single" w:sz="4" w:space="0" w:color="auto"/>
              <w:left w:val="single" w:sz="4" w:space="0" w:color="auto"/>
              <w:bottom w:val="single" w:sz="4" w:space="0" w:color="auto"/>
              <w:right w:val="single" w:sz="4" w:space="0" w:color="auto"/>
            </w:tcBorders>
            <w:shd w:val="clear" w:color="auto" w:fill="B8CCE4" w:themeFill="accent1" w:themeFillTint="66"/>
          </w:tcPr>
          <w:p w:rsidR="000C0280" w:rsidRPr="007F35D1" w:rsidRDefault="000C0280" w:rsidP="000C0280">
            <w:pPr>
              <w:autoSpaceDE w:val="0"/>
              <w:autoSpaceDN w:val="0"/>
              <w:adjustRightInd w:val="0"/>
              <w:spacing w:line="240" w:lineRule="auto"/>
              <w:contextualSpacing/>
              <w:rPr>
                <w:rFonts w:cs="Arial"/>
                <w:b/>
                <w:sz w:val="20"/>
                <w:szCs w:val="20"/>
              </w:rPr>
            </w:pPr>
          </w:p>
          <w:p w:rsidR="000C0280" w:rsidRPr="007F35D1" w:rsidRDefault="000C0280" w:rsidP="000C0280">
            <w:pPr>
              <w:autoSpaceDE w:val="0"/>
              <w:autoSpaceDN w:val="0"/>
              <w:adjustRightInd w:val="0"/>
              <w:spacing w:line="240" w:lineRule="auto"/>
              <w:contextualSpacing/>
              <w:jc w:val="center"/>
              <w:rPr>
                <w:rFonts w:cs="Arial"/>
                <w:b/>
                <w:sz w:val="20"/>
                <w:szCs w:val="20"/>
              </w:rPr>
            </w:pPr>
            <w:r w:rsidRPr="007F35D1">
              <w:rPr>
                <w:rFonts w:cs="Arial"/>
                <w:b/>
                <w:sz w:val="20"/>
                <w:szCs w:val="20"/>
              </w:rPr>
              <w:t>FORÇAS</w:t>
            </w:r>
          </w:p>
          <w:p w:rsidR="000C0280" w:rsidRPr="007F35D1" w:rsidRDefault="000C0280" w:rsidP="000C0280">
            <w:pPr>
              <w:autoSpaceDE w:val="0"/>
              <w:autoSpaceDN w:val="0"/>
              <w:adjustRightInd w:val="0"/>
              <w:spacing w:line="240" w:lineRule="auto"/>
              <w:contextualSpacing/>
              <w:rPr>
                <w:rFonts w:cs="Arial"/>
                <w:b/>
                <w:sz w:val="20"/>
                <w:szCs w:val="20"/>
              </w:rPr>
            </w:pPr>
          </w:p>
          <w:p w:rsidR="000C0280" w:rsidRPr="007F35D1" w:rsidRDefault="000C0280" w:rsidP="000C0280">
            <w:pPr>
              <w:autoSpaceDE w:val="0"/>
              <w:autoSpaceDN w:val="0"/>
              <w:adjustRightInd w:val="0"/>
              <w:spacing w:line="240" w:lineRule="auto"/>
              <w:contextualSpacing/>
              <w:rPr>
                <w:rFonts w:cs="Arial"/>
                <w:b/>
                <w:sz w:val="20"/>
                <w:szCs w:val="20"/>
              </w:rPr>
            </w:pPr>
            <w:r>
              <w:rPr>
                <w:rFonts w:cs="Arial"/>
                <w:b/>
                <w:sz w:val="20"/>
                <w:szCs w:val="20"/>
              </w:rPr>
              <w:t>2. Perfil i</w:t>
            </w:r>
            <w:r w:rsidRPr="007F35D1">
              <w:rPr>
                <w:rFonts w:cs="Arial"/>
                <w:b/>
                <w:sz w:val="20"/>
                <w:szCs w:val="20"/>
              </w:rPr>
              <w:t>nstitucional</w:t>
            </w:r>
          </w:p>
          <w:p w:rsidR="000C0280" w:rsidRPr="007F35D1" w:rsidRDefault="000C0280" w:rsidP="000C0280">
            <w:pPr>
              <w:autoSpaceDE w:val="0"/>
              <w:autoSpaceDN w:val="0"/>
              <w:adjustRightInd w:val="0"/>
              <w:spacing w:line="240" w:lineRule="auto"/>
              <w:rPr>
                <w:rFonts w:cs="Arial"/>
                <w:sz w:val="20"/>
                <w:szCs w:val="20"/>
              </w:rPr>
            </w:pPr>
            <w:r w:rsidRPr="007F35D1">
              <w:rPr>
                <w:rFonts w:cs="Arial"/>
                <w:sz w:val="20"/>
                <w:szCs w:val="20"/>
              </w:rPr>
              <w:t>- Existência de um setor responsável pelo SES, Departamento Municipal de Obras e Projetos Públicos.</w:t>
            </w:r>
          </w:p>
          <w:p w:rsidR="000C0280" w:rsidRPr="007F35D1" w:rsidRDefault="000C0280" w:rsidP="000C0280">
            <w:pPr>
              <w:autoSpaceDE w:val="0"/>
              <w:autoSpaceDN w:val="0"/>
              <w:adjustRightInd w:val="0"/>
              <w:spacing w:line="240" w:lineRule="auto"/>
              <w:rPr>
                <w:rFonts w:cs="Arial"/>
                <w:b/>
                <w:sz w:val="20"/>
                <w:szCs w:val="20"/>
              </w:rPr>
            </w:pPr>
          </w:p>
          <w:p w:rsidR="000C0280" w:rsidRPr="007F35D1" w:rsidRDefault="000C0280" w:rsidP="000C0280">
            <w:pPr>
              <w:autoSpaceDE w:val="0"/>
              <w:autoSpaceDN w:val="0"/>
              <w:adjustRightInd w:val="0"/>
              <w:spacing w:line="240" w:lineRule="auto"/>
              <w:rPr>
                <w:rFonts w:cs="Arial"/>
                <w:b/>
                <w:sz w:val="20"/>
                <w:szCs w:val="20"/>
              </w:rPr>
            </w:pPr>
            <w:r w:rsidRPr="007F35D1">
              <w:rPr>
                <w:rFonts w:cs="Arial"/>
                <w:b/>
                <w:sz w:val="20"/>
                <w:szCs w:val="20"/>
              </w:rPr>
              <w:t>3. Sistema Operacional</w:t>
            </w:r>
          </w:p>
          <w:p w:rsidR="000C0280" w:rsidRPr="007F35D1" w:rsidRDefault="000C0280" w:rsidP="000C0280">
            <w:pPr>
              <w:autoSpaceDE w:val="0"/>
              <w:autoSpaceDN w:val="0"/>
              <w:adjustRightInd w:val="0"/>
              <w:spacing w:line="240" w:lineRule="auto"/>
              <w:rPr>
                <w:rFonts w:cs="Arial"/>
                <w:sz w:val="20"/>
                <w:szCs w:val="20"/>
              </w:rPr>
            </w:pPr>
            <w:r w:rsidRPr="007F35D1">
              <w:rPr>
                <w:rFonts w:cs="Arial"/>
                <w:sz w:val="20"/>
                <w:szCs w:val="20"/>
              </w:rPr>
              <w:t xml:space="preserve">- O município apresenta um projeto de uma ETE, para atender 3.600 habitantes, com uma vazão máxima horária 8,74 L/s. </w:t>
            </w:r>
          </w:p>
          <w:p w:rsidR="000C0280" w:rsidRPr="007F35D1" w:rsidRDefault="000C0280" w:rsidP="000C0280">
            <w:pPr>
              <w:autoSpaceDE w:val="0"/>
              <w:autoSpaceDN w:val="0"/>
              <w:adjustRightInd w:val="0"/>
              <w:spacing w:line="240" w:lineRule="auto"/>
              <w:rPr>
                <w:rFonts w:cs="Arial"/>
                <w:sz w:val="20"/>
                <w:szCs w:val="20"/>
              </w:rPr>
            </w:pPr>
            <w:r w:rsidRPr="007F35D1">
              <w:rPr>
                <w:rFonts w:cs="Arial"/>
                <w:sz w:val="20"/>
                <w:szCs w:val="20"/>
              </w:rPr>
              <w:t>- O município apresenta um projeto de construção de um interceptor que tem 1.714 metros de comprimento total.</w:t>
            </w:r>
          </w:p>
          <w:p w:rsidR="000C0280" w:rsidRPr="007F35D1" w:rsidRDefault="000C0280" w:rsidP="000C0280">
            <w:pPr>
              <w:autoSpaceDE w:val="0"/>
              <w:autoSpaceDN w:val="0"/>
              <w:adjustRightInd w:val="0"/>
              <w:spacing w:line="240" w:lineRule="auto"/>
              <w:contextualSpacing/>
              <w:rPr>
                <w:rFonts w:cs="Arial"/>
                <w:sz w:val="20"/>
                <w:szCs w:val="20"/>
              </w:rPr>
            </w:pPr>
            <w:r w:rsidRPr="007F35D1">
              <w:rPr>
                <w:rFonts w:cs="Arial"/>
                <w:sz w:val="20"/>
                <w:szCs w:val="20"/>
              </w:rPr>
              <w:t>- Algumas residências da área rural apresentam fossas sépticas.</w:t>
            </w:r>
          </w:p>
          <w:p w:rsidR="000C0280" w:rsidRPr="007F35D1" w:rsidRDefault="000C0280" w:rsidP="000C0280">
            <w:pPr>
              <w:autoSpaceDE w:val="0"/>
              <w:autoSpaceDN w:val="0"/>
              <w:adjustRightInd w:val="0"/>
              <w:spacing w:line="240" w:lineRule="auto"/>
              <w:contextualSpacing/>
              <w:rPr>
                <w:rFonts w:cs="Arial"/>
                <w:sz w:val="20"/>
                <w:szCs w:val="20"/>
              </w:rPr>
            </w:pPr>
            <w:r>
              <w:rPr>
                <w:rFonts w:cs="Arial"/>
                <w:sz w:val="20"/>
                <w:szCs w:val="20"/>
              </w:rPr>
              <w:t xml:space="preserve">- </w:t>
            </w:r>
            <w:r w:rsidRPr="007F35D1">
              <w:rPr>
                <w:rFonts w:cs="Arial"/>
                <w:sz w:val="20"/>
                <w:szCs w:val="20"/>
              </w:rPr>
              <w:t>O projeto da ETE e dos interceptores foi finalizado.</w:t>
            </w:r>
          </w:p>
          <w:p w:rsidR="000C0280" w:rsidRPr="007F35D1" w:rsidRDefault="000C0280" w:rsidP="000C0280">
            <w:pPr>
              <w:autoSpaceDE w:val="0"/>
              <w:autoSpaceDN w:val="0"/>
              <w:adjustRightInd w:val="0"/>
              <w:spacing w:line="240" w:lineRule="auto"/>
              <w:contextualSpacing/>
              <w:rPr>
                <w:rFonts w:cs="Arial"/>
                <w:sz w:val="20"/>
                <w:szCs w:val="20"/>
              </w:rPr>
            </w:pPr>
          </w:p>
          <w:p w:rsidR="000C0280" w:rsidRPr="007F35D1" w:rsidRDefault="000C0280" w:rsidP="000C0280">
            <w:pPr>
              <w:autoSpaceDE w:val="0"/>
              <w:autoSpaceDN w:val="0"/>
              <w:adjustRightInd w:val="0"/>
              <w:spacing w:line="240" w:lineRule="auto"/>
              <w:rPr>
                <w:rFonts w:cs="Arial"/>
                <w:b/>
                <w:sz w:val="20"/>
                <w:szCs w:val="20"/>
              </w:rPr>
            </w:pPr>
            <w:r w:rsidRPr="007F35D1">
              <w:rPr>
                <w:rFonts w:cs="Arial"/>
                <w:b/>
                <w:sz w:val="20"/>
                <w:szCs w:val="20"/>
              </w:rPr>
              <w:t>5. Legislação e normatização do setor</w:t>
            </w:r>
          </w:p>
          <w:p w:rsidR="000C0280" w:rsidRPr="007F35D1" w:rsidRDefault="000C0280" w:rsidP="000C0280">
            <w:pPr>
              <w:autoSpaceDE w:val="0"/>
              <w:autoSpaceDN w:val="0"/>
              <w:adjustRightInd w:val="0"/>
              <w:spacing w:line="240" w:lineRule="auto"/>
              <w:contextualSpacing/>
              <w:rPr>
                <w:rFonts w:cs="Arial"/>
                <w:sz w:val="20"/>
                <w:szCs w:val="20"/>
              </w:rPr>
            </w:pPr>
            <w:r w:rsidRPr="007F35D1">
              <w:rPr>
                <w:rFonts w:cs="Arial"/>
                <w:sz w:val="20"/>
                <w:szCs w:val="20"/>
              </w:rPr>
              <w:t>- O município possui um Plano Plurianual de 2014-2017 que contempla ações diretamente relacionadas ao sistema de esgotamento sanitário.</w:t>
            </w:r>
          </w:p>
          <w:p w:rsidR="000C0280" w:rsidRPr="007F35D1" w:rsidRDefault="000C0280" w:rsidP="000C0280">
            <w:pPr>
              <w:autoSpaceDE w:val="0"/>
              <w:autoSpaceDN w:val="0"/>
              <w:adjustRightInd w:val="0"/>
              <w:spacing w:line="240" w:lineRule="auto"/>
              <w:contextualSpacing/>
              <w:rPr>
                <w:rFonts w:cs="Arial"/>
                <w:sz w:val="20"/>
                <w:szCs w:val="20"/>
              </w:rPr>
            </w:pPr>
          </w:p>
          <w:p w:rsidR="000C0280" w:rsidRPr="007F35D1" w:rsidRDefault="000C0280" w:rsidP="000C0280">
            <w:pPr>
              <w:autoSpaceDE w:val="0"/>
              <w:autoSpaceDN w:val="0"/>
              <w:adjustRightInd w:val="0"/>
              <w:spacing w:line="240" w:lineRule="auto"/>
              <w:contextualSpacing/>
              <w:rPr>
                <w:rFonts w:cs="Arial"/>
                <w:b/>
                <w:sz w:val="20"/>
                <w:szCs w:val="20"/>
              </w:rPr>
            </w:pPr>
            <w:r w:rsidRPr="007F35D1">
              <w:rPr>
                <w:rFonts w:cs="Arial"/>
                <w:b/>
                <w:sz w:val="20"/>
                <w:szCs w:val="20"/>
              </w:rPr>
              <w:t>6. Sustentabilidade econômica</w:t>
            </w:r>
          </w:p>
          <w:p w:rsidR="000C0280" w:rsidRPr="007F35D1" w:rsidRDefault="000C0280" w:rsidP="000C0280">
            <w:pPr>
              <w:autoSpaceDE w:val="0"/>
              <w:autoSpaceDN w:val="0"/>
              <w:adjustRightInd w:val="0"/>
              <w:spacing w:line="240" w:lineRule="auto"/>
              <w:contextualSpacing/>
              <w:rPr>
                <w:rFonts w:cs="Arial"/>
                <w:sz w:val="20"/>
                <w:szCs w:val="20"/>
              </w:rPr>
            </w:pPr>
            <w:r w:rsidRPr="007F35D1">
              <w:rPr>
                <w:rFonts w:cs="Arial"/>
                <w:sz w:val="20"/>
                <w:szCs w:val="20"/>
              </w:rPr>
              <w:t>- O município recebeu investimentos na área de esgotamento sanitário, como o apresentado no Plano Plurianual de 2014-2017.</w:t>
            </w:r>
          </w:p>
        </w:tc>
        <w:tc>
          <w:tcPr>
            <w:tcW w:w="1075" w:type="pct"/>
            <w:vMerge w:val="restart"/>
            <w:tcBorders>
              <w:top w:val="single" w:sz="4" w:space="0" w:color="auto"/>
              <w:left w:val="single" w:sz="4" w:space="0" w:color="auto"/>
              <w:right w:val="single" w:sz="4" w:space="0" w:color="auto"/>
            </w:tcBorders>
            <w:shd w:val="clear" w:color="auto" w:fill="B8CCE4" w:themeFill="accent1" w:themeFillTint="66"/>
            <w:vAlign w:val="center"/>
          </w:tcPr>
          <w:p w:rsidR="000C0280" w:rsidRPr="007F35D1" w:rsidRDefault="000C0280" w:rsidP="000C0280">
            <w:pPr>
              <w:autoSpaceDE w:val="0"/>
              <w:autoSpaceDN w:val="0"/>
              <w:adjustRightInd w:val="0"/>
              <w:spacing w:line="240" w:lineRule="auto"/>
              <w:jc w:val="center"/>
              <w:rPr>
                <w:rFonts w:cs="Arial"/>
                <w:b/>
                <w:sz w:val="20"/>
                <w:szCs w:val="20"/>
              </w:rPr>
            </w:pPr>
            <w:r w:rsidRPr="007F35D1">
              <w:rPr>
                <w:rFonts w:cs="Arial"/>
                <w:b/>
                <w:sz w:val="20"/>
                <w:szCs w:val="20"/>
              </w:rPr>
              <w:t>1. Atendimento da demanda</w:t>
            </w:r>
          </w:p>
          <w:p w:rsidR="000C0280" w:rsidRPr="007F35D1" w:rsidRDefault="000C0280" w:rsidP="000C0280">
            <w:pPr>
              <w:autoSpaceDE w:val="0"/>
              <w:autoSpaceDN w:val="0"/>
              <w:adjustRightInd w:val="0"/>
              <w:spacing w:line="240" w:lineRule="auto"/>
              <w:jc w:val="center"/>
              <w:rPr>
                <w:rFonts w:cs="Arial"/>
                <w:b/>
                <w:sz w:val="20"/>
                <w:szCs w:val="20"/>
              </w:rPr>
            </w:pPr>
          </w:p>
          <w:p w:rsidR="000C0280" w:rsidRPr="007F35D1" w:rsidRDefault="000C0280" w:rsidP="000C0280">
            <w:pPr>
              <w:autoSpaceDE w:val="0"/>
              <w:autoSpaceDN w:val="0"/>
              <w:adjustRightInd w:val="0"/>
              <w:spacing w:line="240" w:lineRule="auto"/>
              <w:jc w:val="center"/>
              <w:rPr>
                <w:rFonts w:cs="Arial"/>
                <w:b/>
                <w:sz w:val="20"/>
                <w:szCs w:val="20"/>
              </w:rPr>
            </w:pPr>
            <w:r>
              <w:rPr>
                <w:rFonts w:cs="Arial"/>
                <w:b/>
                <w:sz w:val="20"/>
                <w:szCs w:val="20"/>
              </w:rPr>
              <w:t>2. Perfil i</w:t>
            </w:r>
            <w:r w:rsidRPr="007F35D1">
              <w:rPr>
                <w:rFonts w:cs="Arial"/>
                <w:b/>
                <w:sz w:val="20"/>
                <w:szCs w:val="20"/>
              </w:rPr>
              <w:t>nstitucional</w:t>
            </w:r>
          </w:p>
          <w:p w:rsidR="000C0280" w:rsidRPr="007F35D1" w:rsidRDefault="000C0280" w:rsidP="000C0280">
            <w:pPr>
              <w:autoSpaceDE w:val="0"/>
              <w:autoSpaceDN w:val="0"/>
              <w:adjustRightInd w:val="0"/>
              <w:spacing w:line="240" w:lineRule="auto"/>
              <w:jc w:val="center"/>
              <w:rPr>
                <w:rFonts w:cs="Arial"/>
                <w:b/>
                <w:sz w:val="20"/>
                <w:szCs w:val="20"/>
              </w:rPr>
            </w:pPr>
          </w:p>
          <w:p w:rsidR="000C0280" w:rsidRPr="007F35D1" w:rsidRDefault="000C0280" w:rsidP="000C0280">
            <w:pPr>
              <w:autoSpaceDE w:val="0"/>
              <w:autoSpaceDN w:val="0"/>
              <w:adjustRightInd w:val="0"/>
              <w:spacing w:line="240" w:lineRule="auto"/>
              <w:jc w:val="center"/>
              <w:rPr>
                <w:rFonts w:cs="Arial"/>
                <w:b/>
                <w:sz w:val="20"/>
                <w:szCs w:val="20"/>
              </w:rPr>
            </w:pPr>
            <w:r w:rsidRPr="007F35D1">
              <w:rPr>
                <w:rFonts w:cs="Arial"/>
                <w:b/>
                <w:sz w:val="20"/>
                <w:szCs w:val="20"/>
              </w:rPr>
              <w:t>3. Sistema Operacional</w:t>
            </w:r>
          </w:p>
          <w:p w:rsidR="000C0280" w:rsidRPr="007F35D1" w:rsidRDefault="000C0280" w:rsidP="000C0280">
            <w:pPr>
              <w:autoSpaceDE w:val="0"/>
              <w:autoSpaceDN w:val="0"/>
              <w:adjustRightInd w:val="0"/>
              <w:spacing w:line="240" w:lineRule="auto"/>
              <w:jc w:val="center"/>
              <w:rPr>
                <w:rFonts w:cs="Arial"/>
                <w:b/>
                <w:sz w:val="20"/>
                <w:szCs w:val="20"/>
              </w:rPr>
            </w:pPr>
          </w:p>
          <w:p w:rsidR="000C0280" w:rsidRPr="007F35D1" w:rsidRDefault="000C0280" w:rsidP="000C0280">
            <w:pPr>
              <w:autoSpaceDE w:val="0"/>
              <w:autoSpaceDN w:val="0"/>
              <w:adjustRightInd w:val="0"/>
              <w:spacing w:line="240" w:lineRule="auto"/>
              <w:jc w:val="center"/>
              <w:rPr>
                <w:rFonts w:cs="Arial"/>
                <w:b/>
                <w:sz w:val="20"/>
                <w:szCs w:val="20"/>
              </w:rPr>
            </w:pPr>
            <w:r w:rsidRPr="007F35D1">
              <w:rPr>
                <w:rFonts w:cs="Arial"/>
                <w:b/>
                <w:sz w:val="20"/>
                <w:szCs w:val="20"/>
              </w:rPr>
              <w:t>4. Sistema de Informações</w:t>
            </w:r>
          </w:p>
          <w:p w:rsidR="000C0280" w:rsidRPr="007F35D1" w:rsidRDefault="000C0280" w:rsidP="000C0280">
            <w:pPr>
              <w:autoSpaceDE w:val="0"/>
              <w:autoSpaceDN w:val="0"/>
              <w:adjustRightInd w:val="0"/>
              <w:spacing w:line="240" w:lineRule="auto"/>
              <w:jc w:val="center"/>
              <w:rPr>
                <w:rFonts w:cs="Arial"/>
                <w:b/>
                <w:sz w:val="20"/>
                <w:szCs w:val="20"/>
              </w:rPr>
            </w:pPr>
          </w:p>
          <w:p w:rsidR="000C0280" w:rsidRPr="007F35D1" w:rsidRDefault="000C0280" w:rsidP="000C0280">
            <w:pPr>
              <w:autoSpaceDE w:val="0"/>
              <w:autoSpaceDN w:val="0"/>
              <w:adjustRightInd w:val="0"/>
              <w:spacing w:line="240" w:lineRule="auto"/>
              <w:jc w:val="center"/>
              <w:rPr>
                <w:rFonts w:cs="Arial"/>
                <w:b/>
                <w:sz w:val="20"/>
                <w:szCs w:val="20"/>
              </w:rPr>
            </w:pPr>
            <w:r w:rsidRPr="007F35D1">
              <w:rPr>
                <w:rFonts w:cs="Arial"/>
                <w:b/>
                <w:sz w:val="20"/>
                <w:szCs w:val="20"/>
              </w:rPr>
              <w:t>5. Legislação e normatização do setor</w:t>
            </w:r>
          </w:p>
          <w:p w:rsidR="000C0280" w:rsidRPr="007F35D1" w:rsidRDefault="000C0280" w:rsidP="000C0280">
            <w:pPr>
              <w:autoSpaceDE w:val="0"/>
              <w:autoSpaceDN w:val="0"/>
              <w:adjustRightInd w:val="0"/>
              <w:spacing w:line="240" w:lineRule="auto"/>
              <w:jc w:val="center"/>
              <w:rPr>
                <w:rFonts w:cs="Arial"/>
                <w:b/>
                <w:sz w:val="20"/>
                <w:szCs w:val="20"/>
              </w:rPr>
            </w:pPr>
          </w:p>
          <w:p w:rsidR="000C0280" w:rsidRPr="007F35D1" w:rsidRDefault="000C0280" w:rsidP="000C0280">
            <w:pPr>
              <w:autoSpaceDE w:val="0"/>
              <w:autoSpaceDN w:val="0"/>
              <w:adjustRightInd w:val="0"/>
              <w:spacing w:line="240" w:lineRule="auto"/>
              <w:contextualSpacing/>
              <w:jc w:val="center"/>
              <w:rPr>
                <w:rFonts w:cs="Arial"/>
                <w:b/>
                <w:sz w:val="20"/>
                <w:szCs w:val="20"/>
              </w:rPr>
            </w:pPr>
            <w:r w:rsidRPr="007F35D1">
              <w:rPr>
                <w:rFonts w:cs="Arial"/>
                <w:b/>
                <w:sz w:val="20"/>
                <w:szCs w:val="20"/>
              </w:rPr>
              <w:t>6. Sustentabilidade econômica</w:t>
            </w:r>
          </w:p>
        </w:tc>
        <w:tc>
          <w:tcPr>
            <w:tcW w:w="1835" w:type="pct"/>
            <w:tcBorders>
              <w:top w:val="single" w:sz="4" w:space="0" w:color="auto"/>
              <w:left w:val="single" w:sz="4" w:space="0" w:color="auto"/>
              <w:bottom w:val="single" w:sz="4" w:space="0" w:color="auto"/>
              <w:right w:val="single" w:sz="4" w:space="0" w:color="auto"/>
            </w:tcBorders>
            <w:shd w:val="clear" w:color="auto" w:fill="B8CCE4" w:themeFill="accent1" w:themeFillTint="66"/>
          </w:tcPr>
          <w:p w:rsidR="000C0280" w:rsidRPr="007F35D1" w:rsidRDefault="000C0280" w:rsidP="000C0280">
            <w:pPr>
              <w:autoSpaceDE w:val="0"/>
              <w:autoSpaceDN w:val="0"/>
              <w:adjustRightInd w:val="0"/>
              <w:spacing w:line="240" w:lineRule="auto"/>
              <w:contextualSpacing/>
              <w:rPr>
                <w:rFonts w:cs="Arial"/>
                <w:b/>
                <w:sz w:val="20"/>
                <w:szCs w:val="20"/>
                <w:u w:val="single"/>
              </w:rPr>
            </w:pPr>
          </w:p>
          <w:p w:rsidR="000C0280" w:rsidRPr="007F35D1" w:rsidRDefault="000C0280" w:rsidP="000C0280">
            <w:pPr>
              <w:autoSpaceDE w:val="0"/>
              <w:autoSpaceDN w:val="0"/>
              <w:adjustRightInd w:val="0"/>
              <w:spacing w:line="240" w:lineRule="auto"/>
              <w:contextualSpacing/>
              <w:jc w:val="center"/>
              <w:rPr>
                <w:rFonts w:cs="Arial"/>
                <w:b/>
                <w:sz w:val="20"/>
                <w:szCs w:val="20"/>
              </w:rPr>
            </w:pPr>
            <w:r w:rsidRPr="007F35D1">
              <w:rPr>
                <w:rFonts w:cs="Arial"/>
                <w:b/>
                <w:sz w:val="20"/>
                <w:szCs w:val="20"/>
              </w:rPr>
              <w:t>FRAQUEZAS</w:t>
            </w:r>
          </w:p>
          <w:p w:rsidR="000C0280" w:rsidRPr="007F35D1" w:rsidRDefault="000C0280" w:rsidP="000C0280">
            <w:pPr>
              <w:autoSpaceDE w:val="0"/>
              <w:autoSpaceDN w:val="0"/>
              <w:adjustRightInd w:val="0"/>
              <w:spacing w:line="240" w:lineRule="auto"/>
              <w:contextualSpacing/>
              <w:rPr>
                <w:rFonts w:cs="Arial"/>
                <w:b/>
                <w:sz w:val="20"/>
                <w:szCs w:val="20"/>
                <w:u w:val="single"/>
              </w:rPr>
            </w:pPr>
          </w:p>
          <w:p w:rsidR="000C0280" w:rsidRPr="007F35D1" w:rsidRDefault="000C0280" w:rsidP="000C0280">
            <w:pPr>
              <w:autoSpaceDE w:val="0"/>
              <w:autoSpaceDN w:val="0"/>
              <w:adjustRightInd w:val="0"/>
              <w:spacing w:line="240" w:lineRule="auto"/>
              <w:rPr>
                <w:rFonts w:cs="Arial"/>
                <w:b/>
                <w:sz w:val="20"/>
                <w:szCs w:val="20"/>
              </w:rPr>
            </w:pPr>
            <w:r w:rsidRPr="007F35D1">
              <w:rPr>
                <w:rFonts w:cs="Arial"/>
                <w:b/>
                <w:sz w:val="20"/>
                <w:szCs w:val="20"/>
              </w:rPr>
              <w:t>1. Atendimento da demanda</w:t>
            </w:r>
          </w:p>
          <w:p w:rsidR="000C0280" w:rsidRPr="007F35D1" w:rsidRDefault="000C0280" w:rsidP="000C0280">
            <w:pPr>
              <w:autoSpaceDE w:val="0"/>
              <w:autoSpaceDN w:val="0"/>
              <w:adjustRightInd w:val="0"/>
              <w:spacing w:line="240" w:lineRule="auto"/>
              <w:contextualSpacing/>
              <w:rPr>
                <w:rFonts w:cs="Arial"/>
                <w:sz w:val="20"/>
                <w:szCs w:val="20"/>
              </w:rPr>
            </w:pPr>
            <w:r w:rsidRPr="007F35D1">
              <w:rPr>
                <w:rFonts w:cs="Arial"/>
                <w:sz w:val="20"/>
                <w:szCs w:val="20"/>
              </w:rPr>
              <w:t xml:space="preserve">- O município </w:t>
            </w:r>
            <w:r w:rsidRPr="008B7D29">
              <w:rPr>
                <w:rFonts w:cs="Arial"/>
                <w:sz w:val="20"/>
                <w:szCs w:val="20"/>
              </w:rPr>
              <w:t>atende somente 75% da população urbana com a rede de coleta de esgotos.</w:t>
            </w:r>
          </w:p>
          <w:p w:rsidR="000C0280" w:rsidRPr="007F35D1" w:rsidRDefault="000C0280" w:rsidP="000C0280">
            <w:pPr>
              <w:autoSpaceDE w:val="0"/>
              <w:autoSpaceDN w:val="0"/>
              <w:adjustRightInd w:val="0"/>
              <w:spacing w:line="240" w:lineRule="auto"/>
              <w:contextualSpacing/>
              <w:rPr>
                <w:rFonts w:cs="Arial"/>
                <w:sz w:val="20"/>
                <w:szCs w:val="20"/>
              </w:rPr>
            </w:pPr>
            <w:r w:rsidRPr="007F35D1">
              <w:rPr>
                <w:rFonts w:cs="Arial"/>
                <w:b/>
                <w:sz w:val="20"/>
                <w:szCs w:val="20"/>
              </w:rPr>
              <w:t xml:space="preserve">- </w:t>
            </w:r>
            <w:r w:rsidRPr="007F35D1">
              <w:rPr>
                <w:rFonts w:cs="Arial"/>
                <w:sz w:val="20"/>
                <w:szCs w:val="20"/>
              </w:rPr>
              <w:t>Não há tratamento de esgotos em toda área rural do município.</w:t>
            </w:r>
          </w:p>
          <w:p w:rsidR="000C0280" w:rsidRPr="007F35D1" w:rsidRDefault="000C0280" w:rsidP="000C0280">
            <w:pPr>
              <w:autoSpaceDE w:val="0"/>
              <w:autoSpaceDN w:val="0"/>
              <w:adjustRightInd w:val="0"/>
              <w:spacing w:line="240" w:lineRule="auto"/>
              <w:contextualSpacing/>
              <w:rPr>
                <w:rFonts w:cs="Arial"/>
                <w:sz w:val="20"/>
                <w:szCs w:val="20"/>
              </w:rPr>
            </w:pPr>
            <w:r w:rsidRPr="007F35D1">
              <w:rPr>
                <w:rFonts w:cs="Arial"/>
                <w:sz w:val="20"/>
                <w:szCs w:val="20"/>
              </w:rPr>
              <w:t>- Inexistência de cronograma de ampliação da prestação do</w:t>
            </w:r>
            <w:r>
              <w:rPr>
                <w:rFonts w:cs="Arial"/>
                <w:sz w:val="20"/>
                <w:szCs w:val="20"/>
              </w:rPr>
              <w:t>s</w:t>
            </w:r>
            <w:r w:rsidRPr="007F35D1">
              <w:rPr>
                <w:rFonts w:cs="Arial"/>
                <w:sz w:val="20"/>
                <w:szCs w:val="20"/>
              </w:rPr>
              <w:t xml:space="preserve"> serviço</w:t>
            </w:r>
            <w:r>
              <w:rPr>
                <w:rFonts w:cs="Arial"/>
                <w:sz w:val="20"/>
                <w:szCs w:val="20"/>
              </w:rPr>
              <w:t>s</w:t>
            </w:r>
            <w:r w:rsidRPr="007F35D1">
              <w:rPr>
                <w:rFonts w:cs="Arial"/>
                <w:sz w:val="20"/>
                <w:szCs w:val="20"/>
              </w:rPr>
              <w:t xml:space="preserve"> de esgotos.</w:t>
            </w:r>
          </w:p>
          <w:p w:rsidR="000C0280" w:rsidRPr="007F35D1" w:rsidRDefault="000C0280" w:rsidP="000C0280">
            <w:pPr>
              <w:autoSpaceDE w:val="0"/>
              <w:autoSpaceDN w:val="0"/>
              <w:adjustRightInd w:val="0"/>
              <w:spacing w:line="240" w:lineRule="auto"/>
              <w:contextualSpacing/>
              <w:rPr>
                <w:rFonts w:cs="Arial"/>
                <w:b/>
                <w:sz w:val="20"/>
                <w:szCs w:val="20"/>
              </w:rPr>
            </w:pPr>
          </w:p>
          <w:p w:rsidR="000C0280" w:rsidRPr="00CB56BD" w:rsidRDefault="000C0280" w:rsidP="000C0280">
            <w:pPr>
              <w:autoSpaceDE w:val="0"/>
              <w:autoSpaceDN w:val="0"/>
              <w:adjustRightInd w:val="0"/>
              <w:spacing w:line="240" w:lineRule="auto"/>
              <w:rPr>
                <w:rFonts w:cs="Arial"/>
                <w:b/>
                <w:sz w:val="20"/>
                <w:szCs w:val="20"/>
              </w:rPr>
            </w:pPr>
            <w:r>
              <w:rPr>
                <w:rFonts w:cs="Arial"/>
                <w:b/>
                <w:sz w:val="20"/>
                <w:szCs w:val="20"/>
              </w:rPr>
              <w:t>3. Sistema Operacional</w:t>
            </w:r>
          </w:p>
          <w:p w:rsidR="000C0280" w:rsidRPr="007F35D1" w:rsidRDefault="000C0280" w:rsidP="000C0280">
            <w:pPr>
              <w:autoSpaceDE w:val="0"/>
              <w:autoSpaceDN w:val="0"/>
              <w:adjustRightInd w:val="0"/>
              <w:spacing w:line="240" w:lineRule="auto"/>
              <w:contextualSpacing/>
              <w:rPr>
                <w:rFonts w:cs="Arial"/>
                <w:sz w:val="20"/>
                <w:szCs w:val="20"/>
              </w:rPr>
            </w:pPr>
            <w:r w:rsidRPr="007F35D1">
              <w:rPr>
                <w:rFonts w:cs="Arial"/>
                <w:sz w:val="20"/>
                <w:szCs w:val="20"/>
              </w:rPr>
              <w:t xml:space="preserve">- Foram apresentados 12 pontos de lançamento </w:t>
            </w:r>
            <w:r w:rsidRPr="007F35D1">
              <w:rPr>
                <w:rFonts w:cs="Arial"/>
                <w:i/>
                <w:sz w:val="20"/>
                <w:szCs w:val="20"/>
              </w:rPr>
              <w:t xml:space="preserve">in natura </w:t>
            </w:r>
            <w:r w:rsidRPr="007F35D1">
              <w:rPr>
                <w:rFonts w:cs="Arial"/>
                <w:sz w:val="20"/>
                <w:szCs w:val="20"/>
              </w:rPr>
              <w:t xml:space="preserve">no município. </w:t>
            </w:r>
          </w:p>
          <w:p w:rsidR="000C0280" w:rsidRPr="007F35D1" w:rsidRDefault="000C0280" w:rsidP="000C0280">
            <w:pPr>
              <w:autoSpaceDE w:val="0"/>
              <w:autoSpaceDN w:val="0"/>
              <w:adjustRightInd w:val="0"/>
              <w:spacing w:line="240" w:lineRule="auto"/>
              <w:contextualSpacing/>
              <w:rPr>
                <w:rFonts w:cs="Arial"/>
                <w:sz w:val="20"/>
                <w:szCs w:val="20"/>
              </w:rPr>
            </w:pPr>
            <w:r w:rsidRPr="007F35D1">
              <w:rPr>
                <w:rFonts w:cs="Arial"/>
                <w:sz w:val="20"/>
                <w:szCs w:val="20"/>
              </w:rPr>
              <w:t>- A manutenção da rede não ocorre de forma preventiva e nem periódica.</w:t>
            </w:r>
          </w:p>
          <w:p w:rsidR="000C0280" w:rsidRPr="007F35D1" w:rsidRDefault="000C0280" w:rsidP="000C0280">
            <w:pPr>
              <w:autoSpaceDE w:val="0"/>
              <w:autoSpaceDN w:val="0"/>
              <w:adjustRightInd w:val="0"/>
              <w:spacing w:line="240" w:lineRule="auto"/>
              <w:contextualSpacing/>
              <w:rPr>
                <w:rFonts w:cs="Arial"/>
                <w:sz w:val="20"/>
                <w:szCs w:val="20"/>
              </w:rPr>
            </w:pPr>
            <w:r w:rsidRPr="007F35D1">
              <w:rPr>
                <w:rFonts w:cs="Arial"/>
                <w:sz w:val="20"/>
                <w:szCs w:val="20"/>
              </w:rPr>
              <w:t xml:space="preserve">- Há ligações clandestinas de esgotos na rede de águas pluviais. </w:t>
            </w:r>
          </w:p>
          <w:p w:rsidR="000C0280" w:rsidRPr="007F35D1" w:rsidRDefault="000C0280" w:rsidP="000C0280">
            <w:pPr>
              <w:autoSpaceDE w:val="0"/>
              <w:autoSpaceDN w:val="0"/>
              <w:adjustRightInd w:val="0"/>
              <w:spacing w:line="240" w:lineRule="auto"/>
              <w:contextualSpacing/>
              <w:rPr>
                <w:rFonts w:cs="Arial"/>
                <w:sz w:val="20"/>
                <w:szCs w:val="20"/>
              </w:rPr>
            </w:pPr>
            <w:r w:rsidRPr="007F35D1">
              <w:rPr>
                <w:rFonts w:cs="Arial"/>
                <w:sz w:val="20"/>
                <w:szCs w:val="20"/>
              </w:rPr>
              <w:t>- Não há tratamento de esgotos na área urbana do município.</w:t>
            </w:r>
          </w:p>
          <w:p w:rsidR="000C0280" w:rsidRPr="007F35D1" w:rsidRDefault="000C0280" w:rsidP="000C0280">
            <w:pPr>
              <w:autoSpaceDE w:val="0"/>
              <w:autoSpaceDN w:val="0"/>
              <w:adjustRightInd w:val="0"/>
              <w:spacing w:line="240" w:lineRule="auto"/>
              <w:contextualSpacing/>
              <w:rPr>
                <w:rFonts w:cs="Arial"/>
                <w:sz w:val="20"/>
                <w:szCs w:val="20"/>
              </w:rPr>
            </w:pPr>
            <w:r w:rsidRPr="007F35D1">
              <w:rPr>
                <w:rFonts w:cs="Arial"/>
                <w:sz w:val="20"/>
                <w:szCs w:val="20"/>
              </w:rPr>
              <w:t>- Não possui política tarifária para o serviço de esgotamento sanitário.</w:t>
            </w:r>
          </w:p>
          <w:p w:rsidR="000C0280" w:rsidRPr="007F35D1" w:rsidRDefault="000C0280" w:rsidP="000C0280">
            <w:pPr>
              <w:autoSpaceDE w:val="0"/>
              <w:autoSpaceDN w:val="0"/>
              <w:adjustRightInd w:val="0"/>
              <w:spacing w:line="240" w:lineRule="auto"/>
              <w:contextualSpacing/>
              <w:rPr>
                <w:rFonts w:cs="Arial"/>
                <w:sz w:val="20"/>
                <w:szCs w:val="20"/>
              </w:rPr>
            </w:pPr>
            <w:r w:rsidRPr="007F35D1">
              <w:rPr>
                <w:rFonts w:cs="Arial"/>
                <w:sz w:val="20"/>
                <w:szCs w:val="20"/>
              </w:rPr>
              <w:t>- Não há um programa de conscientização e de educação sanitária no município.</w:t>
            </w:r>
          </w:p>
          <w:p w:rsidR="000C0280" w:rsidRPr="007F35D1" w:rsidRDefault="000C0280" w:rsidP="000C0280">
            <w:pPr>
              <w:autoSpaceDE w:val="0"/>
              <w:autoSpaceDN w:val="0"/>
              <w:adjustRightInd w:val="0"/>
              <w:spacing w:line="240" w:lineRule="auto"/>
              <w:contextualSpacing/>
              <w:rPr>
                <w:rFonts w:cs="Arial"/>
                <w:sz w:val="20"/>
                <w:szCs w:val="20"/>
              </w:rPr>
            </w:pPr>
            <w:r w:rsidRPr="007F35D1">
              <w:rPr>
                <w:rFonts w:cs="Arial"/>
                <w:sz w:val="20"/>
                <w:szCs w:val="20"/>
              </w:rPr>
              <w:t>- O projeto da ETE e dos interceptores não foi construído.</w:t>
            </w:r>
          </w:p>
          <w:p w:rsidR="000C0280" w:rsidRPr="007F35D1" w:rsidRDefault="000C0280" w:rsidP="000C0280">
            <w:pPr>
              <w:autoSpaceDE w:val="0"/>
              <w:autoSpaceDN w:val="0"/>
              <w:adjustRightInd w:val="0"/>
              <w:spacing w:line="240" w:lineRule="auto"/>
              <w:contextualSpacing/>
              <w:rPr>
                <w:rFonts w:cs="Arial"/>
                <w:sz w:val="20"/>
                <w:szCs w:val="20"/>
              </w:rPr>
            </w:pPr>
            <w:r w:rsidRPr="007F35D1">
              <w:rPr>
                <w:rFonts w:cs="Arial"/>
                <w:sz w:val="20"/>
                <w:szCs w:val="20"/>
              </w:rPr>
              <w:t>- O município não tem cadastro da rede de coleta de esgotos.</w:t>
            </w:r>
          </w:p>
          <w:p w:rsidR="000C0280" w:rsidRDefault="000C0280" w:rsidP="000C0280">
            <w:pPr>
              <w:autoSpaceDE w:val="0"/>
              <w:autoSpaceDN w:val="0"/>
              <w:adjustRightInd w:val="0"/>
              <w:spacing w:line="240" w:lineRule="auto"/>
              <w:rPr>
                <w:rFonts w:cs="Arial"/>
                <w:b/>
                <w:sz w:val="20"/>
                <w:szCs w:val="20"/>
              </w:rPr>
            </w:pPr>
          </w:p>
          <w:p w:rsidR="000C0280" w:rsidRPr="007F35D1" w:rsidRDefault="000C0280" w:rsidP="000C0280">
            <w:pPr>
              <w:autoSpaceDE w:val="0"/>
              <w:autoSpaceDN w:val="0"/>
              <w:adjustRightInd w:val="0"/>
              <w:spacing w:line="240" w:lineRule="auto"/>
              <w:rPr>
                <w:rFonts w:cs="Arial"/>
                <w:b/>
                <w:sz w:val="20"/>
                <w:szCs w:val="20"/>
              </w:rPr>
            </w:pPr>
            <w:r w:rsidRPr="007F35D1">
              <w:rPr>
                <w:rFonts w:cs="Arial"/>
                <w:b/>
                <w:sz w:val="20"/>
                <w:szCs w:val="20"/>
              </w:rPr>
              <w:t>4. Sistema de Informações</w:t>
            </w:r>
          </w:p>
          <w:p w:rsidR="000C0280" w:rsidRPr="007F35D1" w:rsidRDefault="000C0280" w:rsidP="000C0280">
            <w:pPr>
              <w:autoSpaceDE w:val="0"/>
              <w:autoSpaceDN w:val="0"/>
              <w:adjustRightInd w:val="0"/>
              <w:spacing w:line="240" w:lineRule="auto"/>
              <w:rPr>
                <w:rFonts w:cs="Arial"/>
                <w:sz w:val="20"/>
                <w:szCs w:val="20"/>
              </w:rPr>
            </w:pPr>
            <w:r w:rsidRPr="007F35D1">
              <w:rPr>
                <w:rFonts w:cs="Arial"/>
                <w:sz w:val="20"/>
                <w:szCs w:val="20"/>
              </w:rPr>
              <w:t>- Ausência de sistematização para a coleta, armazenamento e recuperação de dados administrativos e operacionais.</w:t>
            </w:r>
          </w:p>
          <w:p w:rsidR="000C0280" w:rsidRDefault="000C0280" w:rsidP="000C0280">
            <w:pPr>
              <w:autoSpaceDE w:val="0"/>
              <w:autoSpaceDN w:val="0"/>
              <w:adjustRightInd w:val="0"/>
              <w:spacing w:line="240" w:lineRule="auto"/>
              <w:rPr>
                <w:rFonts w:cs="Arial"/>
                <w:b/>
                <w:sz w:val="20"/>
                <w:szCs w:val="20"/>
              </w:rPr>
            </w:pPr>
          </w:p>
          <w:p w:rsidR="000C0280" w:rsidRDefault="000C0280" w:rsidP="000C0280">
            <w:pPr>
              <w:autoSpaceDE w:val="0"/>
              <w:autoSpaceDN w:val="0"/>
              <w:adjustRightInd w:val="0"/>
              <w:spacing w:line="240" w:lineRule="auto"/>
              <w:rPr>
                <w:rFonts w:cs="Arial"/>
                <w:b/>
                <w:sz w:val="20"/>
                <w:szCs w:val="20"/>
              </w:rPr>
            </w:pPr>
          </w:p>
          <w:p w:rsidR="000C0280" w:rsidRDefault="000C0280" w:rsidP="000C0280">
            <w:pPr>
              <w:autoSpaceDE w:val="0"/>
              <w:autoSpaceDN w:val="0"/>
              <w:adjustRightInd w:val="0"/>
              <w:spacing w:line="240" w:lineRule="auto"/>
              <w:rPr>
                <w:rFonts w:cs="Arial"/>
                <w:b/>
                <w:sz w:val="20"/>
                <w:szCs w:val="20"/>
              </w:rPr>
            </w:pPr>
          </w:p>
          <w:p w:rsidR="000C0280" w:rsidRPr="007F35D1" w:rsidRDefault="000C0280" w:rsidP="000C0280">
            <w:pPr>
              <w:autoSpaceDE w:val="0"/>
              <w:autoSpaceDN w:val="0"/>
              <w:adjustRightInd w:val="0"/>
              <w:spacing w:line="240" w:lineRule="auto"/>
              <w:rPr>
                <w:rFonts w:cs="Arial"/>
                <w:b/>
                <w:sz w:val="20"/>
                <w:szCs w:val="20"/>
              </w:rPr>
            </w:pPr>
          </w:p>
          <w:p w:rsidR="000C0280" w:rsidRPr="007F35D1" w:rsidRDefault="000C0280" w:rsidP="000C0280">
            <w:pPr>
              <w:autoSpaceDE w:val="0"/>
              <w:autoSpaceDN w:val="0"/>
              <w:adjustRightInd w:val="0"/>
              <w:spacing w:line="240" w:lineRule="auto"/>
              <w:rPr>
                <w:rFonts w:cs="Arial"/>
                <w:b/>
                <w:sz w:val="20"/>
                <w:szCs w:val="20"/>
              </w:rPr>
            </w:pPr>
            <w:r w:rsidRPr="007F35D1">
              <w:rPr>
                <w:rFonts w:cs="Arial"/>
                <w:b/>
                <w:sz w:val="20"/>
                <w:szCs w:val="20"/>
              </w:rPr>
              <w:t>5. Legislação e normatização do setor</w:t>
            </w:r>
          </w:p>
          <w:p w:rsidR="000C0280" w:rsidRPr="007F35D1" w:rsidRDefault="000C0280" w:rsidP="000C0280">
            <w:pPr>
              <w:autoSpaceDE w:val="0"/>
              <w:autoSpaceDN w:val="0"/>
              <w:adjustRightInd w:val="0"/>
              <w:spacing w:line="240" w:lineRule="auto"/>
              <w:contextualSpacing/>
              <w:rPr>
                <w:rFonts w:cs="Arial"/>
                <w:sz w:val="20"/>
                <w:szCs w:val="20"/>
              </w:rPr>
            </w:pPr>
            <w:r w:rsidRPr="007F35D1">
              <w:rPr>
                <w:rFonts w:cs="Arial"/>
                <w:sz w:val="20"/>
                <w:szCs w:val="20"/>
              </w:rPr>
              <w:t>- O município não possui um Plano Diretor.</w:t>
            </w:r>
          </w:p>
          <w:p w:rsidR="000C0280" w:rsidRPr="007F35D1" w:rsidRDefault="000C0280" w:rsidP="000C0280">
            <w:pPr>
              <w:autoSpaceDE w:val="0"/>
              <w:autoSpaceDN w:val="0"/>
              <w:adjustRightInd w:val="0"/>
              <w:spacing w:line="240" w:lineRule="auto"/>
              <w:contextualSpacing/>
              <w:rPr>
                <w:rFonts w:cs="Arial"/>
                <w:sz w:val="20"/>
                <w:szCs w:val="20"/>
              </w:rPr>
            </w:pPr>
            <w:r w:rsidRPr="007F35D1">
              <w:rPr>
                <w:rFonts w:cs="Arial"/>
                <w:sz w:val="20"/>
                <w:szCs w:val="20"/>
              </w:rPr>
              <w:t>- O município apresenta uma potencial contaminação das águas subterrâneas.</w:t>
            </w:r>
          </w:p>
          <w:p w:rsidR="000C0280" w:rsidRPr="007F35D1" w:rsidRDefault="000C0280" w:rsidP="000C0280">
            <w:pPr>
              <w:autoSpaceDE w:val="0"/>
              <w:autoSpaceDN w:val="0"/>
              <w:adjustRightInd w:val="0"/>
              <w:spacing w:line="240" w:lineRule="auto"/>
              <w:contextualSpacing/>
              <w:rPr>
                <w:rFonts w:cs="Arial"/>
                <w:sz w:val="20"/>
                <w:szCs w:val="20"/>
              </w:rPr>
            </w:pPr>
            <w:r w:rsidRPr="007F35D1">
              <w:rPr>
                <w:rFonts w:cs="Arial"/>
                <w:sz w:val="20"/>
                <w:szCs w:val="20"/>
              </w:rPr>
              <w:t>- Risco de multas ambientais pela contaminação das águas superficiais.</w:t>
            </w:r>
          </w:p>
          <w:p w:rsidR="000C0280" w:rsidRPr="007F35D1" w:rsidRDefault="000C0280" w:rsidP="000C0280">
            <w:pPr>
              <w:autoSpaceDE w:val="0"/>
              <w:autoSpaceDN w:val="0"/>
              <w:adjustRightInd w:val="0"/>
              <w:spacing w:line="240" w:lineRule="auto"/>
              <w:contextualSpacing/>
              <w:rPr>
                <w:rFonts w:cs="Arial"/>
                <w:sz w:val="20"/>
                <w:szCs w:val="20"/>
              </w:rPr>
            </w:pPr>
            <w:r w:rsidRPr="007F35D1">
              <w:rPr>
                <w:rFonts w:cs="Arial"/>
                <w:sz w:val="20"/>
                <w:szCs w:val="20"/>
              </w:rPr>
              <w:t>- Não há monitoramento da quantidade e qualidade dos efluentes lançados nos cursos hídricos.</w:t>
            </w:r>
          </w:p>
          <w:p w:rsidR="000C0280" w:rsidRPr="007F35D1" w:rsidRDefault="000C0280" w:rsidP="000C0280">
            <w:pPr>
              <w:autoSpaceDE w:val="0"/>
              <w:autoSpaceDN w:val="0"/>
              <w:adjustRightInd w:val="0"/>
              <w:spacing w:line="240" w:lineRule="auto"/>
              <w:contextualSpacing/>
              <w:rPr>
                <w:rFonts w:cs="Arial"/>
                <w:sz w:val="20"/>
                <w:szCs w:val="20"/>
              </w:rPr>
            </w:pPr>
          </w:p>
          <w:p w:rsidR="000C0280" w:rsidRPr="007F35D1" w:rsidRDefault="000C0280" w:rsidP="000C0280">
            <w:pPr>
              <w:autoSpaceDE w:val="0"/>
              <w:autoSpaceDN w:val="0"/>
              <w:adjustRightInd w:val="0"/>
              <w:spacing w:line="240" w:lineRule="auto"/>
              <w:rPr>
                <w:rFonts w:cs="Arial"/>
                <w:b/>
                <w:sz w:val="20"/>
                <w:szCs w:val="20"/>
              </w:rPr>
            </w:pPr>
            <w:r w:rsidRPr="007F35D1">
              <w:rPr>
                <w:rFonts w:cs="Arial"/>
                <w:b/>
                <w:sz w:val="20"/>
                <w:szCs w:val="20"/>
              </w:rPr>
              <w:t>6. Sustentabilidade econômica</w:t>
            </w:r>
          </w:p>
          <w:p w:rsidR="000C0280" w:rsidRPr="007F35D1" w:rsidRDefault="000C0280" w:rsidP="000C0280">
            <w:pPr>
              <w:autoSpaceDE w:val="0"/>
              <w:autoSpaceDN w:val="0"/>
              <w:adjustRightInd w:val="0"/>
              <w:spacing w:line="240" w:lineRule="auto"/>
              <w:rPr>
                <w:rFonts w:cs="Arial"/>
                <w:sz w:val="20"/>
                <w:szCs w:val="20"/>
              </w:rPr>
            </w:pPr>
            <w:r w:rsidRPr="007F35D1">
              <w:rPr>
                <w:rFonts w:cs="Arial"/>
                <w:sz w:val="20"/>
                <w:szCs w:val="20"/>
              </w:rPr>
              <w:t xml:space="preserve">- </w:t>
            </w:r>
            <w:r>
              <w:rPr>
                <w:rFonts w:cs="Arial"/>
                <w:sz w:val="20"/>
                <w:szCs w:val="20"/>
              </w:rPr>
              <w:t>Não há tarifação dos serviços de esgotos</w:t>
            </w:r>
            <w:r w:rsidRPr="007F35D1">
              <w:rPr>
                <w:rFonts w:cs="Arial"/>
                <w:sz w:val="20"/>
                <w:szCs w:val="20"/>
              </w:rPr>
              <w:t>.</w:t>
            </w:r>
          </w:p>
          <w:p w:rsidR="000C0280" w:rsidRPr="007F35D1" w:rsidRDefault="000C0280" w:rsidP="000C0280">
            <w:pPr>
              <w:autoSpaceDE w:val="0"/>
              <w:autoSpaceDN w:val="0"/>
              <w:adjustRightInd w:val="0"/>
              <w:spacing w:line="240" w:lineRule="auto"/>
              <w:rPr>
                <w:rFonts w:cs="Arial"/>
                <w:sz w:val="20"/>
                <w:szCs w:val="20"/>
              </w:rPr>
            </w:pPr>
            <w:r w:rsidRPr="007F35D1">
              <w:rPr>
                <w:rFonts w:cs="Arial"/>
                <w:sz w:val="20"/>
                <w:szCs w:val="20"/>
              </w:rPr>
              <w:t>- Elevado investimento para instalação da nova ETE.</w:t>
            </w:r>
          </w:p>
          <w:p w:rsidR="000C0280" w:rsidRPr="007F35D1" w:rsidRDefault="000C0280" w:rsidP="000C0280">
            <w:pPr>
              <w:autoSpaceDE w:val="0"/>
              <w:autoSpaceDN w:val="0"/>
              <w:adjustRightInd w:val="0"/>
              <w:spacing w:line="240" w:lineRule="auto"/>
              <w:contextualSpacing/>
              <w:rPr>
                <w:rFonts w:cs="Arial"/>
                <w:sz w:val="20"/>
                <w:szCs w:val="20"/>
              </w:rPr>
            </w:pPr>
          </w:p>
        </w:tc>
      </w:tr>
      <w:tr w:rsidR="000C0280" w:rsidRPr="007F35D1" w:rsidTr="000C0280">
        <w:trPr>
          <w:trHeight w:val="3012"/>
          <w:jc w:val="center"/>
        </w:trPr>
        <w:tc>
          <w:tcPr>
            <w:tcW w:w="389" w:type="pct"/>
            <w:tcBorders>
              <w:top w:val="single" w:sz="4" w:space="0" w:color="auto"/>
              <w:left w:val="single" w:sz="4" w:space="0" w:color="auto"/>
              <w:bottom w:val="single" w:sz="4" w:space="0" w:color="auto"/>
              <w:right w:val="single" w:sz="4" w:space="0" w:color="auto"/>
            </w:tcBorders>
            <w:shd w:val="clear" w:color="auto" w:fill="365F91"/>
            <w:vAlign w:val="center"/>
            <w:hideMark/>
          </w:tcPr>
          <w:p w:rsidR="000C0280" w:rsidRPr="007F35D1" w:rsidRDefault="000C0280" w:rsidP="000C0280">
            <w:pPr>
              <w:autoSpaceDE w:val="0"/>
              <w:autoSpaceDN w:val="0"/>
              <w:adjustRightInd w:val="0"/>
              <w:spacing w:line="240" w:lineRule="auto"/>
              <w:contextualSpacing/>
              <w:jc w:val="center"/>
              <w:rPr>
                <w:rFonts w:cs="Arial"/>
                <w:b/>
                <w:color w:val="FFFFFF" w:themeColor="background1"/>
                <w:sz w:val="20"/>
                <w:szCs w:val="20"/>
              </w:rPr>
            </w:pPr>
            <w:r w:rsidRPr="007F35D1">
              <w:rPr>
                <w:rFonts w:cs="Arial"/>
                <w:b/>
                <w:color w:val="FFFFFF" w:themeColor="background1"/>
                <w:sz w:val="20"/>
                <w:szCs w:val="20"/>
              </w:rPr>
              <w:lastRenderedPageBreak/>
              <w:t>Ambiente Externo</w:t>
            </w:r>
          </w:p>
        </w:tc>
        <w:tc>
          <w:tcPr>
            <w:tcW w:w="1701" w:type="pct"/>
            <w:tcBorders>
              <w:top w:val="single" w:sz="4" w:space="0" w:color="auto"/>
              <w:left w:val="single" w:sz="4" w:space="0" w:color="auto"/>
              <w:bottom w:val="single" w:sz="4" w:space="0" w:color="auto"/>
              <w:right w:val="single" w:sz="4" w:space="0" w:color="auto"/>
            </w:tcBorders>
            <w:shd w:val="clear" w:color="auto" w:fill="B8CCE4" w:themeFill="accent1" w:themeFillTint="66"/>
          </w:tcPr>
          <w:p w:rsidR="000C0280" w:rsidRPr="007F35D1" w:rsidRDefault="000C0280" w:rsidP="000C0280">
            <w:pPr>
              <w:autoSpaceDE w:val="0"/>
              <w:autoSpaceDN w:val="0"/>
              <w:adjustRightInd w:val="0"/>
              <w:spacing w:line="240" w:lineRule="auto"/>
              <w:rPr>
                <w:rFonts w:cs="Arial"/>
                <w:b/>
                <w:sz w:val="20"/>
                <w:szCs w:val="20"/>
                <w:u w:val="single"/>
              </w:rPr>
            </w:pPr>
          </w:p>
          <w:p w:rsidR="000C0280" w:rsidRDefault="000C0280" w:rsidP="000C0280">
            <w:pPr>
              <w:autoSpaceDE w:val="0"/>
              <w:autoSpaceDN w:val="0"/>
              <w:adjustRightInd w:val="0"/>
              <w:spacing w:line="240" w:lineRule="auto"/>
              <w:jc w:val="center"/>
              <w:rPr>
                <w:rFonts w:cs="Arial"/>
                <w:b/>
                <w:sz w:val="20"/>
                <w:szCs w:val="20"/>
              </w:rPr>
            </w:pPr>
            <w:r w:rsidRPr="007F35D1">
              <w:rPr>
                <w:rFonts w:cs="Arial"/>
                <w:b/>
                <w:sz w:val="20"/>
                <w:szCs w:val="20"/>
              </w:rPr>
              <w:t>OPORTUNIDADES</w:t>
            </w:r>
          </w:p>
          <w:p w:rsidR="000C0280" w:rsidRPr="007F35D1" w:rsidRDefault="000C0280" w:rsidP="000C0280">
            <w:pPr>
              <w:autoSpaceDE w:val="0"/>
              <w:autoSpaceDN w:val="0"/>
              <w:adjustRightInd w:val="0"/>
              <w:spacing w:line="240" w:lineRule="auto"/>
              <w:jc w:val="center"/>
              <w:rPr>
                <w:rFonts w:cs="Arial"/>
                <w:b/>
                <w:sz w:val="20"/>
                <w:szCs w:val="20"/>
              </w:rPr>
            </w:pPr>
          </w:p>
          <w:p w:rsidR="000C0280" w:rsidRPr="007F35D1" w:rsidRDefault="000C0280" w:rsidP="000C0280">
            <w:pPr>
              <w:autoSpaceDE w:val="0"/>
              <w:autoSpaceDN w:val="0"/>
              <w:adjustRightInd w:val="0"/>
              <w:spacing w:line="240" w:lineRule="auto"/>
              <w:contextualSpacing/>
              <w:rPr>
                <w:rFonts w:cs="Arial"/>
                <w:b/>
                <w:sz w:val="20"/>
                <w:szCs w:val="20"/>
              </w:rPr>
            </w:pPr>
            <w:r w:rsidRPr="007F35D1">
              <w:rPr>
                <w:rFonts w:cs="Arial"/>
                <w:b/>
                <w:sz w:val="20"/>
                <w:szCs w:val="20"/>
              </w:rPr>
              <w:t>5. Legislação e normatização do setor</w:t>
            </w:r>
          </w:p>
          <w:p w:rsidR="000C0280" w:rsidRPr="007F35D1" w:rsidRDefault="000C0280" w:rsidP="000C0280">
            <w:pPr>
              <w:autoSpaceDE w:val="0"/>
              <w:autoSpaceDN w:val="0"/>
              <w:adjustRightInd w:val="0"/>
              <w:spacing w:line="240" w:lineRule="auto"/>
              <w:contextualSpacing/>
              <w:rPr>
                <w:rFonts w:cs="Arial"/>
                <w:sz w:val="20"/>
                <w:szCs w:val="20"/>
              </w:rPr>
            </w:pPr>
            <w:r w:rsidRPr="007F35D1">
              <w:rPr>
                <w:rFonts w:cs="Arial"/>
                <w:sz w:val="20"/>
                <w:szCs w:val="20"/>
              </w:rPr>
              <w:t>- Existência do Plano para Incremento do Percentual de Tratamento de Esgotos Sanitários na Bacia do rio Piranga (PITE Piranga).</w:t>
            </w:r>
          </w:p>
          <w:p w:rsidR="000C0280" w:rsidRPr="007F35D1" w:rsidRDefault="000C0280" w:rsidP="000C0280">
            <w:pPr>
              <w:autoSpaceDE w:val="0"/>
              <w:autoSpaceDN w:val="0"/>
              <w:adjustRightInd w:val="0"/>
              <w:spacing w:line="240" w:lineRule="auto"/>
              <w:contextualSpacing/>
              <w:rPr>
                <w:rFonts w:cs="Arial"/>
                <w:b/>
                <w:sz w:val="20"/>
                <w:szCs w:val="20"/>
              </w:rPr>
            </w:pPr>
          </w:p>
          <w:p w:rsidR="000C0280" w:rsidRPr="007F35D1" w:rsidRDefault="000C0280" w:rsidP="000C0280">
            <w:pPr>
              <w:autoSpaceDE w:val="0"/>
              <w:autoSpaceDN w:val="0"/>
              <w:adjustRightInd w:val="0"/>
              <w:spacing w:line="240" w:lineRule="auto"/>
              <w:contextualSpacing/>
              <w:rPr>
                <w:rFonts w:cs="Arial"/>
                <w:sz w:val="20"/>
                <w:szCs w:val="20"/>
              </w:rPr>
            </w:pPr>
          </w:p>
        </w:tc>
        <w:tc>
          <w:tcPr>
            <w:tcW w:w="1075" w:type="pct"/>
            <w:vMerge/>
            <w:tcBorders>
              <w:left w:val="single" w:sz="4" w:space="0" w:color="auto"/>
              <w:bottom w:val="single" w:sz="4" w:space="0" w:color="auto"/>
              <w:right w:val="single" w:sz="4" w:space="0" w:color="auto"/>
            </w:tcBorders>
            <w:shd w:val="clear" w:color="auto" w:fill="B8CCE4" w:themeFill="accent1" w:themeFillTint="66"/>
            <w:vAlign w:val="center"/>
          </w:tcPr>
          <w:p w:rsidR="000C0280" w:rsidRPr="007F35D1" w:rsidRDefault="000C0280" w:rsidP="000C0280">
            <w:pPr>
              <w:autoSpaceDE w:val="0"/>
              <w:autoSpaceDN w:val="0"/>
              <w:adjustRightInd w:val="0"/>
              <w:spacing w:line="240" w:lineRule="auto"/>
              <w:ind w:left="66"/>
              <w:contextualSpacing/>
              <w:jc w:val="center"/>
              <w:rPr>
                <w:rFonts w:cs="Arial"/>
                <w:b/>
                <w:sz w:val="20"/>
                <w:szCs w:val="20"/>
              </w:rPr>
            </w:pPr>
          </w:p>
        </w:tc>
        <w:tc>
          <w:tcPr>
            <w:tcW w:w="1835" w:type="pct"/>
            <w:tcBorders>
              <w:top w:val="single" w:sz="4" w:space="0" w:color="auto"/>
              <w:left w:val="single" w:sz="4" w:space="0" w:color="auto"/>
              <w:bottom w:val="single" w:sz="4" w:space="0" w:color="auto"/>
              <w:right w:val="single" w:sz="4" w:space="0" w:color="auto"/>
            </w:tcBorders>
            <w:shd w:val="clear" w:color="auto" w:fill="B8CCE4" w:themeFill="accent1" w:themeFillTint="66"/>
          </w:tcPr>
          <w:p w:rsidR="000C0280" w:rsidRPr="007F35D1" w:rsidRDefault="000C0280" w:rsidP="000C0280">
            <w:pPr>
              <w:autoSpaceDE w:val="0"/>
              <w:autoSpaceDN w:val="0"/>
              <w:adjustRightInd w:val="0"/>
              <w:spacing w:line="240" w:lineRule="auto"/>
              <w:contextualSpacing/>
              <w:rPr>
                <w:rFonts w:cs="Arial"/>
                <w:b/>
                <w:sz w:val="20"/>
                <w:szCs w:val="20"/>
                <w:u w:val="single"/>
              </w:rPr>
            </w:pPr>
          </w:p>
          <w:p w:rsidR="000C0280" w:rsidRPr="007F35D1" w:rsidRDefault="000C0280" w:rsidP="000C0280">
            <w:pPr>
              <w:autoSpaceDE w:val="0"/>
              <w:autoSpaceDN w:val="0"/>
              <w:adjustRightInd w:val="0"/>
              <w:spacing w:line="240" w:lineRule="auto"/>
              <w:contextualSpacing/>
              <w:jc w:val="center"/>
              <w:rPr>
                <w:rFonts w:cs="Arial"/>
                <w:b/>
                <w:sz w:val="20"/>
                <w:szCs w:val="20"/>
              </w:rPr>
            </w:pPr>
            <w:r w:rsidRPr="007F35D1">
              <w:rPr>
                <w:rFonts w:cs="Arial"/>
                <w:b/>
                <w:sz w:val="20"/>
                <w:szCs w:val="20"/>
              </w:rPr>
              <w:t>AMEAÇAS</w:t>
            </w:r>
          </w:p>
          <w:p w:rsidR="000C0280" w:rsidRPr="007F35D1" w:rsidRDefault="000C0280" w:rsidP="000C0280">
            <w:pPr>
              <w:autoSpaceDE w:val="0"/>
              <w:autoSpaceDN w:val="0"/>
              <w:adjustRightInd w:val="0"/>
              <w:spacing w:line="240" w:lineRule="auto"/>
              <w:contextualSpacing/>
              <w:rPr>
                <w:rFonts w:cs="Arial"/>
                <w:b/>
                <w:sz w:val="20"/>
                <w:szCs w:val="20"/>
                <w:u w:val="single"/>
              </w:rPr>
            </w:pPr>
          </w:p>
          <w:p w:rsidR="000C0280" w:rsidRPr="007F35D1" w:rsidRDefault="000C0280" w:rsidP="000C0280">
            <w:pPr>
              <w:autoSpaceDE w:val="0"/>
              <w:autoSpaceDN w:val="0"/>
              <w:adjustRightInd w:val="0"/>
              <w:spacing w:line="240" w:lineRule="auto"/>
              <w:contextualSpacing/>
              <w:rPr>
                <w:rFonts w:cs="Arial"/>
                <w:b/>
                <w:sz w:val="20"/>
                <w:szCs w:val="20"/>
              </w:rPr>
            </w:pPr>
            <w:r w:rsidRPr="007F35D1">
              <w:rPr>
                <w:rFonts w:cs="Arial"/>
                <w:b/>
                <w:sz w:val="20"/>
                <w:szCs w:val="20"/>
              </w:rPr>
              <w:t>6. Sustentabilidade econômica</w:t>
            </w:r>
          </w:p>
          <w:p w:rsidR="000C0280" w:rsidRPr="007F35D1" w:rsidRDefault="000C0280" w:rsidP="000C0280">
            <w:pPr>
              <w:autoSpaceDE w:val="0"/>
              <w:autoSpaceDN w:val="0"/>
              <w:adjustRightInd w:val="0"/>
              <w:spacing w:line="240" w:lineRule="auto"/>
              <w:rPr>
                <w:rFonts w:cs="Arial"/>
                <w:sz w:val="20"/>
                <w:szCs w:val="20"/>
              </w:rPr>
            </w:pPr>
            <w:r w:rsidRPr="007F35D1">
              <w:rPr>
                <w:rFonts w:cs="Arial"/>
                <w:sz w:val="20"/>
                <w:szCs w:val="20"/>
              </w:rPr>
              <w:t>- Dificuldade na captação de recursos financeiros devido à inexistência de colaboradores especializados.</w:t>
            </w:r>
          </w:p>
        </w:tc>
      </w:tr>
    </w:tbl>
    <w:p w:rsidR="000C0280" w:rsidRDefault="000C0280" w:rsidP="000C0280">
      <w:pPr>
        <w:pStyle w:val="Fonte"/>
        <w:rPr>
          <w:rFonts w:cs="Arial"/>
          <w:szCs w:val="24"/>
        </w:rPr>
      </w:pPr>
      <w:r w:rsidRPr="00F23897">
        <w:t>Fonte: adaptado por SHS, 2017.</w:t>
      </w:r>
    </w:p>
    <w:p w:rsidR="000C0280" w:rsidRPr="005D3214" w:rsidRDefault="000C0280" w:rsidP="000C0280">
      <w:pPr>
        <w:spacing w:before="120" w:after="120" w:line="346" w:lineRule="auto"/>
        <w:contextualSpacing/>
        <w:rPr>
          <w:rFonts w:cs="Arial"/>
          <w:szCs w:val="24"/>
          <w:lang w:eastAsia="pt-BR"/>
        </w:rPr>
        <w:sectPr w:rsidR="000C0280" w:rsidRPr="005D3214" w:rsidSect="000C0280">
          <w:footerReference w:type="default" r:id="rId53"/>
          <w:pgSz w:w="16838" w:h="11906" w:orient="landscape"/>
          <w:pgMar w:top="1418" w:right="1134" w:bottom="1134" w:left="1134" w:header="709" w:footer="709" w:gutter="0"/>
          <w:cols w:space="708"/>
          <w:docGrid w:linePitch="360"/>
        </w:sectPr>
      </w:pPr>
    </w:p>
    <w:p w:rsidR="000C0280" w:rsidRPr="009B6ECA" w:rsidRDefault="000C0280" w:rsidP="000C0280">
      <w:pPr>
        <w:spacing w:before="120" w:after="120" w:line="346" w:lineRule="auto"/>
        <w:ind w:firstLine="708"/>
        <w:contextualSpacing/>
        <w:rPr>
          <w:rFonts w:cs="Arial"/>
          <w:szCs w:val="24"/>
          <w:lang w:eastAsia="pt-BR"/>
        </w:rPr>
      </w:pPr>
      <w:r w:rsidRPr="005D3214">
        <w:rPr>
          <w:rFonts w:cs="Arial"/>
          <w:szCs w:val="24"/>
          <w:lang w:eastAsia="pt-BR"/>
        </w:rPr>
        <w:lastRenderedPageBreak/>
        <w:t>Considerando</w:t>
      </w:r>
      <w:r>
        <w:rPr>
          <w:rFonts w:cs="Arial"/>
          <w:szCs w:val="24"/>
          <w:lang w:eastAsia="pt-BR"/>
        </w:rPr>
        <w:t xml:space="preserve"> </w:t>
      </w:r>
      <w:r w:rsidRPr="009B6ECA">
        <w:rPr>
          <w:rFonts w:cs="Arial"/>
          <w:szCs w:val="24"/>
          <w:lang w:eastAsia="pt-BR"/>
        </w:rPr>
        <w:t xml:space="preserve">todas essas questões, partiu-se para a construção dos cenários previsível e normativo para o setor de esgotos de Córrego Novo. O resultado está apresentado no </w:t>
      </w:r>
      <w:r>
        <w:rPr>
          <w:rFonts w:cs="Arial"/>
          <w:szCs w:val="24"/>
          <w:lang w:eastAsia="pt-BR"/>
        </w:rPr>
        <w:fldChar w:fldCharType="begin"/>
      </w:r>
      <w:r>
        <w:rPr>
          <w:rFonts w:cs="Arial"/>
          <w:szCs w:val="24"/>
          <w:lang w:eastAsia="pt-BR"/>
        </w:rPr>
        <w:instrText xml:space="preserve"> REF _Ref484156491 \h </w:instrText>
      </w:r>
      <w:r>
        <w:rPr>
          <w:rFonts w:cs="Arial"/>
          <w:szCs w:val="24"/>
          <w:lang w:eastAsia="pt-BR"/>
        </w:rPr>
      </w:r>
      <w:r>
        <w:rPr>
          <w:rFonts w:cs="Arial"/>
          <w:szCs w:val="24"/>
          <w:lang w:eastAsia="pt-BR"/>
        </w:rPr>
        <w:fldChar w:fldCharType="separate"/>
      </w:r>
      <w:r w:rsidR="001B481B" w:rsidRPr="009B6ECA">
        <w:t xml:space="preserve">Quadro </w:t>
      </w:r>
      <w:r w:rsidR="001B481B">
        <w:rPr>
          <w:noProof/>
        </w:rPr>
        <w:t>64</w:t>
      </w:r>
      <w:r>
        <w:rPr>
          <w:rFonts w:cs="Arial"/>
          <w:szCs w:val="24"/>
          <w:lang w:eastAsia="pt-BR"/>
        </w:rPr>
        <w:fldChar w:fldCharType="end"/>
      </w:r>
      <w:r w:rsidRPr="009B6ECA">
        <w:rPr>
          <w:rFonts w:cs="Arial"/>
          <w:szCs w:val="24"/>
          <w:lang w:eastAsia="pt-BR"/>
        </w:rPr>
        <w:t>.</w:t>
      </w:r>
    </w:p>
    <w:p w:rsidR="000C0280" w:rsidRPr="009B6ECA" w:rsidRDefault="000C0280" w:rsidP="000C0280">
      <w:pPr>
        <w:pStyle w:val="Legenda"/>
        <w:rPr>
          <w:lang w:val="pt-BR"/>
        </w:rPr>
      </w:pPr>
      <w:bookmarkStart w:id="773" w:name="_Ref484156491"/>
      <w:bookmarkStart w:id="774" w:name="_Toc484423918"/>
      <w:bookmarkStart w:id="775" w:name="_Toc484532480"/>
      <w:bookmarkStart w:id="776" w:name="_Toc498099254"/>
      <w:bookmarkStart w:id="777" w:name="_Toc509935841"/>
      <w:r w:rsidRPr="009B6ECA">
        <w:t xml:space="preserve">Quadro </w:t>
      </w:r>
      <w:r w:rsidR="000A1C78">
        <w:fldChar w:fldCharType="begin"/>
      </w:r>
      <w:r w:rsidR="000A1C78">
        <w:instrText xml:space="preserve"> SEQ Quadro \* ARABIC </w:instrText>
      </w:r>
      <w:r w:rsidR="000A1C78">
        <w:fldChar w:fldCharType="separate"/>
      </w:r>
      <w:r w:rsidR="001B481B">
        <w:rPr>
          <w:noProof/>
        </w:rPr>
        <w:t>64</w:t>
      </w:r>
      <w:r w:rsidR="000A1C78">
        <w:rPr>
          <w:noProof/>
        </w:rPr>
        <w:fldChar w:fldCharType="end"/>
      </w:r>
      <w:bookmarkEnd w:id="773"/>
      <w:r w:rsidRPr="009B6ECA">
        <w:t xml:space="preserve"> - Descrição dos cenários previsível e normativo para o </w:t>
      </w:r>
      <w:r w:rsidRPr="009B6ECA">
        <w:rPr>
          <w:lang w:val="pt-BR"/>
        </w:rPr>
        <w:t>Sistema de Esgotamento Sanitário</w:t>
      </w:r>
      <w:r w:rsidRPr="009B6ECA">
        <w:t xml:space="preserve"> </w:t>
      </w:r>
      <w:r w:rsidRPr="009B6ECA">
        <w:rPr>
          <w:lang w:val="pt-BR"/>
        </w:rPr>
        <w:t>(SES)</w:t>
      </w:r>
      <w:bookmarkEnd w:id="774"/>
      <w:bookmarkEnd w:id="775"/>
      <w:bookmarkEnd w:id="776"/>
      <w:bookmarkEnd w:id="777"/>
    </w:p>
    <w:tbl>
      <w:tblPr>
        <w:tblStyle w:val="TabeladeGrade4-nfase11"/>
        <w:tblW w:w="8200" w:type="dxa"/>
        <w:jc w:val="center"/>
        <w:tblLook w:val="04A0" w:firstRow="1" w:lastRow="0" w:firstColumn="1" w:lastColumn="0" w:noHBand="0" w:noVBand="1"/>
      </w:tblPr>
      <w:tblGrid>
        <w:gridCol w:w="4100"/>
        <w:gridCol w:w="4100"/>
      </w:tblGrid>
      <w:tr w:rsidR="000C0280" w:rsidRPr="009B6ECA" w:rsidTr="000C0280">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4100" w:type="dxa"/>
            <w:vAlign w:val="center"/>
            <w:hideMark/>
          </w:tcPr>
          <w:p w:rsidR="000C0280" w:rsidRPr="009B6ECA" w:rsidRDefault="000C0280" w:rsidP="000C0280">
            <w:pPr>
              <w:spacing w:line="240" w:lineRule="auto"/>
              <w:jc w:val="center"/>
              <w:rPr>
                <w:color w:val="auto"/>
                <w:sz w:val="20"/>
                <w:szCs w:val="20"/>
                <w:lang w:eastAsia="pt-BR"/>
              </w:rPr>
            </w:pPr>
            <w:r w:rsidRPr="009B6ECA">
              <w:rPr>
                <w:color w:val="auto"/>
                <w:sz w:val="20"/>
                <w:szCs w:val="20"/>
                <w:lang w:eastAsia="pt-BR"/>
              </w:rPr>
              <w:t>Cenário Previsível</w:t>
            </w:r>
          </w:p>
        </w:tc>
        <w:tc>
          <w:tcPr>
            <w:tcW w:w="4100" w:type="dxa"/>
            <w:vAlign w:val="center"/>
            <w:hideMark/>
          </w:tcPr>
          <w:p w:rsidR="000C0280" w:rsidRPr="009B6ECA" w:rsidRDefault="000C0280" w:rsidP="000C0280">
            <w:pPr>
              <w:spacing w:line="240" w:lineRule="auto"/>
              <w:jc w:val="center"/>
              <w:cnfStyle w:val="100000000000" w:firstRow="1" w:lastRow="0" w:firstColumn="0" w:lastColumn="0" w:oddVBand="0" w:evenVBand="0" w:oddHBand="0" w:evenHBand="0" w:firstRowFirstColumn="0" w:firstRowLastColumn="0" w:lastRowFirstColumn="0" w:lastRowLastColumn="0"/>
              <w:rPr>
                <w:color w:val="auto"/>
                <w:sz w:val="20"/>
                <w:szCs w:val="20"/>
                <w:lang w:eastAsia="pt-BR"/>
              </w:rPr>
            </w:pPr>
            <w:r w:rsidRPr="009B6ECA">
              <w:rPr>
                <w:color w:val="auto"/>
                <w:sz w:val="20"/>
                <w:szCs w:val="20"/>
                <w:lang w:eastAsia="pt-BR"/>
              </w:rPr>
              <w:t>Cenário Normativo</w:t>
            </w:r>
          </w:p>
        </w:tc>
      </w:tr>
      <w:tr w:rsidR="000C0280" w:rsidRPr="009B6ECA" w:rsidTr="000C0280">
        <w:trPr>
          <w:cnfStyle w:val="000000100000" w:firstRow="0" w:lastRow="0" w:firstColumn="0" w:lastColumn="0" w:oddVBand="0" w:evenVBand="0" w:oddHBand="1" w:evenHBand="0" w:firstRowFirstColumn="0" w:firstRowLastColumn="0" w:lastRowFirstColumn="0" w:lastRowLastColumn="0"/>
          <w:trHeight w:val="920"/>
          <w:jc w:val="center"/>
        </w:trPr>
        <w:tc>
          <w:tcPr>
            <w:cnfStyle w:val="001000000000" w:firstRow="0" w:lastRow="0" w:firstColumn="1" w:lastColumn="0" w:oddVBand="0" w:evenVBand="0" w:oddHBand="0" w:evenHBand="0" w:firstRowFirstColumn="0" w:firstRowLastColumn="0" w:lastRowFirstColumn="0" w:lastRowLastColumn="0"/>
            <w:tcW w:w="4100" w:type="dxa"/>
            <w:shd w:val="clear" w:color="auto" w:fill="auto"/>
            <w:vAlign w:val="center"/>
          </w:tcPr>
          <w:p w:rsidR="000C0280" w:rsidRPr="009B6ECA" w:rsidRDefault="000C0280" w:rsidP="000C0280">
            <w:pPr>
              <w:spacing w:line="240" w:lineRule="auto"/>
              <w:rPr>
                <w:b w:val="0"/>
                <w:color w:val="auto"/>
                <w:sz w:val="20"/>
                <w:szCs w:val="20"/>
                <w:lang w:eastAsia="pt-BR"/>
              </w:rPr>
            </w:pPr>
            <w:r w:rsidRPr="009B6ECA">
              <w:rPr>
                <w:b w:val="0"/>
                <w:color w:val="auto"/>
                <w:sz w:val="20"/>
                <w:szCs w:val="20"/>
                <w:lang w:eastAsia="pt-BR"/>
              </w:rPr>
              <w:t xml:space="preserve">Apenas </w:t>
            </w:r>
            <w:r>
              <w:rPr>
                <w:b w:val="0"/>
                <w:color w:val="auto"/>
                <w:sz w:val="20"/>
                <w:szCs w:val="20"/>
                <w:lang w:eastAsia="pt-BR"/>
              </w:rPr>
              <w:t>75</w:t>
            </w:r>
            <w:r w:rsidRPr="009B6ECA">
              <w:rPr>
                <w:b w:val="0"/>
                <w:color w:val="auto"/>
                <w:sz w:val="20"/>
                <w:szCs w:val="20"/>
                <w:lang w:eastAsia="pt-BR"/>
              </w:rPr>
              <w:t> % da população urbana é atendida com o sistema de esgotamento sanitário adequado (apenas coleta, sem tratamento de esgotos).</w:t>
            </w:r>
          </w:p>
        </w:tc>
        <w:tc>
          <w:tcPr>
            <w:tcW w:w="4100" w:type="dxa"/>
            <w:shd w:val="clear" w:color="auto" w:fill="auto"/>
            <w:vAlign w:val="center"/>
          </w:tcPr>
          <w:p w:rsidR="000C0280" w:rsidRPr="009B6ECA" w:rsidRDefault="000C0280" w:rsidP="000C0280">
            <w:pPr>
              <w:spacing w:line="240" w:lineRule="auto"/>
              <w:cnfStyle w:val="000000100000" w:firstRow="0" w:lastRow="0" w:firstColumn="0" w:lastColumn="0" w:oddVBand="0" w:evenVBand="0" w:oddHBand="1" w:evenHBand="0" w:firstRowFirstColumn="0" w:firstRowLastColumn="0" w:lastRowFirstColumn="0" w:lastRowLastColumn="0"/>
              <w:rPr>
                <w:color w:val="auto"/>
                <w:sz w:val="20"/>
                <w:szCs w:val="20"/>
                <w:lang w:eastAsia="pt-BR"/>
              </w:rPr>
            </w:pPr>
            <w:r w:rsidRPr="009B6ECA">
              <w:rPr>
                <w:color w:val="auto"/>
                <w:sz w:val="20"/>
                <w:szCs w:val="20"/>
                <w:lang w:eastAsia="pt-BR"/>
              </w:rPr>
              <w:t>100 % de cobertura do serviço no município, e 100 % de tratamento dos esgotos sanitários gerados.</w:t>
            </w:r>
          </w:p>
        </w:tc>
      </w:tr>
      <w:tr w:rsidR="000C0280" w:rsidRPr="009B6ECA" w:rsidTr="000C0280">
        <w:trPr>
          <w:trHeight w:val="920"/>
          <w:jc w:val="center"/>
        </w:trPr>
        <w:tc>
          <w:tcPr>
            <w:cnfStyle w:val="001000000000" w:firstRow="0" w:lastRow="0" w:firstColumn="1" w:lastColumn="0" w:oddVBand="0" w:evenVBand="0" w:oddHBand="0" w:evenHBand="0" w:firstRowFirstColumn="0" w:firstRowLastColumn="0" w:lastRowFirstColumn="0" w:lastRowLastColumn="0"/>
            <w:tcW w:w="4100" w:type="dxa"/>
            <w:shd w:val="clear" w:color="auto" w:fill="auto"/>
            <w:vAlign w:val="center"/>
            <w:hideMark/>
          </w:tcPr>
          <w:p w:rsidR="000C0280" w:rsidRPr="009B6ECA" w:rsidRDefault="000C0280" w:rsidP="000C0280">
            <w:pPr>
              <w:spacing w:line="240" w:lineRule="auto"/>
              <w:rPr>
                <w:b w:val="0"/>
                <w:color w:val="auto"/>
                <w:sz w:val="20"/>
                <w:szCs w:val="20"/>
                <w:lang w:eastAsia="pt-BR"/>
              </w:rPr>
            </w:pPr>
            <w:r w:rsidRPr="009B6ECA">
              <w:rPr>
                <w:b w:val="0"/>
                <w:color w:val="auto"/>
                <w:sz w:val="20"/>
                <w:szCs w:val="20"/>
                <w:lang w:eastAsia="pt-BR"/>
              </w:rPr>
              <w:t>O município não possui tratamento dos esgotos gerados.</w:t>
            </w:r>
          </w:p>
        </w:tc>
        <w:tc>
          <w:tcPr>
            <w:tcW w:w="4100" w:type="dxa"/>
            <w:shd w:val="clear" w:color="auto" w:fill="auto"/>
            <w:vAlign w:val="center"/>
            <w:hideMark/>
          </w:tcPr>
          <w:p w:rsidR="000C0280" w:rsidRPr="009B6ECA" w:rsidRDefault="000C0280" w:rsidP="000C0280">
            <w:pPr>
              <w:spacing w:line="240" w:lineRule="auto"/>
              <w:cnfStyle w:val="000000000000" w:firstRow="0" w:lastRow="0" w:firstColumn="0" w:lastColumn="0" w:oddVBand="0" w:evenVBand="0" w:oddHBand="0" w:evenHBand="0" w:firstRowFirstColumn="0" w:firstRowLastColumn="0" w:lastRowFirstColumn="0" w:lastRowLastColumn="0"/>
              <w:rPr>
                <w:color w:val="auto"/>
                <w:sz w:val="20"/>
                <w:szCs w:val="20"/>
                <w:lang w:eastAsia="pt-BR"/>
              </w:rPr>
            </w:pPr>
            <w:r w:rsidRPr="009B6ECA">
              <w:rPr>
                <w:color w:val="auto"/>
                <w:sz w:val="20"/>
                <w:szCs w:val="20"/>
                <w:lang w:eastAsia="pt-BR"/>
              </w:rPr>
              <w:t>Implantação e operação adequadas de um sistema de tratamento de esgotos adaptado a cada localidade.</w:t>
            </w:r>
          </w:p>
        </w:tc>
      </w:tr>
      <w:tr w:rsidR="000C0280" w:rsidRPr="009B6ECA" w:rsidTr="000C0280">
        <w:trPr>
          <w:cnfStyle w:val="000000100000" w:firstRow="0" w:lastRow="0" w:firstColumn="0" w:lastColumn="0" w:oddVBand="0" w:evenVBand="0" w:oddHBand="1" w:evenHBand="0" w:firstRowFirstColumn="0" w:firstRowLastColumn="0" w:lastRowFirstColumn="0" w:lastRowLastColumn="0"/>
          <w:trHeight w:val="920"/>
          <w:jc w:val="center"/>
        </w:trPr>
        <w:tc>
          <w:tcPr>
            <w:cnfStyle w:val="001000000000" w:firstRow="0" w:lastRow="0" w:firstColumn="1" w:lastColumn="0" w:oddVBand="0" w:evenVBand="0" w:oddHBand="0" w:evenHBand="0" w:firstRowFirstColumn="0" w:firstRowLastColumn="0" w:lastRowFirstColumn="0" w:lastRowLastColumn="0"/>
            <w:tcW w:w="4100" w:type="dxa"/>
            <w:shd w:val="clear" w:color="auto" w:fill="auto"/>
            <w:vAlign w:val="center"/>
            <w:hideMark/>
          </w:tcPr>
          <w:p w:rsidR="000C0280" w:rsidRPr="009B6ECA" w:rsidRDefault="000C0280" w:rsidP="000C0280">
            <w:pPr>
              <w:spacing w:line="240" w:lineRule="auto"/>
              <w:rPr>
                <w:b w:val="0"/>
                <w:color w:val="auto"/>
                <w:sz w:val="20"/>
                <w:szCs w:val="20"/>
                <w:lang w:eastAsia="pt-BR"/>
              </w:rPr>
            </w:pPr>
            <w:r w:rsidRPr="009B6ECA">
              <w:rPr>
                <w:b w:val="0"/>
                <w:color w:val="auto"/>
                <w:sz w:val="20"/>
                <w:szCs w:val="20"/>
                <w:lang w:eastAsia="pt-BR"/>
              </w:rPr>
              <w:t>Controle operacional ineficiente, principalmente no que diz respeito à manutenção dos equipamentos disponíveis ao setor, como a rede coletora de esgotos, entre outros.</w:t>
            </w:r>
          </w:p>
        </w:tc>
        <w:tc>
          <w:tcPr>
            <w:tcW w:w="4100" w:type="dxa"/>
            <w:shd w:val="clear" w:color="auto" w:fill="auto"/>
            <w:vAlign w:val="center"/>
            <w:hideMark/>
          </w:tcPr>
          <w:p w:rsidR="000C0280" w:rsidRPr="009B6ECA" w:rsidRDefault="000C0280" w:rsidP="000C0280">
            <w:pPr>
              <w:spacing w:line="240" w:lineRule="auto"/>
              <w:cnfStyle w:val="000000100000" w:firstRow="0" w:lastRow="0" w:firstColumn="0" w:lastColumn="0" w:oddVBand="0" w:evenVBand="0" w:oddHBand="1" w:evenHBand="0" w:firstRowFirstColumn="0" w:firstRowLastColumn="0" w:lastRowFirstColumn="0" w:lastRowLastColumn="0"/>
              <w:rPr>
                <w:color w:val="auto"/>
                <w:sz w:val="20"/>
                <w:szCs w:val="20"/>
                <w:lang w:eastAsia="pt-BR"/>
              </w:rPr>
            </w:pPr>
            <w:r w:rsidRPr="009B6ECA">
              <w:rPr>
                <w:color w:val="auto"/>
                <w:sz w:val="20"/>
                <w:szCs w:val="20"/>
                <w:lang w:eastAsia="pt-BR"/>
              </w:rPr>
              <w:t>Programa periódico de manutenções do sistema de tratamento de esgotos visando caráter preventivo.</w:t>
            </w:r>
          </w:p>
        </w:tc>
      </w:tr>
      <w:tr w:rsidR="000C0280" w:rsidRPr="009B6ECA" w:rsidTr="000C0280">
        <w:trPr>
          <w:trHeight w:val="920"/>
          <w:jc w:val="center"/>
        </w:trPr>
        <w:tc>
          <w:tcPr>
            <w:cnfStyle w:val="001000000000" w:firstRow="0" w:lastRow="0" w:firstColumn="1" w:lastColumn="0" w:oddVBand="0" w:evenVBand="0" w:oddHBand="0" w:evenHBand="0" w:firstRowFirstColumn="0" w:firstRowLastColumn="0" w:lastRowFirstColumn="0" w:lastRowLastColumn="0"/>
            <w:tcW w:w="4100" w:type="dxa"/>
            <w:shd w:val="clear" w:color="auto" w:fill="auto"/>
            <w:vAlign w:val="center"/>
          </w:tcPr>
          <w:p w:rsidR="000C0280" w:rsidRPr="009B6ECA" w:rsidRDefault="000C0280" w:rsidP="000C0280">
            <w:pPr>
              <w:spacing w:line="240" w:lineRule="auto"/>
              <w:rPr>
                <w:b w:val="0"/>
                <w:color w:val="auto"/>
                <w:sz w:val="20"/>
                <w:szCs w:val="20"/>
                <w:lang w:eastAsia="pt-BR"/>
              </w:rPr>
            </w:pPr>
            <w:r w:rsidRPr="009B6ECA">
              <w:rPr>
                <w:b w:val="0"/>
                <w:color w:val="auto"/>
                <w:sz w:val="20"/>
                <w:szCs w:val="20"/>
                <w:lang w:eastAsia="pt-BR"/>
              </w:rPr>
              <w:t>Áreas rurais, isoladas e comunidades que não são atendidas com 100 % dos serviços de esgotamento sanitário.</w:t>
            </w:r>
          </w:p>
        </w:tc>
        <w:tc>
          <w:tcPr>
            <w:tcW w:w="4100" w:type="dxa"/>
            <w:shd w:val="clear" w:color="auto" w:fill="auto"/>
            <w:vAlign w:val="center"/>
          </w:tcPr>
          <w:p w:rsidR="000C0280" w:rsidRPr="009B6ECA" w:rsidRDefault="000C0280" w:rsidP="000C0280">
            <w:pPr>
              <w:spacing w:line="240" w:lineRule="auto"/>
              <w:cnfStyle w:val="000000000000" w:firstRow="0" w:lastRow="0" w:firstColumn="0" w:lastColumn="0" w:oddVBand="0" w:evenVBand="0" w:oddHBand="0" w:evenHBand="0" w:firstRowFirstColumn="0" w:firstRowLastColumn="0" w:lastRowFirstColumn="0" w:lastRowLastColumn="0"/>
              <w:rPr>
                <w:color w:val="auto"/>
                <w:sz w:val="20"/>
                <w:szCs w:val="20"/>
                <w:lang w:eastAsia="pt-BR"/>
              </w:rPr>
            </w:pPr>
            <w:r w:rsidRPr="009B6ECA">
              <w:rPr>
                <w:color w:val="auto"/>
                <w:sz w:val="20"/>
                <w:szCs w:val="20"/>
                <w:lang w:eastAsia="pt-BR"/>
              </w:rPr>
              <w:t>Programa permanente para atendimento individual de áreas rurais e comunidades do município.</w:t>
            </w:r>
          </w:p>
        </w:tc>
      </w:tr>
      <w:tr w:rsidR="000C0280" w:rsidRPr="009B6ECA" w:rsidTr="000C0280">
        <w:trPr>
          <w:cnfStyle w:val="000000100000" w:firstRow="0" w:lastRow="0" w:firstColumn="0" w:lastColumn="0" w:oddVBand="0" w:evenVBand="0" w:oddHBand="1" w:evenHBand="0" w:firstRowFirstColumn="0" w:firstRowLastColumn="0" w:lastRowFirstColumn="0" w:lastRowLastColumn="0"/>
          <w:trHeight w:val="920"/>
          <w:jc w:val="center"/>
        </w:trPr>
        <w:tc>
          <w:tcPr>
            <w:cnfStyle w:val="001000000000" w:firstRow="0" w:lastRow="0" w:firstColumn="1" w:lastColumn="0" w:oddVBand="0" w:evenVBand="0" w:oddHBand="0" w:evenHBand="0" w:firstRowFirstColumn="0" w:firstRowLastColumn="0" w:lastRowFirstColumn="0" w:lastRowLastColumn="0"/>
            <w:tcW w:w="4100" w:type="dxa"/>
            <w:shd w:val="clear" w:color="auto" w:fill="auto"/>
            <w:vAlign w:val="center"/>
            <w:hideMark/>
          </w:tcPr>
          <w:p w:rsidR="000C0280" w:rsidRPr="009B6ECA" w:rsidRDefault="000C0280" w:rsidP="000C0280">
            <w:pPr>
              <w:spacing w:line="240" w:lineRule="auto"/>
              <w:rPr>
                <w:b w:val="0"/>
                <w:color w:val="auto"/>
                <w:sz w:val="20"/>
                <w:szCs w:val="20"/>
                <w:lang w:eastAsia="pt-BR"/>
              </w:rPr>
            </w:pPr>
            <w:r w:rsidRPr="009B6ECA">
              <w:rPr>
                <w:b w:val="0"/>
                <w:color w:val="auto"/>
                <w:sz w:val="20"/>
                <w:szCs w:val="20"/>
                <w:lang w:eastAsia="pt-BR"/>
              </w:rPr>
              <w:t>Ausência de um sistema de informações sobre o sistema de esgotamento sanitário.</w:t>
            </w:r>
          </w:p>
        </w:tc>
        <w:tc>
          <w:tcPr>
            <w:tcW w:w="4100" w:type="dxa"/>
            <w:shd w:val="clear" w:color="auto" w:fill="auto"/>
            <w:vAlign w:val="center"/>
            <w:hideMark/>
          </w:tcPr>
          <w:p w:rsidR="000C0280" w:rsidRPr="009B6ECA" w:rsidRDefault="000C0280" w:rsidP="000C0280">
            <w:pPr>
              <w:spacing w:line="240" w:lineRule="auto"/>
              <w:cnfStyle w:val="000000100000" w:firstRow="0" w:lastRow="0" w:firstColumn="0" w:lastColumn="0" w:oddVBand="0" w:evenVBand="0" w:oddHBand="1" w:evenHBand="0" w:firstRowFirstColumn="0" w:firstRowLastColumn="0" w:lastRowFirstColumn="0" w:lastRowLastColumn="0"/>
              <w:rPr>
                <w:color w:val="auto"/>
                <w:sz w:val="20"/>
                <w:szCs w:val="20"/>
                <w:lang w:eastAsia="pt-BR"/>
              </w:rPr>
            </w:pPr>
            <w:r w:rsidRPr="009B6ECA">
              <w:rPr>
                <w:color w:val="auto"/>
                <w:sz w:val="20"/>
                <w:szCs w:val="20"/>
                <w:lang w:eastAsia="pt-BR"/>
              </w:rPr>
              <w:t>Sistema de informações sobre o sistema de esgotamento sanitário implantado, com dados atualizados semestralmente.</w:t>
            </w:r>
          </w:p>
        </w:tc>
      </w:tr>
      <w:tr w:rsidR="000C0280" w:rsidRPr="009B6ECA" w:rsidTr="000C0280">
        <w:trPr>
          <w:trHeight w:val="920"/>
          <w:jc w:val="center"/>
        </w:trPr>
        <w:tc>
          <w:tcPr>
            <w:cnfStyle w:val="001000000000" w:firstRow="0" w:lastRow="0" w:firstColumn="1" w:lastColumn="0" w:oddVBand="0" w:evenVBand="0" w:oddHBand="0" w:evenHBand="0" w:firstRowFirstColumn="0" w:firstRowLastColumn="0" w:lastRowFirstColumn="0" w:lastRowLastColumn="0"/>
            <w:tcW w:w="4100" w:type="dxa"/>
            <w:shd w:val="clear" w:color="auto" w:fill="auto"/>
            <w:vAlign w:val="center"/>
            <w:hideMark/>
          </w:tcPr>
          <w:p w:rsidR="000C0280" w:rsidRPr="009B6ECA" w:rsidRDefault="000C0280" w:rsidP="000C0280">
            <w:pPr>
              <w:spacing w:line="240" w:lineRule="auto"/>
              <w:rPr>
                <w:b w:val="0"/>
                <w:color w:val="auto"/>
                <w:sz w:val="20"/>
                <w:szCs w:val="20"/>
                <w:lang w:eastAsia="pt-BR"/>
              </w:rPr>
            </w:pPr>
            <w:r w:rsidRPr="009B6ECA">
              <w:rPr>
                <w:b w:val="0"/>
                <w:color w:val="auto"/>
                <w:sz w:val="20"/>
                <w:szCs w:val="20"/>
                <w:lang w:eastAsia="pt-BR"/>
              </w:rPr>
              <w:t>Fiscalização ineficiente do sistema de esgotamento sanitário.</w:t>
            </w:r>
          </w:p>
        </w:tc>
        <w:tc>
          <w:tcPr>
            <w:tcW w:w="4100" w:type="dxa"/>
            <w:shd w:val="clear" w:color="auto" w:fill="auto"/>
            <w:vAlign w:val="center"/>
            <w:hideMark/>
          </w:tcPr>
          <w:p w:rsidR="000C0280" w:rsidRPr="009B6ECA" w:rsidRDefault="000C0280" w:rsidP="000C0280">
            <w:pPr>
              <w:spacing w:line="240" w:lineRule="auto"/>
              <w:cnfStyle w:val="000000000000" w:firstRow="0" w:lastRow="0" w:firstColumn="0" w:lastColumn="0" w:oddVBand="0" w:evenVBand="0" w:oddHBand="0" w:evenHBand="0" w:firstRowFirstColumn="0" w:firstRowLastColumn="0" w:lastRowFirstColumn="0" w:lastRowLastColumn="0"/>
              <w:rPr>
                <w:color w:val="auto"/>
                <w:sz w:val="20"/>
                <w:szCs w:val="20"/>
                <w:lang w:eastAsia="pt-BR"/>
              </w:rPr>
            </w:pPr>
            <w:r w:rsidRPr="009B6ECA">
              <w:rPr>
                <w:color w:val="auto"/>
                <w:sz w:val="20"/>
                <w:szCs w:val="20"/>
                <w:lang w:eastAsia="pt-BR"/>
              </w:rPr>
              <w:t>Processos de fiscalização estruturados e planejados, atendendo a toda a área do município, com definição das responsabilidades e competências.</w:t>
            </w:r>
          </w:p>
        </w:tc>
      </w:tr>
      <w:tr w:rsidR="000C0280" w:rsidRPr="009B6ECA" w:rsidTr="000C0280">
        <w:trPr>
          <w:cnfStyle w:val="000000100000" w:firstRow="0" w:lastRow="0" w:firstColumn="0" w:lastColumn="0" w:oddVBand="0" w:evenVBand="0" w:oddHBand="1" w:evenHBand="0" w:firstRowFirstColumn="0" w:firstRowLastColumn="0" w:lastRowFirstColumn="0" w:lastRowLastColumn="0"/>
          <w:trHeight w:val="920"/>
          <w:jc w:val="center"/>
        </w:trPr>
        <w:tc>
          <w:tcPr>
            <w:cnfStyle w:val="001000000000" w:firstRow="0" w:lastRow="0" w:firstColumn="1" w:lastColumn="0" w:oddVBand="0" w:evenVBand="0" w:oddHBand="0" w:evenHBand="0" w:firstRowFirstColumn="0" w:firstRowLastColumn="0" w:lastRowFirstColumn="0" w:lastRowLastColumn="0"/>
            <w:tcW w:w="4100" w:type="dxa"/>
            <w:vMerge w:val="restart"/>
            <w:shd w:val="clear" w:color="auto" w:fill="auto"/>
            <w:vAlign w:val="center"/>
            <w:hideMark/>
          </w:tcPr>
          <w:p w:rsidR="000C0280" w:rsidRPr="009B6ECA" w:rsidRDefault="000C0280" w:rsidP="000C0280">
            <w:pPr>
              <w:spacing w:line="240" w:lineRule="auto"/>
              <w:rPr>
                <w:b w:val="0"/>
                <w:color w:val="auto"/>
                <w:sz w:val="20"/>
                <w:szCs w:val="20"/>
                <w:lang w:eastAsia="pt-BR"/>
              </w:rPr>
            </w:pPr>
            <w:r w:rsidRPr="009B6ECA">
              <w:rPr>
                <w:b w:val="0"/>
                <w:color w:val="auto"/>
                <w:sz w:val="20"/>
                <w:szCs w:val="20"/>
                <w:lang w:eastAsia="pt-BR"/>
              </w:rPr>
              <w:t>Aumento da necessidade de investimento para aquisição de projetos, equipamentos, infraestruturas e disponibilidade em quantidade adequada de pessoal especializado.</w:t>
            </w:r>
          </w:p>
        </w:tc>
        <w:tc>
          <w:tcPr>
            <w:tcW w:w="4100" w:type="dxa"/>
            <w:shd w:val="clear" w:color="auto" w:fill="auto"/>
            <w:vAlign w:val="center"/>
            <w:hideMark/>
          </w:tcPr>
          <w:p w:rsidR="000C0280" w:rsidRPr="009B6ECA" w:rsidRDefault="000C0280" w:rsidP="000C0280">
            <w:pPr>
              <w:spacing w:line="240" w:lineRule="auto"/>
              <w:cnfStyle w:val="000000100000" w:firstRow="0" w:lastRow="0" w:firstColumn="0" w:lastColumn="0" w:oddVBand="0" w:evenVBand="0" w:oddHBand="1" w:evenHBand="0" w:firstRowFirstColumn="0" w:firstRowLastColumn="0" w:lastRowFirstColumn="0" w:lastRowLastColumn="0"/>
              <w:rPr>
                <w:color w:val="auto"/>
                <w:sz w:val="20"/>
                <w:szCs w:val="20"/>
                <w:lang w:eastAsia="pt-BR"/>
              </w:rPr>
            </w:pPr>
            <w:r w:rsidRPr="009B6ECA">
              <w:rPr>
                <w:color w:val="auto"/>
                <w:sz w:val="20"/>
                <w:szCs w:val="20"/>
                <w:lang w:eastAsia="pt-BR"/>
              </w:rPr>
              <w:t>Elaboração de projetos para captação de recursos, provenientes de programas federais e estaduais.</w:t>
            </w:r>
          </w:p>
        </w:tc>
      </w:tr>
      <w:tr w:rsidR="000C0280" w:rsidRPr="009B6ECA" w:rsidTr="000C0280">
        <w:trPr>
          <w:trHeight w:val="920"/>
          <w:jc w:val="center"/>
        </w:trPr>
        <w:tc>
          <w:tcPr>
            <w:cnfStyle w:val="001000000000" w:firstRow="0" w:lastRow="0" w:firstColumn="1" w:lastColumn="0" w:oddVBand="0" w:evenVBand="0" w:oddHBand="0" w:evenHBand="0" w:firstRowFirstColumn="0" w:firstRowLastColumn="0" w:lastRowFirstColumn="0" w:lastRowLastColumn="0"/>
            <w:tcW w:w="4100" w:type="dxa"/>
            <w:vMerge/>
            <w:shd w:val="clear" w:color="auto" w:fill="auto"/>
            <w:vAlign w:val="center"/>
            <w:hideMark/>
          </w:tcPr>
          <w:p w:rsidR="000C0280" w:rsidRPr="009B6ECA" w:rsidRDefault="000C0280" w:rsidP="000C0280">
            <w:pPr>
              <w:spacing w:line="240" w:lineRule="auto"/>
              <w:rPr>
                <w:b w:val="0"/>
                <w:color w:val="auto"/>
                <w:sz w:val="20"/>
                <w:szCs w:val="20"/>
                <w:lang w:eastAsia="pt-BR"/>
              </w:rPr>
            </w:pPr>
          </w:p>
        </w:tc>
        <w:tc>
          <w:tcPr>
            <w:tcW w:w="4100" w:type="dxa"/>
            <w:shd w:val="clear" w:color="auto" w:fill="auto"/>
            <w:vAlign w:val="center"/>
            <w:hideMark/>
          </w:tcPr>
          <w:p w:rsidR="000C0280" w:rsidRPr="009B6ECA" w:rsidRDefault="000C0280" w:rsidP="000C0280">
            <w:pPr>
              <w:spacing w:line="240" w:lineRule="auto"/>
              <w:cnfStyle w:val="000000000000" w:firstRow="0" w:lastRow="0" w:firstColumn="0" w:lastColumn="0" w:oddVBand="0" w:evenVBand="0" w:oddHBand="0" w:evenHBand="0" w:firstRowFirstColumn="0" w:firstRowLastColumn="0" w:lastRowFirstColumn="0" w:lastRowLastColumn="0"/>
              <w:rPr>
                <w:color w:val="auto"/>
                <w:sz w:val="20"/>
                <w:szCs w:val="20"/>
                <w:lang w:eastAsia="pt-BR"/>
              </w:rPr>
            </w:pPr>
            <w:r w:rsidRPr="009B6ECA">
              <w:rPr>
                <w:color w:val="auto"/>
                <w:sz w:val="20"/>
                <w:szCs w:val="20"/>
                <w:lang w:eastAsia="pt-BR"/>
              </w:rPr>
              <w:t>Aumento de investimentos na infraestrutura de coleta, afastamento e tratamento dos esgotos.</w:t>
            </w:r>
          </w:p>
        </w:tc>
      </w:tr>
      <w:tr w:rsidR="000C0280" w:rsidRPr="009B6ECA" w:rsidTr="000C0280">
        <w:trPr>
          <w:cnfStyle w:val="000000100000" w:firstRow="0" w:lastRow="0" w:firstColumn="0" w:lastColumn="0" w:oddVBand="0" w:evenVBand="0" w:oddHBand="1" w:evenHBand="0" w:firstRowFirstColumn="0" w:firstRowLastColumn="0" w:lastRowFirstColumn="0" w:lastRowLastColumn="0"/>
          <w:trHeight w:val="920"/>
          <w:jc w:val="center"/>
        </w:trPr>
        <w:tc>
          <w:tcPr>
            <w:cnfStyle w:val="001000000000" w:firstRow="0" w:lastRow="0" w:firstColumn="1" w:lastColumn="0" w:oddVBand="0" w:evenVBand="0" w:oddHBand="0" w:evenHBand="0" w:firstRowFirstColumn="0" w:firstRowLastColumn="0" w:lastRowFirstColumn="0" w:lastRowLastColumn="0"/>
            <w:tcW w:w="4100" w:type="dxa"/>
            <w:shd w:val="clear" w:color="auto" w:fill="auto"/>
            <w:vAlign w:val="center"/>
            <w:hideMark/>
          </w:tcPr>
          <w:p w:rsidR="000C0280" w:rsidRPr="009B6ECA" w:rsidRDefault="000C0280" w:rsidP="000C0280">
            <w:pPr>
              <w:spacing w:line="240" w:lineRule="auto"/>
              <w:rPr>
                <w:b w:val="0"/>
                <w:color w:val="auto"/>
                <w:sz w:val="20"/>
                <w:szCs w:val="20"/>
                <w:lang w:eastAsia="pt-BR"/>
              </w:rPr>
            </w:pPr>
            <w:r w:rsidRPr="009B6ECA">
              <w:rPr>
                <w:b w:val="0"/>
                <w:color w:val="auto"/>
                <w:sz w:val="20"/>
                <w:szCs w:val="20"/>
                <w:lang w:eastAsia="pt-BR"/>
              </w:rPr>
              <w:t>Programas de educação ambiental realizados de forma desvinculada entre os quatro setores do saneamento, de forma descontínua e não planejada.</w:t>
            </w:r>
          </w:p>
        </w:tc>
        <w:tc>
          <w:tcPr>
            <w:tcW w:w="4100" w:type="dxa"/>
            <w:shd w:val="clear" w:color="auto" w:fill="auto"/>
            <w:vAlign w:val="center"/>
            <w:hideMark/>
          </w:tcPr>
          <w:p w:rsidR="000C0280" w:rsidRPr="009B6ECA" w:rsidRDefault="000C0280" w:rsidP="000C0280">
            <w:pPr>
              <w:spacing w:line="240" w:lineRule="auto"/>
              <w:cnfStyle w:val="000000100000" w:firstRow="0" w:lastRow="0" w:firstColumn="0" w:lastColumn="0" w:oddVBand="0" w:evenVBand="0" w:oddHBand="1" w:evenHBand="0" w:firstRowFirstColumn="0" w:firstRowLastColumn="0" w:lastRowFirstColumn="0" w:lastRowLastColumn="0"/>
              <w:rPr>
                <w:color w:val="auto"/>
                <w:sz w:val="20"/>
                <w:szCs w:val="20"/>
                <w:lang w:eastAsia="pt-BR"/>
              </w:rPr>
            </w:pPr>
            <w:r w:rsidRPr="009B6ECA">
              <w:rPr>
                <w:color w:val="auto"/>
                <w:sz w:val="20"/>
                <w:szCs w:val="20"/>
                <w:lang w:eastAsia="pt-BR"/>
              </w:rPr>
              <w:t>Programas de educação ambiental realizados periodicamente, de forma sistemática e integrando os quatro setores do saneamento.</w:t>
            </w:r>
          </w:p>
        </w:tc>
      </w:tr>
    </w:tbl>
    <w:p w:rsidR="000C0280" w:rsidRPr="009B6ECA" w:rsidRDefault="000C0280" w:rsidP="000C0280">
      <w:pPr>
        <w:pStyle w:val="Fonte"/>
      </w:pPr>
    </w:p>
    <w:p w:rsidR="000C0280" w:rsidRDefault="000C0280" w:rsidP="000C0280">
      <w:pPr>
        <w:rPr>
          <w:highlight w:val="cyan"/>
          <w:lang w:eastAsia="x-none"/>
        </w:rPr>
      </w:pPr>
    </w:p>
    <w:p w:rsidR="000C0280" w:rsidRDefault="000C0280" w:rsidP="000C0280">
      <w:pPr>
        <w:rPr>
          <w:highlight w:val="cyan"/>
          <w:lang w:eastAsia="x-none"/>
        </w:rPr>
      </w:pPr>
    </w:p>
    <w:p w:rsidR="000C0280" w:rsidRDefault="000C0280" w:rsidP="000C0280">
      <w:pPr>
        <w:rPr>
          <w:highlight w:val="cyan"/>
          <w:lang w:eastAsia="x-none"/>
        </w:rPr>
      </w:pPr>
    </w:p>
    <w:p w:rsidR="000C0280" w:rsidRPr="000C0280" w:rsidRDefault="000C0280" w:rsidP="000C0280">
      <w:pPr>
        <w:rPr>
          <w:highlight w:val="cyan"/>
          <w:lang w:eastAsia="x-none"/>
        </w:rPr>
      </w:pPr>
    </w:p>
    <w:p w:rsidR="0081570C" w:rsidRDefault="0081570C" w:rsidP="00BC01B1">
      <w:pPr>
        <w:pStyle w:val="Ttulo3"/>
        <w:rPr>
          <w:color w:val="FF0000"/>
          <w:lang w:val="pt-BR"/>
        </w:rPr>
      </w:pPr>
      <w:bookmarkStart w:id="778" w:name="_Toc363720119"/>
      <w:bookmarkStart w:id="779" w:name="_Toc484422555"/>
      <w:bookmarkStart w:id="780" w:name="_Toc484611632"/>
      <w:bookmarkStart w:id="781" w:name="_Toc498593496"/>
      <w:bookmarkStart w:id="782" w:name="_Toc509935534"/>
      <w:bookmarkEnd w:id="778"/>
      <w:r w:rsidRPr="008044FA">
        <w:lastRenderedPageBreak/>
        <w:t>Objetivos e metas</w:t>
      </w:r>
      <w:bookmarkEnd w:id="779"/>
      <w:bookmarkEnd w:id="780"/>
      <w:bookmarkEnd w:id="781"/>
      <w:bookmarkEnd w:id="782"/>
      <w:r w:rsidR="00DC15A5">
        <w:rPr>
          <w:lang w:val="pt-BR"/>
        </w:rPr>
        <w:t xml:space="preserve"> </w:t>
      </w:r>
    </w:p>
    <w:p w:rsidR="000C0280" w:rsidRPr="000C0280" w:rsidRDefault="000C0280" w:rsidP="000C0280">
      <w:pPr>
        <w:spacing w:after="120"/>
        <w:ind w:firstLine="708"/>
        <w:contextualSpacing/>
        <w:jc w:val="both"/>
        <w:rPr>
          <w:rFonts w:cs="Arial"/>
          <w:szCs w:val="24"/>
          <w:lang w:eastAsia="pt-BR"/>
        </w:rPr>
      </w:pPr>
      <w:r w:rsidRPr="000C0280">
        <w:rPr>
          <w:rFonts w:cs="Arial"/>
          <w:szCs w:val="24"/>
          <w:lang w:eastAsia="pt-BR"/>
        </w:rPr>
        <w:t xml:space="preserve">Para o sistema de esgotamento sanitário foram propostos cinco objetivos específicos, de acordo com os aspectos do SES, com as características de Córrego Novo levantadas na etapa do diagnóstico técnico-participativo e com o cenário normativo como </w:t>
      </w:r>
      <w:r w:rsidRPr="000C0280">
        <w:rPr>
          <w:rFonts w:cs="Arial"/>
          <w:szCs w:val="24"/>
        </w:rPr>
        <w:t>elemento norteador para o alcance das metas</w:t>
      </w:r>
      <w:r w:rsidRPr="000C0280">
        <w:rPr>
          <w:rFonts w:cs="Arial"/>
          <w:szCs w:val="24"/>
          <w:lang w:eastAsia="pt-BR"/>
        </w:rPr>
        <w:t>. Esses objetivos são descritos a seguir.</w:t>
      </w:r>
    </w:p>
    <w:p w:rsidR="000C0280" w:rsidRPr="000C0280" w:rsidRDefault="000C0280" w:rsidP="0066661F">
      <w:pPr>
        <w:numPr>
          <w:ilvl w:val="0"/>
          <w:numId w:val="38"/>
        </w:numPr>
        <w:ind w:left="2127" w:hanging="1560"/>
        <w:contextualSpacing/>
        <w:jc w:val="both"/>
        <w:rPr>
          <w:rFonts w:eastAsia="Times New Roman" w:cs="Arial"/>
          <w:b/>
          <w:bCs/>
          <w:szCs w:val="24"/>
          <w:lang w:eastAsia="pt-BR"/>
        </w:rPr>
      </w:pPr>
      <w:r w:rsidRPr="000C0280">
        <w:rPr>
          <w:rFonts w:eastAsia="Times New Roman" w:cs="Arial"/>
          <w:b/>
          <w:bCs/>
          <w:szCs w:val="24"/>
          <w:lang w:eastAsia="pt-BR"/>
        </w:rPr>
        <w:t>Atender com serviços de coleta, afastamento e tratamento a 100% dos esgotos produzidos nas áreas urbanizadas, rurais e aglomerados do município de Córrego Novo.</w:t>
      </w:r>
    </w:p>
    <w:p w:rsidR="000C0280" w:rsidRPr="000C0280" w:rsidRDefault="000C0280" w:rsidP="0066661F">
      <w:pPr>
        <w:numPr>
          <w:ilvl w:val="0"/>
          <w:numId w:val="38"/>
        </w:numPr>
        <w:ind w:left="2127" w:hanging="1560"/>
        <w:contextualSpacing/>
        <w:jc w:val="both"/>
        <w:rPr>
          <w:rFonts w:eastAsia="Times New Roman" w:cs="Arial"/>
          <w:b/>
          <w:bCs/>
          <w:szCs w:val="24"/>
          <w:lang w:eastAsia="pt-BR"/>
        </w:rPr>
      </w:pPr>
      <w:r w:rsidRPr="000C0280">
        <w:rPr>
          <w:rFonts w:eastAsia="Times New Roman" w:cs="Arial"/>
          <w:b/>
          <w:bCs/>
          <w:szCs w:val="24"/>
          <w:lang w:eastAsia="pt-BR"/>
        </w:rPr>
        <w:t>Erradicar sistemas de tratamento de esgotos inadequados e implantar dispositivos de saneamento rural.</w:t>
      </w:r>
    </w:p>
    <w:p w:rsidR="000C0280" w:rsidRPr="000C0280" w:rsidRDefault="000C0280" w:rsidP="0066661F">
      <w:pPr>
        <w:numPr>
          <w:ilvl w:val="0"/>
          <w:numId w:val="38"/>
        </w:numPr>
        <w:ind w:left="2127" w:hanging="1560"/>
        <w:contextualSpacing/>
        <w:jc w:val="both"/>
        <w:rPr>
          <w:rFonts w:eastAsia="Times New Roman" w:cs="Arial"/>
          <w:b/>
          <w:bCs/>
          <w:szCs w:val="24"/>
          <w:lang w:eastAsia="pt-BR"/>
        </w:rPr>
      </w:pPr>
      <w:r w:rsidRPr="000C0280">
        <w:rPr>
          <w:rFonts w:eastAsia="Times New Roman" w:cs="Arial"/>
          <w:b/>
          <w:bCs/>
          <w:szCs w:val="24"/>
          <w:lang w:eastAsia="pt-BR"/>
        </w:rPr>
        <w:t xml:space="preserve">Implementar, para o SES, uma gestão eficiente no que se refere aos aspectos </w:t>
      </w:r>
      <w:r w:rsidRPr="000C0280">
        <w:rPr>
          <w:b/>
          <w:bCs/>
          <w:szCs w:val="24"/>
        </w:rPr>
        <w:t xml:space="preserve">administrativos, operacionais, financeiros, de planejamento estratégico e de sustentabilidade, </w:t>
      </w:r>
      <w:r w:rsidRPr="000C0280">
        <w:rPr>
          <w:rFonts w:eastAsia="Times New Roman" w:cs="Arial"/>
          <w:b/>
          <w:bCs/>
          <w:szCs w:val="24"/>
          <w:lang w:eastAsia="pt-BR"/>
        </w:rPr>
        <w:t>além de definir instrumentos legais que garantam a regulação do mesmo e a observação das diretrizes aprovadas no presente PMSB.</w:t>
      </w:r>
    </w:p>
    <w:p w:rsidR="000C0280" w:rsidRPr="000C0280" w:rsidRDefault="000C0280" w:rsidP="0066661F">
      <w:pPr>
        <w:numPr>
          <w:ilvl w:val="0"/>
          <w:numId w:val="38"/>
        </w:numPr>
        <w:ind w:left="2127" w:hanging="1560"/>
        <w:contextualSpacing/>
        <w:jc w:val="both"/>
        <w:rPr>
          <w:rFonts w:eastAsia="Times New Roman" w:cs="Arial"/>
          <w:b/>
          <w:bCs/>
          <w:szCs w:val="24"/>
          <w:lang w:eastAsia="pt-BR"/>
        </w:rPr>
      </w:pPr>
      <w:r w:rsidRPr="000C0280">
        <w:rPr>
          <w:rFonts w:eastAsia="Times New Roman" w:cs="Arial"/>
          <w:b/>
          <w:bCs/>
          <w:szCs w:val="24"/>
          <w:lang w:eastAsia="pt-BR"/>
        </w:rPr>
        <w:t>Adequar todo o sistema de esgotamento sanitário de Córrego Novo de forma a atender à legislação ambiental vigente.</w:t>
      </w:r>
    </w:p>
    <w:p w:rsidR="000C0280" w:rsidRPr="000C0280" w:rsidRDefault="000C0280" w:rsidP="0066661F">
      <w:pPr>
        <w:numPr>
          <w:ilvl w:val="0"/>
          <w:numId w:val="38"/>
        </w:numPr>
        <w:ind w:left="2127" w:hanging="1560"/>
        <w:contextualSpacing/>
        <w:jc w:val="both"/>
        <w:rPr>
          <w:rFonts w:eastAsia="Times New Roman" w:cs="Arial"/>
          <w:b/>
          <w:bCs/>
          <w:szCs w:val="24"/>
          <w:lang w:eastAsia="pt-BR"/>
        </w:rPr>
      </w:pPr>
      <w:r w:rsidRPr="000C0280">
        <w:rPr>
          <w:rFonts w:eastAsia="Times New Roman" w:cs="Arial"/>
          <w:b/>
          <w:bCs/>
          <w:szCs w:val="24"/>
          <w:lang w:eastAsia="pt-BR"/>
        </w:rPr>
        <w:t>Instituir canais de comunicação e participação com a sociedade e promover ações continuadas em educação ambiental.</w:t>
      </w:r>
    </w:p>
    <w:p w:rsidR="000C0280" w:rsidRPr="000C0280" w:rsidRDefault="000C0280" w:rsidP="000C0280">
      <w:pPr>
        <w:spacing w:before="120" w:after="120"/>
        <w:ind w:firstLine="567"/>
        <w:contextualSpacing/>
        <w:jc w:val="both"/>
        <w:rPr>
          <w:rFonts w:cs="Arial"/>
          <w:szCs w:val="24"/>
          <w:lang w:eastAsia="pt-BR"/>
        </w:rPr>
      </w:pPr>
      <w:r w:rsidRPr="000C0280">
        <w:rPr>
          <w:rFonts w:cs="Arial"/>
          <w:szCs w:val="24"/>
          <w:lang w:eastAsia="pt-BR"/>
        </w:rPr>
        <w:t xml:space="preserve">Na </w:t>
      </w:r>
      <w:r>
        <w:rPr>
          <w:rFonts w:cs="Arial"/>
          <w:szCs w:val="24"/>
          <w:lang w:eastAsia="pt-BR"/>
        </w:rPr>
        <w:fldChar w:fldCharType="begin"/>
      </w:r>
      <w:r>
        <w:rPr>
          <w:rFonts w:cs="Arial"/>
          <w:szCs w:val="24"/>
          <w:lang w:eastAsia="pt-BR"/>
        </w:rPr>
        <w:instrText xml:space="preserve"> REF _Ref507656169 \h </w:instrText>
      </w:r>
      <w:r>
        <w:rPr>
          <w:rFonts w:cs="Arial"/>
          <w:szCs w:val="24"/>
          <w:lang w:eastAsia="pt-BR"/>
        </w:rPr>
      </w:r>
      <w:r>
        <w:rPr>
          <w:rFonts w:cs="Arial"/>
          <w:szCs w:val="24"/>
          <w:lang w:eastAsia="pt-BR"/>
        </w:rPr>
        <w:fldChar w:fldCharType="separate"/>
      </w:r>
      <w:r w:rsidR="001B481B">
        <w:t xml:space="preserve">Tabela </w:t>
      </w:r>
      <w:r w:rsidR="001B481B">
        <w:rPr>
          <w:noProof/>
        </w:rPr>
        <w:t>3</w:t>
      </w:r>
      <w:r>
        <w:rPr>
          <w:rFonts w:cs="Arial"/>
          <w:szCs w:val="24"/>
          <w:lang w:eastAsia="pt-BR"/>
        </w:rPr>
        <w:fldChar w:fldCharType="end"/>
      </w:r>
      <w:r w:rsidRPr="000C0280">
        <w:rPr>
          <w:rFonts w:cs="Arial"/>
          <w:szCs w:val="24"/>
          <w:lang w:eastAsia="pt-BR"/>
        </w:rPr>
        <w:t xml:space="preserve"> estão apresentados os objetivos e as respectivas metas de forma sistematizada, além dos prazos para cada meta.</w:t>
      </w:r>
    </w:p>
    <w:p w:rsidR="000C0280" w:rsidRPr="000C0280" w:rsidRDefault="000C0280" w:rsidP="000C0280">
      <w:pPr>
        <w:keepNext/>
        <w:numPr>
          <w:ilvl w:val="0"/>
          <w:numId w:val="1"/>
        </w:numPr>
        <w:spacing w:before="120" w:after="120" w:line="240" w:lineRule="auto"/>
        <w:ind w:left="0" w:firstLine="0"/>
        <w:jc w:val="center"/>
        <w:rPr>
          <w:rFonts w:eastAsia="Times New Roman" w:cs="Arial"/>
          <w:b/>
          <w:bCs/>
          <w:sz w:val="20"/>
          <w:szCs w:val="24"/>
          <w:lang w:val="x-none" w:eastAsia="x-none"/>
        </w:rPr>
        <w:sectPr w:rsidR="000C0280" w:rsidRPr="000C0280" w:rsidSect="000C0280">
          <w:footerReference w:type="default" r:id="rId54"/>
          <w:pgSz w:w="11906" w:h="16838"/>
          <w:pgMar w:top="1134" w:right="1134" w:bottom="1134" w:left="1418" w:header="708" w:footer="708" w:gutter="0"/>
          <w:cols w:space="708"/>
          <w:docGrid w:linePitch="360"/>
        </w:sectPr>
      </w:pPr>
    </w:p>
    <w:p w:rsidR="000C0280" w:rsidRPr="000C0280" w:rsidRDefault="000C0280" w:rsidP="000C0280">
      <w:pPr>
        <w:pStyle w:val="Legenda"/>
        <w:rPr>
          <w:rFonts w:cs="Arial"/>
        </w:rPr>
      </w:pPr>
      <w:bookmarkStart w:id="783" w:name="_Ref507656169"/>
      <w:bookmarkStart w:id="784" w:name="_Toc484422574"/>
      <w:bookmarkStart w:id="785" w:name="_Toc484532487"/>
      <w:bookmarkStart w:id="786" w:name="_Toc498099272"/>
      <w:bookmarkStart w:id="787" w:name="_Toc509935873"/>
      <w:r>
        <w:lastRenderedPageBreak/>
        <w:t xml:space="preserve">Tabela </w:t>
      </w:r>
      <w:r w:rsidR="000A1C78">
        <w:fldChar w:fldCharType="begin"/>
      </w:r>
      <w:r w:rsidR="000A1C78">
        <w:instrText xml:space="preserve"> SEQ Tabela \* ARABIC </w:instrText>
      </w:r>
      <w:r w:rsidR="000A1C78">
        <w:fldChar w:fldCharType="separate"/>
      </w:r>
      <w:r w:rsidR="001B481B">
        <w:rPr>
          <w:noProof/>
        </w:rPr>
        <w:t>3</w:t>
      </w:r>
      <w:r w:rsidR="000A1C78">
        <w:rPr>
          <w:noProof/>
        </w:rPr>
        <w:fldChar w:fldCharType="end"/>
      </w:r>
      <w:bookmarkEnd w:id="783"/>
      <w:r w:rsidRPr="000C0280">
        <w:rPr>
          <w:rFonts w:cs="Arial"/>
        </w:rPr>
        <w:t xml:space="preserve"> - Objetivos e metas do Sistema de Esgotamento Sanitário (SES)</w:t>
      </w:r>
      <w:bookmarkEnd w:id="784"/>
      <w:bookmarkEnd w:id="785"/>
      <w:bookmarkEnd w:id="786"/>
      <w:bookmarkEnd w:id="787"/>
    </w:p>
    <w:tbl>
      <w:tblPr>
        <w:tblW w:w="15023" w:type="dxa"/>
        <w:jc w:val="center"/>
        <w:tblBorders>
          <w:top w:val="single" w:sz="8" w:space="0" w:color="4F81BD"/>
          <w:bottom w:val="single" w:sz="8" w:space="0" w:color="4F81BD"/>
        </w:tblBorders>
        <w:tblLook w:val="04A0" w:firstRow="1" w:lastRow="0" w:firstColumn="1" w:lastColumn="0" w:noHBand="0" w:noVBand="1"/>
      </w:tblPr>
      <w:tblGrid>
        <w:gridCol w:w="4219"/>
        <w:gridCol w:w="9636"/>
        <w:gridCol w:w="1168"/>
      </w:tblGrid>
      <w:tr w:rsidR="000C0280" w:rsidRPr="000C0280" w:rsidTr="000C0280">
        <w:trPr>
          <w:cantSplit/>
          <w:trHeight w:val="20"/>
          <w:tblHeader/>
          <w:jc w:val="center"/>
        </w:trPr>
        <w:tc>
          <w:tcPr>
            <w:tcW w:w="4219" w:type="dxa"/>
            <w:tcBorders>
              <w:top w:val="single" w:sz="8" w:space="0" w:color="4F81BD"/>
              <w:left w:val="nil"/>
              <w:bottom w:val="single" w:sz="8" w:space="0" w:color="4F81BD"/>
              <w:right w:val="single" w:sz="4" w:space="0" w:color="1F497D"/>
            </w:tcBorders>
            <w:shd w:val="clear" w:color="auto" w:fill="4F81BD"/>
            <w:vAlign w:val="center"/>
          </w:tcPr>
          <w:p w:rsidR="000C0280" w:rsidRPr="000C0280" w:rsidRDefault="000C0280" w:rsidP="000C0280">
            <w:pPr>
              <w:autoSpaceDE w:val="0"/>
              <w:autoSpaceDN w:val="0"/>
              <w:adjustRightInd w:val="0"/>
              <w:spacing w:before="20" w:after="20" w:line="240" w:lineRule="auto"/>
              <w:jc w:val="center"/>
              <w:rPr>
                <w:rFonts w:eastAsia="Times New Roman" w:cs="Arial"/>
                <w:b/>
                <w:bCs/>
                <w:color w:val="FFFFFF" w:themeColor="background1"/>
                <w:sz w:val="20"/>
                <w:szCs w:val="20"/>
              </w:rPr>
            </w:pPr>
            <w:r w:rsidRPr="000C0280">
              <w:rPr>
                <w:rFonts w:eastAsia="Times New Roman" w:cs="Arial"/>
                <w:b/>
                <w:bCs/>
                <w:color w:val="FFFFFF" w:themeColor="background1"/>
                <w:sz w:val="20"/>
                <w:szCs w:val="20"/>
              </w:rPr>
              <w:t>Objetivo</w:t>
            </w:r>
          </w:p>
        </w:tc>
        <w:tc>
          <w:tcPr>
            <w:tcW w:w="9636" w:type="dxa"/>
            <w:tcBorders>
              <w:top w:val="single" w:sz="8" w:space="0" w:color="4F81BD"/>
              <w:left w:val="single" w:sz="4" w:space="0" w:color="1F497D"/>
              <w:bottom w:val="single" w:sz="8" w:space="0" w:color="4F81BD"/>
              <w:right w:val="single" w:sz="4" w:space="0" w:color="1F497D"/>
            </w:tcBorders>
            <w:shd w:val="clear" w:color="auto" w:fill="4F81BD"/>
            <w:vAlign w:val="center"/>
          </w:tcPr>
          <w:p w:rsidR="000C0280" w:rsidRPr="000C0280" w:rsidRDefault="000C0280" w:rsidP="000C0280">
            <w:pPr>
              <w:autoSpaceDE w:val="0"/>
              <w:autoSpaceDN w:val="0"/>
              <w:adjustRightInd w:val="0"/>
              <w:spacing w:before="20" w:after="20" w:line="240" w:lineRule="auto"/>
              <w:jc w:val="center"/>
              <w:rPr>
                <w:rFonts w:eastAsia="Times New Roman" w:cs="Arial"/>
                <w:b/>
                <w:bCs/>
                <w:color w:val="FFFFFF" w:themeColor="background1"/>
                <w:sz w:val="20"/>
                <w:szCs w:val="20"/>
              </w:rPr>
            </w:pPr>
            <w:r w:rsidRPr="000C0280">
              <w:rPr>
                <w:rFonts w:eastAsia="Times New Roman" w:cs="Arial"/>
                <w:b/>
                <w:bCs/>
                <w:color w:val="FFFFFF" w:themeColor="background1"/>
                <w:sz w:val="20"/>
                <w:szCs w:val="20"/>
              </w:rPr>
              <w:t>Metas</w:t>
            </w:r>
          </w:p>
        </w:tc>
        <w:tc>
          <w:tcPr>
            <w:tcW w:w="0" w:type="auto"/>
            <w:tcBorders>
              <w:top w:val="single" w:sz="8" w:space="0" w:color="4F81BD"/>
              <w:left w:val="single" w:sz="4" w:space="0" w:color="1F497D"/>
              <w:bottom w:val="single" w:sz="8" w:space="0" w:color="4F81BD"/>
              <w:right w:val="nil"/>
            </w:tcBorders>
            <w:shd w:val="clear" w:color="auto" w:fill="4F81BD"/>
            <w:vAlign w:val="center"/>
          </w:tcPr>
          <w:p w:rsidR="000C0280" w:rsidRPr="000C0280" w:rsidRDefault="000C0280" w:rsidP="000C0280">
            <w:pPr>
              <w:autoSpaceDE w:val="0"/>
              <w:autoSpaceDN w:val="0"/>
              <w:adjustRightInd w:val="0"/>
              <w:spacing w:before="20" w:after="20" w:line="240" w:lineRule="auto"/>
              <w:jc w:val="center"/>
              <w:rPr>
                <w:rFonts w:eastAsia="Times New Roman" w:cs="Arial"/>
                <w:b/>
                <w:bCs/>
                <w:color w:val="FFFFFF" w:themeColor="background1"/>
                <w:sz w:val="20"/>
                <w:szCs w:val="20"/>
              </w:rPr>
            </w:pPr>
            <w:r w:rsidRPr="000C0280">
              <w:rPr>
                <w:rFonts w:eastAsia="Times New Roman" w:cs="Arial"/>
                <w:b/>
                <w:bCs/>
                <w:color w:val="FFFFFF" w:themeColor="background1"/>
                <w:sz w:val="20"/>
                <w:szCs w:val="20"/>
              </w:rPr>
              <w:t>Prazo de entrega</w:t>
            </w:r>
          </w:p>
        </w:tc>
      </w:tr>
      <w:tr w:rsidR="000C0280" w:rsidRPr="000C0280" w:rsidTr="000C0280">
        <w:trPr>
          <w:cantSplit/>
          <w:trHeight w:val="20"/>
          <w:jc w:val="center"/>
        </w:trPr>
        <w:tc>
          <w:tcPr>
            <w:tcW w:w="4219" w:type="dxa"/>
            <w:vMerge w:val="restart"/>
            <w:tcBorders>
              <w:left w:val="nil"/>
              <w:right w:val="single" w:sz="4" w:space="0" w:color="1F497D"/>
            </w:tcBorders>
            <w:shd w:val="clear" w:color="auto" w:fill="auto"/>
            <w:vAlign w:val="center"/>
          </w:tcPr>
          <w:p w:rsidR="000C0280" w:rsidRPr="000C0280" w:rsidRDefault="000C0280" w:rsidP="0066661F">
            <w:pPr>
              <w:numPr>
                <w:ilvl w:val="0"/>
                <w:numId w:val="11"/>
              </w:numPr>
              <w:spacing w:before="20" w:after="20" w:line="240" w:lineRule="auto"/>
              <w:ind w:left="260" w:hanging="260"/>
              <w:jc w:val="both"/>
              <w:rPr>
                <w:rFonts w:eastAsia="Times New Roman" w:cs="Arial"/>
                <w:bCs/>
                <w:sz w:val="20"/>
                <w:szCs w:val="20"/>
                <w:lang w:eastAsia="pt-BR"/>
              </w:rPr>
            </w:pPr>
            <w:r w:rsidRPr="000C0280">
              <w:rPr>
                <w:rFonts w:eastAsia="Times New Roman" w:cs="Arial"/>
                <w:bCs/>
                <w:sz w:val="20"/>
                <w:szCs w:val="20"/>
                <w:lang w:eastAsia="pt-BR"/>
              </w:rPr>
              <w:t>Atender com serviços de coleta, afastamento e tratamento a 100% dos esgotos produzidos nas áreas urbanizadas, rurais e aglomerados do município de Córrego Novo.</w:t>
            </w:r>
          </w:p>
        </w:tc>
        <w:tc>
          <w:tcPr>
            <w:tcW w:w="9636" w:type="dxa"/>
            <w:tcBorders>
              <w:top w:val="single" w:sz="8" w:space="0" w:color="4F81BD"/>
              <w:left w:val="single" w:sz="4" w:space="0" w:color="1F497D"/>
              <w:bottom w:val="dashed" w:sz="4" w:space="0" w:color="auto"/>
              <w:right w:val="single" w:sz="4" w:space="0" w:color="1F497D"/>
            </w:tcBorders>
            <w:shd w:val="clear" w:color="auto" w:fill="auto"/>
            <w:vAlign w:val="center"/>
          </w:tcPr>
          <w:p w:rsidR="000C0280" w:rsidRPr="000C0280" w:rsidRDefault="000C0280" w:rsidP="000C0280">
            <w:pPr>
              <w:spacing w:before="20" w:after="20" w:line="240" w:lineRule="auto"/>
              <w:jc w:val="both"/>
              <w:rPr>
                <w:rFonts w:eastAsia="Times New Roman" w:cs="Arial"/>
                <w:bCs/>
                <w:sz w:val="20"/>
                <w:szCs w:val="20"/>
              </w:rPr>
            </w:pPr>
            <w:r w:rsidRPr="000C0280">
              <w:rPr>
                <w:rFonts w:eastAsia="Times New Roman" w:cs="Arial"/>
                <w:sz w:val="20"/>
                <w:szCs w:val="20"/>
              </w:rPr>
              <w:t>1.1. Aumentar o índice de cobertura de coleta e afastamento dos esgotos para 100 % na área urbana.</w:t>
            </w:r>
          </w:p>
        </w:tc>
        <w:tc>
          <w:tcPr>
            <w:tcW w:w="0" w:type="auto"/>
            <w:tcBorders>
              <w:top w:val="single" w:sz="8" w:space="0" w:color="4F81BD"/>
              <w:left w:val="single" w:sz="4" w:space="0" w:color="1F497D"/>
              <w:bottom w:val="dashed" w:sz="4" w:space="0" w:color="auto"/>
              <w:right w:val="nil"/>
            </w:tcBorders>
            <w:shd w:val="clear" w:color="auto" w:fill="auto"/>
            <w:vAlign w:val="center"/>
          </w:tcPr>
          <w:p w:rsidR="000C0280" w:rsidRPr="000C0280" w:rsidRDefault="000C0280" w:rsidP="000C0280">
            <w:pPr>
              <w:spacing w:before="20" w:after="20" w:line="240" w:lineRule="auto"/>
              <w:jc w:val="center"/>
              <w:rPr>
                <w:rFonts w:eastAsia="Times New Roman" w:cs="Arial"/>
                <w:bCs/>
                <w:sz w:val="20"/>
                <w:szCs w:val="20"/>
              </w:rPr>
            </w:pPr>
            <w:r w:rsidRPr="000C0280">
              <w:rPr>
                <w:rFonts w:eastAsia="Times New Roman" w:cs="Arial"/>
                <w:bCs/>
                <w:sz w:val="20"/>
                <w:szCs w:val="20"/>
              </w:rPr>
              <w:t>Curto</w:t>
            </w:r>
          </w:p>
        </w:tc>
      </w:tr>
      <w:tr w:rsidR="000C0280" w:rsidRPr="000C0280" w:rsidTr="000C0280">
        <w:trPr>
          <w:cantSplit/>
          <w:trHeight w:val="20"/>
          <w:jc w:val="center"/>
        </w:trPr>
        <w:tc>
          <w:tcPr>
            <w:tcW w:w="4219" w:type="dxa"/>
            <w:vMerge/>
            <w:tcBorders>
              <w:left w:val="nil"/>
              <w:right w:val="single" w:sz="4" w:space="0" w:color="1F497D"/>
            </w:tcBorders>
            <w:shd w:val="clear" w:color="auto" w:fill="auto"/>
            <w:vAlign w:val="center"/>
          </w:tcPr>
          <w:p w:rsidR="000C0280" w:rsidRPr="000C0280" w:rsidRDefault="000C0280" w:rsidP="000C0280">
            <w:pPr>
              <w:spacing w:before="20" w:after="20" w:line="240" w:lineRule="auto"/>
              <w:rPr>
                <w:rFonts w:cs="Arial"/>
                <w:bCs/>
                <w:sz w:val="20"/>
                <w:szCs w:val="20"/>
              </w:rPr>
            </w:pPr>
          </w:p>
        </w:tc>
        <w:tc>
          <w:tcPr>
            <w:tcW w:w="9636" w:type="dxa"/>
            <w:tcBorders>
              <w:top w:val="dashed" w:sz="4" w:space="0" w:color="auto"/>
              <w:left w:val="single" w:sz="4" w:space="0" w:color="1F497D"/>
              <w:bottom w:val="single" w:sz="4" w:space="0" w:color="1F497D"/>
              <w:right w:val="single" w:sz="4" w:space="0" w:color="1F497D"/>
            </w:tcBorders>
            <w:shd w:val="clear" w:color="auto" w:fill="auto"/>
            <w:vAlign w:val="center"/>
          </w:tcPr>
          <w:p w:rsidR="000C0280" w:rsidRPr="000C0280" w:rsidRDefault="000C0280" w:rsidP="000C0280">
            <w:pPr>
              <w:spacing w:before="20" w:after="20" w:line="240" w:lineRule="auto"/>
              <w:jc w:val="both"/>
              <w:rPr>
                <w:rFonts w:eastAsia="Times New Roman" w:cs="Arial"/>
                <w:sz w:val="20"/>
                <w:szCs w:val="20"/>
              </w:rPr>
            </w:pPr>
            <w:r w:rsidRPr="000C0280">
              <w:rPr>
                <w:rFonts w:eastAsia="Times New Roman" w:cs="Arial"/>
                <w:sz w:val="20"/>
                <w:szCs w:val="20"/>
              </w:rPr>
              <w:t>1.2. Atingir 100 % de tratamento dos esgotos na área urbana e rural.</w:t>
            </w:r>
          </w:p>
        </w:tc>
        <w:tc>
          <w:tcPr>
            <w:tcW w:w="0" w:type="auto"/>
            <w:tcBorders>
              <w:top w:val="dashed" w:sz="4" w:space="0" w:color="auto"/>
              <w:left w:val="single" w:sz="4" w:space="0" w:color="1F497D"/>
              <w:bottom w:val="single" w:sz="4" w:space="0" w:color="1F497D"/>
              <w:right w:val="nil"/>
            </w:tcBorders>
            <w:shd w:val="clear" w:color="auto" w:fill="auto"/>
            <w:vAlign w:val="center"/>
          </w:tcPr>
          <w:p w:rsidR="000C0280" w:rsidRPr="000C0280" w:rsidRDefault="000C0280" w:rsidP="000C0280">
            <w:pPr>
              <w:spacing w:before="20" w:after="20" w:line="240" w:lineRule="auto"/>
              <w:jc w:val="center"/>
              <w:rPr>
                <w:rFonts w:eastAsia="Times New Roman" w:cs="Arial"/>
                <w:bCs/>
                <w:sz w:val="20"/>
                <w:szCs w:val="20"/>
              </w:rPr>
            </w:pPr>
            <w:r w:rsidRPr="000C0280">
              <w:rPr>
                <w:rFonts w:eastAsia="Times New Roman" w:cs="Arial"/>
                <w:bCs/>
                <w:sz w:val="20"/>
                <w:szCs w:val="20"/>
              </w:rPr>
              <w:t>Curto</w:t>
            </w:r>
          </w:p>
        </w:tc>
      </w:tr>
      <w:tr w:rsidR="000C0280" w:rsidRPr="000C0280" w:rsidTr="000C0280">
        <w:trPr>
          <w:cantSplit/>
          <w:trHeight w:val="20"/>
          <w:jc w:val="center"/>
        </w:trPr>
        <w:tc>
          <w:tcPr>
            <w:tcW w:w="4219" w:type="dxa"/>
            <w:vMerge w:val="restart"/>
            <w:tcBorders>
              <w:top w:val="single" w:sz="4" w:space="0" w:color="1F497D"/>
              <w:left w:val="nil"/>
              <w:right w:val="single" w:sz="4" w:space="0" w:color="1F497D"/>
            </w:tcBorders>
            <w:shd w:val="clear" w:color="auto" w:fill="auto"/>
            <w:vAlign w:val="center"/>
          </w:tcPr>
          <w:p w:rsidR="000C0280" w:rsidRPr="000C0280" w:rsidRDefault="000C0280" w:rsidP="0066661F">
            <w:pPr>
              <w:numPr>
                <w:ilvl w:val="0"/>
                <w:numId w:val="11"/>
              </w:numPr>
              <w:spacing w:before="20" w:after="20" w:line="240" w:lineRule="auto"/>
              <w:ind w:left="260" w:hanging="260"/>
              <w:jc w:val="both"/>
              <w:rPr>
                <w:rFonts w:eastAsia="Times New Roman" w:cs="Arial"/>
                <w:bCs/>
                <w:sz w:val="20"/>
                <w:szCs w:val="20"/>
                <w:lang w:eastAsia="pt-BR"/>
              </w:rPr>
            </w:pPr>
            <w:r w:rsidRPr="000C0280">
              <w:rPr>
                <w:rFonts w:eastAsia="Times New Roman" w:cs="Arial"/>
                <w:bCs/>
                <w:sz w:val="20"/>
                <w:szCs w:val="20"/>
                <w:lang w:eastAsia="pt-BR"/>
              </w:rPr>
              <w:t>Erradicar sistemas de tratamento de esgotos inadequados e implantar dispositivos de saneamento rural.</w:t>
            </w:r>
          </w:p>
        </w:tc>
        <w:tc>
          <w:tcPr>
            <w:tcW w:w="9636" w:type="dxa"/>
            <w:tcBorders>
              <w:top w:val="single" w:sz="4" w:space="0" w:color="1F497D"/>
              <w:left w:val="single" w:sz="4" w:space="0" w:color="1F497D"/>
              <w:bottom w:val="dashed" w:sz="4" w:space="0" w:color="auto"/>
              <w:right w:val="single" w:sz="4" w:space="0" w:color="1F497D"/>
            </w:tcBorders>
            <w:shd w:val="clear" w:color="auto" w:fill="auto"/>
            <w:vAlign w:val="center"/>
          </w:tcPr>
          <w:p w:rsidR="000C0280" w:rsidRPr="000C0280" w:rsidRDefault="000C0280" w:rsidP="000C0280">
            <w:pPr>
              <w:spacing w:before="20" w:after="20" w:line="240" w:lineRule="auto"/>
              <w:jc w:val="both"/>
              <w:rPr>
                <w:rFonts w:cs="Arial"/>
                <w:sz w:val="20"/>
                <w:szCs w:val="20"/>
              </w:rPr>
            </w:pPr>
            <w:r w:rsidRPr="000C0280">
              <w:rPr>
                <w:rFonts w:eastAsia="Times New Roman" w:cs="Arial"/>
                <w:bCs/>
                <w:sz w:val="20"/>
                <w:szCs w:val="20"/>
              </w:rPr>
              <w:t>2.1. Cadastrar todas as fossas (rudimentares e sépticas) existentes no município.</w:t>
            </w:r>
          </w:p>
        </w:tc>
        <w:tc>
          <w:tcPr>
            <w:tcW w:w="0" w:type="auto"/>
            <w:tcBorders>
              <w:top w:val="single" w:sz="4" w:space="0" w:color="1F497D"/>
              <w:left w:val="single" w:sz="4" w:space="0" w:color="1F497D"/>
              <w:bottom w:val="dashed" w:sz="4" w:space="0" w:color="auto"/>
              <w:right w:val="nil"/>
            </w:tcBorders>
            <w:shd w:val="clear" w:color="auto" w:fill="auto"/>
            <w:vAlign w:val="center"/>
          </w:tcPr>
          <w:p w:rsidR="000C0280" w:rsidRPr="000C0280" w:rsidRDefault="000C0280" w:rsidP="000C0280">
            <w:pPr>
              <w:spacing w:before="20" w:after="20" w:line="240" w:lineRule="auto"/>
              <w:jc w:val="center"/>
              <w:rPr>
                <w:rFonts w:cs="Arial"/>
                <w:bCs/>
                <w:sz w:val="20"/>
                <w:szCs w:val="20"/>
              </w:rPr>
            </w:pPr>
            <w:r w:rsidRPr="000C0280">
              <w:rPr>
                <w:rFonts w:eastAsia="Times New Roman" w:cs="Arial"/>
                <w:bCs/>
                <w:sz w:val="20"/>
                <w:szCs w:val="20"/>
              </w:rPr>
              <w:t>Imediato</w:t>
            </w:r>
          </w:p>
        </w:tc>
      </w:tr>
      <w:tr w:rsidR="000C0280" w:rsidRPr="000C0280" w:rsidTr="000C0280">
        <w:trPr>
          <w:cantSplit/>
          <w:trHeight w:val="20"/>
          <w:jc w:val="center"/>
        </w:trPr>
        <w:tc>
          <w:tcPr>
            <w:tcW w:w="4219" w:type="dxa"/>
            <w:vMerge/>
            <w:tcBorders>
              <w:top w:val="single" w:sz="4" w:space="0" w:color="1F497D"/>
              <w:left w:val="nil"/>
              <w:right w:val="single" w:sz="4" w:space="0" w:color="1F497D"/>
            </w:tcBorders>
            <w:shd w:val="clear" w:color="auto" w:fill="auto"/>
            <w:vAlign w:val="center"/>
          </w:tcPr>
          <w:p w:rsidR="000C0280" w:rsidRPr="000C0280" w:rsidRDefault="000C0280" w:rsidP="0066661F">
            <w:pPr>
              <w:numPr>
                <w:ilvl w:val="0"/>
                <w:numId w:val="11"/>
              </w:numPr>
              <w:spacing w:before="20" w:after="20" w:line="240" w:lineRule="auto"/>
              <w:ind w:left="260" w:hanging="260"/>
              <w:jc w:val="both"/>
              <w:rPr>
                <w:rFonts w:eastAsia="Times New Roman" w:cs="Arial"/>
                <w:bCs/>
                <w:sz w:val="20"/>
                <w:szCs w:val="20"/>
                <w:lang w:eastAsia="pt-BR"/>
              </w:rPr>
            </w:pPr>
          </w:p>
        </w:tc>
        <w:tc>
          <w:tcPr>
            <w:tcW w:w="9636" w:type="dxa"/>
            <w:tcBorders>
              <w:top w:val="dashed" w:sz="4" w:space="0" w:color="auto"/>
              <w:left w:val="single" w:sz="4" w:space="0" w:color="1F497D"/>
              <w:bottom w:val="dashed" w:sz="4" w:space="0" w:color="auto"/>
              <w:right w:val="single" w:sz="4" w:space="0" w:color="1F497D"/>
            </w:tcBorders>
            <w:shd w:val="clear" w:color="auto" w:fill="auto"/>
            <w:vAlign w:val="center"/>
          </w:tcPr>
          <w:p w:rsidR="000C0280" w:rsidRPr="000C0280" w:rsidRDefault="000C0280" w:rsidP="000C0280">
            <w:pPr>
              <w:spacing w:before="20" w:after="20" w:line="240" w:lineRule="auto"/>
              <w:jc w:val="both"/>
              <w:rPr>
                <w:rFonts w:cs="Arial"/>
                <w:bCs/>
                <w:sz w:val="20"/>
                <w:szCs w:val="20"/>
              </w:rPr>
            </w:pPr>
            <w:r w:rsidRPr="000C0280">
              <w:rPr>
                <w:rFonts w:eastAsia="Times New Roman" w:cs="Arial"/>
                <w:bCs/>
                <w:sz w:val="20"/>
                <w:szCs w:val="20"/>
              </w:rPr>
              <w:t xml:space="preserve">2.2. Desativar os sistemas de tratamento de esgotos rurais inadequados e lançamentos </w:t>
            </w:r>
            <w:r w:rsidRPr="000C0280">
              <w:rPr>
                <w:rFonts w:eastAsia="Times New Roman" w:cs="Arial"/>
                <w:bCs/>
                <w:i/>
                <w:sz w:val="20"/>
                <w:szCs w:val="20"/>
              </w:rPr>
              <w:t>in natura</w:t>
            </w:r>
            <w:r w:rsidRPr="000C0280">
              <w:rPr>
                <w:rFonts w:eastAsia="Times New Roman" w:cs="Arial"/>
                <w:bCs/>
                <w:sz w:val="20"/>
                <w:szCs w:val="20"/>
              </w:rPr>
              <w:t xml:space="preserve"> dos esgotos.</w:t>
            </w:r>
          </w:p>
        </w:tc>
        <w:tc>
          <w:tcPr>
            <w:tcW w:w="0" w:type="auto"/>
            <w:tcBorders>
              <w:top w:val="dashed" w:sz="4" w:space="0" w:color="auto"/>
              <w:left w:val="single" w:sz="4" w:space="0" w:color="1F497D"/>
              <w:bottom w:val="dashed" w:sz="4" w:space="0" w:color="auto"/>
              <w:right w:val="nil"/>
            </w:tcBorders>
            <w:shd w:val="clear" w:color="auto" w:fill="auto"/>
            <w:vAlign w:val="center"/>
          </w:tcPr>
          <w:p w:rsidR="000C0280" w:rsidRPr="000C0280" w:rsidRDefault="000C0280" w:rsidP="000C0280">
            <w:pPr>
              <w:spacing w:before="20" w:after="20" w:line="240" w:lineRule="auto"/>
              <w:jc w:val="center"/>
              <w:rPr>
                <w:rFonts w:cs="Arial"/>
                <w:bCs/>
                <w:sz w:val="20"/>
                <w:szCs w:val="20"/>
              </w:rPr>
            </w:pPr>
            <w:r w:rsidRPr="000C0280">
              <w:rPr>
                <w:rFonts w:eastAsia="Times New Roman" w:cs="Arial"/>
                <w:bCs/>
                <w:sz w:val="20"/>
                <w:szCs w:val="20"/>
              </w:rPr>
              <w:t>Médio</w:t>
            </w:r>
          </w:p>
        </w:tc>
      </w:tr>
      <w:tr w:rsidR="000C0280" w:rsidRPr="000C0280" w:rsidTr="000C0280">
        <w:trPr>
          <w:cantSplit/>
          <w:trHeight w:val="20"/>
          <w:jc w:val="center"/>
        </w:trPr>
        <w:tc>
          <w:tcPr>
            <w:tcW w:w="4219" w:type="dxa"/>
            <w:vMerge/>
            <w:tcBorders>
              <w:left w:val="nil"/>
              <w:right w:val="single" w:sz="4" w:space="0" w:color="1F497D"/>
            </w:tcBorders>
            <w:shd w:val="clear" w:color="auto" w:fill="auto"/>
            <w:vAlign w:val="center"/>
          </w:tcPr>
          <w:p w:rsidR="000C0280" w:rsidRPr="000C0280" w:rsidRDefault="000C0280" w:rsidP="0066661F">
            <w:pPr>
              <w:numPr>
                <w:ilvl w:val="0"/>
                <w:numId w:val="11"/>
              </w:numPr>
              <w:spacing w:before="20" w:after="20" w:line="240" w:lineRule="auto"/>
              <w:ind w:left="260" w:hanging="260"/>
              <w:jc w:val="both"/>
              <w:rPr>
                <w:rFonts w:eastAsia="Times New Roman" w:cs="Arial"/>
                <w:bCs/>
                <w:sz w:val="20"/>
                <w:szCs w:val="20"/>
                <w:lang w:eastAsia="pt-BR"/>
              </w:rPr>
            </w:pPr>
          </w:p>
        </w:tc>
        <w:tc>
          <w:tcPr>
            <w:tcW w:w="9636" w:type="dxa"/>
            <w:tcBorders>
              <w:top w:val="dashed" w:sz="4" w:space="0" w:color="auto"/>
              <w:left w:val="single" w:sz="4" w:space="0" w:color="1F497D"/>
              <w:bottom w:val="dashed" w:sz="4" w:space="0" w:color="1F497D"/>
              <w:right w:val="single" w:sz="4" w:space="0" w:color="1F497D"/>
            </w:tcBorders>
            <w:shd w:val="clear" w:color="auto" w:fill="auto"/>
            <w:vAlign w:val="center"/>
          </w:tcPr>
          <w:p w:rsidR="000C0280" w:rsidRPr="000C0280" w:rsidRDefault="000C0280" w:rsidP="000C0280">
            <w:pPr>
              <w:spacing w:before="20" w:after="20" w:line="240" w:lineRule="auto"/>
              <w:jc w:val="both"/>
              <w:rPr>
                <w:rFonts w:cs="Arial"/>
                <w:sz w:val="20"/>
                <w:szCs w:val="20"/>
              </w:rPr>
            </w:pPr>
            <w:r w:rsidRPr="000C0280">
              <w:rPr>
                <w:rFonts w:eastAsia="Times New Roman" w:cs="Arial"/>
                <w:bCs/>
                <w:sz w:val="20"/>
                <w:szCs w:val="20"/>
              </w:rPr>
              <w:t>2.3. Implantar sistemas de tratamento adequados para atender às comunidades rurais.</w:t>
            </w:r>
          </w:p>
        </w:tc>
        <w:tc>
          <w:tcPr>
            <w:tcW w:w="0" w:type="auto"/>
            <w:tcBorders>
              <w:top w:val="dashed" w:sz="4" w:space="0" w:color="auto"/>
              <w:left w:val="single" w:sz="4" w:space="0" w:color="1F497D"/>
              <w:bottom w:val="dashed" w:sz="4" w:space="0" w:color="1F497D"/>
              <w:right w:val="nil"/>
            </w:tcBorders>
            <w:shd w:val="clear" w:color="auto" w:fill="auto"/>
            <w:vAlign w:val="center"/>
          </w:tcPr>
          <w:p w:rsidR="000C0280" w:rsidRPr="000C0280" w:rsidRDefault="000C0280" w:rsidP="000C0280">
            <w:pPr>
              <w:spacing w:before="20" w:after="20" w:line="240" w:lineRule="auto"/>
              <w:jc w:val="center"/>
              <w:rPr>
                <w:rFonts w:cs="Arial"/>
                <w:bCs/>
                <w:sz w:val="20"/>
                <w:szCs w:val="20"/>
              </w:rPr>
            </w:pPr>
            <w:r w:rsidRPr="000C0280">
              <w:rPr>
                <w:rFonts w:eastAsia="Times New Roman" w:cs="Arial"/>
                <w:bCs/>
                <w:sz w:val="20"/>
                <w:szCs w:val="20"/>
              </w:rPr>
              <w:t>Médio</w:t>
            </w:r>
          </w:p>
        </w:tc>
      </w:tr>
      <w:tr w:rsidR="000C0280" w:rsidRPr="000C0280" w:rsidTr="000C0280">
        <w:trPr>
          <w:cantSplit/>
          <w:trHeight w:val="20"/>
          <w:jc w:val="center"/>
        </w:trPr>
        <w:tc>
          <w:tcPr>
            <w:tcW w:w="4219" w:type="dxa"/>
            <w:vMerge w:val="restart"/>
            <w:tcBorders>
              <w:top w:val="single" w:sz="4" w:space="0" w:color="1F497D"/>
              <w:left w:val="nil"/>
              <w:right w:val="single" w:sz="4" w:space="0" w:color="1F497D"/>
            </w:tcBorders>
            <w:shd w:val="clear" w:color="auto" w:fill="auto"/>
            <w:vAlign w:val="center"/>
          </w:tcPr>
          <w:p w:rsidR="000C0280" w:rsidRPr="000C0280" w:rsidRDefault="000C0280" w:rsidP="0066661F">
            <w:pPr>
              <w:numPr>
                <w:ilvl w:val="0"/>
                <w:numId w:val="11"/>
              </w:numPr>
              <w:spacing w:before="20" w:after="20" w:line="240" w:lineRule="auto"/>
              <w:ind w:left="360"/>
              <w:jc w:val="both"/>
              <w:rPr>
                <w:rFonts w:eastAsia="Times New Roman" w:cs="Arial"/>
                <w:bCs/>
                <w:sz w:val="20"/>
                <w:szCs w:val="20"/>
                <w:lang w:eastAsia="pt-BR"/>
              </w:rPr>
            </w:pPr>
            <w:r w:rsidRPr="000C0280">
              <w:rPr>
                <w:rFonts w:eastAsia="Times New Roman" w:cs="Arial"/>
                <w:bCs/>
                <w:sz w:val="20"/>
                <w:szCs w:val="20"/>
                <w:lang w:eastAsia="pt-BR"/>
              </w:rPr>
              <w:t>Implementar, para o SES, uma gestão eficiente no que se refere aos aspectos administrativos, operacionais, financeiros, de planejamento estratégico e de sustentabilidade, além de definir instrumentos legais que garantam a regulação do mesmo e a observação das diretrizes aprovadas no presente PMSB.</w:t>
            </w:r>
          </w:p>
        </w:tc>
        <w:tc>
          <w:tcPr>
            <w:tcW w:w="9636" w:type="dxa"/>
            <w:tcBorders>
              <w:top w:val="single" w:sz="4" w:space="0" w:color="1F497D"/>
              <w:left w:val="single" w:sz="4" w:space="0" w:color="1F497D"/>
              <w:bottom w:val="dashed" w:sz="4" w:space="0" w:color="auto"/>
              <w:right w:val="single" w:sz="4" w:space="0" w:color="1F497D"/>
            </w:tcBorders>
            <w:shd w:val="clear" w:color="auto" w:fill="auto"/>
            <w:vAlign w:val="center"/>
          </w:tcPr>
          <w:p w:rsidR="000C0280" w:rsidRPr="000C0280" w:rsidRDefault="000C0280" w:rsidP="000C0280">
            <w:pPr>
              <w:spacing w:before="20" w:after="20" w:line="240" w:lineRule="auto"/>
              <w:jc w:val="both"/>
              <w:rPr>
                <w:rFonts w:cs="Arial"/>
                <w:b/>
                <w:bCs/>
                <w:sz w:val="20"/>
                <w:szCs w:val="20"/>
              </w:rPr>
            </w:pPr>
            <w:r w:rsidRPr="000C0280">
              <w:rPr>
                <w:rFonts w:eastAsia="Times New Roman" w:cs="Arial"/>
                <w:sz w:val="20"/>
                <w:szCs w:val="20"/>
                <w:lang w:eastAsia="pt-BR"/>
              </w:rPr>
              <w:t>3.1. Fazer a adequação do sistema gerencial do SES por meio do planejamento estratégico e da sistematização e interação das atividades de operação, ampliação e modernização da infraestrutura e da gestão político-institucional e financeira do setor.</w:t>
            </w:r>
          </w:p>
        </w:tc>
        <w:tc>
          <w:tcPr>
            <w:tcW w:w="0" w:type="auto"/>
            <w:tcBorders>
              <w:top w:val="single" w:sz="4" w:space="0" w:color="1F497D"/>
              <w:left w:val="single" w:sz="4" w:space="0" w:color="1F497D"/>
              <w:bottom w:val="dashed" w:sz="4" w:space="0" w:color="auto"/>
              <w:right w:val="nil"/>
            </w:tcBorders>
            <w:shd w:val="clear" w:color="auto" w:fill="auto"/>
            <w:vAlign w:val="center"/>
          </w:tcPr>
          <w:p w:rsidR="000C0280" w:rsidRPr="000C0280" w:rsidRDefault="000C0280" w:rsidP="000C0280">
            <w:pPr>
              <w:spacing w:before="20" w:after="20" w:line="240" w:lineRule="auto"/>
              <w:jc w:val="center"/>
              <w:rPr>
                <w:rFonts w:cs="Arial"/>
                <w:b/>
                <w:bCs/>
                <w:sz w:val="20"/>
                <w:szCs w:val="20"/>
              </w:rPr>
            </w:pPr>
            <w:r w:rsidRPr="000C0280">
              <w:rPr>
                <w:rFonts w:cs="Arial"/>
                <w:sz w:val="20"/>
                <w:szCs w:val="20"/>
              </w:rPr>
              <w:t>Imediato</w:t>
            </w:r>
          </w:p>
        </w:tc>
      </w:tr>
      <w:tr w:rsidR="000C0280" w:rsidRPr="000C0280" w:rsidTr="000C0280">
        <w:trPr>
          <w:cantSplit/>
          <w:trHeight w:val="20"/>
          <w:jc w:val="center"/>
        </w:trPr>
        <w:tc>
          <w:tcPr>
            <w:tcW w:w="4219" w:type="dxa"/>
            <w:vMerge/>
            <w:tcBorders>
              <w:left w:val="nil"/>
              <w:right w:val="single" w:sz="4" w:space="0" w:color="1F497D"/>
            </w:tcBorders>
            <w:shd w:val="clear" w:color="auto" w:fill="auto"/>
            <w:vAlign w:val="center"/>
          </w:tcPr>
          <w:p w:rsidR="000C0280" w:rsidRPr="000C0280" w:rsidRDefault="000C0280" w:rsidP="0066661F">
            <w:pPr>
              <w:numPr>
                <w:ilvl w:val="0"/>
                <w:numId w:val="39"/>
              </w:numPr>
              <w:spacing w:before="20" w:after="20" w:line="240" w:lineRule="auto"/>
              <w:ind w:left="260" w:hanging="260"/>
              <w:jc w:val="both"/>
              <w:rPr>
                <w:rFonts w:eastAsia="Times New Roman" w:cs="Arial"/>
                <w:bCs/>
                <w:sz w:val="20"/>
                <w:szCs w:val="20"/>
                <w:lang w:eastAsia="pt-BR"/>
              </w:rPr>
            </w:pPr>
          </w:p>
        </w:tc>
        <w:tc>
          <w:tcPr>
            <w:tcW w:w="9636" w:type="dxa"/>
            <w:tcBorders>
              <w:top w:val="dashed" w:sz="4" w:space="0" w:color="auto"/>
              <w:left w:val="single" w:sz="4" w:space="0" w:color="1F497D"/>
              <w:bottom w:val="dashed" w:sz="4" w:space="0" w:color="auto"/>
              <w:right w:val="single" w:sz="4" w:space="0" w:color="1F497D"/>
            </w:tcBorders>
            <w:shd w:val="clear" w:color="auto" w:fill="auto"/>
            <w:vAlign w:val="center"/>
          </w:tcPr>
          <w:p w:rsidR="000C0280" w:rsidRPr="000C0280" w:rsidRDefault="000C0280" w:rsidP="000C0280">
            <w:pPr>
              <w:spacing w:before="20" w:after="20" w:line="240" w:lineRule="auto"/>
              <w:jc w:val="both"/>
              <w:rPr>
                <w:rFonts w:cs="Arial"/>
                <w:sz w:val="20"/>
                <w:szCs w:val="20"/>
              </w:rPr>
            </w:pPr>
            <w:r w:rsidRPr="000C0280">
              <w:rPr>
                <w:rFonts w:eastAsia="Times New Roman" w:cs="Arial"/>
                <w:sz w:val="20"/>
                <w:szCs w:val="20"/>
                <w:lang w:eastAsia="pt-BR"/>
              </w:rPr>
              <w:t>3.2. Implantar a ETE com instruções em manuais de operação e operá-las adequadamente para que atendam às legislações ambientais vigentes.</w:t>
            </w:r>
          </w:p>
        </w:tc>
        <w:tc>
          <w:tcPr>
            <w:tcW w:w="0" w:type="auto"/>
            <w:tcBorders>
              <w:top w:val="dashed" w:sz="4" w:space="0" w:color="auto"/>
              <w:left w:val="single" w:sz="4" w:space="0" w:color="1F497D"/>
              <w:bottom w:val="dashed" w:sz="4" w:space="0" w:color="auto"/>
              <w:right w:val="nil"/>
            </w:tcBorders>
            <w:shd w:val="clear" w:color="auto" w:fill="auto"/>
            <w:vAlign w:val="center"/>
          </w:tcPr>
          <w:p w:rsidR="000C0280" w:rsidRPr="000C0280" w:rsidRDefault="000C0280" w:rsidP="000C0280">
            <w:pPr>
              <w:spacing w:before="20" w:after="20" w:line="240" w:lineRule="auto"/>
              <w:jc w:val="center"/>
              <w:rPr>
                <w:rFonts w:cs="Arial"/>
                <w:bCs/>
                <w:sz w:val="20"/>
                <w:szCs w:val="20"/>
              </w:rPr>
            </w:pPr>
            <w:r w:rsidRPr="000C0280">
              <w:rPr>
                <w:rFonts w:eastAsia="Times New Roman" w:cs="Arial"/>
                <w:bCs/>
                <w:sz w:val="20"/>
                <w:szCs w:val="20"/>
              </w:rPr>
              <w:t>Curto</w:t>
            </w:r>
          </w:p>
        </w:tc>
      </w:tr>
      <w:tr w:rsidR="000C0280" w:rsidRPr="000C0280" w:rsidTr="000C0280">
        <w:trPr>
          <w:cantSplit/>
          <w:trHeight w:val="20"/>
          <w:jc w:val="center"/>
        </w:trPr>
        <w:tc>
          <w:tcPr>
            <w:tcW w:w="4219" w:type="dxa"/>
            <w:vMerge/>
            <w:tcBorders>
              <w:left w:val="nil"/>
              <w:right w:val="single" w:sz="4" w:space="0" w:color="1F497D"/>
            </w:tcBorders>
            <w:shd w:val="clear" w:color="auto" w:fill="auto"/>
            <w:vAlign w:val="center"/>
          </w:tcPr>
          <w:p w:rsidR="000C0280" w:rsidRPr="000C0280" w:rsidRDefault="000C0280" w:rsidP="0066661F">
            <w:pPr>
              <w:numPr>
                <w:ilvl w:val="0"/>
                <w:numId w:val="39"/>
              </w:numPr>
              <w:spacing w:before="20" w:after="20" w:line="240" w:lineRule="auto"/>
              <w:ind w:left="260" w:hanging="260"/>
              <w:jc w:val="both"/>
              <w:rPr>
                <w:rFonts w:eastAsia="Times New Roman" w:cs="Arial"/>
                <w:bCs/>
                <w:sz w:val="20"/>
                <w:szCs w:val="20"/>
                <w:lang w:eastAsia="pt-BR"/>
              </w:rPr>
            </w:pPr>
          </w:p>
        </w:tc>
        <w:tc>
          <w:tcPr>
            <w:tcW w:w="9636" w:type="dxa"/>
            <w:tcBorders>
              <w:top w:val="dashed" w:sz="4" w:space="0" w:color="auto"/>
              <w:left w:val="single" w:sz="4" w:space="0" w:color="1F497D"/>
              <w:bottom w:val="dashed" w:sz="4" w:space="0" w:color="1F497D"/>
              <w:right w:val="single" w:sz="4" w:space="0" w:color="1F497D"/>
            </w:tcBorders>
            <w:shd w:val="clear" w:color="auto" w:fill="auto"/>
            <w:vAlign w:val="center"/>
          </w:tcPr>
          <w:p w:rsidR="000C0280" w:rsidRPr="000C0280" w:rsidRDefault="000C0280" w:rsidP="000C0280">
            <w:pPr>
              <w:spacing w:before="20" w:after="20" w:line="240" w:lineRule="auto"/>
              <w:jc w:val="both"/>
              <w:rPr>
                <w:rFonts w:cs="Arial"/>
                <w:bCs/>
                <w:sz w:val="20"/>
                <w:szCs w:val="20"/>
              </w:rPr>
            </w:pPr>
            <w:r w:rsidRPr="000C0280">
              <w:rPr>
                <w:rFonts w:eastAsia="Times New Roman" w:cs="Arial"/>
                <w:sz w:val="20"/>
                <w:szCs w:val="20"/>
                <w:lang w:eastAsia="pt-BR"/>
              </w:rPr>
              <w:t>3.3. Alcançar um desempenho financeiro satisfatório.</w:t>
            </w:r>
          </w:p>
        </w:tc>
        <w:tc>
          <w:tcPr>
            <w:tcW w:w="0" w:type="auto"/>
            <w:tcBorders>
              <w:top w:val="dashed" w:sz="4" w:space="0" w:color="auto"/>
              <w:left w:val="single" w:sz="4" w:space="0" w:color="1F497D"/>
              <w:bottom w:val="dashed" w:sz="4" w:space="0" w:color="1F497D"/>
              <w:right w:val="nil"/>
            </w:tcBorders>
            <w:shd w:val="clear" w:color="auto" w:fill="auto"/>
            <w:vAlign w:val="center"/>
          </w:tcPr>
          <w:p w:rsidR="000C0280" w:rsidRPr="000C0280" w:rsidRDefault="000C0280" w:rsidP="000C0280">
            <w:pPr>
              <w:spacing w:before="20" w:after="20" w:line="240" w:lineRule="auto"/>
              <w:jc w:val="center"/>
              <w:rPr>
                <w:rFonts w:cs="Arial"/>
                <w:bCs/>
                <w:sz w:val="20"/>
                <w:szCs w:val="20"/>
              </w:rPr>
            </w:pPr>
            <w:r w:rsidRPr="000C0280">
              <w:rPr>
                <w:rFonts w:eastAsia="Times New Roman" w:cs="Arial"/>
                <w:bCs/>
                <w:sz w:val="20"/>
                <w:szCs w:val="20"/>
              </w:rPr>
              <w:t>Longo</w:t>
            </w:r>
          </w:p>
        </w:tc>
      </w:tr>
      <w:tr w:rsidR="000C0280" w:rsidRPr="000C0280" w:rsidTr="000C0280">
        <w:trPr>
          <w:cantSplit/>
          <w:trHeight w:val="20"/>
          <w:jc w:val="center"/>
        </w:trPr>
        <w:tc>
          <w:tcPr>
            <w:tcW w:w="4219" w:type="dxa"/>
            <w:vMerge/>
            <w:tcBorders>
              <w:left w:val="nil"/>
              <w:right w:val="single" w:sz="4" w:space="0" w:color="1F497D"/>
            </w:tcBorders>
            <w:shd w:val="clear" w:color="auto" w:fill="auto"/>
            <w:vAlign w:val="center"/>
          </w:tcPr>
          <w:p w:rsidR="000C0280" w:rsidRPr="000C0280" w:rsidRDefault="000C0280" w:rsidP="0066661F">
            <w:pPr>
              <w:numPr>
                <w:ilvl w:val="0"/>
                <w:numId w:val="39"/>
              </w:numPr>
              <w:spacing w:before="20" w:after="20" w:line="240" w:lineRule="auto"/>
              <w:ind w:left="260" w:hanging="260"/>
              <w:jc w:val="both"/>
              <w:rPr>
                <w:rFonts w:eastAsia="Times New Roman" w:cs="Arial"/>
                <w:bCs/>
                <w:sz w:val="20"/>
                <w:szCs w:val="20"/>
                <w:lang w:eastAsia="pt-BR"/>
              </w:rPr>
            </w:pPr>
          </w:p>
        </w:tc>
        <w:tc>
          <w:tcPr>
            <w:tcW w:w="9636" w:type="dxa"/>
            <w:tcBorders>
              <w:top w:val="dashed" w:sz="4" w:space="0" w:color="auto"/>
              <w:left w:val="single" w:sz="4" w:space="0" w:color="1F497D"/>
              <w:bottom w:val="single" w:sz="4" w:space="0" w:color="1F497D"/>
              <w:right w:val="single" w:sz="4" w:space="0" w:color="1F497D"/>
            </w:tcBorders>
            <w:shd w:val="clear" w:color="auto" w:fill="auto"/>
            <w:vAlign w:val="center"/>
          </w:tcPr>
          <w:p w:rsidR="000C0280" w:rsidRPr="000C0280" w:rsidRDefault="000C0280" w:rsidP="000C0280">
            <w:pPr>
              <w:spacing w:before="20" w:after="20" w:line="240" w:lineRule="auto"/>
              <w:jc w:val="both"/>
              <w:rPr>
                <w:rFonts w:cs="Arial"/>
                <w:sz w:val="20"/>
                <w:szCs w:val="20"/>
              </w:rPr>
            </w:pPr>
            <w:r w:rsidRPr="000C0280">
              <w:rPr>
                <w:rFonts w:eastAsia="Times New Roman" w:cs="Arial"/>
                <w:sz w:val="20"/>
                <w:szCs w:val="20"/>
                <w:lang w:eastAsia="pt-BR"/>
              </w:rPr>
              <w:t>3.4. Ter um sistema de informações sobre o SES sempre atualizado.</w:t>
            </w:r>
          </w:p>
        </w:tc>
        <w:tc>
          <w:tcPr>
            <w:tcW w:w="0" w:type="auto"/>
            <w:tcBorders>
              <w:top w:val="dashed" w:sz="4" w:space="0" w:color="auto"/>
              <w:left w:val="single" w:sz="4" w:space="0" w:color="1F497D"/>
              <w:bottom w:val="single" w:sz="4" w:space="0" w:color="1F497D"/>
              <w:right w:val="nil"/>
            </w:tcBorders>
            <w:shd w:val="clear" w:color="auto" w:fill="auto"/>
            <w:vAlign w:val="center"/>
          </w:tcPr>
          <w:p w:rsidR="000C0280" w:rsidRPr="000C0280" w:rsidRDefault="000C0280" w:rsidP="000C0280">
            <w:pPr>
              <w:spacing w:before="20" w:after="20" w:line="240" w:lineRule="auto"/>
              <w:jc w:val="center"/>
              <w:rPr>
                <w:rFonts w:cs="Arial"/>
                <w:bCs/>
                <w:sz w:val="20"/>
                <w:szCs w:val="20"/>
              </w:rPr>
            </w:pPr>
            <w:r w:rsidRPr="000C0280">
              <w:rPr>
                <w:rFonts w:eastAsia="Times New Roman" w:cs="Arial"/>
                <w:bCs/>
                <w:sz w:val="20"/>
                <w:szCs w:val="20"/>
              </w:rPr>
              <w:t>Longo</w:t>
            </w:r>
          </w:p>
        </w:tc>
      </w:tr>
      <w:tr w:rsidR="000C0280" w:rsidRPr="000C0280" w:rsidTr="000C0280">
        <w:trPr>
          <w:cantSplit/>
          <w:trHeight w:val="20"/>
          <w:jc w:val="center"/>
        </w:trPr>
        <w:tc>
          <w:tcPr>
            <w:tcW w:w="4219" w:type="dxa"/>
            <w:vMerge w:val="restart"/>
            <w:tcBorders>
              <w:top w:val="single" w:sz="4" w:space="0" w:color="1F497D"/>
              <w:left w:val="nil"/>
              <w:right w:val="single" w:sz="4" w:space="0" w:color="1F497D"/>
            </w:tcBorders>
            <w:shd w:val="clear" w:color="auto" w:fill="auto"/>
            <w:vAlign w:val="center"/>
          </w:tcPr>
          <w:p w:rsidR="000C0280" w:rsidRPr="000C0280" w:rsidRDefault="000C0280" w:rsidP="0066661F">
            <w:pPr>
              <w:numPr>
                <w:ilvl w:val="0"/>
                <w:numId w:val="11"/>
              </w:numPr>
              <w:spacing w:before="20" w:after="20" w:line="240" w:lineRule="auto"/>
              <w:ind w:left="260" w:hanging="260"/>
              <w:jc w:val="both"/>
              <w:rPr>
                <w:rFonts w:eastAsia="Times New Roman" w:cs="Arial"/>
                <w:bCs/>
                <w:sz w:val="20"/>
                <w:szCs w:val="20"/>
                <w:lang w:eastAsia="pt-BR"/>
              </w:rPr>
            </w:pPr>
            <w:r w:rsidRPr="000C0280">
              <w:rPr>
                <w:rFonts w:eastAsia="Times New Roman" w:cs="Arial"/>
                <w:bCs/>
                <w:sz w:val="20"/>
                <w:szCs w:val="20"/>
                <w:lang w:eastAsia="pt-BR"/>
              </w:rPr>
              <w:t>Adequar todo o sistema de esgotamento sanitário de Córrego Novo de forma a atender à legislação ambiental vigente.</w:t>
            </w:r>
          </w:p>
        </w:tc>
        <w:tc>
          <w:tcPr>
            <w:tcW w:w="9636" w:type="dxa"/>
            <w:tcBorders>
              <w:top w:val="single" w:sz="4" w:space="0" w:color="1F497D"/>
              <w:left w:val="single" w:sz="4" w:space="0" w:color="1F497D"/>
              <w:bottom w:val="dashSmallGap" w:sz="4" w:space="0" w:color="1F497D" w:themeColor="text2"/>
              <w:right w:val="single" w:sz="4" w:space="0" w:color="1F497D"/>
            </w:tcBorders>
            <w:shd w:val="clear" w:color="auto" w:fill="auto"/>
            <w:vAlign w:val="center"/>
          </w:tcPr>
          <w:p w:rsidR="000C0280" w:rsidRPr="000C0280" w:rsidRDefault="000C0280" w:rsidP="000C0280">
            <w:pPr>
              <w:spacing w:before="20" w:after="20" w:line="240" w:lineRule="auto"/>
              <w:jc w:val="both"/>
              <w:rPr>
                <w:rFonts w:eastAsia="Times New Roman" w:cs="Arial"/>
                <w:sz w:val="20"/>
                <w:szCs w:val="20"/>
              </w:rPr>
            </w:pPr>
            <w:r w:rsidRPr="000C0280">
              <w:rPr>
                <w:rFonts w:eastAsia="Times New Roman" w:cs="Arial"/>
                <w:sz w:val="20"/>
                <w:szCs w:val="20"/>
                <w:lang w:eastAsia="pt-BR"/>
              </w:rPr>
              <w:t>4.1. Ter todas as outorgas e licenças ambientais da infraestrutura existente relacionadas ao esgotamento sanitário regularizadas.</w:t>
            </w:r>
          </w:p>
        </w:tc>
        <w:tc>
          <w:tcPr>
            <w:tcW w:w="0" w:type="auto"/>
            <w:tcBorders>
              <w:top w:val="single" w:sz="4" w:space="0" w:color="1F497D"/>
              <w:left w:val="single" w:sz="4" w:space="0" w:color="1F497D"/>
              <w:bottom w:val="dashSmallGap" w:sz="4" w:space="0" w:color="1F497D" w:themeColor="text2"/>
              <w:right w:val="nil"/>
            </w:tcBorders>
            <w:shd w:val="clear" w:color="auto" w:fill="auto"/>
            <w:vAlign w:val="center"/>
          </w:tcPr>
          <w:p w:rsidR="000C0280" w:rsidRPr="000C0280" w:rsidRDefault="000C0280" w:rsidP="000C0280">
            <w:pPr>
              <w:spacing w:before="20" w:after="20" w:line="240" w:lineRule="auto"/>
              <w:jc w:val="center"/>
              <w:rPr>
                <w:rFonts w:eastAsia="Times New Roman" w:cs="Arial"/>
                <w:bCs/>
                <w:sz w:val="20"/>
                <w:szCs w:val="20"/>
              </w:rPr>
            </w:pPr>
            <w:r w:rsidRPr="000C0280">
              <w:rPr>
                <w:rFonts w:eastAsia="Times New Roman" w:cs="Arial"/>
                <w:bCs/>
                <w:sz w:val="20"/>
                <w:szCs w:val="20"/>
              </w:rPr>
              <w:t>Curto</w:t>
            </w:r>
          </w:p>
        </w:tc>
      </w:tr>
      <w:tr w:rsidR="000C0280" w:rsidRPr="000C0280" w:rsidTr="000C0280">
        <w:trPr>
          <w:cantSplit/>
          <w:trHeight w:val="20"/>
          <w:jc w:val="center"/>
        </w:trPr>
        <w:tc>
          <w:tcPr>
            <w:tcW w:w="4219" w:type="dxa"/>
            <w:vMerge/>
            <w:tcBorders>
              <w:left w:val="nil"/>
              <w:right w:val="single" w:sz="4" w:space="0" w:color="1F497D"/>
            </w:tcBorders>
            <w:shd w:val="clear" w:color="auto" w:fill="auto"/>
            <w:vAlign w:val="center"/>
          </w:tcPr>
          <w:p w:rsidR="000C0280" w:rsidRPr="000C0280" w:rsidRDefault="000C0280" w:rsidP="0066661F">
            <w:pPr>
              <w:numPr>
                <w:ilvl w:val="0"/>
                <w:numId w:val="39"/>
              </w:numPr>
              <w:spacing w:before="20" w:after="20" w:line="240" w:lineRule="auto"/>
              <w:ind w:left="260" w:hanging="260"/>
              <w:jc w:val="both"/>
              <w:rPr>
                <w:rFonts w:eastAsia="Times New Roman" w:cs="Arial"/>
                <w:bCs/>
                <w:sz w:val="20"/>
                <w:szCs w:val="20"/>
                <w:lang w:eastAsia="pt-BR"/>
              </w:rPr>
            </w:pPr>
          </w:p>
        </w:tc>
        <w:tc>
          <w:tcPr>
            <w:tcW w:w="9636" w:type="dxa"/>
            <w:tcBorders>
              <w:top w:val="dashSmallGap" w:sz="4" w:space="0" w:color="1F497D" w:themeColor="text2"/>
              <w:left w:val="single" w:sz="4" w:space="0" w:color="1F497D"/>
              <w:bottom w:val="single" w:sz="4" w:space="0" w:color="1F497D"/>
              <w:right w:val="single" w:sz="4" w:space="0" w:color="1F497D"/>
            </w:tcBorders>
            <w:shd w:val="clear" w:color="auto" w:fill="auto"/>
            <w:vAlign w:val="center"/>
          </w:tcPr>
          <w:p w:rsidR="000C0280" w:rsidRPr="000C0280" w:rsidRDefault="000C0280" w:rsidP="000C0280">
            <w:pPr>
              <w:spacing w:before="20" w:after="20" w:line="240" w:lineRule="auto"/>
              <w:jc w:val="both"/>
              <w:rPr>
                <w:rFonts w:eastAsia="Times New Roman" w:cs="Arial"/>
                <w:sz w:val="20"/>
                <w:szCs w:val="20"/>
              </w:rPr>
            </w:pPr>
            <w:r w:rsidRPr="000C0280">
              <w:rPr>
                <w:rFonts w:eastAsia="Times New Roman" w:cs="Arial"/>
                <w:sz w:val="20"/>
                <w:szCs w:val="20"/>
              </w:rPr>
              <w:t xml:space="preserve">4.2. </w:t>
            </w:r>
            <w:r w:rsidRPr="000C0280">
              <w:rPr>
                <w:rFonts w:eastAsia="Times New Roman" w:cs="Arial"/>
                <w:sz w:val="20"/>
                <w:szCs w:val="20"/>
                <w:lang w:eastAsia="pt-BR"/>
              </w:rPr>
              <w:t>Ter todas as unidades passíveis de licenciamento e outorgas regularizadas e com acompanhamento do prazo de validade das licenças.</w:t>
            </w:r>
          </w:p>
        </w:tc>
        <w:tc>
          <w:tcPr>
            <w:tcW w:w="0" w:type="auto"/>
            <w:tcBorders>
              <w:top w:val="dashSmallGap" w:sz="4" w:space="0" w:color="1F497D" w:themeColor="text2"/>
              <w:left w:val="single" w:sz="4" w:space="0" w:color="1F497D"/>
              <w:bottom w:val="single" w:sz="4" w:space="0" w:color="1F497D"/>
              <w:right w:val="nil"/>
            </w:tcBorders>
            <w:shd w:val="clear" w:color="auto" w:fill="auto"/>
            <w:vAlign w:val="center"/>
          </w:tcPr>
          <w:p w:rsidR="000C0280" w:rsidRPr="000C0280" w:rsidRDefault="000C0280" w:rsidP="000C0280">
            <w:pPr>
              <w:spacing w:before="20" w:after="20" w:line="240" w:lineRule="auto"/>
              <w:jc w:val="center"/>
              <w:rPr>
                <w:rFonts w:eastAsia="Times New Roman" w:cs="Arial"/>
                <w:bCs/>
                <w:sz w:val="20"/>
                <w:szCs w:val="20"/>
              </w:rPr>
            </w:pPr>
            <w:r w:rsidRPr="000C0280">
              <w:rPr>
                <w:rFonts w:eastAsia="Times New Roman" w:cs="Arial"/>
                <w:bCs/>
                <w:sz w:val="20"/>
                <w:szCs w:val="20"/>
              </w:rPr>
              <w:t>Curto</w:t>
            </w:r>
          </w:p>
        </w:tc>
      </w:tr>
      <w:tr w:rsidR="000C0280" w:rsidRPr="000C0280" w:rsidTr="000C0280">
        <w:trPr>
          <w:cantSplit/>
          <w:trHeight w:val="20"/>
          <w:jc w:val="center"/>
        </w:trPr>
        <w:tc>
          <w:tcPr>
            <w:tcW w:w="4219" w:type="dxa"/>
            <w:vMerge/>
            <w:tcBorders>
              <w:left w:val="nil"/>
              <w:right w:val="single" w:sz="4" w:space="0" w:color="1F497D"/>
            </w:tcBorders>
            <w:shd w:val="clear" w:color="auto" w:fill="auto"/>
            <w:vAlign w:val="center"/>
          </w:tcPr>
          <w:p w:rsidR="000C0280" w:rsidRPr="000C0280" w:rsidRDefault="000C0280" w:rsidP="000C0280">
            <w:pPr>
              <w:spacing w:before="20" w:after="20" w:line="240" w:lineRule="auto"/>
              <w:ind w:left="260"/>
              <w:rPr>
                <w:rFonts w:eastAsia="Times New Roman" w:cs="Arial"/>
                <w:bCs/>
                <w:sz w:val="20"/>
                <w:szCs w:val="20"/>
                <w:lang w:eastAsia="pt-BR"/>
              </w:rPr>
            </w:pPr>
          </w:p>
        </w:tc>
        <w:tc>
          <w:tcPr>
            <w:tcW w:w="9636" w:type="dxa"/>
            <w:tcBorders>
              <w:top w:val="dashSmallGap" w:sz="4" w:space="0" w:color="1F497D" w:themeColor="text2"/>
              <w:left w:val="single" w:sz="4" w:space="0" w:color="1F497D"/>
              <w:bottom w:val="single" w:sz="4" w:space="0" w:color="1F497D"/>
              <w:right w:val="single" w:sz="4" w:space="0" w:color="1F497D"/>
            </w:tcBorders>
            <w:shd w:val="clear" w:color="auto" w:fill="auto"/>
            <w:vAlign w:val="center"/>
          </w:tcPr>
          <w:p w:rsidR="000C0280" w:rsidRPr="000C0280" w:rsidRDefault="000C0280" w:rsidP="000C0280">
            <w:pPr>
              <w:spacing w:before="20" w:after="20" w:line="240" w:lineRule="auto"/>
              <w:jc w:val="both"/>
              <w:rPr>
                <w:rFonts w:eastAsia="Times New Roman" w:cs="Arial"/>
                <w:sz w:val="20"/>
                <w:szCs w:val="20"/>
              </w:rPr>
            </w:pPr>
            <w:r w:rsidRPr="000C0280">
              <w:rPr>
                <w:rFonts w:cs="Arial"/>
                <w:sz w:val="20"/>
                <w:szCs w:val="20"/>
                <w:lang w:eastAsia="pt-BR"/>
              </w:rPr>
              <w:t>4.3 Ter a garantia do acompanhamento do prazo de validade das licenças.</w:t>
            </w:r>
          </w:p>
        </w:tc>
        <w:tc>
          <w:tcPr>
            <w:tcW w:w="0" w:type="auto"/>
            <w:tcBorders>
              <w:top w:val="dashSmallGap" w:sz="4" w:space="0" w:color="1F497D" w:themeColor="text2"/>
              <w:left w:val="single" w:sz="4" w:space="0" w:color="1F497D"/>
              <w:bottom w:val="single" w:sz="4" w:space="0" w:color="1F497D"/>
              <w:right w:val="nil"/>
            </w:tcBorders>
            <w:shd w:val="clear" w:color="auto" w:fill="auto"/>
            <w:vAlign w:val="center"/>
          </w:tcPr>
          <w:p w:rsidR="000C0280" w:rsidRPr="000C0280" w:rsidRDefault="000C0280" w:rsidP="000C0280">
            <w:pPr>
              <w:spacing w:before="20" w:after="20" w:line="240" w:lineRule="auto"/>
              <w:jc w:val="center"/>
              <w:rPr>
                <w:rFonts w:eastAsia="Times New Roman" w:cs="Arial"/>
                <w:bCs/>
                <w:sz w:val="20"/>
                <w:szCs w:val="20"/>
              </w:rPr>
            </w:pPr>
            <w:r w:rsidRPr="000C0280">
              <w:rPr>
                <w:rFonts w:eastAsia="Times New Roman" w:cs="Arial"/>
                <w:bCs/>
                <w:sz w:val="20"/>
                <w:szCs w:val="20"/>
              </w:rPr>
              <w:t>Longo</w:t>
            </w:r>
          </w:p>
        </w:tc>
      </w:tr>
      <w:tr w:rsidR="000C0280" w:rsidRPr="000C0280" w:rsidTr="000C0280">
        <w:trPr>
          <w:cantSplit/>
          <w:trHeight w:val="20"/>
          <w:jc w:val="center"/>
        </w:trPr>
        <w:tc>
          <w:tcPr>
            <w:tcW w:w="4219" w:type="dxa"/>
            <w:vMerge w:val="restart"/>
            <w:tcBorders>
              <w:top w:val="single" w:sz="4" w:space="0" w:color="1F497D"/>
              <w:left w:val="nil"/>
              <w:right w:val="single" w:sz="4" w:space="0" w:color="1F497D"/>
            </w:tcBorders>
            <w:shd w:val="clear" w:color="auto" w:fill="auto"/>
            <w:vAlign w:val="center"/>
          </w:tcPr>
          <w:p w:rsidR="000C0280" w:rsidRPr="000C0280" w:rsidRDefault="000C0280" w:rsidP="0066661F">
            <w:pPr>
              <w:numPr>
                <w:ilvl w:val="0"/>
                <w:numId w:val="11"/>
              </w:numPr>
              <w:spacing w:before="20" w:after="20" w:line="240" w:lineRule="auto"/>
              <w:ind w:left="260" w:hanging="260"/>
              <w:jc w:val="both"/>
              <w:rPr>
                <w:rFonts w:eastAsia="Times New Roman" w:cs="Arial"/>
                <w:bCs/>
                <w:sz w:val="20"/>
                <w:szCs w:val="20"/>
                <w:lang w:eastAsia="pt-BR"/>
              </w:rPr>
            </w:pPr>
            <w:r w:rsidRPr="000C0280">
              <w:rPr>
                <w:rFonts w:eastAsia="Times New Roman" w:cs="Arial"/>
                <w:bCs/>
                <w:sz w:val="20"/>
                <w:szCs w:val="20"/>
                <w:lang w:eastAsia="pt-BR"/>
              </w:rPr>
              <w:t>Instituir canais de comunicação e participação com a sociedade e promover ações continuadas em educação ambiental.</w:t>
            </w:r>
          </w:p>
        </w:tc>
        <w:tc>
          <w:tcPr>
            <w:tcW w:w="9636" w:type="dxa"/>
            <w:tcBorders>
              <w:top w:val="single" w:sz="4" w:space="0" w:color="1F497D"/>
              <w:left w:val="single" w:sz="4" w:space="0" w:color="1F497D"/>
              <w:bottom w:val="dashed" w:sz="4" w:space="0" w:color="auto"/>
              <w:right w:val="single" w:sz="4" w:space="0" w:color="1F497D"/>
            </w:tcBorders>
            <w:shd w:val="clear" w:color="auto" w:fill="auto"/>
          </w:tcPr>
          <w:p w:rsidR="000C0280" w:rsidRPr="000C0280" w:rsidRDefault="000C0280" w:rsidP="000C0280">
            <w:pPr>
              <w:spacing w:before="20" w:after="20" w:line="240" w:lineRule="auto"/>
              <w:jc w:val="both"/>
              <w:rPr>
                <w:rFonts w:eastAsia="Times New Roman" w:cs="Arial"/>
                <w:sz w:val="20"/>
                <w:szCs w:val="20"/>
              </w:rPr>
            </w:pPr>
            <w:r w:rsidRPr="000C0280">
              <w:rPr>
                <w:rFonts w:eastAsia="Times New Roman" w:cs="Arial"/>
                <w:sz w:val="20"/>
                <w:szCs w:val="20"/>
                <w:lang w:eastAsia="pt-BR"/>
              </w:rPr>
              <w:t>5.1. Elaborar um programa de incentivo à participação ativa da população na gestão do SES e nos processos de tomadas de decisão.</w:t>
            </w:r>
          </w:p>
        </w:tc>
        <w:tc>
          <w:tcPr>
            <w:tcW w:w="0" w:type="auto"/>
            <w:tcBorders>
              <w:top w:val="single" w:sz="4" w:space="0" w:color="1F497D"/>
              <w:left w:val="single" w:sz="4" w:space="0" w:color="1F497D"/>
              <w:bottom w:val="dashed" w:sz="4" w:space="0" w:color="auto"/>
              <w:right w:val="nil"/>
            </w:tcBorders>
            <w:shd w:val="clear" w:color="auto" w:fill="auto"/>
            <w:vAlign w:val="center"/>
          </w:tcPr>
          <w:p w:rsidR="000C0280" w:rsidRPr="000C0280" w:rsidRDefault="000C0280" w:rsidP="000C0280">
            <w:pPr>
              <w:spacing w:before="20" w:after="20" w:line="240" w:lineRule="auto"/>
              <w:jc w:val="center"/>
              <w:rPr>
                <w:rFonts w:eastAsia="Times New Roman" w:cs="Arial"/>
                <w:bCs/>
                <w:sz w:val="20"/>
                <w:szCs w:val="20"/>
              </w:rPr>
            </w:pPr>
            <w:r w:rsidRPr="000C0280">
              <w:rPr>
                <w:rFonts w:eastAsia="Times New Roman" w:cs="Arial"/>
                <w:bCs/>
                <w:sz w:val="20"/>
                <w:szCs w:val="20"/>
              </w:rPr>
              <w:t>Longo</w:t>
            </w:r>
          </w:p>
        </w:tc>
      </w:tr>
      <w:tr w:rsidR="000C0280" w:rsidRPr="000C0280" w:rsidTr="000C0280">
        <w:trPr>
          <w:cantSplit/>
          <w:trHeight w:val="20"/>
          <w:jc w:val="center"/>
        </w:trPr>
        <w:tc>
          <w:tcPr>
            <w:tcW w:w="4219" w:type="dxa"/>
            <w:vMerge/>
            <w:tcBorders>
              <w:left w:val="nil"/>
              <w:right w:val="single" w:sz="4" w:space="0" w:color="1F497D"/>
            </w:tcBorders>
            <w:shd w:val="clear" w:color="auto" w:fill="auto"/>
            <w:vAlign w:val="center"/>
          </w:tcPr>
          <w:p w:rsidR="000C0280" w:rsidRPr="000C0280" w:rsidRDefault="000C0280" w:rsidP="0066661F">
            <w:pPr>
              <w:numPr>
                <w:ilvl w:val="0"/>
                <w:numId w:val="39"/>
              </w:numPr>
              <w:spacing w:before="20" w:after="20" w:line="240" w:lineRule="auto"/>
              <w:ind w:left="0" w:firstLine="0"/>
              <w:jc w:val="both"/>
              <w:rPr>
                <w:rFonts w:eastAsia="Times New Roman" w:cs="Arial"/>
                <w:bCs/>
                <w:sz w:val="20"/>
                <w:szCs w:val="20"/>
                <w:lang w:eastAsia="pt-BR"/>
              </w:rPr>
            </w:pPr>
          </w:p>
        </w:tc>
        <w:tc>
          <w:tcPr>
            <w:tcW w:w="9636" w:type="dxa"/>
            <w:tcBorders>
              <w:top w:val="dashed" w:sz="4" w:space="0" w:color="auto"/>
              <w:left w:val="single" w:sz="4" w:space="0" w:color="1F497D"/>
              <w:bottom w:val="dashed" w:sz="4" w:space="0" w:color="auto"/>
              <w:right w:val="single" w:sz="4" w:space="0" w:color="1F497D"/>
            </w:tcBorders>
            <w:shd w:val="clear" w:color="auto" w:fill="auto"/>
            <w:vAlign w:val="center"/>
          </w:tcPr>
          <w:p w:rsidR="000C0280" w:rsidRPr="000C0280" w:rsidRDefault="000C0280" w:rsidP="000C0280">
            <w:pPr>
              <w:spacing w:before="20" w:after="20" w:line="240" w:lineRule="auto"/>
              <w:rPr>
                <w:rFonts w:eastAsia="Times New Roman" w:cs="Arial"/>
                <w:sz w:val="20"/>
                <w:szCs w:val="20"/>
              </w:rPr>
            </w:pPr>
            <w:r w:rsidRPr="000C0280">
              <w:rPr>
                <w:rFonts w:eastAsia="Times New Roman" w:cs="Arial"/>
                <w:sz w:val="20"/>
                <w:szCs w:val="20"/>
                <w:lang w:eastAsia="pt-BR"/>
              </w:rPr>
              <w:t>5.2. Sensibilizar a população sobre questões de escassez de água.</w:t>
            </w:r>
          </w:p>
        </w:tc>
        <w:tc>
          <w:tcPr>
            <w:tcW w:w="0" w:type="auto"/>
            <w:tcBorders>
              <w:top w:val="dashed" w:sz="4" w:space="0" w:color="auto"/>
              <w:left w:val="single" w:sz="4" w:space="0" w:color="1F497D"/>
              <w:bottom w:val="dashed" w:sz="4" w:space="0" w:color="auto"/>
              <w:right w:val="nil"/>
            </w:tcBorders>
            <w:shd w:val="clear" w:color="auto" w:fill="auto"/>
            <w:vAlign w:val="center"/>
          </w:tcPr>
          <w:p w:rsidR="000C0280" w:rsidRPr="000C0280" w:rsidRDefault="000C0280" w:rsidP="000C0280">
            <w:pPr>
              <w:spacing w:before="20" w:after="20" w:line="240" w:lineRule="auto"/>
              <w:jc w:val="center"/>
              <w:rPr>
                <w:rFonts w:eastAsia="Times New Roman" w:cs="Arial"/>
                <w:bCs/>
                <w:sz w:val="20"/>
                <w:szCs w:val="20"/>
              </w:rPr>
            </w:pPr>
            <w:r w:rsidRPr="000C0280">
              <w:rPr>
                <w:rFonts w:eastAsia="Times New Roman" w:cs="Arial"/>
                <w:bCs/>
                <w:sz w:val="20"/>
                <w:szCs w:val="20"/>
              </w:rPr>
              <w:t>Longo</w:t>
            </w:r>
          </w:p>
        </w:tc>
      </w:tr>
      <w:tr w:rsidR="000C0280" w:rsidRPr="000C0280" w:rsidTr="000C0280">
        <w:trPr>
          <w:cantSplit/>
          <w:trHeight w:val="20"/>
          <w:jc w:val="center"/>
        </w:trPr>
        <w:tc>
          <w:tcPr>
            <w:tcW w:w="4219" w:type="dxa"/>
            <w:vMerge/>
            <w:tcBorders>
              <w:left w:val="nil"/>
              <w:right w:val="single" w:sz="4" w:space="0" w:color="1F497D"/>
            </w:tcBorders>
            <w:shd w:val="clear" w:color="auto" w:fill="auto"/>
            <w:vAlign w:val="center"/>
          </w:tcPr>
          <w:p w:rsidR="000C0280" w:rsidRPr="000C0280" w:rsidRDefault="000C0280" w:rsidP="000C0280">
            <w:pPr>
              <w:spacing w:before="20" w:after="20" w:line="240" w:lineRule="auto"/>
              <w:rPr>
                <w:rFonts w:eastAsia="Times New Roman" w:cs="Arial"/>
                <w:bCs/>
                <w:sz w:val="20"/>
                <w:szCs w:val="20"/>
                <w:lang w:eastAsia="pt-BR"/>
              </w:rPr>
            </w:pPr>
          </w:p>
        </w:tc>
        <w:tc>
          <w:tcPr>
            <w:tcW w:w="9636" w:type="dxa"/>
            <w:tcBorders>
              <w:top w:val="dashed" w:sz="4" w:space="0" w:color="auto"/>
              <w:left w:val="single" w:sz="4" w:space="0" w:color="1F497D"/>
              <w:bottom w:val="dashed" w:sz="4" w:space="0" w:color="auto"/>
              <w:right w:val="single" w:sz="4" w:space="0" w:color="1F497D"/>
            </w:tcBorders>
            <w:shd w:val="clear" w:color="auto" w:fill="auto"/>
          </w:tcPr>
          <w:p w:rsidR="000C0280" w:rsidRPr="000C0280" w:rsidRDefault="000C0280" w:rsidP="000C0280">
            <w:pPr>
              <w:spacing w:before="20" w:after="20" w:line="240" w:lineRule="auto"/>
              <w:jc w:val="both"/>
              <w:rPr>
                <w:rFonts w:eastAsia="Times New Roman" w:cs="Arial"/>
                <w:sz w:val="20"/>
                <w:szCs w:val="20"/>
              </w:rPr>
            </w:pPr>
            <w:r w:rsidRPr="000C0280">
              <w:rPr>
                <w:rFonts w:eastAsia="Times New Roman" w:cs="Arial"/>
                <w:sz w:val="20"/>
                <w:szCs w:val="20"/>
                <w:lang w:eastAsia="pt-BR"/>
              </w:rPr>
              <w:t>5.3. Promover canais de comunicação com a população.</w:t>
            </w:r>
          </w:p>
        </w:tc>
        <w:tc>
          <w:tcPr>
            <w:tcW w:w="0" w:type="auto"/>
            <w:tcBorders>
              <w:top w:val="dashed" w:sz="4" w:space="0" w:color="auto"/>
              <w:left w:val="single" w:sz="4" w:space="0" w:color="1F497D"/>
              <w:bottom w:val="dashed" w:sz="4" w:space="0" w:color="auto"/>
              <w:right w:val="nil"/>
            </w:tcBorders>
            <w:shd w:val="clear" w:color="auto" w:fill="auto"/>
            <w:vAlign w:val="center"/>
          </w:tcPr>
          <w:p w:rsidR="000C0280" w:rsidRPr="000C0280" w:rsidRDefault="000C0280" w:rsidP="000C0280">
            <w:pPr>
              <w:spacing w:before="20" w:after="20" w:line="240" w:lineRule="auto"/>
              <w:jc w:val="center"/>
              <w:rPr>
                <w:rFonts w:eastAsia="Times New Roman" w:cs="Arial"/>
                <w:bCs/>
                <w:sz w:val="20"/>
                <w:szCs w:val="20"/>
              </w:rPr>
            </w:pPr>
            <w:r w:rsidRPr="000C0280">
              <w:rPr>
                <w:rFonts w:eastAsia="Times New Roman" w:cs="Arial"/>
                <w:bCs/>
                <w:sz w:val="20"/>
                <w:szCs w:val="20"/>
              </w:rPr>
              <w:t>Longo</w:t>
            </w:r>
          </w:p>
        </w:tc>
      </w:tr>
      <w:tr w:rsidR="000C0280" w:rsidRPr="000C0280" w:rsidTr="000C0280">
        <w:trPr>
          <w:cantSplit/>
          <w:trHeight w:val="20"/>
          <w:jc w:val="center"/>
        </w:trPr>
        <w:tc>
          <w:tcPr>
            <w:tcW w:w="4219" w:type="dxa"/>
            <w:vMerge/>
            <w:tcBorders>
              <w:left w:val="nil"/>
              <w:bottom w:val="single" w:sz="4" w:space="0" w:color="1F497D"/>
              <w:right w:val="single" w:sz="4" w:space="0" w:color="1F497D"/>
            </w:tcBorders>
            <w:shd w:val="clear" w:color="auto" w:fill="auto"/>
            <w:vAlign w:val="center"/>
          </w:tcPr>
          <w:p w:rsidR="000C0280" w:rsidRPr="000C0280" w:rsidRDefault="000C0280" w:rsidP="000C0280">
            <w:pPr>
              <w:spacing w:before="20" w:after="20" w:line="240" w:lineRule="auto"/>
              <w:rPr>
                <w:rFonts w:eastAsia="Times New Roman" w:cs="Arial"/>
                <w:bCs/>
                <w:sz w:val="20"/>
                <w:szCs w:val="20"/>
                <w:lang w:eastAsia="pt-BR"/>
              </w:rPr>
            </w:pPr>
          </w:p>
        </w:tc>
        <w:tc>
          <w:tcPr>
            <w:tcW w:w="9636" w:type="dxa"/>
            <w:tcBorders>
              <w:top w:val="dashed" w:sz="4" w:space="0" w:color="auto"/>
              <w:left w:val="single" w:sz="4" w:space="0" w:color="1F497D"/>
              <w:bottom w:val="single" w:sz="4" w:space="0" w:color="1F497D"/>
              <w:right w:val="single" w:sz="4" w:space="0" w:color="1F497D"/>
            </w:tcBorders>
            <w:shd w:val="clear" w:color="auto" w:fill="auto"/>
          </w:tcPr>
          <w:p w:rsidR="000C0280" w:rsidRPr="000C0280" w:rsidRDefault="000C0280" w:rsidP="000C0280">
            <w:pPr>
              <w:spacing w:before="20" w:after="20" w:line="240" w:lineRule="auto"/>
              <w:jc w:val="both"/>
              <w:rPr>
                <w:rFonts w:cs="Arial"/>
                <w:sz w:val="20"/>
                <w:szCs w:val="20"/>
              </w:rPr>
            </w:pPr>
            <w:r w:rsidRPr="000C0280">
              <w:rPr>
                <w:rFonts w:eastAsia="Times New Roman" w:cs="Arial"/>
                <w:sz w:val="20"/>
                <w:szCs w:val="20"/>
                <w:lang w:eastAsia="pt-BR"/>
              </w:rPr>
              <w:t>5.4. Obter os seguintes índices de respostas satisfatórias às reclamações dos munícipes: 60% no curto prazo e 100% em longo prazo.</w:t>
            </w:r>
          </w:p>
        </w:tc>
        <w:tc>
          <w:tcPr>
            <w:tcW w:w="0" w:type="auto"/>
            <w:tcBorders>
              <w:top w:val="dashed" w:sz="4" w:space="0" w:color="auto"/>
              <w:left w:val="single" w:sz="4" w:space="0" w:color="1F497D"/>
              <w:bottom w:val="single" w:sz="4" w:space="0" w:color="1F497D"/>
              <w:right w:val="nil"/>
            </w:tcBorders>
            <w:shd w:val="clear" w:color="auto" w:fill="auto"/>
            <w:vAlign w:val="center"/>
          </w:tcPr>
          <w:p w:rsidR="000C0280" w:rsidRPr="000C0280" w:rsidRDefault="000C0280" w:rsidP="000C0280">
            <w:pPr>
              <w:spacing w:before="20" w:after="20" w:line="240" w:lineRule="auto"/>
              <w:jc w:val="center"/>
              <w:rPr>
                <w:rFonts w:eastAsia="Times New Roman" w:cs="Arial"/>
                <w:bCs/>
                <w:sz w:val="20"/>
                <w:szCs w:val="20"/>
              </w:rPr>
            </w:pPr>
            <w:r w:rsidRPr="000C0280">
              <w:rPr>
                <w:rFonts w:eastAsia="Times New Roman" w:cs="Arial"/>
                <w:bCs/>
                <w:sz w:val="20"/>
                <w:szCs w:val="20"/>
              </w:rPr>
              <w:t>Longo</w:t>
            </w:r>
          </w:p>
        </w:tc>
      </w:tr>
    </w:tbl>
    <w:p w:rsidR="000C0280" w:rsidRPr="000C0280" w:rsidRDefault="000C0280" w:rsidP="000C0280">
      <w:pPr>
        <w:jc w:val="both"/>
        <w:rPr>
          <w:lang w:eastAsia="pt-BR"/>
        </w:rPr>
        <w:sectPr w:rsidR="000C0280" w:rsidRPr="000C0280" w:rsidSect="000C0280">
          <w:footerReference w:type="default" r:id="rId55"/>
          <w:pgSz w:w="16839" w:h="11907" w:orient="landscape" w:code="9"/>
          <w:pgMar w:top="1418" w:right="1134" w:bottom="1134" w:left="1134" w:header="709" w:footer="709" w:gutter="0"/>
          <w:cols w:space="708"/>
          <w:docGrid w:linePitch="360"/>
        </w:sectPr>
      </w:pPr>
    </w:p>
    <w:p w:rsidR="005043FD" w:rsidRPr="000C0280" w:rsidRDefault="00AC0DC7" w:rsidP="00BC01B1">
      <w:pPr>
        <w:pStyle w:val="Ttulo3"/>
      </w:pPr>
      <w:bookmarkStart w:id="788" w:name="_Toc498594043"/>
      <w:bookmarkStart w:id="789" w:name="_Toc509935535"/>
      <w:r w:rsidRPr="000B1994">
        <w:lastRenderedPageBreak/>
        <w:t>Programas, projetos e ações para o sistema de esgotamento sanitário</w:t>
      </w:r>
      <w:bookmarkEnd w:id="788"/>
      <w:bookmarkEnd w:id="789"/>
    </w:p>
    <w:p w:rsidR="005043FD" w:rsidRPr="00F97827" w:rsidRDefault="000C0280" w:rsidP="005043FD">
      <w:pPr>
        <w:spacing w:before="120" w:after="120"/>
        <w:ind w:firstLine="709"/>
        <w:contextualSpacing/>
        <w:jc w:val="both"/>
        <w:rPr>
          <w:color w:val="FF0000"/>
          <w:szCs w:val="24"/>
          <w:highlight w:val="cyan"/>
        </w:rPr>
      </w:pPr>
      <w:r w:rsidRPr="008B4BB5">
        <w:rPr>
          <w:rFonts w:cs="Arial"/>
          <w:szCs w:val="24"/>
          <w:lang w:eastAsia="pt-BR"/>
        </w:rPr>
        <w:t xml:space="preserve">O </w:t>
      </w:r>
      <w:r>
        <w:rPr>
          <w:rFonts w:cs="Arial"/>
          <w:szCs w:val="24"/>
          <w:lang w:eastAsia="pt-BR"/>
        </w:rPr>
        <w:t>P</w:t>
      </w:r>
      <w:r w:rsidRPr="008B4BB5">
        <w:rPr>
          <w:rFonts w:cs="Arial"/>
          <w:szCs w:val="24"/>
          <w:lang w:eastAsia="pt-BR"/>
        </w:rPr>
        <w:t xml:space="preserve">lano de </w:t>
      </w:r>
      <w:r>
        <w:rPr>
          <w:rFonts w:cs="Arial"/>
          <w:szCs w:val="24"/>
          <w:lang w:eastAsia="pt-BR"/>
        </w:rPr>
        <w:t>A</w:t>
      </w:r>
      <w:r w:rsidRPr="008B4BB5">
        <w:rPr>
          <w:rFonts w:cs="Arial"/>
          <w:szCs w:val="24"/>
          <w:lang w:eastAsia="pt-BR"/>
        </w:rPr>
        <w:t xml:space="preserve">ções do Sistema de Esgotamento Sanitário (SES) para o município </w:t>
      </w:r>
      <w:r w:rsidRPr="00C3618D">
        <w:rPr>
          <w:rFonts w:cs="Arial"/>
          <w:szCs w:val="24"/>
          <w:lang w:eastAsia="pt-BR"/>
        </w:rPr>
        <w:t xml:space="preserve">de </w:t>
      </w:r>
      <w:r w:rsidRPr="00D47734">
        <w:rPr>
          <w:rFonts w:cs="Arial"/>
          <w:szCs w:val="24"/>
          <w:lang w:eastAsia="pt-BR"/>
        </w:rPr>
        <w:t>Córrego Novo</w:t>
      </w:r>
      <w:r w:rsidRPr="00C3618D">
        <w:rPr>
          <w:rFonts w:cs="Arial"/>
          <w:szCs w:val="24"/>
          <w:lang w:eastAsia="pt-BR"/>
        </w:rPr>
        <w:t xml:space="preserve"> tem como objetivo garantir a qualidade da prestação dos serviços, por</w:t>
      </w:r>
      <w:r w:rsidRPr="008B4BB5">
        <w:rPr>
          <w:rFonts w:cs="Arial"/>
          <w:szCs w:val="24"/>
          <w:lang w:eastAsia="pt-BR"/>
        </w:rPr>
        <w:t xml:space="preserve"> meio do atendimento, com coleta e </w:t>
      </w:r>
      <w:r w:rsidRPr="00685A16">
        <w:rPr>
          <w:rFonts w:cs="Arial"/>
          <w:szCs w:val="24"/>
          <w:lang w:eastAsia="pt-BR"/>
        </w:rPr>
        <w:t>tratamento de esgotos em toda a área urbanizada do município (sede e comunidades rurais agrupadas),</w:t>
      </w:r>
      <w:r>
        <w:rPr>
          <w:rFonts w:cs="Arial"/>
          <w:szCs w:val="24"/>
          <w:lang w:eastAsia="pt-BR"/>
        </w:rPr>
        <w:t xml:space="preserve"> b</w:t>
      </w:r>
      <w:r w:rsidRPr="008B4BB5">
        <w:rPr>
          <w:rFonts w:cs="Arial"/>
          <w:szCs w:val="24"/>
          <w:lang w:eastAsia="pt-BR"/>
        </w:rPr>
        <w:t>em como estabelecer soluções técnicas e ambientalmente adequadas para a área rural e propriedades mais isoladas</w:t>
      </w:r>
      <w:r>
        <w:rPr>
          <w:rFonts w:cs="Arial"/>
          <w:szCs w:val="24"/>
          <w:lang w:eastAsia="pt-BR"/>
        </w:rPr>
        <w:t xml:space="preserve">, </w:t>
      </w:r>
      <w:r w:rsidRPr="008B4BB5">
        <w:rPr>
          <w:rFonts w:cs="Arial"/>
          <w:szCs w:val="24"/>
          <w:lang w:eastAsia="pt-BR"/>
        </w:rPr>
        <w:t>além de promover a recuperação e o controle da qualidade dos recursos hídricos</w:t>
      </w:r>
      <w:r>
        <w:rPr>
          <w:rFonts w:cs="Arial"/>
          <w:szCs w:val="24"/>
          <w:lang w:eastAsia="pt-BR"/>
        </w:rPr>
        <w:t>,</w:t>
      </w:r>
      <w:r w:rsidRPr="008B4BB5">
        <w:rPr>
          <w:rFonts w:cs="Arial"/>
          <w:szCs w:val="24"/>
          <w:lang w:eastAsia="pt-BR"/>
        </w:rPr>
        <w:t xml:space="preserve"> através </w:t>
      </w:r>
      <w:r w:rsidRPr="00E96DF2">
        <w:rPr>
          <w:rFonts w:cs="Arial"/>
          <w:szCs w:val="24"/>
          <w:lang w:eastAsia="pt-BR"/>
        </w:rPr>
        <w:t xml:space="preserve">do tratamento de esgotos e da redução das cargas poluentes. </w:t>
      </w:r>
    </w:p>
    <w:p w:rsidR="000C0280" w:rsidRPr="00177557" w:rsidRDefault="000C0280" w:rsidP="000C0280">
      <w:pPr>
        <w:spacing w:before="120" w:after="120"/>
        <w:ind w:firstLine="709"/>
        <w:contextualSpacing/>
        <w:jc w:val="both"/>
        <w:rPr>
          <w:color w:val="000000"/>
          <w:szCs w:val="24"/>
        </w:rPr>
      </w:pPr>
      <w:r>
        <w:rPr>
          <w:color w:val="000000"/>
          <w:szCs w:val="24"/>
        </w:rPr>
        <w:t>Do</w:t>
      </w:r>
      <w:r w:rsidRPr="00AA0F70">
        <w:rPr>
          <w:color w:val="000000"/>
          <w:szCs w:val="24"/>
        </w:rPr>
        <w:t xml:space="preserve"> </w:t>
      </w:r>
      <w:r>
        <w:rPr>
          <w:color w:val="000000"/>
          <w:szCs w:val="24"/>
        </w:rPr>
        <w:fldChar w:fldCharType="begin"/>
      </w:r>
      <w:r>
        <w:rPr>
          <w:color w:val="000000"/>
          <w:szCs w:val="24"/>
        </w:rPr>
        <w:instrText xml:space="preserve"> REF _Ref507656355 \h </w:instrText>
      </w:r>
      <w:r>
        <w:rPr>
          <w:color w:val="000000"/>
          <w:szCs w:val="24"/>
        </w:rPr>
      </w:r>
      <w:r>
        <w:rPr>
          <w:color w:val="000000"/>
          <w:szCs w:val="24"/>
        </w:rPr>
        <w:fldChar w:fldCharType="separate"/>
      </w:r>
      <w:r w:rsidR="001B481B">
        <w:t xml:space="preserve">Quadro </w:t>
      </w:r>
      <w:r w:rsidR="001B481B">
        <w:rPr>
          <w:noProof/>
        </w:rPr>
        <w:t>65</w:t>
      </w:r>
      <w:r>
        <w:rPr>
          <w:color w:val="000000"/>
          <w:szCs w:val="24"/>
        </w:rPr>
        <w:fldChar w:fldCharType="end"/>
      </w:r>
      <w:r>
        <w:rPr>
          <w:color w:val="000000"/>
          <w:szCs w:val="24"/>
        </w:rPr>
        <w:t xml:space="preserve"> ao</w:t>
      </w:r>
      <w:r w:rsidRPr="00AA0F70">
        <w:rPr>
          <w:color w:val="000000"/>
          <w:szCs w:val="24"/>
        </w:rPr>
        <w:t xml:space="preserve"> </w:t>
      </w:r>
      <w:r>
        <w:rPr>
          <w:color w:val="000000"/>
          <w:szCs w:val="24"/>
        </w:rPr>
        <w:fldChar w:fldCharType="begin"/>
      </w:r>
      <w:r>
        <w:rPr>
          <w:color w:val="000000"/>
          <w:szCs w:val="24"/>
        </w:rPr>
        <w:instrText xml:space="preserve"> REF _Ref503280333 \h </w:instrText>
      </w:r>
      <w:r>
        <w:rPr>
          <w:color w:val="000000"/>
          <w:szCs w:val="24"/>
        </w:rPr>
      </w:r>
      <w:r>
        <w:rPr>
          <w:color w:val="000000"/>
          <w:szCs w:val="24"/>
        </w:rPr>
        <w:fldChar w:fldCharType="separate"/>
      </w:r>
      <w:r w:rsidR="001B481B" w:rsidRPr="0068623C">
        <w:t xml:space="preserve">Quadro </w:t>
      </w:r>
      <w:r w:rsidR="001B481B">
        <w:rPr>
          <w:noProof/>
        </w:rPr>
        <w:t>69</w:t>
      </w:r>
      <w:r>
        <w:rPr>
          <w:color w:val="000000"/>
          <w:szCs w:val="24"/>
        </w:rPr>
        <w:fldChar w:fldCharType="end"/>
      </w:r>
      <w:r>
        <w:rPr>
          <w:color w:val="000000"/>
          <w:szCs w:val="24"/>
        </w:rPr>
        <w:t xml:space="preserve"> são </w:t>
      </w:r>
      <w:r w:rsidRPr="00AA0F70">
        <w:rPr>
          <w:color w:val="000000"/>
          <w:szCs w:val="24"/>
        </w:rPr>
        <w:t>a</w:t>
      </w:r>
      <w:r w:rsidRPr="00AA0F70">
        <w:rPr>
          <w:rFonts w:cs="Arial"/>
          <w:szCs w:val="24"/>
        </w:rPr>
        <w:t>presenta</w:t>
      </w:r>
      <w:r>
        <w:rPr>
          <w:rFonts w:cs="Arial"/>
          <w:szCs w:val="24"/>
        </w:rPr>
        <w:t>das</w:t>
      </w:r>
      <w:r w:rsidRPr="00AA0F70">
        <w:rPr>
          <w:rFonts w:cs="Arial"/>
          <w:szCs w:val="24"/>
        </w:rPr>
        <w:t xml:space="preserve"> as ações propostas para adequar o sistema</w:t>
      </w:r>
      <w:r w:rsidRPr="008A19C7">
        <w:rPr>
          <w:rFonts w:cs="Arial"/>
          <w:szCs w:val="24"/>
        </w:rPr>
        <w:t xml:space="preserve"> de esgotamento sanitário, seus respectivos prazos de execução</w:t>
      </w:r>
      <w:r>
        <w:rPr>
          <w:rFonts w:cs="Arial"/>
          <w:szCs w:val="24"/>
        </w:rPr>
        <w:t xml:space="preserve"> e </w:t>
      </w:r>
      <w:r w:rsidRPr="008A19C7">
        <w:rPr>
          <w:rFonts w:cs="Arial"/>
          <w:szCs w:val="24"/>
        </w:rPr>
        <w:t>o custo estimado de cada ação</w:t>
      </w:r>
      <w:r>
        <w:rPr>
          <w:rFonts w:cs="Arial"/>
          <w:szCs w:val="24"/>
        </w:rPr>
        <w:t xml:space="preserve">. </w:t>
      </w:r>
      <w:r w:rsidRPr="002D44C4">
        <w:rPr>
          <w:rFonts w:cs="Arial"/>
          <w:szCs w:val="24"/>
        </w:rPr>
        <w:t xml:space="preserve">Para a implantação de todas as ações previstas neste setor, ao longo de vinte anos, serão necessários </w:t>
      </w:r>
      <w:r w:rsidRPr="00591271">
        <w:rPr>
          <w:b/>
          <w:color w:val="000000"/>
          <w:szCs w:val="24"/>
        </w:rPr>
        <w:t>R$ </w:t>
      </w:r>
      <w:r>
        <w:rPr>
          <w:b/>
          <w:color w:val="000000"/>
          <w:szCs w:val="24"/>
        </w:rPr>
        <w:t>11.317.310,88</w:t>
      </w:r>
      <w:r w:rsidRPr="00591271">
        <w:rPr>
          <w:b/>
          <w:color w:val="000000"/>
          <w:szCs w:val="24"/>
        </w:rPr>
        <w:t xml:space="preserve"> (</w:t>
      </w:r>
      <w:r>
        <w:rPr>
          <w:b/>
          <w:color w:val="000000"/>
          <w:szCs w:val="24"/>
        </w:rPr>
        <w:t>onze milhões</w:t>
      </w:r>
      <w:r w:rsidRPr="00591271">
        <w:rPr>
          <w:b/>
          <w:color w:val="000000"/>
          <w:szCs w:val="24"/>
        </w:rPr>
        <w:t xml:space="preserve">, </w:t>
      </w:r>
      <w:r>
        <w:rPr>
          <w:b/>
          <w:color w:val="000000"/>
          <w:szCs w:val="24"/>
        </w:rPr>
        <w:t xml:space="preserve">trezentos e dezessete </w:t>
      </w:r>
      <w:r w:rsidRPr="00591271">
        <w:rPr>
          <w:b/>
          <w:color w:val="000000"/>
          <w:szCs w:val="24"/>
        </w:rPr>
        <w:t xml:space="preserve">mil, </w:t>
      </w:r>
      <w:r>
        <w:rPr>
          <w:b/>
          <w:color w:val="000000"/>
          <w:szCs w:val="24"/>
        </w:rPr>
        <w:t xml:space="preserve">trezentos e dez  </w:t>
      </w:r>
      <w:r w:rsidRPr="00591271">
        <w:rPr>
          <w:b/>
          <w:color w:val="000000"/>
          <w:szCs w:val="24"/>
        </w:rPr>
        <w:t xml:space="preserve">reais e </w:t>
      </w:r>
      <w:r>
        <w:rPr>
          <w:b/>
          <w:color w:val="000000"/>
          <w:szCs w:val="24"/>
        </w:rPr>
        <w:t>oitenta e oito</w:t>
      </w:r>
      <w:r w:rsidRPr="00591271">
        <w:rPr>
          <w:b/>
          <w:color w:val="000000"/>
          <w:szCs w:val="24"/>
        </w:rPr>
        <w:t xml:space="preserve"> centavos).</w:t>
      </w:r>
      <w:r w:rsidRPr="00177557">
        <w:rPr>
          <w:color w:val="000000"/>
          <w:szCs w:val="24"/>
        </w:rPr>
        <w:t xml:space="preserve"> </w:t>
      </w:r>
    </w:p>
    <w:p w:rsidR="000C0280" w:rsidRPr="00177557" w:rsidRDefault="000C0280" w:rsidP="000C0280">
      <w:pPr>
        <w:ind w:firstLine="425"/>
        <w:jc w:val="both"/>
        <w:rPr>
          <w:color w:val="000000"/>
          <w:szCs w:val="24"/>
        </w:rPr>
      </w:pPr>
    </w:p>
    <w:p w:rsidR="000C0280" w:rsidRDefault="000C0280" w:rsidP="000C0280">
      <w:pPr>
        <w:rPr>
          <w:lang w:eastAsia="x-none"/>
        </w:rPr>
        <w:sectPr w:rsidR="000C0280" w:rsidSect="000C0280">
          <w:footerReference w:type="default" r:id="rId56"/>
          <w:pgSz w:w="11906" w:h="16838"/>
          <w:pgMar w:top="1134" w:right="1134" w:bottom="1134" w:left="1418" w:header="709" w:footer="709" w:gutter="0"/>
          <w:cols w:space="708"/>
          <w:docGrid w:linePitch="360"/>
        </w:sectPr>
      </w:pPr>
    </w:p>
    <w:p w:rsidR="000C0280" w:rsidRPr="0068623C" w:rsidRDefault="000C0280" w:rsidP="000C0280">
      <w:pPr>
        <w:pStyle w:val="Legenda"/>
      </w:pPr>
      <w:bookmarkStart w:id="790" w:name="_Ref507656355"/>
      <w:bookmarkStart w:id="791" w:name="_Toc505788341"/>
      <w:bookmarkStart w:id="792" w:name="_Toc509935842"/>
      <w:r>
        <w:lastRenderedPageBreak/>
        <w:t xml:space="preserve">Quadro </w:t>
      </w:r>
      <w:r w:rsidR="000A1C78">
        <w:fldChar w:fldCharType="begin"/>
      </w:r>
      <w:r w:rsidR="000A1C78">
        <w:instrText xml:space="preserve"> SEQ Quadro \* ARABIC </w:instrText>
      </w:r>
      <w:r w:rsidR="000A1C78">
        <w:fldChar w:fldCharType="separate"/>
      </w:r>
      <w:r w:rsidR="001B481B">
        <w:rPr>
          <w:noProof/>
        </w:rPr>
        <w:t>65</w:t>
      </w:r>
      <w:r w:rsidR="000A1C78">
        <w:rPr>
          <w:noProof/>
        </w:rPr>
        <w:fldChar w:fldCharType="end"/>
      </w:r>
      <w:bookmarkEnd w:id="790"/>
      <w:r w:rsidRPr="0068623C">
        <w:t xml:space="preserve"> - Programas e ações propostos para o setor de esgotamento sanitário - Objetivo 1</w:t>
      </w:r>
      <w:bookmarkEnd w:id="791"/>
      <w:bookmarkEnd w:id="792"/>
    </w:p>
    <w:tbl>
      <w:tblPr>
        <w:tblW w:w="14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65"/>
        <w:gridCol w:w="282"/>
        <w:gridCol w:w="1707"/>
        <w:gridCol w:w="4537"/>
        <w:gridCol w:w="3255"/>
        <w:gridCol w:w="2918"/>
      </w:tblGrid>
      <w:tr w:rsidR="000C0280" w:rsidRPr="0068623C" w:rsidTr="000C0280">
        <w:trPr>
          <w:trHeight w:val="20"/>
          <w:jc w:val="center"/>
        </w:trPr>
        <w:tc>
          <w:tcPr>
            <w:tcW w:w="670" w:type="pct"/>
            <w:shd w:val="clear" w:color="000000" w:fill="C0C0C0"/>
            <w:noWrap/>
            <w:vAlign w:val="center"/>
            <w:hideMark/>
          </w:tcPr>
          <w:p w:rsidR="000C0280" w:rsidRPr="0068623C" w:rsidRDefault="000C0280" w:rsidP="000C0280">
            <w:pPr>
              <w:spacing w:before="20" w:after="20" w:line="240" w:lineRule="auto"/>
              <w:contextualSpacing/>
              <w:rPr>
                <w:rFonts w:eastAsia="Times New Roman" w:cs="Arial"/>
                <w:b/>
                <w:bCs/>
                <w:sz w:val="20"/>
                <w:szCs w:val="20"/>
                <w:lang w:eastAsia="pt-BR"/>
              </w:rPr>
            </w:pPr>
            <w:r w:rsidRPr="0068623C">
              <w:rPr>
                <w:rFonts w:eastAsia="Times New Roman" w:cs="Arial"/>
                <w:b/>
                <w:bCs/>
                <w:sz w:val="20"/>
                <w:szCs w:val="20"/>
                <w:lang w:eastAsia="pt-BR"/>
              </w:rPr>
              <w:t>SETOR</w:t>
            </w:r>
          </w:p>
        </w:tc>
        <w:tc>
          <w:tcPr>
            <w:tcW w:w="96" w:type="pct"/>
            <w:shd w:val="clear" w:color="auto" w:fill="auto"/>
            <w:noWrap/>
            <w:vAlign w:val="center"/>
            <w:hideMark/>
          </w:tcPr>
          <w:p w:rsidR="000C0280" w:rsidRPr="0068623C" w:rsidRDefault="000C0280" w:rsidP="000C0280">
            <w:pPr>
              <w:spacing w:before="20" w:after="20" w:line="240" w:lineRule="auto"/>
              <w:contextualSpacing/>
              <w:rPr>
                <w:rFonts w:eastAsia="Times New Roman" w:cs="Arial"/>
                <w:sz w:val="20"/>
                <w:szCs w:val="20"/>
                <w:lang w:eastAsia="pt-BR"/>
              </w:rPr>
            </w:pPr>
            <w:r w:rsidRPr="0068623C">
              <w:rPr>
                <w:rFonts w:eastAsia="Times New Roman" w:cs="Arial"/>
                <w:sz w:val="20"/>
                <w:szCs w:val="20"/>
                <w:lang w:eastAsia="pt-BR"/>
              </w:rPr>
              <w:t>2</w:t>
            </w:r>
          </w:p>
        </w:tc>
        <w:tc>
          <w:tcPr>
            <w:tcW w:w="4233" w:type="pct"/>
            <w:gridSpan w:val="4"/>
            <w:shd w:val="clear" w:color="auto" w:fill="auto"/>
            <w:noWrap/>
            <w:vAlign w:val="center"/>
            <w:hideMark/>
          </w:tcPr>
          <w:p w:rsidR="000C0280" w:rsidRPr="0068623C" w:rsidRDefault="000C0280" w:rsidP="000C0280">
            <w:pPr>
              <w:spacing w:before="20" w:after="20" w:line="240" w:lineRule="auto"/>
              <w:contextualSpacing/>
              <w:jc w:val="both"/>
              <w:rPr>
                <w:rFonts w:eastAsia="Times New Roman" w:cs="Arial"/>
                <w:sz w:val="20"/>
                <w:szCs w:val="20"/>
                <w:lang w:eastAsia="pt-BR"/>
              </w:rPr>
            </w:pPr>
            <w:r w:rsidRPr="0068623C">
              <w:rPr>
                <w:rFonts w:eastAsia="Times New Roman" w:cs="Arial"/>
                <w:sz w:val="20"/>
                <w:szCs w:val="20"/>
                <w:lang w:eastAsia="pt-BR"/>
              </w:rPr>
              <w:t>Esgotamento Sanitário.</w:t>
            </w:r>
          </w:p>
        </w:tc>
      </w:tr>
      <w:tr w:rsidR="000C0280" w:rsidRPr="0068623C" w:rsidTr="000C0280">
        <w:trPr>
          <w:trHeight w:val="20"/>
          <w:jc w:val="center"/>
        </w:trPr>
        <w:tc>
          <w:tcPr>
            <w:tcW w:w="670" w:type="pct"/>
            <w:shd w:val="clear" w:color="000000" w:fill="C0C0C0"/>
            <w:vAlign w:val="center"/>
            <w:hideMark/>
          </w:tcPr>
          <w:p w:rsidR="000C0280" w:rsidRPr="0068623C" w:rsidRDefault="000C0280" w:rsidP="000C0280">
            <w:pPr>
              <w:spacing w:before="20" w:after="20" w:line="240" w:lineRule="auto"/>
              <w:contextualSpacing/>
              <w:rPr>
                <w:rFonts w:eastAsia="Times New Roman" w:cs="Arial"/>
                <w:b/>
                <w:bCs/>
                <w:sz w:val="20"/>
                <w:szCs w:val="20"/>
                <w:lang w:eastAsia="pt-BR"/>
              </w:rPr>
            </w:pPr>
            <w:r w:rsidRPr="0068623C">
              <w:rPr>
                <w:rFonts w:eastAsia="Times New Roman" w:cs="Arial"/>
                <w:b/>
                <w:bCs/>
                <w:sz w:val="20"/>
                <w:szCs w:val="20"/>
                <w:lang w:eastAsia="pt-BR"/>
              </w:rPr>
              <w:t>OBJETIVO</w:t>
            </w:r>
          </w:p>
        </w:tc>
        <w:tc>
          <w:tcPr>
            <w:tcW w:w="96" w:type="pct"/>
            <w:shd w:val="clear" w:color="auto" w:fill="auto"/>
            <w:vAlign w:val="center"/>
            <w:hideMark/>
          </w:tcPr>
          <w:p w:rsidR="000C0280" w:rsidRPr="0068623C" w:rsidRDefault="000C0280" w:rsidP="000C0280">
            <w:pPr>
              <w:spacing w:before="40" w:after="40" w:line="240" w:lineRule="auto"/>
              <w:rPr>
                <w:rFonts w:eastAsia="Times New Roman" w:cs="Arial"/>
                <w:color w:val="000000"/>
                <w:sz w:val="20"/>
                <w:szCs w:val="20"/>
                <w:lang w:eastAsia="pt-BR"/>
              </w:rPr>
            </w:pPr>
            <w:r w:rsidRPr="0068623C">
              <w:rPr>
                <w:rFonts w:eastAsia="Times New Roman" w:cs="Arial"/>
                <w:color w:val="000000"/>
                <w:sz w:val="20"/>
                <w:szCs w:val="20"/>
                <w:lang w:eastAsia="pt-BR"/>
              </w:rPr>
              <w:t>1</w:t>
            </w:r>
          </w:p>
        </w:tc>
        <w:tc>
          <w:tcPr>
            <w:tcW w:w="4233" w:type="pct"/>
            <w:gridSpan w:val="4"/>
            <w:shd w:val="clear" w:color="auto" w:fill="auto"/>
            <w:vAlign w:val="center"/>
            <w:hideMark/>
          </w:tcPr>
          <w:p w:rsidR="000C0280" w:rsidRPr="0068623C" w:rsidRDefault="000C0280" w:rsidP="000C0280">
            <w:pPr>
              <w:spacing w:before="40" w:after="40" w:line="240" w:lineRule="auto"/>
              <w:rPr>
                <w:rFonts w:eastAsia="Times New Roman" w:cs="Arial"/>
                <w:sz w:val="20"/>
                <w:szCs w:val="20"/>
                <w:lang w:eastAsia="pt-BR"/>
              </w:rPr>
            </w:pPr>
            <w:r w:rsidRPr="0068623C">
              <w:rPr>
                <w:rFonts w:eastAsia="Times New Roman" w:cs="Arial"/>
                <w:sz w:val="20"/>
                <w:szCs w:val="20"/>
                <w:lang w:eastAsia="pt-BR"/>
              </w:rPr>
              <w:t>Atender com serviços de coleta, afastamento e tratamento a 100% dos esgotos produzidos nas áreas urbanizadas, rurais e aglomerados do município de Córrego Novo.</w:t>
            </w:r>
          </w:p>
        </w:tc>
      </w:tr>
      <w:tr w:rsidR="000C0280" w:rsidRPr="0068623C" w:rsidTr="000C0280">
        <w:trPr>
          <w:trHeight w:val="20"/>
          <w:jc w:val="center"/>
        </w:trPr>
        <w:tc>
          <w:tcPr>
            <w:tcW w:w="670" w:type="pct"/>
            <w:shd w:val="clear" w:color="000000" w:fill="C0C0C0"/>
            <w:vAlign w:val="center"/>
          </w:tcPr>
          <w:p w:rsidR="000C0280" w:rsidRPr="00884066" w:rsidRDefault="000C0280" w:rsidP="000C0280">
            <w:pPr>
              <w:spacing w:before="20" w:after="20" w:line="240" w:lineRule="auto"/>
              <w:contextualSpacing/>
              <w:rPr>
                <w:rFonts w:eastAsia="Times New Roman" w:cs="Arial"/>
                <w:b/>
                <w:bCs/>
                <w:sz w:val="20"/>
                <w:szCs w:val="20"/>
                <w:lang w:eastAsia="pt-BR"/>
              </w:rPr>
            </w:pPr>
            <w:r w:rsidRPr="00884066">
              <w:rPr>
                <w:rFonts w:eastAsia="Times New Roman" w:cs="Arial"/>
                <w:b/>
                <w:bCs/>
                <w:sz w:val="20"/>
                <w:szCs w:val="20"/>
                <w:lang w:eastAsia="pt-BR"/>
              </w:rPr>
              <w:t>INDICADOR DE MONITORAMENTO</w:t>
            </w:r>
          </w:p>
        </w:tc>
        <w:tc>
          <w:tcPr>
            <w:tcW w:w="4330" w:type="pct"/>
            <w:gridSpan w:val="5"/>
            <w:shd w:val="clear" w:color="auto" w:fill="auto"/>
            <w:vAlign w:val="center"/>
          </w:tcPr>
          <w:p w:rsidR="000C0280" w:rsidRPr="00884066" w:rsidRDefault="000C0280" w:rsidP="000C0280">
            <w:pPr>
              <w:spacing w:before="40" w:after="40" w:line="240" w:lineRule="auto"/>
              <w:rPr>
                <w:rFonts w:eastAsia="Times New Roman" w:cs="Arial"/>
                <w:sz w:val="20"/>
                <w:szCs w:val="20"/>
                <w:lang w:eastAsia="pt-BR"/>
              </w:rPr>
            </w:pPr>
            <w:r w:rsidRPr="00884066">
              <w:rPr>
                <w:rFonts w:eastAsia="Times New Roman" w:cs="Arial"/>
                <w:sz w:val="20"/>
                <w:szCs w:val="20"/>
                <w:lang w:eastAsia="pt-BR"/>
              </w:rPr>
              <w:t>Indicador de cobertura dos serviços de esgotamento sanitário.</w:t>
            </w:r>
          </w:p>
        </w:tc>
      </w:tr>
      <w:tr w:rsidR="000C0280" w:rsidRPr="0068623C" w:rsidTr="000C0280">
        <w:trPr>
          <w:trHeight w:val="20"/>
          <w:jc w:val="center"/>
        </w:trPr>
        <w:tc>
          <w:tcPr>
            <w:tcW w:w="5000" w:type="pct"/>
            <w:gridSpan w:val="6"/>
            <w:shd w:val="clear" w:color="000000" w:fill="C0C0C0"/>
            <w:noWrap/>
            <w:vAlign w:val="center"/>
            <w:hideMark/>
          </w:tcPr>
          <w:p w:rsidR="000C0280" w:rsidRPr="0068623C" w:rsidRDefault="000C0280" w:rsidP="000C0280">
            <w:pPr>
              <w:spacing w:before="20" w:after="20"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PRAZO DE ENTREGA DA META (ANOS)</w:t>
            </w:r>
          </w:p>
        </w:tc>
      </w:tr>
      <w:tr w:rsidR="000C0280" w:rsidRPr="0068623C" w:rsidTr="000C0280">
        <w:trPr>
          <w:trHeight w:val="20"/>
          <w:jc w:val="center"/>
        </w:trPr>
        <w:tc>
          <w:tcPr>
            <w:tcW w:w="1348" w:type="pct"/>
            <w:gridSpan w:val="3"/>
            <w:shd w:val="clear" w:color="000000" w:fill="C0C0C0"/>
            <w:noWrap/>
            <w:vAlign w:val="center"/>
            <w:hideMark/>
          </w:tcPr>
          <w:p w:rsidR="000C0280" w:rsidRPr="0068623C" w:rsidRDefault="000C0280" w:rsidP="000C0280">
            <w:pPr>
              <w:spacing w:line="240" w:lineRule="auto"/>
              <w:jc w:val="center"/>
              <w:rPr>
                <w:rFonts w:eastAsia="Times New Roman" w:cs="Arial"/>
                <w:b/>
                <w:bCs/>
                <w:sz w:val="20"/>
                <w:szCs w:val="20"/>
                <w:lang w:eastAsia="pt-BR"/>
              </w:rPr>
            </w:pPr>
            <w:r w:rsidRPr="0068623C">
              <w:rPr>
                <w:rFonts w:eastAsia="Times New Roman" w:cs="Arial"/>
                <w:b/>
                <w:bCs/>
                <w:sz w:val="20"/>
                <w:szCs w:val="20"/>
                <w:lang w:eastAsia="pt-BR"/>
              </w:rPr>
              <w:t>IMEDIATO (0 a 3)</w:t>
            </w:r>
          </w:p>
        </w:tc>
        <w:tc>
          <w:tcPr>
            <w:tcW w:w="1547" w:type="pct"/>
            <w:shd w:val="clear" w:color="000000" w:fill="C0C0C0"/>
            <w:noWrap/>
            <w:vAlign w:val="center"/>
            <w:hideMark/>
          </w:tcPr>
          <w:p w:rsidR="000C0280" w:rsidRPr="0068623C" w:rsidRDefault="000C0280" w:rsidP="000C0280">
            <w:pPr>
              <w:spacing w:line="240" w:lineRule="auto"/>
              <w:jc w:val="center"/>
              <w:rPr>
                <w:rFonts w:eastAsia="Times New Roman" w:cs="Arial"/>
                <w:b/>
                <w:bCs/>
                <w:sz w:val="20"/>
                <w:szCs w:val="20"/>
                <w:lang w:eastAsia="pt-BR"/>
              </w:rPr>
            </w:pPr>
            <w:r w:rsidRPr="0068623C">
              <w:rPr>
                <w:rFonts w:eastAsia="Times New Roman" w:cs="Arial"/>
                <w:b/>
                <w:bCs/>
                <w:sz w:val="20"/>
                <w:szCs w:val="20"/>
                <w:lang w:eastAsia="pt-BR"/>
              </w:rPr>
              <w:t>CURTO (4 a 8)</w:t>
            </w:r>
          </w:p>
        </w:tc>
        <w:tc>
          <w:tcPr>
            <w:tcW w:w="1110" w:type="pct"/>
            <w:shd w:val="clear" w:color="000000" w:fill="C0C0C0"/>
            <w:noWrap/>
            <w:vAlign w:val="center"/>
            <w:hideMark/>
          </w:tcPr>
          <w:p w:rsidR="000C0280" w:rsidRPr="0068623C" w:rsidRDefault="000C0280" w:rsidP="000C0280">
            <w:pPr>
              <w:spacing w:line="240" w:lineRule="auto"/>
              <w:jc w:val="center"/>
              <w:rPr>
                <w:rFonts w:eastAsia="Times New Roman" w:cs="Arial"/>
                <w:b/>
                <w:bCs/>
                <w:sz w:val="20"/>
                <w:szCs w:val="20"/>
                <w:lang w:eastAsia="pt-BR"/>
              </w:rPr>
            </w:pPr>
            <w:r w:rsidRPr="0068623C">
              <w:rPr>
                <w:rFonts w:eastAsia="Times New Roman" w:cs="Arial"/>
                <w:b/>
                <w:bCs/>
                <w:sz w:val="20"/>
                <w:szCs w:val="20"/>
                <w:lang w:eastAsia="pt-BR"/>
              </w:rPr>
              <w:t>MÉDIO (9 a 12)</w:t>
            </w:r>
          </w:p>
        </w:tc>
        <w:tc>
          <w:tcPr>
            <w:tcW w:w="995" w:type="pct"/>
            <w:shd w:val="clear" w:color="000000" w:fill="C0C0C0"/>
            <w:noWrap/>
            <w:vAlign w:val="center"/>
            <w:hideMark/>
          </w:tcPr>
          <w:p w:rsidR="000C0280" w:rsidRPr="0068623C" w:rsidRDefault="000C0280" w:rsidP="000C0280">
            <w:pPr>
              <w:spacing w:line="240" w:lineRule="auto"/>
              <w:jc w:val="center"/>
              <w:rPr>
                <w:rFonts w:eastAsia="Times New Roman" w:cs="Arial"/>
                <w:b/>
                <w:bCs/>
                <w:sz w:val="20"/>
                <w:szCs w:val="20"/>
                <w:lang w:eastAsia="pt-BR"/>
              </w:rPr>
            </w:pPr>
            <w:r w:rsidRPr="0068623C">
              <w:rPr>
                <w:rFonts w:eastAsia="Times New Roman" w:cs="Arial"/>
                <w:b/>
                <w:bCs/>
                <w:sz w:val="20"/>
                <w:szCs w:val="20"/>
                <w:lang w:eastAsia="pt-BR"/>
              </w:rPr>
              <w:t>LONGO (13 a 20)</w:t>
            </w:r>
          </w:p>
        </w:tc>
      </w:tr>
      <w:tr w:rsidR="000C0280" w:rsidRPr="0068623C" w:rsidTr="000C0280">
        <w:trPr>
          <w:trHeight w:val="20"/>
          <w:jc w:val="center"/>
        </w:trPr>
        <w:tc>
          <w:tcPr>
            <w:tcW w:w="1348" w:type="pct"/>
            <w:gridSpan w:val="3"/>
            <w:shd w:val="clear" w:color="auto" w:fill="auto"/>
            <w:noWrap/>
            <w:vAlign w:val="center"/>
          </w:tcPr>
          <w:p w:rsidR="000C0280" w:rsidRPr="0068623C" w:rsidRDefault="000C0280" w:rsidP="000C0280">
            <w:pPr>
              <w:spacing w:before="20" w:after="20" w:line="240" w:lineRule="auto"/>
              <w:jc w:val="both"/>
              <w:rPr>
                <w:rFonts w:cs="Arial"/>
                <w:bCs/>
                <w:sz w:val="20"/>
                <w:szCs w:val="20"/>
              </w:rPr>
            </w:pPr>
          </w:p>
        </w:tc>
        <w:tc>
          <w:tcPr>
            <w:tcW w:w="1547" w:type="pct"/>
            <w:shd w:val="clear" w:color="auto" w:fill="auto"/>
            <w:noWrap/>
            <w:vAlign w:val="center"/>
            <w:hideMark/>
          </w:tcPr>
          <w:p w:rsidR="000C0280" w:rsidRPr="0068623C" w:rsidRDefault="000C0280" w:rsidP="000C0280">
            <w:pPr>
              <w:spacing w:before="20" w:after="20" w:line="240" w:lineRule="auto"/>
              <w:jc w:val="both"/>
              <w:rPr>
                <w:rFonts w:eastAsia="Times New Roman" w:cs="Arial"/>
                <w:sz w:val="20"/>
                <w:szCs w:val="20"/>
              </w:rPr>
            </w:pPr>
            <w:r w:rsidRPr="0068623C">
              <w:rPr>
                <w:rFonts w:eastAsia="Times New Roman" w:cs="Arial"/>
                <w:sz w:val="20"/>
                <w:szCs w:val="20"/>
              </w:rPr>
              <w:t>Meta 1.1. Aumentar o índice de cobertura de coleta e afastamento dos esgotos para 100 % na área urbana do município.</w:t>
            </w:r>
          </w:p>
          <w:p w:rsidR="000C0280" w:rsidRPr="0068623C" w:rsidRDefault="000C0280" w:rsidP="000C0280">
            <w:pPr>
              <w:spacing w:before="20" w:after="20" w:line="240" w:lineRule="auto"/>
              <w:jc w:val="both"/>
              <w:rPr>
                <w:rFonts w:cs="Arial"/>
                <w:bCs/>
                <w:sz w:val="20"/>
                <w:szCs w:val="20"/>
              </w:rPr>
            </w:pPr>
            <w:r w:rsidRPr="0068623C">
              <w:rPr>
                <w:rFonts w:eastAsia="Times New Roman" w:cs="Arial"/>
                <w:sz w:val="20"/>
                <w:szCs w:val="20"/>
              </w:rPr>
              <w:t>Meta 1.2. Atingir 100 % de tratamento dos esgotos na área urbana e rural.</w:t>
            </w:r>
          </w:p>
        </w:tc>
        <w:tc>
          <w:tcPr>
            <w:tcW w:w="1110" w:type="pct"/>
            <w:shd w:val="clear" w:color="auto" w:fill="auto"/>
            <w:noWrap/>
            <w:vAlign w:val="center"/>
          </w:tcPr>
          <w:p w:rsidR="000C0280" w:rsidRPr="0068623C" w:rsidRDefault="000C0280" w:rsidP="000C0280">
            <w:pPr>
              <w:spacing w:before="20" w:after="20" w:line="240" w:lineRule="auto"/>
              <w:jc w:val="both"/>
              <w:rPr>
                <w:rFonts w:cs="Arial"/>
                <w:bCs/>
                <w:sz w:val="20"/>
                <w:szCs w:val="20"/>
              </w:rPr>
            </w:pPr>
          </w:p>
        </w:tc>
        <w:tc>
          <w:tcPr>
            <w:tcW w:w="995" w:type="pct"/>
            <w:shd w:val="clear" w:color="auto" w:fill="auto"/>
            <w:noWrap/>
            <w:vAlign w:val="center"/>
          </w:tcPr>
          <w:p w:rsidR="000C0280" w:rsidRPr="0068623C" w:rsidRDefault="000C0280" w:rsidP="000C0280">
            <w:pPr>
              <w:spacing w:before="20" w:after="20" w:line="240" w:lineRule="auto"/>
              <w:jc w:val="both"/>
              <w:rPr>
                <w:rFonts w:cs="Arial"/>
                <w:bCs/>
                <w:sz w:val="20"/>
                <w:szCs w:val="20"/>
              </w:rPr>
            </w:pPr>
          </w:p>
        </w:tc>
      </w:tr>
    </w:tbl>
    <w:p w:rsidR="000C0280" w:rsidRPr="0068623C" w:rsidRDefault="000C0280" w:rsidP="000C0280">
      <w:pPr>
        <w:rPr>
          <w:sz w:val="2"/>
          <w:szCs w:val="2"/>
          <w:lang w:eastAsia="x-none"/>
        </w:rPr>
      </w:pPr>
    </w:p>
    <w:tbl>
      <w:tblPr>
        <w:tblW w:w="14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97"/>
        <w:gridCol w:w="7228"/>
        <w:gridCol w:w="1774"/>
        <w:gridCol w:w="1633"/>
        <w:gridCol w:w="2942"/>
      </w:tblGrid>
      <w:tr w:rsidR="000C0280" w:rsidRPr="0068623C" w:rsidTr="000C0280">
        <w:trPr>
          <w:trHeight w:val="20"/>
          <w:tblHeader/>
          <w:jc w:val="center"/>
        </w:trPr>
        <w:tc>
          <w:tcPr>
            <w:tcW w:w="1097" w:type="dxa"/>
            <w:shd w:val="clear" w:color="000000" w:fill="C0C0C0"/>
            <w:vAlign w:val="center"/>
          </w:tcPr>
          <w:p w:rsidR="000C0280" w:rsidRPr="0068623C" w:rsidRDefault="000C0280" w:rsidP="000C0280">
            <w:pPr>
              <w:spacing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CÓDIGO</w:t>
            </w:r>
          </w:p>
          <w:p w:rsidR="000C0280" w:rsidRPr="0068623C" w:rsidRDefault="000C0280" w:rsidP="000C0280">
            <w:pPr>
              <w:spacing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(s/o/m/a)*</w:t>
            </w:r>
          </w:p>
        </w:tc>
        <w:tc>
          <w:tcPr>
            <w:tcW w:w="7228" w:type="dxa"/>
            <w:shd w:val="clear" w:color="000000" w:fill="C0C0C0"/>
            <w:vAlign w:val="center"/>
          </w:tcPr>
          <w:p w:rsidR="000C0280" w:rsidRPr="0068623C" w:rsidRDefault="000C0280" w:rsidP="000C0280">
            <w:pPr>
              <w:spacing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DESCRIÇÃO</w:t>
            </w:r>
          </w:p>
        </w:tc>
        <w:tc>
          <w:tcPr>
            <w:tcW w:w="1774" w:type="dxa"/>
            <w:shd w:val="clear" w:color="000000" w:fill="C0C0C0"/>
            <w:vAlign w:val="center"/>
          </w:tcPr>
          <w:p w:rsidR="000C0280" w:rsidRPr="0068623C" w:rsidRDefault="000C0280" w:rsidP="000C0280">
            <w:pPr>
              <w:spacing w:line="240" w:lineRule="auto"/>
              <w:ind w:firstLine="72"/>
              <w:jc w:val="center"/>
              <w:rPr>
                <w:rFonts w:eastAsia="Times New Roman" w:cs="Arial"/>
                <w:b/>
                <w:bCs/>
                <w:sz w:val="20"/>
                <w:szCs w:val="20"/>
                <w:lang w:eastAsia="pt-BR"/>
              </w:rPr>
            </w:pPr>
            <w:r w:rsidRPr="0068623C">
              <w:rPr>
                <w:rFonts w:eastAsia="Times New Roman" w:cs="Arial"/>
                <w:b/>
                <w:bCs/>
                <w:sz w:val="20"/>
                <w:szCs w:val="20"/>
                <w:lang w:eastAsia="pt-BR"/>
              </w:rPr>
              <w:t>Período de desenvolvimento da ação</w:t>
            </w:r>
          </w:p>
          <w:p w:rsidR="000C0280" w:rsidRPr="0068623C" w:rsidRDefault="000C0280" w:rsidP="000C0280">
            <w:pPr>
              <w:spacing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(ano)</w:t>
            </w:r>
          </w:p>
        </w:tc>
        <w:tc>
          <w:tcPr>
            <w:tcW w:w="1633" w:type="dxa"/>
            <w:shd w:val="clear" w:color="000000" w:fill="C0C0C0"/>
            <w:vAlign w:val="center"/>
          </w:tcPr>
          <w:p w:rsidR="000C0280" w:rsidRPr="0068623C" w:rsidRDefault="000C0280" w:rsidP="000C0280">
            <w:pPr>
              <w:spacing w:line="240" w:lineRule="auto"/>
              <w:ind w:left="64" w:firstLine="8"/>
              <w:jc w:val="center"/>
              <w:rPr>
                <w:rFonts w:eastAsia="Times New Roman" w:cs="Arial"/>
                <w:b/>
                <w:bCs/>
                <w:sz w:val="20"/>
                <w:szCs w:val="20"/>
                <w:lang w:eastAsia="pt-BR"/>
              </w:rPr>
            </w:pPr>
            <w:r w:rsidRPr="0068623C">
              <w:rPr>
                <w:rFonts w:eastAsia="Times New Roman" w:cs="Arial"/>
                <w:b/>
                <w:bCs/>
                <w:sz w:val="20"/>
                <w:szCs w:val="20"/>
                <w:lang w:eastAsia="pt-BR"/>
              </w:rPr>
              <w:t>Custo total na moeda de 2017</w:t>
            </w:r>
          </w:p>
          <w:p w:rsidR="000C0280" w:rsidRPr="0068623C" w:rsidRDefault="000C0280" w:rsidP="000C0280">
            <w:pPr>
              <w:spacing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(R$)</w:t>
            </w:r>
          </w:p>
        </w:tc>
        <w:tc>
          <w:tcPr>
            <w:tcW w:w="2942" w:type="dxa"/>
            <w:shd w:val="clear" w:color="000000" w:fill="C0C0C0"/>
            <w:vAlign w:val="center"/>
          </w:tcPr>
          <w:p w:rsidR="000C0280" w:rsidRPr="0068623C" w:rsidRDefault="000C0280" w:rsidP="000C0280">
            <w:pPr>
              <w:spacing w:line="240" w:lineRule="auto"/>
              <w:ind w:left="64" w:firstLine="8"/>
              <w:jc w:val="center"/>
              <w:rPr>
                <w:rFonts w:eastAsia="Times New Roman" w:cs="Arial"/>
                <w:b/>
                <w:bCs/>
                <w:sz w:val="20"/>
                <w:szCs w:val="20"/>
                <w:lang w:eastAsia="pt-BR"/>
              </w:rPr>
            </w:pPr>
            <w:r w:rsidRPr="0068623C">
              <w:rPr>
                <w:rFonts w:eastAsia="Times New Roman" w:cs="Arial"/>
                <w:b/>
                <w:bCs/>
                <w:sz w:val="20"/>
                <w:szCs w:val="20"/>
                <w:lang w:eastAsia="pt-BR"/>
              </w:rPr>
              <w:t>Responsável pela ação</w:t>
            </w:r>
          </w:p>
        </w:tc>
      </w:tr>
      <w:tr w:rsidR="000C0280" w:rsidRPr="0068623C" w:rsidTr="000C0280">
        <w:trPr>
          <w:trHeight w:val="20"/>
          <w:jc w:val="center"/>
        </w:trPr>
        <w:tc>
          <w:tcPr>
            <w:tcW w:w="1097" w:type="dxa"/>
            <w:shd w:val="clear" w:color="auto" w:fill="auto"/>
            <w:vAlign w:val="center"/>
          </w:tcPr>
          <w:p w:rsidR="000C0280" w:rsidRPr="0068623C" w:rsidRDefault="000C0280" w:rsidP="000C0280">
            <w:pPr>
              <w:spacing w:line="240" w:lineRule="auto"/>
              <w:jc w:val="center"/>
              <w:rPr>
                <w:rFonts w:eastAsia="Times New Roman" w:cs="Arial"/>
                <w:sz w:val="20"/>
                <w:szCs w:val="20"/>
                <w:lang w:eastAsia="pt-BR"/>
              </w:rPr>
            </w:pPr>
            <w:r w:rsidRPr="0068623C">
              <w:rPr>
                <w:rFonts w:eastAsia="Times New Roman" w:cs="Arial"/>
                <w:sz w:val="20"/>
                <w:szCs w:val="20"/>
                <w:lang w:eastAsia="pt-BR"/>
              </w:rPr>
              <w:t>2.1.1.01</w:t>
            </w:r>
          </w:p>
        </w:tc>
        <w:tc>
          <w:tcPr>
            <w:tcW w:w="7228" w:type="dxa"/>
            <w:shd w:val="clear" w:color="auto" w:fill="auto"/>
            <w:vAlign w:val="center"/>
          </w:tcPr>
          <w:p w:rsidR="000C0280" w:rsidRPr="0068623C" w:rsidRDefault="000C0280" w:rsidP="0066661F">
            <w:pPr>
              <w:pStyle w:val="Estilo1"/>
              <w:numPr>
                <w:ilvl w:val="0"/>
                <w:numId w:val="49"/>
              </w:numPr>
              <w:tabs>
                <w:tab w:val="clear" w:pos="891"/>
                <w:tab w:val="left" w:pos="45"/>
              </w:tabs>
              <w:spacing w:before="0" w:after="0"/>
              <w:ind w:left="782" w:hanging="425"/>
              <w:rPr>
                <w:rFonts w:eastAsia="Calibri"/>
              </w:rPr>
            </w:pPr>
            <w:r w:rsidRPr="0068623C">
              <w:t xml:space="preserve"> Formar equipe-chave para o Sistema de Esgotamento Sanitário.</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1º-20º</w:t>
            </w:r>
          </w:p>
        </w:tc>
        <w:tc>
          <w:tcPr>
            <w:tcW w:w="1633" w:type="dxa"/>
            <w:shd w:val="clear" w:color="auto" w:fill="auto"/>
            <w:vAlign w:val="center"/>
          </w:tcPr>
          <w:p w:rsidR="000C0280" w:rsidRDefault="000C0280" w:rsidP="000C0280">
            <w:pPr>
              <w:spacing w:line="240" w:lineRule="auto"/>
              <w:jc w:val="right"/>
              <w:rPr>
                <w:sz w:val="20"/>
                <w:szCs w:val="20"/>
              </w:rPr>
            </w:pPr>
            <w:r>
              <w:rPr>
                <w:sz w:val="20"/>
                <w:szCs w:val="20"/>
              </w:rPr>
              <w:t>1.842.149,76</w:t>
            </w:r>
          </w:p>
          <w:p w:rsidR="000C0280" w:rsidRPr="0068623C" w:rsidRDefault="000C0280" w:rsidP="000C0280">
            <w:pPr>
              <w:spacing w:line="240" w:lineRule="auto"/>
              <w:jc w:val="right"/>
              <w:rPr>
                <w:sz w:val="20"/>
                <w:szCs w:val="20"/>
              </w:rPr>
            </w:pPr>
          </w:p>
        </w:tc>
        <w:tc>
          <w:tcPr>
            <w:tcW w:w="2942" w:type="dxa"/>
            <w:shd w:val="clear" w:color="auto" w:fill="auto"/>
            <w:vAlign w:val="center"/>
          </w:tcPr>
          <w:p w:rsidR="000C0280" w:rsidRPr="0068623C" w:rsidRDefault="000C0280" w:rsidP="000C0280">
            <w:pPr>
              <w:spacing w:line="240" w:lineRule="auto"/>
              <w:jc w:val="center"/>
              <w:rPr>
                <w:sz w:val="20"/>
                <w:szCs w:val="20"/>
              </w:rPr>
            </w:pPr>
            <w:r w:rsidRPr="0068623C">
              <w:rPr>
                <w:rFonts w:cs="Arial"/>
                <w:sz w:val="20"/>
                <w:szCs w:val="20"/>
                <w:lang w:eastAsia="pt-BR"/>
              </w:rPr>
              <w:t xml:space="preserve">Prefeitura Municipal / Departamento </w:t>
            </w:r>
            <w:r>
              <w:rPr>
                <w:rFonts w:cs="Arial"/>
                <w:sz w:val="20"/>
                <w:szCs w:val="20"/>
                <w:lang w:eastAsia="pt-BR"/>
              </w:rPr>
              <w:t>d</w:t>
            </w:r>
            <w:r w:rsidRPr="0068623C">
              <w:rPr>
                <w:rFonts w:cs="Arial"/>
                <w:sz w:val="20"/>
                <w:szCs w:val="20"/>
                <w:lang w:eastAsia="pt-BR"/>
              </w:rPr>
              <w:t xml:space="preserve">e Obras </w:t>
            </w:r>
            <w:r>
              <w:rPr>
                <w:rFonts w:cs="Arial"/>
                <w:sz w:val="20"/>
                <w:szCs w:val="20"/>
                <w:lang w:eastAsia="pt-BR"/>
              </w:rPr>
              <w:t>e</w:t>
            </w:r>
            <w:r w:rsidRPr="0068623C">
              <w:rPr>
                <w:rFonts w:cs="Arial"/>
                <w:sz w:val="20"/>
                <w:szCs w:val="20"/>
                <w:lang w:eastAsia="pt-BR"/>
              </w:rPr>
              <w:t xml:space="preserve"> Serviços Urbanos</w:t>
            </w:r>
          </w:p>
        </w:tc>
      </w:tr>
      <w:tr w:rsidR="000C0280" w:rsidRPr="0068623C" w:rsidTr="000C0280">
        <w:trPr>
          <w:trHeight w:val="20"/>
          <w:jc w:val="center"/>
        </w:trPr>
        <w:tc>
          <w:tcPr>
            <w:tcW w:w="1097" w:type="dxa"/>
            <w:shd w:val="clear" w:color="auto" w:fill="auto"/>
            <w:vAlign w:val="center"/>
          </w:tcPr>
          <w:p w:rsidR="000C0280" w:rsidRPr="0068623C" w:rsidRDefault="000C0280" w:rsidP="000C0280">
            <w:pPr>
              <w:spacing w:line="240" w:lineRule="auto"/>
              <w:jc w:val="center"/>
              <w:rPr>
                <w:rFonts w:eastAsia="Times New Roman" w:cs="Arial"/>
                <w:sz w:val="20"/>
                <w:szCs w:val="20"/>
                <w:lang w:eastAsia="pt-BR"/>
              </w:rPr>
            </w:pPr>
            <w:r w:rsidRPr="0068623C">
              <w:rPr>
                <w:rFonts w:eastAsia="Times New Roman" w:cs="Arial"/>
                <w:sz w:val="20"/>
                <w:szCs w:val="20"/>
                <w:lang w:eastAsia="pt-BR"/>
              </w:rPr>
              <w:t>2.1.1.02</w:t>
            </w:r>
          </w:p>
        </w:tc>
        <w:tc>
          <w:tcPr>
            <w:tcW w:w="7228" w:type="dxa"/>
            <w:shd w:val="clear" w:color="auto" w:fill="auto"/>
            <w:vAlign w:val="center"/>
          </w:tcPr>
          <w:p w:rsidR="000C0280" w:rsidRPr="0068623C" w:rsidRDefault="000C0280" w:rsidP="000C0280">
            <w:pPr>
              <w:pStyle w:val="Estilo1"/>
              <w:tabs>
                <w:tab w:val="clear" w:pos="891"/>
                <w:tab w:val="left" w:pos="45"/>
              </w:tabs>
              <w:spacing w:before="0" w:after="0"/>
              <w:ind w:left="779" w:hanging="425"/>
              <w:rPr>
                <w:rFonts w:eastAsia="Calibri"/>
              </w:rPr>
            </w:pPr>
            <w:r w:rsidRPr="0068623C">
              <w:t xml:space="preserve"> Elaborar o cadastro técnico minucioso do sistema existente na sede e avaliar esse sistema quanto à necessidade de ampliações, substituições e adequações.</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1º-8º</w:t>
            </w:r>
          </w:p>
        </w:tc>
        <w:tc>
          <w:tcPr>
            <w:tcW w:w="1633"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2.1.1.01 e 2.1.2.10</w:t>
            </w:r>
          </w:p>
        </w:tc>
        <w:tc>
          <w:tcPr>
            <w:tcW w:w="2942" w:type="dxa"/>
            <w:shd w:val="clear" w:color="auto" w:fill="auto"/>
            <w:vAlign w:val="center"/>
          </w:tcPr>
          <w:p w:rsidR="000C0280" w:rsidRPr="0068623C" w:rsidRDefault="000C0280" w:rsidP="000C0280">
            <w:pPr>
              <w:spacing w:line="240" w:lineRule="auto"/>
              <w:jc w:val="center"/>
              <w:rPr>
                <w:sz w:val="20"/>
                <w:szCs w:val="20"/>
              </w:rPr>
            </w:pPr>
            <w:r w:rsidRPr="0068623C">
              <w:rPr>
                <w:rFonts w:cs="Arial"/>
                <w:sz w:val="20"/>
                <w:szCs w:val="20"/>
                <w:lang w:eastAsia="pt-BR"/>
              </w:rPr>
              <w:t xml:space="preserve">Prefeitura Municipal / Departamento </w:t>
            </w:r>
            <w:r>
              <w:rPr>
                <w:rFonts w:cs="Arial"/>
                <w:sz w:val="20"/>
                <w:szCs w:val="20"/>
                <w:lang w:eastAsia="pt-BR"/>
              </w:rPr>
              <w:t>d</w:t>
            </w:r>
            <w:r w:rsidRPr="0068623C">
              <w:rPr>
                <w:rFonts w:cs="Arial"/>
                <w:sz w:val="20"/>
                <w:szCs w:val="20"/>
                <w:lang w:eastAsia="pt-BR"/>
              </w:rPr>
              <w:t xml:space="preserve">e Obras </w:t>
            </w:r>
            <w:r>
              <w:rPr>
                <w:rFonts w:cs="Arial"/>
                <w:sz w:val="20"/>
                <w:szCs w:val="20"/>
                <w:lang w:eastAsia="pt-BR"/>
              </w:rPr>
              <w:t>e</w:t>
            </w:r>
            <w:r w:rsidRPr="0068623C">
              <w:rPr>
                <w:rFonts w:cs="Arial"/>
                <w:sz w:val="20"/>
                <w:szCs w:val="20"/>
                <w:lang w:eastAsia="pt-BR"/>
              </w:rPr>
              <w:t xml:space="preserve"> Serviços Urbanos</w:t>
            </w:r>
          </w:p>
        </w:tc>
      </w:tr>
      <w:tr w:rsidR="000C0280" w:rsidRPr="0068623C" w:rsidTr="000C0280">
        <w:trPr>
          <w:trHeight w:val="20"/>
          <w:jc w:val="center"/>
        </w:trPr>
        <w:tc>
          <w:tcPr>
            <w:tcW w:w="1097" w:type="dxa"/>
            <w:shd w:val="clear" w:color="auto" w:fill="auto"/>
            <w:vAlign w:val="center"/>
          </w:tcPr>
          <w:p w:rsidR="000C0280" w:rsidRPr="0068623C" w:rsidRDefault="000C0280" w:rsidP="000C0280">
            <w:pPr>
              <w:spacing w:line="240" w:lineRule="auto"/>
              <w:jc w:val="center"/>
              <w:rPr>
                <w:rFonts w:eastAsia="Times New Roman" w:cs="Arial"/>
                <w:sz w:val="20"/>
                <w:szCs w:val="20"/>
                <w:lang w:eastAsia="pt-BR"/>
              </w:rPr>
            </w:pPr>
            <w:r w:rsidRPr="0068623C">
              <w:rPr>
                <w:rFonts w:eastAsia="Times New Roman" w:cs="Arial"/>
                <w:sz w:val="20"/>
                <w:szCs w:val="20"/>
                <w:lang w:eastAsia="pt-BR"/>
              </w:rPr>
              <w:t>2.1.1.03</w:t>
            </w:r>
          </w:p>
        </w:tc>
        <w:tc>
          <w:tcPr>
            <w:tcW w:w="7228" w:type="dxa"/>
            <w:shd w:val="clear" w:color="auto" w:fill="auto"/>
            <w:vAlign w:val="center"/>
          </w:tcPr>
          <w:p w:rsidR="000C0280" w:rsidRPr="0068623C" w:rsidRDefault="000C0280" w:rsidP="000C0280">
            <w:pPr>
              <w:pStyle w:val="Estilo1"/>
              <w:tabs>
                <w:tab w:val="clear" w:pos="891"/>
                <w:tab w:val="left" w:pos="45"/>
              </w:tabs>
              <w:spacing w:before="0" w:after="0"/>
              <w:ind w:left="779" w:hanging="425"/>
              <w:rPr>
                <w:rFonts w:eastAsia="Calibri"/>
              </w:rPr>
            </w:pPr>
            <w:r w:rsidRPr="0068623C">
              <w:rPr>
                <w:rFonts w:eastAsia="Calibri"/>
              </w:rPr>
              <w:t xml:space="preserve"> Projetar, a partir da avaliação, as ampliações, substituições e adequações necessárias à rede coletora, principalmente para atender aos locais da sede, sem coleta de esgotos ou com coleta deficitária.</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2º-8º</w:t>
            </w:r>
          </w:p>
        </w:tc>
        <w:tc>
          <w:tcPr>
            <w:tcW w:w="1633" w:type="dxa"/>
            <w:shd w:val="clear" w:color="auto" w:fill="auto"/>
            <w:vAlign w:val="center"/>
          </w:tcPr>
          <w:p w:rsidR="000C0280" w:rsidRPr="0068623C" w:rsidRDefault="000C0280" w:rsidP="000C0280">
            <w:pPr>
              <w:spacing w:line="240" w:lineRule="auto"/>
              <w:jc w:val="right"/>
              <w:rPr>
                <w:sz w:val="20"/>
                <w:szCs w:val="20"/>
              </w:rPr>
            </w:pPr>
            <w:r w:rsidRPr="0068623C">
              <w:rPr>
                <w:sz w:val="20"/>
                <w:szCs w:val="20"/>
              </w:rPr>
              <w:t>79.900,00</w:t>
            </w:r>
          </w:p>
        </w:tc>
        <w:tc>
          <w:tcPr>
            <w:tcW w:w="2942" w:type="dxa"/>
            <w:shd w:val="clear" w:color="auto" w:fill="auto"/>
            <w:vAlign w:val="center"/>
          </w:tcPr>
          <w:p w:rsidR="000C0280" w:rsidRPr="0068623C" w:rsidRDefault="000C0280" w:rsidP="000C0280">
            <w:pPr>
              <w:spacing w:line="240" w:lineRule="auto"/>
              <w:jc w:val="center"/>
              <w:rPr>
                <w:sz w:val="20"/>
                <w:szCs w:val="20"/>
              </w:rPr>
            </w:pPr>
            <w:r w:rsidRPr="0068623C">
              <w:rPr>
                <w:rFonts w:cs="Arial"/>
                <w:sz w:val="20"/>
                <w:szCs w:val="20"/>
                <w:lang w:eastAsia="pt-BR"/>
              </w:rPr>
              <w:t xml:space="preserve">Prefeitura Municipal / Departamento </w:t>
            </w:r>
            <w:r>
              <w:rPr>
                <w:rFonts w:cs="Arial"/>
                <w:sz w:val="20"/>
                <w:szCs w:val="20"/>
                <w:lang w:eastAsia="pt-BR"/>
              </w:rPr>
              <w:t>d</w:t>
            </w:r>
            <w:r w:rsidRPr="0068623C">
              <w:rPr>
                <w:rFonts w:cs="Arial"/>
                <w:sz w:val="20"/>
                <w:szCs w:val="20"/>
                <w:lang w:eastAsia="pt-BR"/>
              </w:rPr>
              <w:t xml:space="preserve">e Obras </w:t>
            </w:r>
            <w:r>
              <w:rPr>
                <w:rFonts w:cs="Arial"/>
                <w:sz w:val="20"/>
                <w:szCs w:val="20"/>
                <w:lang w:eastAsia="pt-BR"/>
              </w:rPr>
              <w:t>e</w:t>
            </w:r>
            <w:r w:rsidRPr="0068623C">
              <w:rPr>
                <w:rFonts w:cs="Arial"/>
                <w:sz w:val="20"/>
                <w:szCs w:val="20"/>
                <w:lang w:eastAsia="pt-BR"/>
              </w:rPr>
              <w:t xml:space="preserve"> Serviços Urbanos</w:t>
            </w:r>
          </w:p>
        </w:tc>
      </w:tr>
      <w:tr w:rsidR="000C0280" w:rsidRPr="0068623C" w:rsidTr="000C0280">
        <w:trPr>
          <w:trHeight w:val="20"/>
          <w:jc w:val="center"/>
        </w:trPr>
        <w:tc>
          <w:tcPr>
            <w:tcW w:w="1097" w:type="dxa"/>
            <w:shd w:val="clear" w:color="auto" w:fill="auto"/>
            <w:vAlign w:val="center"/>
          </w:tcPr>
          <w:p w:rsidR="000C0280" w:rsidRPr="0068623C" w:rsidRDefault="000C0280" w:rsidP="000C0280">
            <w:pPr>
              <w:spacing w:line="240" w:lineRule="auto"/>
              <w:jc w:val="center"/>
              <w:rPr>
                <w:rFonts w:eastAsia="Times New Roman" w:cs="Arial"/>
                <w:sz w:val="20"/>
                <w:szCs w:val="20"/>
                <w:lang w:eastAsia="pt-BR"/>
              </w:rPr>
            </w:pPr>
            <w:r w:rsidRPr="0068623C">
              <w:rPr>
                <w:rFonts w:eastAsia="Times New Roman" w:cs="Arial"/>
                <w:sz w:val="20"/>
                <w:szCs w:val="20"/>
                <w:lang w:eastAsia="pt-BR"/>
              </w:rPr>
              <w:t>2.1.1.04</w:t>
            </w:r>
          </w:p>
        </w:tc>
        <w:tc>
          <w:tcPr>
            <w:tcW w:w="7228" w:type="dxa"/>
            <w:shd w:val="clear" w:color="auto" w:fill="auto"/>
            <w:vAlign w:val="center"/>
          </w:tcPr>
          <w:p w:rsidR="000C0280" w:rsidRPr="0068623C" w:rsidRDefault="000C0280" w:rsidP="000C0280">
            <w:pPr>
              <w:pStyle w:val="Estilo1"/>
              <w:tabs>
                <w:tab w:val="clear" w:pos="891"/>
                <w:tab w:val="left" w:pos="45"/>
              </w:tabs>
              <w:spacing w:before="0" w:after="0"/>
              <w:ind w:left="779" w:hanging="425"/>
              <w:rPr>
                <w:rFonts w:eastAsia="Calibri"/>
              </w:rPr>
            </w:pPr>
            <w:r w:rsidRPr="0068623C">
              <w:t xml:space="preserve"> Executar as obras projetadas para o sistema de esgotamento sanitário na área urbana, exceto ETEs e Fossas Sépticas.</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2º-8º</w:t>
            </w:r>
          </w:p>
        </w:tc>
        <w:tc>
          <w:tcPr>
            <w:tcW w:w="1633" w:type="dxa"/>
            <w:shd w:val="clear" w:color="auto" w:fill="auto"/>
            <w:vAlign w:val="center"/>
          </w:tcPr>
          <w:p w:rsidR="000C0280" w:rsidRPr="0068623C" w:rsidRDefault="000C0280" w:rsidP="000C0280">
            <w:pPr>
              <w:spacing w:line="240" w:lineRule="auto"/>
              <w:jc w:val="right"/>
              <w:rPr>
                <w:sz w:val="20"/>
                <w:szCs w:val="20"/>
              </w:rPr>
            </w:pPr>
            <w:r w:rsidRPr="0068623C">
              <w:rPr>
                <w:sz w:val="20"/>
                <w:szCs w:val="20"/>
              </w:rPr>
              <w:t>799.000,00</w:t>
            </w:r>
          </w:p>
        </w:tc>
        <w:tc>
          <w:tcPr>
            <w:tcW w:w="2942" w:type="dxa"/>
            <w:shd w:val="clear" w:color="auto" w:fill="auto"/>
            <w:vAlign w:val="center"/>
          </w:tcPr>
          <w:p w:rsidR="000C0280" w:rsidRPr="0068623C" w:rsidRDefault="000C0280" w:rsidP="000C0280">
            <w:pPr>
              <w:spacing w:line="240" w:lineRule="auto"/>
              <w:jc w:val="center"/>
              <w:rPr>
                <w:sz w:val="20"/>
                <w:szCs w:val="20"/>
              </w:rPr>
            </w:pPr>
            <w:r w:rsidRPr="0068623C">
              <w:rPr>
                <w:rFonts w:cs="Arial"/>
                <w:sz w:val="20"/>
                <w:szCs w:val="20"/>
                <w:lang w:eastAsia="pt-BR"/>
              </w:rPr>
              <w:t xml:space="preserve">Prefeitura Municipal / Departamento </w:t>
            </w:r>
            <w:r>
              <w:rPr>
                <w:rFonts w:cs="Arial"/>
                <w:sz w:val="20"/>
                <w:szCs w:val="20"/>
                <w:lang w:eastAsia="pt-BR"/>
              </w:rPr>
              <w:t>d</w:t>
            </w:r>
            <w:r w:rsidRPr="0068623C">
              <w:rPr>
                <w:rFonts w:cs="Arial"/>
                <w:sz w:val="20"/>
                <w:szCs w:val="20"/>
                <w:lang w:eastAsia="pt-BR"/>
              </w:rPr>
              <w:t xml:space="preserve">e Obras </w:t>
            </w:r>
            <w:r>
              <w:rPr>
                <w:rFonts w:cs="Arial"/>
                <w:sz w:val="20"/>
                <w:szCs w:val="20"/>
                <w:lang w:eastAsia="pt-BR"/>
              </w:rPr>
              <w:t>e</w:t>
            </w:r>
            <w:r w:rsidRPr="0068623C">
              <w:rPr>
                <w:rFonts w:cs="Arial"/>
                <w:sz w:val="20"/>
                <w:szCs w:val="20"/>
                <w:lang w:eastAsia="pt-BR"/>
              </w:rPr>
              <w:t xml:space="preserve"> Serviços Urbanos</w:t>
            </w:r>
          </w:p>
        </w:tc>
      </w:tr>
      <w:tr w:rsidR="000C0280" w:rsidRPr="0068623C" w:rsidTr="000C0280">
        <w:trPr>
          <w:trHeight w:val="20"/>
          <w:jc w:val="center"/>
        </w:trPr>
        <w:tc>
          <w:tcPr>
            <w:tcW w:w="1097" w:type="dxa"/>
            <w:shd w:val="clear" w:color="auto" w:fill="auto"/>
            <w:vAlign w:val="center"/>
          </w:tcPr>
          <w:p w:rsidR="000C0280" w:rsidRPr="0068623C" w:rsidRDefault="000C0280" w:rsidP="000C0280">
            <w:pPr>
              <w:spacing w:line="240" w:lineRule="auto"/>
              <w:jc w:val="center"/>
              <w:rPr>
                <w:rFonts w:eastAsia="Times New Roman" w:cs="Arial"/>
                <w:sz w:val="20"/>
                <w:szCs w:val="20"/>
                <w:lang w:eastAsia="pt-BR"/>
              </w:rPr>
            </w:pPr>
            <w:r w:rsidRPr="0068623C">
              <w:rPr>
                <w:rFonts w:eastAsia="Times New Roman" w:cs="Arial"/>
                <w:sz w:val="20"/>
                <w:szCs w:val="20"/>
                <w:lang w:eastAsia="pt-BR"/>
              </w:rPr>
              <w:t>2.1.1.05</w:t>
            </w:r>
          </w:p>
        </w:tc>
        <w:tc>
          <w:tcPr>
            <w:tcW w:w="7228" w:type="dxa"/>
            <w:shd w:val="clear" w:color="auto" w:fill="auto"/>
            <w:vAlign w:val="center"/>
          </w:tcPr>
          <w:p w:rsidR="000C0280" w:rsidRPr="0068623C" w:rsidRDefault="000C0280" w:rsidP="000C0280">
            <w:pPr>
              <w:pStyle w:val="Estilo1"/>
              <w:tabs>
                <w:tab w:val="clear" w:pos="891"/>
                <w:tab w:val="left" w:pos="45"/>
              </w:tabs>
              <w:spacing w:before="0" w:after="0"/>
              <w:ind w:left="779" w:hanging="425"/>
              <w:rPr>
                <w:rFonts w:eastAsia="Calibri"/>
              </w:rPr>
            </w:pPr>
            <w:r w:rsidRPr="0068623C">
              <w:t xml:space="preserve"> Avaliar, a partir do cadastro, o sistema existente de esgotamento sanitário em cada local, em função de sua funcionalidade e necessidade de ampliações, substituições e adequações.</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2º-8º</w:t>
            </w:r>
          </w:p>
        </w:tc>
        <w:tc>
          <w:tcPr>
            <w:tcW w:w="1633"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2.1.1.01</w:t>
            </w:r>
          </w:p>
        </w:tc>
        <w:tc>
          <w:tcPr>
            <w:tcW w:w="2942" w:type="dxa"/>
            <w:shd w:val="clear" w:color="auto" w:fill="auto"/>
            <w:vAlign w:val="center"/>
          </w:tcPr>
          <w:p w:rsidR="000C0280" w:rsidRPr="0068623C" w:rsidRDefault="000C0280" w:rsidP="000C0280">
            <w:pPr>
              <w:spacing w:line="240" w:lineRule="auto"/>
              <w:jc w:val="center"/>
              <w:rPr>
                <w:sz w:val="20"/>
                <w:szCs w:val="20"/>
              </w:rPr>
            </w:pPr>
            <w:r w:rsidRPr="0068623C">
              <w:rPr>
                <w:rFonts w:cs="Arial"/>
                <w:sz w:val="20"/>
                <w:szCs w:val="20"/>
                <w:lang w:eastAsia="pt-BR"/>
              </w:rPr>
              <w:t xml:space="preserve">Prefeitura Municipal / Departamento </w:t>
            </w:r>
            <w:r>
              <w:rPr>
                <w:rFonts w:cs="Arial"/>
                <w:sz w:val="20"/>
                <w:szCs w:val="20"/>
                <w:lang w:eastAsia="pt-BR"/>
              </w:rPr>
              <w:t>d</w:t>
            </w:r>
            <w:r w:rsidRPr="0068623C">
              <w:rPr>
                <w:rFonts w:cs="Arial"/>
                <w:sz w:val="20"/>
                <w:szCs w:val="20"/>
                <w:lang w:eastAsia="pt-BR"/>
              </w:rPr>
              <w:t xml:space="preserve">e Obras </w:t>
            </w:r>
            <w:r>
              <w:rPr>
                <w:rFonts w:cs="Arial"/>
                <w:sz w:val="20"/>
                <w:szCs w:val="20"/>
                <w:lang w:eastAsia="pt-BR"/>
              </w:rPr>
              <w:t>e</w:t>
            </w:r>
            <w:r w:rsidRPr="0068623C">
              <w:rPr>
                <w:rFonts w:cs="Arial"/>
                <w:sz w:val="20"/>
                <w:szCs w:val="20"/>
                <w:lang w:eastAsia="pt-BR"/>
              </w:rPr>
              <w:t xml:space="preserve"> Serviços Urbanos</w:t>
            </w:r>
          </w:p>
        </w:tc>
      </w:tr>
      <w:tr w:rsidR="000C0280" w:rsidRPr="0068623C" w:rsidTr="000C0280">
        <w:trPr>
          <w:trHeight w:val="397"/>
          <w:jc w:val="center"/>
        </w:trPr>
        <w:tc>
          <w:tcPr>
            <w:tcW w:w="1097" w:type="dxa"/>
            <w:shd w:val="clear" w:color="auto" w:fill="auto"/>
            <w:vAlign w:val="center"/>
          </w:tcPr>
          <w:p w:rsidR="000C0280" w:rsidRPr="0068623C" w:rsidRDefault="000C0280" w:rsidP="000C0280">
            <w:pPr>
              <w:spacing w:line="240" w:lineRule="auto"/>
              <w:jc w:val="center"/>
              <w:rPr>
                <w:rFonts w:eastAsia="Times New Roman" w:cs="Arial"/>
                <w:sz w:val="20"/>
                <w:szCs w:val="20"/>
                <w:lang w:eastAsia="pt-BR"/>
              </w:rPr>
            </w:pPr>
            <w:r w:rsidRPr="0068623C">
              <w:rPr>
                <w:rFonts w:eastAsia="Times New Roman" w:cs="Arial"/>
                <w:sz w:val="20"/>
                <w:szCs w:val="20"/>
                <w:lang w:eastAsia="pt-BR"/>
              </w:rPr>
              <w:lastRenderedPageBreak/>
              <w:t>2.1.1.06</w:t>
            </w:r>
          </w:p>
        </w:tc>
        <w:tc>
          <w:tcPr>
            <w:tcW w:w="7228" w:type="dxa"/>
            <w:shd w:val="clear" w:color="auto" w:fill="auto"/>
            <w:vAlign w:val="center"/>
          </w:tcPr>
          <w:p w:rsidR="000C0280" w:rsidRPr="0068623C" w:rsidRDefault="000C0280" w:rsidP="000C0280">
            <w:pPr>
              <w:pStyle w:val="Estilo1"/>
              <w:tabs>
                <w:tab w:val="clear" w:pos="891"/>
                <w:tab w:val="left" w:pos="45"/>
              </w:tabs>
              <w:spacing w:before="0" w:after="0"/>
              <w:ind w:left="779" w:hanging="425"/>
              <w:rPr>
                <w:rFonts w:eastAsia="Calibri"/>
              </w:rPr>
            </w:pPr>
            <w:r w:rsidRPr="0068623C">
              <w:t xml:space="preserve"> Projetar, a partir da avaliação, as ampliações, substituições e adequações necessárias à rede coletora, principalmente para atender aos locais sem coleta de esgotos.</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2º-8º</w:t>
            </w:r>
          </w:p>
        </w:tc>
        <w:tc>
          <w:tcPr>
            <w:tcW w:w="1633"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2.1.1.03</w:t>
            </w:r>
          </w:p>
        </w:tc>
        <w:tc>
          <w:tcPr>
            <w:tcW w:w="2942" w:type="dxa"/>
            <w:shd w:val="clear" w:color="auto" w:fill="auto"/>
            <w:vAlign w:val="center"/>
          </w:tcPr>
          <w:p w:rsidR="000C0280" w:rsidRPr="0068623C" w:rsidRDefault="000C0280" w:rsidP="000C0280">
            <w:pPr>
              <w:spacing w:line="240" w:lineRule="auto"/>
              <w:jc w:val="center"/>
              <w:rPr>
                <w:sz w:val="20"/>
                <w:szCs w:val="20"/>
              </w:rPr>
            </w:pPr>
            <w:r w:rsidRPr="0068623C">
              <w:rPr>
                <w:rFonts w:cs="Arial"/>
                <w:sz w:val="20"/>
                <w:szCs w:val="20"/>
                <w:lang w:eastAsia="pt-BR"/>
              </w:rPr>
              <w:t xml:space="preserve">Prefeitura Municipal / Departamento </w:t>
            </w:r>
            <w:r>
              <w:rPr>
                <w:rFonts w:cs="Arial"/>
                <w:sz w:val="20"/>
                <w:szCs w:val="20"/>
                <w:lang w:eastAsia="pt-BR"/>
              </w:rPr>
              <w:t>d</w:t>
            </w:r>
            <w:r w:rsidRPr="0068623C">
              <w:rPr>
                <w:rFonts w:cs="Arial"/>
                <w:sz w:val="20"/>
                <w:szCs w:val="20"/>
                <w:lang w:eastAsia="pt-BR"/>
              </w:rPr>
              <w:t xml:space="preserve">e Obras </w:t>
            </w:r>
            <w:r>
              <w:rPr>
                <w:rFonts w:cs="Arial"/>
                <w:sz w:val="20"/>
                <w:szCs w:val="20"/>
                <w:lang w:eastAsia="pt-BR"/>
              </w:rPr>
              <w:t>e</w:t>
            </w:r>
            <w:r w:rsidRPr="0068623C">
              <w:rPr>
                <w:rFonts w:cs="Arial"/>
                <w:sz w:val="20"/>
                <w:szCs w:val="20"/>
                <w:lang w:eastAsia="pt-BR"/>
              </w:rPr>
              <w:t xml:space="preserve"> Serviços Urbanos</w:t>
            </w:r>
          </w:p>
        </w:tc>
      </w:tr>
      <w:tr w:rsidR="000C0280" w:rsidRPr="0068623C" w:rsidTr="000C0280">
        <w:trPr>
          <w:trHeight w:val="397"/>
          <w:jc w:val="center"/>
        </w:trPr>
        <w:tc>
          <w:tcPr>
            <w:tcW w:w="1097" w:type="dxa"/>
            <w:shd w:val="clear" w:color="auto" w:fill="auto"/>
            <w:vAlign w:val="center"/>
          </w:tcPr>
          <w:p w:rsidR="000C0280" w:rsidRPr="0068623C" w:rsidRDefault="000C0280" w:rsidP="000C0280">
            <w:pPr>
              <w:spacing w:line="240" w:lineRule="auto"/>
              <w:jc w:val="center"/>
              <w:rPr>
                <w:rFonts w:eastAsia="Times New Roman" w:cs="Arial"/>
                <w:sz w:val="20"/>
                <w:szCs w:val="20"/>
                <w:lang w:eastAsia="pt-BR"/>
              </w:rPr>
            </w:pPr>
            <w:r w:rsidRPr="0068623C">
              <w:rPr>
                <w:rFonts w:eastAsia="Times New Roman" w:cs="Arial"/>
                <w:sz w:val="20"/>
                <w:szCs w:val="20"/>
                <w:lang w:eastAsia="pt-BR"/>
              </w:rPr>
              <w:t>2.1.1.07</w:t>
            </w:r>
          </w:p>
        </w:tc>
        <w:tc>
          <w:tcPr>
            <w:tcW w:w="7228" w:type="dxa"/>
            <w:shd w:val="clear" w:color="auto" w:fill="auto"/>
            <w:vAlign w:val="center"/>
          </w:tcPr>
          <w:p w:rsidR="000C0280" w:rsidRPr="0068623C" w:rsidRDefault="000C0280" w:rsidP="000C0280">
            <w:pPr>
              <w:pStyle w:val="Estilo1"/>
              <w:tabs>
                <w:tab w:val="clear" w:pos="891"/>
                <w:tab w:val="left" w:pos="45"/>
              </w:tabs>
              <w:spacing w:before="0" w:after="0"/>
              <w:ind w:left="779" w:hanging="425"/>
              <w:rPr>
                <w:rFonts w:eastAsia="Calibri"/>
              </w:rPr>
            </w:pPr>
            <w:r w:rsidRPr="0068623C">
              <w:rPr>
                <w:rFonts w:eastAsia="Calibri"/>
              </w:rPr>
              <w:t xml:space="preserve"> Implementar o projeto de “Caça Esgoto”, com a finalidade de identificar lançamentos clandestinos.</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1º-20º</w:t>
            </w:r>
          </w:p>
        </w:tc>
        <w:tc>
          <w:tcPr>
            <w:tcW w:w="1633"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2.1.1.01</w:t>
            </w:r>
          </w:p>
        </w:tc>
        <w:tc>
          <w:tcPr>
            <w:tcW w:w="2942" w:type="dxa"/>
            <w:shd w:val="clear" w:color="auto" w:fill="auto"/>
            <w:vAlign w:val="center"/>
          </w:tcPr>
          <w:p w:rsidR="000C0280" w:rsidRPr="0068623C" w:rsidRDefault="000C0280" w:rsidP="000C0280">
            <w:pPr>
              <w:spacing w:line="240" w:lineRule="auto"/>
              <w:jc w:val="center"/>
              <w:rPr>
                <w:sz w:val="20"/>
                <w:szCs w:val="20"/>
              </w:rPr>
            </w:pPr>
            <w:r w:rsidRPr="0068623C">
              <w:rPr>
                <w:rFonts w:cs="Arial"/>
                <w:sz w:val="20"/>
                <w:szCs w:val="20"/>
                <w:lang w:eastAsia="pt-BR"/>
              </w:rPr>
              <w:t xml:space="preserve">Prefeitura Municipal / Departamento </w:t>
            </w:r>
            <w:r>
              <w:rPr>
                <w:rFonts w:cs="Arial"/>
                <w:sz w:val="20"/>
                <w:szCs w:val="20"/>
                <w:lang w:eastAsia="pt-BR"/>
              </w:rPr>
              <w:t>d</w:t>
            </w:r>
            <w:r w:rsidRPr="0068623C">
              <w:rPr>
                <w:rFonts w:cs="Arial"/>
                <w:sz w:val="20"/>
                <w:szCs w:val="20"/>
                <w:lang w:eastAsia="pt-BR"/>
              </w:rPr>
              <w:t xml:space="preserve">e Obras </w:t>
            </w:r>
            <w:r>
              <w:rPr>
                <w:rFonts w:cs="Arial"/>
                <w:sz w:val="20"/>
                <w:szCs w:val="20"/>
                <w:lang w:eastAsia="pt-BR"/>
              </w:rPr>
              <w:t>e</w:t>
            </w:r>
            <w:r w:rsidRPr="0068623C">
              <w:rPr>
                <w:rFonts w:cs="Arial"/>
                <w:sz w:val="20"/>
                <w:szCs w:val="20"/>
                <w:lang w:eastAsia="pt-BR"/>
              </w:rPr>
              <w:t xml:space="preserve"> Serviços Urbanos</w:t>
            </w:r>
          </w:p>
        </w:tc>
      </w:tr>
      <w:tr w:rsidR="000C0280" w:rsidRPr="0068623C" w:rsidTr="000C0280">
        <w:trPr>
          <w:trHeight w:val="20"/>
          <w:jc w:val="center"/>
        </w:trPr>
        <w:tc>
          <w:tcPr>
            <w:tcW w:w="1097" w:type="dxa"/>
            <w:shd w:val="clear" w:color="auto" w:fill="auto"/>
            <w:vAlign w:val="center"/>
          </w:tcPr>
          <w:p w:rsidR="000C0280" w:rsidRPr="0068623C" w:rsidRDefault="000C0280" w:rsidP="000C0280">
            <w:pPr>
              <w:spacing w:line="240" w:lineRule="auto"/>
              <w:jc w:val="center"/>
              <w:rPr>
                <w:rFonts w:eastAsia="Times New Roman" w:cs="Arial"/>
                <w:sz w:val="20"/>
                <w:szCs w:val="20"/>
                <w:lang w:eastAsia="pt-BR"/>
              </w:rPr>
            </w:pPr>
            <w:r w:rsidRPr="0068623C">
              <w:rPr>
                <w:rFonts w:eastAsia="Times New Roman" w:cs="Arial"/>
                <w:sz w:val="20"/>
                <w:szCs w:val="20"/>
                <w:lang w:eastAsia="pt-BR"/>
              </w:rPr>
              <w:t>2.1.1.08</w:t>
            </w:r>
          </w:p>
        </w:tc>
        <w:tc>
          <w:tcPr>
            <w:tcW w:w="7228" w:type="dxa"/>
            <w:shd w:val="clear" w:color="auto" w:fill="auto"/>
            <w:vAlign w:val="center"/>
          </w:tcPr>
          <w:p w:rsidR="000C0280" w:rsidRPr="0068623C" w:rsidRDefault="000C0280" w:rsidP="000C0280">
            <w:pPr>
              <w:pStyle w:val="Estilo1"/>
              <w:tabs>
                <w:tab w:val="clear" w:pos="891"/>
                <w:tab w:val="left" w:pos="45"/>
              </w:tabs>
              <w:spacing w:before="0" w:after="0"/>
              <w:ind w:left="779" w:hanging="425"/>
              <w:rPr>
                <w:rFonts w:eastAsia="Calibri"/>
              </w:rPr>
            </w:pPr>
            <w:r w:rsidRPr="0068623C">
              <w:t xml:space="preserve"> Realizar o licenciamento ambiental da ETE projetada.</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1º-8º</w:t>
            </w:r>
          </w:p>
        </w:tc>
        <w:tc>
          <w:tcPr>
            <w:tcW w:w="1633" w:type="dxa"/>
            <w:shd w:val="clear" w:color="auto" w:fill="auto"/>
            <w:vAlign w:val="center"/>
          </w:tcPr>
          <w:p w:rsidR="000C0280" w:rsidRPr="0068623C" w:rsidRDefault="000C0280" w:rsidP="000C0280">
            <w:pPr>
              <w:spacing w:line="240" w:lineRule="auto"/>
              <w:jc w:val="right"/>
              <w:rPr>
                <w:sz w:val="20"/>
                <w:szCs w:val="20"/>
              </w:rPr>
            </w:pPr>
            <w:r w:rsidRPr="0068623C">
              <w:rPr>
                <w:sz w:val="20"/>
                <w:szCs w:val="20"/>
              </w:rPr>
              <w:t>6.776,00</w:t>
            </w:r>
          </w:p>
        </w:tc>
        <w:tc>
          <w:tcPr>
            <w:tcW w:w="2942" w:type="dxa"/>
            <w:shd w:val="clear" w:color="auto" w:fill="auto"/>
            <w:vAlign w:val="center"/>
          </w:tcPr>
          <w:p w:rsidR="000C0280" w:rsidRPr="0068623C" w:rsidRDefault="000C0280" w:rsidP="000C0280">
            <w:pPr>
              <w:spacing w:line="240" w:lineRule="auto"/>
              <w:jc w:val="center"/>
              <w:rPr>
                <w:sz w:val="20"/>
                <w:szCs w:val="20"/>
              </w:rPr>
            </w:pPr>
            <w:r w:rsidRPr="0068623C">
              <w:rPr>
                <w:rFonts w:cs="Arial"/>
                <w:sz w:val="20"/>
                <w:szCs w:val="20"/>
                <w:lang w:eastAsia="pt-BR"/>
              </w:rPr>
              <w:t xml:space="preserve">Prefeitura Municipal / Departamento </w:t>
            </w:r>
            <w:r>
              <w:rPr>
                <w:rFonts w:cs="Arial"/>
                <w:sz w:val="20"/>
                <w:szCs w:val="20"/>
                <w:lang w:eastAsia="pt-BR"/>
              </w:rPr>
              <w:t>d</w:t>
            </w:r>
            <w:r w:rsidRPr="0068623C">
              <w:rPr>
                <w:rFonts w:cs="Arial"/>
                <w:sz w:val="20"/>
                <w:szCs w:val="20"/>
                <w:lang w:eastAsia="pt-BR"/>
              </w:rPr>
              <w:t xml:space="preserve">e Obras </w:t>
            </w:r>
            <w:r>
              <w:rPr>
                <w:rFonts w:cs="Arial"/>
                <w:sz w:val="20"/>
                <w:szCs w:val="20"/>
                <w:lang w:eastAsia="pt-BR"/>
              </w:rPr>
              <w:t>e</w:t>
            </w:r>
            <w:r w:rsidRPr="0068623C">
              <w:rPr>
                <w:rFonts w:cs="Arial"/>
                <w:sz w:val="20"/>
                <w:szCs w:val="20"/>
                <w:lang w:eastAsia="pt-BR"/>
              </w:rPr>
              <w:t xml:space="preserve"> Serviços Urbanos</w:t>
            </w:r>
          </w:p>
        </w:tc>
      </w:tr>
      <w:tr w:rsidR="000C0280" w:rsidRPr="0068623C" w:rsidTr="000C0280">
        <w:trPr>
          <w:trHeight w:val="397"/>
          <w:jc w:val="center"/>
        </w:trPr>
        <w:tc>
          <w:tcPr>
            <w:tcW w:w="1097" w:type="dxa"/>
            <w:shd w:val="clear" w:color="auto" w:fill="auto"/>
            <w:vAlign w:val="center"/>
          </w:tcPr>
          <w:p w:rsidR="000C0280" w:rsidRPr="0068623C" w:rsidRDefault="000C0280" w:rsidP="000C0280">
            <w:pPr>
              <w:spacing w:line="240" w:lineRule="auto"/>
              <w:jc w:val="center"/>
              <w:rPr>
                <w:rFonts w:eastAsia="Times New Roman" w:cs="Arial"/>
                <w:sz w:val="20"/>
                <w:szCs w:val="20"/>
                <w:lang w:eastAsia="pt-BR"/>
              </w:rPr>
            </w:pPr>
            <w:r w:rsidRPr="0068623C">
              <w:rPr>
                <w:rFonts w:eastAsia="Times New Roman" w:cs="Arial"/>
                <w:sz w:val="20"/>
                <w:szCs w:val="20"/>
                <w:lang w:eastAsia="pt-BR"/>
              </w:rPr>
              <w:t>2.1.1.09</w:t>
            </w:r>
          </w:p>
        </w:tc>
        <w:tc>
          <w:tcPr>
            <w:tcW w:w="7228" w:type="dxa"/>
            <w:shd w:val="clear" w:color="auto" w:fill="auto"/>
            <w:vAlign w:val="center"/>
          </w:tcPr>
          <w:p w:rsidR="000C0280" w:rsidRPr="0068623C" w:rsidRDefault="000C0280" w:rsidP="000C0280">
            <w:pPr>
              <w:pStyle w:val="Estilo1"/>
              <w:spacing w:after="120"/>
              <w:ind w:hanging="766"/>
              <w:rPr>
                <w:rFonts w:eastAsia="Calibri"/>
              </w:rPr>
            </w:pPr>
            <w:r w:rsidRPr="00CF01BA">
              <w:t>Execução das Obras da ETE, incluindo coleta, afastamento e tratamento de esgotos</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4º-8º</w:t>
            </w:r>
          </w:p>
        </w:tc>
        <w:tc>
          <w:tcPr>
            <w:tcW w:w="1633" w:type="dxa"/>
            <w:shd w:val="clear" w:color="auto" w:fill="auto"/>
            <w:vAlign w:val="center"/>
          </w:tcPr>
          <w:p w:rsidR="000C0280" w:rsidRDefault="000C0280" w:rsidP="000C0280">
            <w:pPr>
              <w:spacing w:line="240" w:lineRule="auto"/>
              <w:jc w:val="right"/>
              <w:rPr>
                <w:sz w:val="20"/>
                <w:szCs w:val="20"/>
              </w:rPr>
            </w:pPr>
          </w:p>
          <w:p w:rsidR="000C0280" w:rsidRDefault="000C0280" w:rsidP="000C0280">
            <w:pPr>
              <w:spacing w:line="240" w:lineRule="auto"/>
              <w:jc w:val="right"/>
              <w:rPr>
                <w:sz w:val="20"/>
                <w:szCs w:val="20"/>
              </w:rPr>
            </w:pPr>
            <w:r>
              <w:rPr>
                <w:sz w:val="20"/>
                <w:szCs w:val="20"/>
              </w:rPr>
              <w:t>6.000.000,00</w:t>
            </w:r>
          </w:p>
          <w:p w:rsidR="000C0280" w:rsidRPr="0068623C" w:rsidRDefault="000C0280" w:rsidP="000C0280">
            <w:pPr>
              <w:spacing w:line="240" w:lineRule="auto"/>
              <w:jc w:val="right"/>
              <w:rPr>
                <w:sz w:val="20"/>
                <w:szCs w:val="20"/>
              </w:rPr>
            </w:pPr>
          </w:p>
        </w:tc>
        <w:tc>
          <w:tcPr>
            <w:tcW w:w="2942" w:type="dxa"/>
            <w:shd w:val="clear" w:color="auto" w:fill="auto"/>
            <w:vAlign w:val="center"/>
          </w:tcPr>
          <w:p w:rsidR="000C0280" w:rsidRPr="0068623C" w:rsidRDefault="000C0280" w:rsidP="000C0280">
            <w:pPr>
              <w:spacing w:line="240" w:lineRule="auto"/>
              <w:jc w:val="center"/>
              <w:rPr>
                <w:sz w:val="20"/>
                <w:szCs w:val="20"/>
              </w:rPr>
            </w:pPr>
            <w:r w:rsidRPr="0068623C">
              <w:rPr>
                <w:rFonts w:cs="Arial"/>
                <w:sz w:val="20"/>
                <w:szCs w:val="20"/>
                <w:lang w:eastAsia="pt-BR"/>
              </w:rPr>
              <w:t xml:space="preserve">Prefeitura Municipal / Departamento </w:t>
            </w:r>
            <w:r>
              <w:rPr>
                <w:rFonts w:cs="Arial"/>
                <w:sz w:val="20"/>
                <w:szCs w:val="20"/>
                <w:lang w:eastAsia="pt-BR"/>
              </w:rPr>
              <w:t>d</w:t>
            </w:r>
            <w:r w:rsidRPr="0068623C">
              <w:rPr>
                <w:rFonts w:cs="Arial"/>
                <w:sz w:val="20"/>
                <w:szCs w:val="20"/>
                <w:lang w:eastAsia="pt-BR"/>
              </w:rPr>
              <w:t xml:space="preserve">e Obras </w:t>
            </w:r>
            <w:r>
              <w:rPr>
                <w:rFonts w:cs="Arial"/>
                <w:sz w:val="20"/>
                <w:szCs w:val="20"/>
                <w:lang w:eastAsia="pt-BR"/>
              </w:rPr>
              <w:t>e</w:t>
            </w:r>
            <w:r w:rsidRPr="0068623C">
              <w:rPr>
                <w:rFonts w:cs="Arial"/>
                <w:sz w:val="20"/>
                <w:szCs w:val="20"/>
                <w:lang w:eastAsia="pt-BR"/>
              </w:rPr>
              <w:t xml:space="preserve"> Serviços Urbanos</w:t>
            </w:r>
          </w:p>
        </w:tc>
      </w:tr>
      <w:tr w:rsidR="000C0280" w:rsidRPr="0068623C" w:rsidTr="000C0280">
        <w:trPr>
          <w:trHeight w:val="20"/>
          <w:jc w:val="center"/>
        </w:trPr>
        <w:tc>
          <w:tcPr>
            <w:tcW w:w="1097" w:type="dxa"/>
            <w:shd w:val="clear" w:color="auto" w:fill="auto"/>
            <w:vAlign w:val="center"/>
          </w:tcPr>
          <w:p w:rsidR="000C0280" w:rsidRPr="0068623C" w:rsidRDefault="000C0280" w:rsidP="000C0280">
            <w:pPr>
              <w:spacing w:line="240" w:lineRule="auto"/>
              <w:jc w:val="center"/>
              <w:rPr>
                <w:rFonts w:eastAsia="Times New Roman" w:cs="Arial"/>
                <w:sz w:val="20"/>
                <w:szCs w:val="20"/>
                <w:lang w:eastAsia="pt-BR"/>
              </w:rPr>
            </w:pPr>
            <w:r w:rsidRPr="0068623C">
              <w:rPr>
                <w:rFonts w:eastAsia="Times New Roman" w:cs="Arial"/>
                <w:sz w:val="20"/>
                <w:szCs w:val="20"/>
                <w:lang w:eastAsia="pt-BR"/>
              </w:rPr>
              <w:t>2.1.2.10</w:t>
            </w:r>
          </w:p>
        </w:tc>
        <w:tc>
          <w:tcPr>
            <w:tcW w:w="7228" w:type="dxa"/>
            <w:shd w:val="clear" w:color="auto" w:fill="auto"/>
            <w:vAlign w:val="center"/>
          </w:tcPr>
          <w:p w:rsidR="000C0280" w:rsidRPr="0068623C" w:rsidRDefault="000C0280" w:rsidP="000C0280">
            <w:pPr>
              <w:pStyle w:val="Estilo1"/>
              <w:tabs>
                <w:tab w:val="clear" w:pos="891"/>
                <w:tab w:val="left" w:pos="45"/>
              </w:tabs>
              <w:spacing w:before="0" w:after="0"/>
              <w:ind w:left="779" w:hanging="425"/>
              <w:rPr>
                <w:rFonts w:eastAsia="Calibri"/>
              </w:rPr>
            </w:pPr>
            <w:r w:rsidRPr="0068623C">
              <w:rPr>
                <w:rFonts w:eastAsia="Calibri"/>
              </w:rPr>
              <w:t>Elaborar minuciosamente o cadastro do sistema de esgotamento sanitário existente nas comunidades rurais.</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1º-12º</w:t>
            </w:r>
          </w:p>
        </w:tc>
        <w:tc>
          <w:tcPr>
            <w:tcW w:w="1633" w:type="dxa"/>
            <w:shd w:val="clear" w:color="auto" w:fill="auto"/>
            <w:vAlign w:val="center"/>
          </w:tcPr>
          <w:p w:rsidR="000C0280" w:rsidRPr="0068623C" w:rsidRDefault="000C0280" w:rsidP="000C0280">
            <w:pPr>
              <w:spacing w:line="240" w:lineRule="auto"/>
              <w:jc w:val="right"/>
              <w:rPr>
                <w:sz w:val="20"/>
                <w:szCs w:val="20"/>
              </w:rPr>
            </w:pPr>
            <w:r w:rsidRPr="0068623C">
              <w:rPr>
                <w:sz w:val="20"/>
                <w:szCs w:val="20"/>
              </w:rPr>
              <w:t>67.301,52</w:t>
            </w:r>
          </w:p>
        </w:tc>
        <w:tc>
          <w:tcPr>
            <w:tcW w:w="2942" w:type="dxa"/>
            <w:shd w:val="clear" w:color="auto" w:fill="auto"/>
            <w:vAlign w:val="center"/>
          </w:tcPr>
          <w:p w:rsidR="000C0280" w:rsidRPr="0068623C" w:rsidRDefault="000C0280" w:rsidP="000C0280">
            <w:pPr>
              <w:spacing w:line="240" w:lineRule="auto"/>
              <w:jc w:val="center"/>
              <w:rPr>
                <w:sz w:val="20"/>
                <w:szCs w:val="20"/>
              </w:rPr>
            </w:pPr>
            <w:r w:rsidRPr="0068623C">
              <w:rPr>
                <w:rFonts w:cs="Arial"/>
                <w:sz w:val="20"/>
                <w:szCs w:val="20"/>
                <w:lang w:eastAsia="pt-BR"/>
              </w:rPr>
              <w:t xml:space="preserve">Prefeitura Municipal / Departamento </w:t>
            </w:r>
            <w:r>
              <w:rPr>
                <w:rFonts w:cs="Arial"/>
                <w:sz w:val="20"/>
                <w:szCs w:val="20"/>
                <w:lang w:eastAsia="pt-BR"/>
              </w:rPr>
              <w:t>d</w:t>
            </w:r>
            <w:r w:rsidRPr="0068623C">
              <w:rPr>
                <w:rFonts w:cs="Arial"/>
                <w:sz w:val="20"/>
                <w:szCs w:val="20"/>
                <w:lang w:eastAsia="pt-BR"/>
              </w:rPr>
              <w:t xml:space="preserve">e Obras </w:t>
            </w:r>
            <w:r>
              <w:rPr>
                <w:rFonts w:cs="Arial"/>
                <w:sz w:val="20"/>
                <w:szCs w:val="20"/>
                <w:lang w:eastAsia="pt-BR"/>
              </w:rPr>
              <w:t>e</w:t>
            </w:r>
            <w:r w:rsidRPr="0068623C">
              <w:rPr>
                <w:rFonts w:cs="Arial"/>
                <w:sz w:val="20"/>
                <w:szCs w:val="20"/>
                <w:lang w:eastAsia="pt-BR"/>
              </w:rPr>
              <w:t xml:space="preserve"> Serviços Urbanos</w:t>
            </w:r>
          </w:p>
        </w:tc>
      </w:tr>
      <w:tr w:rsidR="000C0280" w:rsidRPr="0068623C" w:rsidTr="000C0280">
        <w:trPr>
          <w:trHeight w:val="20"/>
          <w:jc w:val="center"/>
        </w:trPr>
        <w:tc>
          <w:tcPr>
            <w:tcW w:w="1097" w:type="dxa"/>
            <w:shd w:val="clear" w:color="auto" w:fill="auto"/>
            <w:vAlign w:val="center"/>
          </w:tcPr>
          <w:p w:rsidR="000C0280" w:rsidRPr="0068623C" w:rsidRDefault="000C0280" w:rsidP="000C0280">
            <w:pPr>
              <w:spacing w:line="240" w:lineRule="auto"/>
              <w:jc w:val="center"/>
              <w:rPr>
                <w:rFonts w:eastAsia="Times New Roman" w:cs="Arial"/>
                <w:sz w:val="20"/>
                <w:szCs w:val="20"/>
                <w:lang w:eastAsia="pt-BR"/>
              </w:rPr>
            </w:pPr>
            <w:r w:rsidRPr="0068623C">
              <w:rPr>
                <w:rFonts w:eastAsia="Times New Roman" w:cs="Arial"/>
                <w:sz w:val="20"/>
                <w:szCs w:val="20"/>
                <w:lang w:eastAsia="pt-BR"/>
              </w:rPr>
              <w:t>2.1.2.11</w:t>
            </w:r>
          </w:p>
        </w:tc>
        <w:tc>
          <w:tcPr>
            <w:tcW w:w="7228" w:type="dxa"/>
            <w:shd w:val="clear" w:color="auto" w:fill="auto"/>
            <w:vAlign w:val="center"/>
          </w:tcPr>
          <w:p w:rsidR="000C0280" w:rsidRPr="0068623C" w:rsidRDefault="000C0280" w:rsidP="000C0280">
            <w:pPr>
              <w:pStyle w:val="Estilo1"/>
              <w:tabs>
                <w:tab w:val="clear" w:pos="891"/>
                <w:tab w:val="left" w:pos="45"/>
              </w:tabs>
              <w:spacing w:before="0" w:after="0"/>
              <w:ind w:left="779" w:hanging="425"/>
              <w:rPr>
                <w:rFonts w:eastAsia="Calibri"/>
              </w:rPr>
            </w:pPr>
            <w:r w:rsidRPr="0068623C">
              <w:t>Projetar o sistema de tubulações de afastamento e as fossas sépticas, nas áreas rurais.</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2º-8º</w:t>
            </w:r>
          </w:p>
        </w:tc>
        <w:tc>
          <w:tcPr>
            <w:tcW w:w="1633"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2.1.2.12</w:t>
            </w:r>
          </w:p>
        </w:tc>
        <w:tc>
          <w:tcPr>
            <w:tcW w:w="2942" w:type="dxa"/>
            <w:shd w:val="clear" w:color="auto" w:fill="auto"/>
            <w:vAlign w:val="center"/>
          </w:tcPr>
          <w:p w:rsidR="000C0280" w:rsidRPr="0068623C" w:rsidRDefault="000C0280" w:rsidP="000C0280">
            <w:pPr>
              <w:spacing w:line="240" w:lineRule="auto"/>
              <w:jc w:val="center"/>
              <w:rPr>
                <w:sz w:val="20"/>
                <w:szCs w:val="20"/>
              </w:rPr>
            </w:pPr>
            <w:r w:rsidRPr="0068623C">
              <w:rPr>
                <w:rFonts w:cs="Arial"/>
                <w:sz w:val="20"/>
                <w:szCs w:val="20"/>
                <w:lang w:eastAsia="pt-BR"/>
              </w:rPr>
              <w:t xml:space="preserve">Prefeitura Municipal / Departamento </w:t>
            </w:r>
            <w:r>
              <w:rPr>
                <w:rFonts w:cs="Arial"/>
                <w:sz w:val="20"/>
                <w:szCs w:val="20"/>
                <w:lang w:eastAsia="pt-BR"/>
              </w:rPr>
              <w:t>d</w:t>
            </w:r>
            <w:r w:rsidRPr="0068623C">
              <w:rPr>
                <w:rFonts w:cs="Arial"/>
                <w:sz w:val="20"/>
                <w:szCs w:val="20"/>
                <w:lang w:eastAsia="pt-BR"/>
              </w:rPr>
              <w:t xml:space="preserve">e Obras </w:t>
            </w:r>
            <w:r>
              <w:rPr>
                <w:rFonts w:cs="Arial"/>
                <w:sz w:val="20"/>
                <w:szCs w:val="20"/>
                <w:lang w:eastAsia="pt-BR"/>
              </w:rPr>
              <w:t>e</w:t>
            </w:r>
            <w:r w:rsidRPr="0068623C">
              <w:rPr>
                <w:rFonts w:cs="Arial"/>
                <w:sz w:val="20"/>
                <w:szCs w:val="20"/>
                <w:lang w:eastAsia="pt-BR"/>
              </w:rPr>
              <w:t xml:space="preserve"> Serviços Urbanos</w:t>
            </w:r>
          </w:p>
        </w:tc>
      </w:tr>
      <w:tr w:rsidR="000C0280" w:rsidRPr="0068623C" w:rsidTr="000C0280">
        <w:trPr>
          <w:trHeight w:val="20"/>
          <w:jc w:val="center"/>
        </w:trPr>
        <w:tc>
          <w:tcPr>
            <w:tcW w:w="1097" w:type="dxa"/>
            <w:shd w:val="clear" w:color="auto" w:fill="auto"/>
            <w:vAlign w:val="center"/>
          </w:tcPr>
          <w:p w:rsidR="000C0280" w:rsidRPr="0068623C" w:rsidRDefault="000C0280" w:rsidP="000C0280">
            <w:pPr>
              <w:spacing w:line="240" w:lineRule="auto"/>
              <w:jc w:val="center"/>
              <w:rPr>
                <w:rFonts w:eastAsia="Times New Roman" w:cs="Arial"/>
                <w:sz w:val="20"/>
                <w:szCs w:val="20"/>
                <w:lang w:eastAsia="pt-BR"/>
              </w:rPr>
            </w:pPr>
            <w:r w:rsidRPr="0068623C">
              <w:rPr>
                <w:rFonts w:eastAsia="Times New Roman" w:cs="Arial"/>
                <w:sz w:val="20"/>
                <w:szCs w:val="20"/>
                <w:lang w:eastAsia="pt-BR"/>
              </w:rPr>
              <w:t>2.1.2.12</w:t>
            </w:r>
          </w:p>
        </w:tc>
        <w:tc>
          <w:tcPr>
            <w:tcW w:w="7228" w:type="dxa"/>
            <w:shd w:val="clear" w:color="auto" w:fill="auto"/>
            <w:vAlign w:val="center"/>
          </w:tcPr>
          <w:p w:rsidR="000C0280" w:rsidRPr="0068623C" w:rsidRDefault="000C0280" w:rsidP="000C0280">
            <w:pPr>
              <w:pStyle w:val="Estilo1"/>
              <w:tabs>
                <w:tab w:val="clear" w:pos="891"/>
                <w:tab w:val="left" w:pos="45"/>
              </w:tabs>
              <w:spacing w:before="0" w:after="0"/>
              <w:ind w:left="779" w:hanging="425"/>
              <w:rPr>
                <w:rFonts w:eastAsia="Calibri"/>
              </w:rPr>
            </w:pPr>
            <w:r w:rsidRPr="0068623C">
              <w:t>Projetar as fossas sépticas necessárias, de acordo com as avaliações.</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2º-8º</w:t>
            </w:r>
          </w:p>
        </w:tc>
        <w:tc>
          <w:tcPr>
            <w:tcW w:w="1633" w:type="dxa"/>
            <w:shd w:val="clear" w:color="auto" w:fill="auto"/>
            <w:vAlign w:val="center"/>
          </w:tcPr>
          <w:p w:rsidR="000C0280" w:rsidRPr="0068623C" w:rsidRDefault="000C0280" w:rsidP="000C0280">
            <w:pPr>
              <w:spacing w:line="240" w:lineRule="auto"/>
              <w:jc w:val="right"/>
              <w:rPr>
                <w:sz w:val="20"/>
                <w:szCs w:val="20"/>
              </w:rPr>
            </w:pPr>
            <w:r w:rsidRPr="0068623C">
              <w:rPr>
                <w:sz w:val="20"/>
                <w:szCs w:val="20"/>
              </w:rPr>
              <w:t>6.736,00</w:t>
            </w:r>
          </w:p>
        </w:tc>
        <w:tc>
          <w:tcPr>
            <w:tcW w:w="2942" w:type="dxa"/>
            <w:shd w:val="clear" w:color="auto" w:fill="auto"/>
            <w:vAlign w:val="center"/>
          </w:tcPr>
          <w:p w:rsidR="000C0280" w:rsidRPr="0068623C" w:rsidRDefault="000C0280" w:rsidP="000C0280">
            <w:pPr>
              <w:spacing w:line="240" w:lineRule="auto"/>
              <w:jc w:val="center"/>
              <w:rPr>
                <w:sz w:val="20"/>
                <w:szCs w:val="20"/>
              </w:rPr>
            </w:pPr>
            <w:r w:rsidRPr="0068623C">
              <w:rPr>
                <w:rFonts w:cs="Arial"/>
                <w:sz w:val="20"/>
                <w:szCs w:val="20"/>
                <w:lang w:eastAsia="pt-BR"/>
              </w:rPr>
              <w:t xml:space="preserve">Prefeitura Municipal / Departamento </w:t>
            </w:r>
            <w:r>
              <w:rPr>
                <w:rFonts w:cs="Arial"/>
                <w:sz w:val="20"/>
                <w:szCs w:val="20"/>
                <w:lang w:eastAsia="pt-BR"/>
              </w:rPr>
              <w:t>d</w:t>
            </w:r>
            <w:r w:rsidRPr="0068623C">
              <w:rPr>
                <w:rFonts w:cs="Arial"/>
                <w:sz w:val="20"/>
                <w:szCs w:val="20"/>
                <w:lang w:eastAsia="pt-BR"/>
              </w:rPr>
              <w:t xml:space="preserve">e Obras </w:t>
            </w:r>
            <w:r>
              <w:rPr>
                <w:rFonts w:cs="Arial"/>
                <w:sz w:val="20"/>
                <w:szCs w:val="20"/>
                <w:lang w:eastAsia="pt-BR"/>
              </w:rPr>
              <w:t>e</w:t>
            </w:r>
            <w:r w:rsidRPr="0068623C">
              <w:rPr>
                <w:rFonts w:cs="Arial"/>
                <w:sz w:val="20"/>
                <w:szCs w:val="20"/>
                <w:lang w:eastAsia="pt-BR"/>
              </w:rPr>
              <w:t xml:space="preserve"> Serviços Urbanos</w:t>
            </w:r>
          </w:p>
        </w:tc>
      </w:tr>
      <w:tr w:rsidR="000C0280" w:rsidRPr="0068623C" w:rsidTr="000C0280">
        <w:trPr>
          <w:trHeight w:val="20"/>
          <w:jc w:val="center"/>
        </w:trPr>
        <w:tc>
          <w:tcPr>
            <w:tcW w:w="1097" w:type="dxa"/>
            <w:shd w:val="clear" w:color="auto" w:fill="auto"/>
            <w:vAlign w:val="center"/>
          </w:tcPr>
          <w:p w:rsidR="000C0280" w:rsidRPr="0068623C" w:rsidRDefault="000C0280" w:rsidP="000C0280">
            <w:pPr>
              <w:spacing w:line="240" w:lineRule="auto"/>
              <w:jc w:val="center"/>
              <w:rPr>
                <w:rFonts w:eastAsia="Times New Roman" w:cs="Arial"/>
                <w:sz w:val="20"/>
                <w:szCs w:val="20"/>
                <w:lang w:eastAsia="pt-BR"/>
              </w:rPr>
            </w:pPr>
            <w:r w:rsidRPr="0068623C">
              <w:rPr>
                <w:rFonts w:eastAsia="Times New Roman" w:cs="Arial"/>
                <w:sz w:val="20"/>
                <w:szCs w:val="20"/>
                <w:lang w:eastAsia="pt-BR"/>
              </w:rPr>
              <w:t>2.1.2.13</w:t>
            </w:r>
          </w:p>
        </w:tc>
        <w:tc>
          <w:tcPr>
            <w:tcW w:w="7228" w:type="dxa"/>
            <w:shd w:val="clear" w:color="auto" w:fill="auto"/>
            <w:vAlign w:val="center"/>
          </w:tcPr>
          <w:p w:rsidR="000C0280" w:rsidRPr="0068623C" w:rsidRDefault="000C0280" w:rsidP="000C0280">
            <w:pPr>
              <w:pStyle w:val="Estilo1"/>
              <w:tabs>
                <w:tab w:val="clear" w:pos="891"/>
                <w:tab w:val="left" w:pos="45"/>
              </w:tabs>
              <w:spacing w:before="0" w:after="0"/>
              <w:ind w:left="779" w:hanging="425"/>
              <w:rPr>
                <w:rFonts w:eastAsia="Calibri"/>
              </w:rPr>
            </w:pPr>
            <w:r w:rsidRPr="0068623C">
              <w:t>Executar as obras das fossas sépticas das comunidades rurais, segundo os projetos e colocá-las em operação.</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3º-8º</w:t>
            </w:r>
          </w:p>
        </w:tc>
        <w:tc>
          <w:tcPr>
            <w:tcW w:w="1633" w:type="dxa"/>
            <w:shd w:val="clear" w:color="auto" w:fill="auto"/>
            <w:vAlign w:val="center"/>
          </w:tcPr>
          <w:p w:rsidR="000C0280" w:rsidRPr="0068623C" w:rsidRDefault="000C0280" w:rsidP="000C0280">
            <w:pPr>
              <w:spacing w:line="240" w:lineRule="auto"/>
              <w:jc w:val="right"/>
              <w:rPr>
                <w:sz w:val="20"/>
                <w:szCs w:val="20"/>
              </w:rPr>
            </w:pPr>
            <w:r w:rsidRPr="0068623C">
              <w:rPr>
                <w:sz w:val="20"/>
                <w:szCs w:val="20"/>
              </w:rPr>
              <w:t>67.360,00</w:t>
            </w:r>
          </w:p>
        </w:tc>
        <w:tc>
          <w:tcPr>
            <w:tcW w:w="2942" w:type="dxa"/>
            <w:shd w:val="clear" w:color="auto" w:fill="auto"/>
            <w:vAlign w:val="center"/>
          </w:tcPr>
          <w:p w:rsidR="000C0280" w:rsidRPr="0068623C" w:rsidRDefault="000C0280" w:rsidP="000C0280">
            <w:pPr>
              <w:spacing w:line="240" w:lineRule="auto"/>
              <w:jc w:val="center"/>
              <w:rPr>
                <w:sz w:val="20"/>
                <w:szCs w:val="20"/>
              </w:rPr>
            </w:pPr>
            <w:r w:rsidRPr="0068623C">
              <w:rPr>
                <w:rFonts w:cs="Arial"/>
                <w:sz w:val="20"/>
                <w:szCs w:val="20"/>
                <w:lang w:eastAsia="pt-BR"/>
              </w:rPr>
              <w:t xml:space="preserve">Prefeitura Municipal / Departamento </w:t>
            </w:r>
            <w:r>
              <w:rPr>
                <w:rFonts w:cs="Arial"/>
                <w:sz w:val="20"/>
                <w:szCs w:val="20"/>
                <w:lang w:eastAsia="pt-BR"/>
              </w:rPr>
              <w:t>d</w:t>
            </w:r>
            <w:r w:rsidRPr="0068623C">
              <w:rPr>
                <w:rFonts w:cs="Arial"/>
                <w:sz w:val="20"/>
                <w:szCs w:val="20"/>
                <w:lang w:eastAsia="pt-BR"/>
              </w:rPr>
              <w:t xml:space="preserve">e Obras </w:t>
            </w:r>
            <w:r>
              <w:rPr>
                <w:rFonts w:cs="Arial"/>
                <w:sz w:val="20"/>
                <w:szCs w:val="20"/>
                <w:lang w:eastAsia="pt-BR"/>
              </w:rPr>
              <w:t>e</w:t>
            </w:r>
            <w:r w:rsidRPr="0068623C">
              <w:rPr>
                <w:rFonts w:cs="Arial"/>
                <w:sz w:val="20"/>
                <w:szCs w:val="20"/>
                <w:lang w:eastAsia="pt-BR"/>
              </w:rPr>
              <w:t xml:space="preserve"> Serviços Urbanos</w:t>
            </w:r>
          </w:p>
        </w:tc>
      </w:tr>
    </w:tbl>
    <w:p w:rsidR="000C0280" w:rsidRPr="0068623C" w:rsidRDefault="000C0280" w:rsidP="000C0280">
      <w:pPr>
        <w:pStyle w:val="Fonte"/>
      </w:pPr>
      <w:r>
        <w:t>*</w:t>
      </w:r>
      <w:r w:rsidRPr="0068623C">
        <w:t>(s/o/m/a) = nº do setor / nº do objetivo / nº da meta / nº da ação.</w:t>
      </w: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Pr="0068623C" w:rsidRDefault="000C0280" w:rsidP="000C0280">
      <w:pPr>
        <w:pStyle w:val="Legenda"/>
      </w:pPr>
      <w:bookmarkStart w:id="793" w:name="_Ref503280330"/>
      <w:bookmarkStart w:id="794" w:name="_Toc379959520"/>
      <w:bookmarkStart w:id="795" w:name="_Toc391477007"/>
      <w:bookmarkStart w:id="796" w:name="_Toc394479467"/>
      <w:bookmarkStart w:id="797" w:name="_Toc398040328"/>
      <w:bookmarkStart w:id="798" w:name="_Toc406481066"/>
      <w:bookmarkStart w:id="799" w:name="_Toc443383641"/>
      <w:bookmarkStart w:id="800" w:name="_Toc498353419"/>
      <w:bookmarkStart w:id="801" w:name="_Toc505788342"/>
      <w:bookmarkStart w:id="802" w:name="_Toc509935843"/>
      <w:r w:rsidRPr="0068623C">
        <w:lastRenderedPageBreak/>
        <w:t xml:space="preserve">Quadro </w:t>
      </w:r>
      <w:r w:rsidR="000A1C78">
        <w:fldChar w:fldCharType="begin"/>
      </w:r>
      <w:r w:rsidR="000A1C78">
        <w:instrText xml:space="preserve"> SEQ Quadro \* ARABIC </w:instrText>
      </w:r>
      <w:r w:rsidR="000A1C78">
        <w:fldChar w:fldCharType="separate"/>
      </w:r>
      <w:r w:rsidR="001B481B">
        <w:rPr>
          <w:noProof/>
        </w:rPr>
        <w:t>66</w:t>
      </w:r>
      <w:r w:rsidR="000A1C78">
        <w:rPr>
          <w:noProof/>
        </w:rPr>
        <w:fldChar w:fldCharType="end"/>
      </w:r>
      <w:bookmarkEnd w:id="793"/>
      <w:r w:rsidRPr="0068623C">
        <w:t xml:space="preserve"> - </w:t>
      </w:r>
      <w:bookmarkEnd w:id="794"/>
      <w:bookmarkEnd w:id="795"/>
      <w:bookmarkEnd w:id="796"/>
      <w:bookmarkEnd w:id="797"/>
      <w:bookmarkEnd w:id="798"/>
      <w:bookmarkEnd w:id="799"/>
      <w:r w:rsidRPr="0068623C">
        <w:t>Programas e ações propostos para o setor de esgotamento sanitário - Objetivo 2</w:t>
      </w:r>
      <w:bookmarkEnd w:id="800"/>
      <w:bookmarkEnd w:id="801"/>
      <w:bookmarkEnd w:id="802"/>
    </w:p>
    <w:tbl>
      <w:tblPr>
        <w:tblW w:w="14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64"/>
        <w:gridCol w:w="280"/>
        <w:gridCol w:w="890"/>
        <w:gridCol w:w="1557"/>
        <w:gridCol w:w="8224"/>
        <w:gridCol w:w="1967"/>
      </w:tblGrid>
      <w:tr w:rsidR="000C0280" w:rsidRPr="0068623C" w:rsidTr="000C0280">
        <w:trPr>
          <w:trHeight w:val="20"/>
          <w:jc w:val="center"/>
        </w:trPr>
        <w:tc>
          <w:tcPr>
            <w:tcW w:w="660" w:type="pct"/>
            <w:shd w:val="clear" w:color="000000" w:fill="C0C0C0"/>
            <w:noWrap/>
            <w:vAlign w:val="center"/>
            <w:hideMark/>
          </w:tcPr>
          <w:p w:rsidR="000C0280" w:rsidRPr="0068623C" w:rsidRDefault="000C0280" w:rsidP="000C0280">
            <w:pPr>
              <w:spacing w:before="20" w:after="20" w:line="240" w:lineRule="auto"/>
              <w:contextualSpacing/>
              <w:rPr>
                <w:rFonts w:eastAsia="Times New Roman" w:cs="Arial"/>
                <w:b/>
                <w:bCs/>
                <w:sz w:val="20"/>
                <w:szCs w:val="20"/>
                <w:lang w:eastAsia="pt-BR"/>
              </w:rPr>
            </w:pPr>
            <w:r w:rsidRPr="0068623C">
              <w:rPr>
                <w:rFonts w:eastAsia="Times New Roman" w:cs="Arial"/>
                <w:b/>
                <w:bCs/>
                <w:sz w:val="20"/>
                <w:szCs w:val="20"/>
                <w:lang w:eastAsia="pt-BR"/>
              </w:rPr>
              <w:t>SETOR</w:t>
            </w:r>
          </w:p>
        </w:tc>
        <w:tc>
          <w:tcPr>
            <w:tcW w:w="94" w:type="pct"/>
            <w:shd w:val="clear" w:color="auto" w:fill="auto"/>
            <w:noWrap/>
            <w:vAlign w:val="center"/>
            <w:hideMark/>
          </w:tcPr>
          <w:p w:rsidR="000C0280" w:rsidRPr="0068623C" w:rsidRDefault="000C0280" w:rsidP="000C0280">
            <w:pPr>
              <w:spacing w:before="20" w:after="20" w:line="240" w:lineRule="auto"/>
              <w:contextualSpacing/>
              <w:rPr>
                <w:rFonts w:eastAsia="Times New Roman" w:cs="Arial"/>
                <w:sz w:val="20"/>
                <w:szCs w:val="20"/>
                <w:lang w:eastAsia="pt-BR"/>
              </w:rPr>
            </w:pPr>
            <w:r w:rsidRPr="0068623C">
              <w:rPr>
                <w:rFonts w:eastAsia="Times New Roman" w:cs="Arial"/>
                <w:sz w:val="20"/>
                <w:szCs w:val="20"/>
                <w:lang w:eastAsia="pt-BR"/>
              </w:rPr>
              <w:t>2</w:t>
            </w:r>
          </w:p>
        </w:tc>
        <w:tc>
          <w:tcPr>
            <w:tcW w:w="4246" w:type="pct"/>
            <w:gridSpan w:val="4"/>
            <w:shd w:val="clear" w:color="auto" w:fill="auto"/>
            <w:noWrap/>
            <w:vAlign w:val="center"/>
            <w:hideMark/>
          </w:tcPr>
          <w:p w:rsidR="000C0280" w:rsidRPr="0068623C" w:rsidRDefault="000C0280" w:rsidP="000C0280">
            <w:pPr>
              <w:spacing w:before="20" w:after="20" w:line="240" w:lineRule="auto"/>
              <w:contextualSpacing/>
              <w:jc w:val="both"/>
              <w:rPr>
                <w:rFonts w:eastAsia="Times New Roman" w:cs="Arial"/>
                <w:sz w:val="20"/>
                <w:szCs w:val="20"/>
                <w:lang w:eastAsia="pt-BR"/>
              </w:rPr>
            </w:pPr>
            <w:r w:rsidRPr="0068623C">
              <w:rPr>
                <w:rFonts w:eastAsia="Times New Roman" w:cs="Arial"/>
                <w:sz w:val="20"/>
                <w:szCs w:val="20"/>
                <w:lang w:eastAsia="pt-BR"/>
              </w:rPr>
              <w:t>Esgotamento Sanitário.</w:t>
            </w:r>
          </w:p>
        </w:tc>
      </w:tr>
      <w:tr w:rsidR="000C0280" w:rsidRPr="0068623C" w:rsidTr="000C0280">
        <w:trPr>
          <w:trHeight w:val="20"/>
          <w:jc w:val="center"/>
        </w:trPr>
        <w:tc>
          <w:tcPr>
            <w:tcW w:w="660" w:type="pct"/>
            <w:shd w:val="clear" w:color="000000" w:fill="C0C0C0"/>
            <w:vAlign w:val="center"/>
            <w:hideMark/>
          </w:tcPr>
          <w:p w:rsidR="000C0280" w:rsidRPr="0068623C" w:rsidRDefault="000C0280" w:rsidP="000C0280">
            <w:pPr>
              <w:spacing w:before="20" w:after="20" w:line="240" w:lineRule="auto"/>
              <w:contextualSpacing/>
              <w:rPr>
                <w:rFonts w:eastAsia="Times New Roman" w:cs="Arial"/>
                <w:b/>
                <w:bCs/>
                <w:sz w:val="20"/>
                <w:szCs w:val="20"/>
                <w:lang w:eastAsia="pt-BR"/>
              </w:rPr>
            </w:pPr>
            <w:r w:rsidRPr="0068623C">
              <w:rPr>
                <w:rFonts w:eastAsia="Times New Roman" w:cs="Arial"/>
                <w:b/>
                <w:bCs/>
                <w:sz w:val="20"/>
                <w:szCs w:val="20"/>
                <w:lang w:eastAsia="pt-BR"/>
              </w:rPr>
              <w:t>OBJETIVO</w:t>
            </w:r>
          </w:p>
        </w:tc>
        <w:tc>
          <w:tcPr>
            <w:tcW w:w="94" w:type="pct"/>
            <w:shd w:val="clear" w:color="auto" w:fill="auto"/>
            <w:vAlign w:val="center"/>
            <w:hideMark/>
          </w:tcPr>
          <w:p w:rsidR="000C0280" w:rsidRPr="0068623C" w:rsidRDefault="000C0280" w:rsidP="000C0280">
            <w:pPr>
              <w:spacing w:before="40" w:after="40" w:line="240" w:lineRule="auto"/>
              <w:rPr>
                <w:rFonts w:eastAsia="Times New Roman" w:cs="Arial"/>
                <w:sz w:val="20"/>
                <w:szCs w:val="20"/>
                <w:lang w:eastAsia="pt-BR"/>
              </w:rPr>
            </w:pPr>
            <w:r w:rsidRPr="0068623C">
              <w:rPr>
                <w:rFonts w:eastAsia="Times New Roman" w:cs="Arial"/>
                <w:sz w:val="20"/>
                <w:szCs w:val="20"/>
                <w:lang w:eastAsia="pt-BR"/>
              </w:rPr>
              <w:t>2</w:t>
            </w:r>
          </w:p>
        </w:tc>
        <w:tc>
          <w:tcPr>
            <w:tcW w:w="4246" w:type="pct"/>
            <w:gridSpan w:val="4"/>
            <w:shd w:val="clear" w:color="auto" w:fill="auto"/>
            <w:vAlign w:val="center"/>
            <w:hideMark/>
          </w:tcPr>
          <w:p w:rsidR="000C0280" w:rsidRPr="0068623C" w:rsidRDefault="000C0280" w:rsidP="000C0280">
            <w:pPr>
              <w:pStyle w:val="PargrafodaLista"/>
              <w:spacing w:before="40" w:after="40" w:line="240" w:lineRule="auto"/>
              <w:ind w:left="0"/>
              <w:contextualSpacing w:val="0"/>
              <w:jc w:val="left"/>
              <w:rPr>
                <w:sz w:val="20"/>
                <w:lang w:val="pt-BR"/>
              </w:rPr>
            </w:pPr>
            <w:r w:rsidRPr="0068623C">
              <w:rPr>
                <w:bCs/>
                <w:sz w:val="20"/>
                <w:lang w:val="pt-BR"/>
              </w:rPr>
              <w:t>Erradicar sistemas de tratamento de esgotos inadequados e implantar dispositivos de saneamento rural.</w:t>
            </w:r>
          </w:p>
        </w:tc>
      </w:tr>
      <w:tr w:rsidR="000C0280" w:rsidRPr="0068623C" w:rsidTr="000C0280">
        <w:trPr>
          <w:trHeight w:val="20"/>
          <w:jc w:val="center"/>
        </w:trPr>
        <w:tc>
          <w:tcPr>
            <w:tcW w:w="660" w:type="pct"/>
            <w:shd w:val="clear" w:color="000000" w:fill="C0C0C0"/>
            <w:vAlign w:val="center"/>
          </w:tcPr>
          <w:p w:rsidR="000C0280" w:rsidRPr="00884066" w:rsidRDefault="000C0280" w:rsidP="000C0280">
            <w:pPr>
              <w:spacing w:before="20" w:after="20" w:line="240" w:lineRule="auto"/>
              <w:contextualSpacing/>
              <w:rPr>
                <w:rFonts w:eastAsia="Times New Roman" w:cs="Arial"/>
                <w:b/>
                <w:bCs/>
                <w:sz w:val="20"/>
                <w:szCs w:val="20"/>
                <w:lang w:eastAsia="pt-BR"/>
              </w:rPr>
            </w:pPr>
            <w:r w:rsidRPr="00884066">
              <w:rPr>
                <w:rFonts w:eastAsia="Times New Roman" w:cs="Arial"/>
                <w:b/>
                <w:bCs/>
                <w:sz w:val="20"/>
                <w:szCs w:val="20"/>
                <w:lang w:eastAsia="pt-BR"/>
              </w:rPr>
              <w:t>INDICADOR DE MONITORAMENTO</w:t>
            </w:r>
          </w:p>
        </w:tc>
        <w:tc>
          <w:tcPr>
            <w:tcW w:w="4340" w:type="pct"/>
            <w:gridSpan w:val="5"/>
            <w:shd w:val="clear" w:color="auto" w:fill="auto"/>
            <w:vAlign w:val="center"/>
          </w:tcPr>
          <w:p w:rsidR="000C0280" w:rsidRPr="00884066" w:rsidRDefault="000C0280" w:rsidP="000C0280">
            <w:pPr>
              <w:pStyle w:val="PargrafodaLista"/>
              <w:spacing w:before="40" w:after="40" w:line="240" w:lineRule="auto"/>
              <w:ind w:left="0"/>
              <w:contextualSpacing w:val="0"/>
              <w:jc w:val="left"/>
              <w:rPr>
                <w:rFonts w:cs="Arial"/>
                <w:bCs/>
                <w:sz w:val="20"/>
                <w:lang w:val="pt-BR"/>
              </w:rPr>
            </w:pPr>
            <w:r w:rsidRPr="00884066">
              <w:rPr>
                <w:rFonts w:cs="Arial"/>
                <w:bCs/>
                <w:sz w:val="20"/>
              </w:rPr>
              <w:t>Indicador da regularização e fiscalização das atividades de limpa fossa</w:t>
            </w:r>
            <w:r w:rsidRPr="00884066">
              <w:rPr>
                <w:rFonts w:cs="Arial"/>
                <w:bCs/>
                <w:sz w:val="20"/>
                <w:lang w:val="pt-BR"/>
              </w:rPr>
              <w:t>.</w:t>
            </w:r>
          </w:p>
        </w:tc>
      </w:tr>
      <w:tr w:rsidR="000C0280" w:rsidRPr="0068623C" w:rsidTr="000C0280">
        <w:trPr>
          <w:trHeight w:val="20"/>
          <w:jc w:val="center"/>
        </w:trPr>
        <w:tc>
          <w:tcPr>
            <w:tcW w:w="5000" w:type="pct"/>
            <w:gridSpan w:val="6"/>
            <w:shd w:val="clear" w:color="000000" w:fill="C0C0C0"/>
            <w:noWrap/>
            <w:vAlign w:val="center"/>
            <w:hideMark/>
          </w:tcPr>
          <w:p w:rsidR="000C0280" w:rsidRPr="0068623C" w:rsidRDefault="000C0280" w:rsidP="000C0280">
            <w:pPr>
              <w:spacing w:before="20" w:after="20"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PRAZO DE ENTREGA DA META (ANOS)</w:t>
            </w:r>
          </w:p>
        </w:tc>
      </w:tr>
      <w:tr w:rsidR="000C0280" w:rsidRPr="0068623C" w:rsidTr="000C0280">
        <w:trPr>
          <w:trHeight w:val="20"/>
          <w:jc w:val="center"/>
        </w:trPr>
        <w:tc>
          <w:tcPr>
            <w:tcW w:w="1053" w:type="pct"/>
            <w:gridSpan w:val="3"/>
            <w:shd w:val="clear" w:color="000000" w:fill="C0C0C0"/>
            <w:noWrap/>
            <w:vAlign w:val="center"/>
            <w:hideMark/>
          </w:tcPr>
          <w:p w:rsidR="000C0280" w:rsidRPr="0068623C" w:rsidRDefault="000C0280" w:rsidP="000C0280">
            <w:pPr>
              <w:spacing w:line="240" w:lineRule="auto"/>
              <w:jc w:val="center"/>
              <w:rPr>
                <w:rFonts w:eastAsia="Times New Roman" w:cs="Arial"/>
                <w:b/>
                <w:bCs/>
                <w:sz w:val="20"/>
                <w:szCs w:val="20"/>
                <w:lang w:eastAsia="pt-BR"/>
              </w:rPr>
            </w:pPr>
            <w:r w:rsidRPr="0068623C">
              <w:rPr>
                <w:rFonts w:eastAsia="Times New Roman" w:cs="Arial"/>
                <w:b/>
                <w:bCs/>
                <w:sz w:val="20"/>
                <w:szCs w:val="20"/>
                <w:lang w:eastAsia="pt-BR"/>
              </w:rPr>
              <w:t>IMEDIATO (0 a 3)</w:t>
            </w:r>
          </w:p>
        </w:tc>
        <w:tc>
          <w:tcPr>
            <w:tcW w:w="523" w:type="pct"/>
            <w:shd w:val="clear" w:color="000000" w:fill="C0C0C0"/>
            <w:noWrap/>
            <w:vAlign w:val="center"/>
            <w:hideMark/>
          </w:tcPr>
          <w:p w:rsidR="000C0280" w:rsidRPr="0068623C" w:rsidRDefault="000C0280" w:rsidP="000C0280">
            <w:pPr>
              <w:spacing w:line="240" w:lineRule="auto"/>
              <w:jc w:val="center"/>
              <w:rPr>
                <w:rFonts w:eastAsia="Times New Roman" w:cs="Arial"/>
                <w:b/>
                <w:bCs/>
                <w:sz w:val="20"/>
                <w:szCs w:val="20"/>
                <w:lang w:eastAsia="pt-BR"/>
              </w:rPr>
            </w:pPr>
            <w:r w:rsidRPr="0068623C">
              <w:rPr>
                <w:rFonts w:eastAsia="Times New Roman" w:cs="Arial"/>
                <w:b/>
                <w:bCs/>
                <w:sz w:val="20"/>
                <w:szCs w:val="20"/>
                <w:lang w:eastAsia="pt-BR"/>
              </w:rPr>
              <w:t>CURTO (4 a 8)</w:t>
            </w:r>
          </w:p>
        </w:tc>
        <w:tc>
          <w:tcPr>
            <w:tcW w:w="2763" w:type="pct"/>
            <w:shd w:val="clear" w:color="000000" w:fill="C0C0C0"/>
            <w:noWrap/>
            <w:vAlign w:val="center"/>
            <w:hideMark/>
          </w:tcPr>
          <w:p w:rsidR="000C0280" w:rsidRPr="0068623C" w:rsidRDefault="000C0280" w:rsidP="000C0280">
            <w:pPr>
              <w:spacing w:line="240" w:lineRule="auto"/>
              <w:jc w:val="center"/>
              <w:rPr>
                <w:rFonts w:eastAsia="Times New Roman" w:cs="Arial"/>
                <w:b/>
                <w:bCs/>
                <w:sz w:val="20"/>
                <w:szCs w:val="20"/>
                <w:lang w:eastAsia="pt-BR"/>
              </w:rPr>
            </w:pPr>
            <w:r w:rsidRPr="0068623C">
              <w:rPr>
                <w:rFonts w:eastAsia="Times New Roman" w:cs="Arial"/>
                <w:b/>
                <w:bCs/>
                <w:sz w:val="20"/>
                <w:szCs w:val="20"/>
                <w:lang w:eastAsia="pt-BR"/>
              </w:rPr>
              <w:t>MÉDIO (9 a 12)</w:t>
            </w:r>
          </w:p>
        </w:tc>
        <w:tc>
          <w:tcPr>
            <w:tcW w:w="661" w:type="pct"/>
            <w:shd w:val="clear" w:color="000000" w:fill="C0C0C0"/>
            <w:noWrap/>
            <w:vAlign w:val="center"/>
            <w:hideMark/>
          </w:tcPr>
          <w:p w:rsidR="000C0280" w:rsidRPr="0068623C" w:rsidRDefault="000C0280" w:rsidP="000C0280">
            <w:pPr>
              <w:spacing w:line="240" w:lineRule="auto"/>
              <w:jc w:val="center"/>
              <w:rPr>
                <w:rFonts w:eastAsia="Times New Roman" w:cs="Arial"/>
                <w:b/>
                <w:bCs/>
                <w:sz w:val="20"/>
                <w:szCs w:val="20"/>
                <w:lang w:eastAsia="pt-BR"/>
              </w:rPr>
            </w:pPr>
            <w:r w:rsidRPr="0068623C">
              <w:rPr>
                <w:rFonts w:eastAsia="Times New Roman" w:cs="Arial"/>
                <w:b/>
                <w:bCs/>
                <w:sz w:val="20"/>
                <w:szCs w:val="20"/>
                <w:lang w:eastAsia="pt-BR"/>
              </w:rPr>
              <w:t>LONGO (13 a 20)</w:t>
            </w:r>
          </w:p>
        </w:tc>
      </w:tr>
      <w:tr w:rsidR="000C0280" w:rsidRPr="0068623C" w:rsidTr="000C0280">
        <w:trPr>
          <w:trHeight w:val="20"/>
          <w:jc w:val="center"/>
        </w:trPr>
        <w:tc>
          <w:tcPr>
            <w:tcW w:w="1053" w:type="pct"/>
            <w:gridSpan w:val="3"/>
            <w:shd w:val="clear" w:color="auto" w:fill="auto"/>
            <w:noWrap/>
            <w:vAlign w:val="center"/>
          </w:tcPr>
          <w:p w:rsidR="000C0280" w:rsidRPr="0068623C" w:rsidRDefault="000C0280" w:rsidP="000C0280">
            <w:pPr>
              <w:spacing w:before="20" w:after="20" w:line="240" w:lineRule="auto"/>
              <w:jc w:val="both"/>
              <w:rPr>
                <w:rFonts w:cs="Arial"/>
                <w:bCs/>
                <w:sz w:val="20"/>
                <w:szCs w:val="20"/>
              </w:rPr>
            </w:pPr>
            <w:r w:rsidRPr="0068623C">
              <w:rPr>
                <w:rFonts w:eastAsia="Times New Roman" w:cs="Arial"/>
                <w:bCs/>
                <w:sz w:val="20"/>
                <w:szCs w:val="20"/>
              </w:rPr>
              <w:t>Meta 2.1. Cadastrar todas as fossas (rudimentares e sépticas) existentes no município.</w:t>
            </w:r>
          </w:p>
        </w:tc>
        <w:tc>
          <w:tcPr>
            <w:tcW w:w="523" w:type="pct"/>
            <w:shd w:val="clear" w:color="auto" w:fill="auto"/>
            <w:noWrap/>
            <w:vAlign w:val="center"/>
            <w:hideMark/>
          </w:tcPr>
          <w:p w:rsidR="000C0280" w:rsidRPr="0068623C" w:rsidRDefault="000C0280" w:rsidP="000C0280">
            <w:pPr>
              <w:spacing w:before="20" w:after="20" w:line="240" w:lineRule="auto"/>
              <w:jc w:val="both"/>
              <w:rPr>
                <w:rFonts w:cs="Arial"/>
                <w:bCs/>
                <w:sz w:val="20"/>
                <w:szCs w:val="20"/>
              </w:rPr>
            </w:pPr>
          </w:p>
        </w:tc>
        <w:tc>
          <w:tcPr>
            <w:tcW w:w="2763" w:type="pct"/>
            <w:shd w:val="clear" w:color="auto" w:fill="auto"/>
            <w:noWrap/>
            <w:vAlign w:val="center"/>
          </w:tcPr>
          <w:p w:rsidR="000C0280" w:rsidRPr="0068623C" w:rsidRDefault="000C0280" w:rsidP="000C0280">
            <w:pPr>
              <w:spacing w:before="20" w:after="20" w:line="240" w:lineRule="auto"/>
              <w:jc w:val="both"/>
              <w:rPr>
                <w:rFonts w:eastAsia="Times New Roman" w:cs="Arial"/>
                <w:bCs/>
                <w:sz w:val="20"/>
                <w:szCs w:val="20"/>
              </w:rPr>
            </w:pPr>
            <w:r w:rsidRPr="0068623C">
              <w:rPr>
                <w:rFonts w:eastAsia="Times New Roman" w:cs="Arial"/>
                <w:bCs/>
                <w:sz w:val="20"/>
                <w:szCs w:val="20"/>
              </w:rPr>
              <w:t xml:space="preserve">Meta 2.2. Desativar os sistemas de tratamento de esgotos rurais inadequados e lançamentos </w:t>
            </w:r>
            <w:r w:rsidRPr="0068623C">
              <w:rPr>
                <w:rFonts w:eastAsia="Times New Roman" w:cs="Arial"/>
                <w:bCs/>
                <w:i/>
                <w:sz w:val="20"/>
                <w:szCs w:val="20"/>
              </w:rPr>
              <w:t>in natura</w:t>
            </w:r>
            <w:r w:rsidRPr="0068623C">
              <w:rPr>
                <w:rFonts w:eastAsia="Times New Roman" w:cs="Arial"/>
                <w:bCs/>
                <w:sz w:val="20"/>
                <w:szCs w:val="20"/>
              </w:rPr>
              <w:t xml:space="preserve"> dos esgotos.</w:t>
            </w:r>
          </w:p>
          <w:p w:rsidR="000C0280" w:rsidRPr="0068623C" w:rsidRDefault="000C0280" w:rsidP="000C0280">
            <w:pPr>
              <w:spacing w:before="20" w:after="20" w:line="240" w:lineRule="auto"/>
              <w:jc w:val="both"/>
              <w:rPr>
                <w:rFonts w:cs="Arial"/>
                <w:bCs/>
                <w:sz w:val="20"/>
                <w:szCs w:val="20"/>
              </w:rPr>
            </w:pPr>
            <w:r w:rsidRPr="0068623C">
              <w:rPr>
                <w:rFonts w:eastAsia="Times New Roman" w:cs="Arial"/>
                <w:bCs/>
                <w:sz w:val="20"/>
                <w:szCs w:val="20"/>
              </w:rPr>
              <w:t>Meta 2.3. Implantar sistemas de tratamento adequados para atender às comunidades rurais.</w:t>
            </w:r>
          </w:p>
        </w:tc>
        <w:tc>
          <w:tcPr>
            <w:tcW w:w="661" w:type="pct"/>
            <w:shd w:val="clear" w:color="auto" w:fill="auto"/>
            <w:noWrap/>
            <w:vAlign w:val="center"/>
          </w:tcPr>
          <w:p w:rsidR="000C0280" w:rsidRPr="0068623C" w:rsidRDefault="000C0280" w:rsidP="000C0280">
            <w:pPr>
              <w:spacing w:before="20" w:after="20" w:line="240" w:lineRule="auto"/>
              <w:jc w:val="both"/>
              <w:rPr>
                <w:rFonts w:cs="Arial"/>
                <w:bCs/>
                <w:sz w:val="20"/>
                <w:szCs w:val="20"/>
              </w:rPr>
            </w:pPr>
          </w:p>
        </w:tc>
      </w:tr>
    </w:tbl>
    <w:p w:rsidR="000C0280" w:rsidRPr="0068623C" w:rsidRDefault="000C0280" w:rsidP="000C0280">
      <w:pPr>
        <w:rPr>
          <w:sz w:val="2"/>
          <w:szCs w:val="2"/>
          <w:lang w:eastAsia="x-none"/>
        </w:rPr>
      </w:pPr>
    </w:p>
    <w:tbl>
      <w:tblPr>
        <w:tblW w:w="14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2"/>
        <w:gridCol w:w="7467"/>
        <w:gridCol w:w="1774"/>
        <w:gridCol w:w="1537"/>
        <w:gridCol w:w="3051"/>
      </w:tblGrid>
      <w:tr w:rsidR="000C0280" w:rsidRPr="0068623C" w:rsidTr="000C0280">
        <w:trPr>
          <w:trHeight w:val="20"/>
          <w:tblHeader/>
          <w:jc w:val="center"/>
        </w:trPr>
        <w:tc>
          <w:tcPr>
            <w:tcW w:w="1041" w:type="dxa"/>
            <w:shd w:val="clear" w:color="000000" w:fill="C0C0C0"/>
            <w:vAlign w:val="center"/>
          </w:tcPr>
          <w:p w:rsidR="000C0280" w:rsidRPr="0068623C" w:rsidRDefault="000C0280" w:rsidP="000C0280">
            <w:pPr>
              <w:spacing w:before="20" w:after="20"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CÓDIGO</w:t>
            </w:r>
          </w:p>
          <w:p w:rsidR="000C0280" w:rsidRPr="0068623C" w:rsidRDefault="000C0280" w:rsidP="000C0280">
            <w:pPr>
              <w:spacing w:before="20" w:after="20"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(s/o/m/a)*</w:t>
            </w:r>
          </w:p>
        </w:tc>
        <w:tc>
          <w:tcPr>
            <w:tcW w:w="7615" w:type="dxa"/>
            <w:shd w:val="clear" w:color="000000" w:fill="C0C0C0"/>
            <w:vAlign w:val="center"/>
          </w:tcPr>
          <w:p w:rsidR="000C0280" w:rsidRPr="0068623C" w:rsidRDefault="000C0280" w:rsidP="000C0280">
            <w:pPr>
              <w:spacing w:before="20" w:after="20"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DESCRIÇÃO</w:t>
            </w:r>
          </w:p>
        </w:tc>
        <w:tc>
          <w:tcPr>
            <w:tcW w:w="1571" w:type="dxa"/>
            <w:shd w:val="clear" w:color="000000" w:fill="C0C0C0"/>
            <w:vAlign w:val="center"/>
          </w:tcPr>
          <w:p w:rsidR="000C0280" w:rsidRPr="0068623C" w:rsidRDefault="000C0280" w:rsidP="000C0280">
            <w:pPr>
              <w:spacing w:line="240" w:lineRule="auto"/>
              <w:ind w:firstLine="72"/>
              <w:jc w:val="center"/>
              <w:rPr>
                <w:rFonts w:eastAsia="Times New Roman" w:cs="Arial"/>
                <w:b/>
                <w:bCs/>
                <w:sz w:val="20"/>
                <w:szCs w:val="20"/>
                <w:lang w:eastAsia="pt-BR"/>
              </w:rPr>
            </w:pPr>
            <w:r w:rsidRPr="0068623C">
              <w:rPr>
                <w:rFonts w:eastAsia="Times New Roman" w:cs="Arial"/>
                <w:b/>
                <w:bCs/>
                <w:sz w:val="20"/>
                <w:szCs w:val="20"/>
                <w:lang w:eastAsia="pt-BR"/>
              </w:rPr>
              <w:t>Período de desenvolvimento da ação</w:t>
            </w:r>
          </w:p>
          <w:p w:rsidR="000C0280" w:rsidRPr="0068623C" w:rsidRDefault="000C0280" w:rsidP="000C0280">
            <w:pPr>
              <w:spacing w:before="20" w:after="20"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(ano)</w:t>
            </w:r>
          </w:p>
        </w:tc>
        <w:tc>
          <w:tcPr>
            <w:tcW w:w="1548" w:type="dxa"/>
            <w:shd w:val="clear" w:color="000000" w:fill="C0C0C0"/>
            <w:vAlign w:val="center"/>
          </w:tcPr>
          <w:p w:rsidR="000C0280" w:rsidRPr="0068623C" w:rsidRDefault="000C0280" w:rsidP="000C0280">
            <w:pPr>
              <w:spacing w:line="240" w:lineRule="auto"/>
              <w:ind w:left="64" w:firstLine="8"/>
              <w:jc w:val="center"/>
              <w:rPr>
                <w:rFonts w:eastAsia="Times New Roman" w:cs="Arial"/>
                <w:b/>
                <w:bCs/>
                <w:sz w:val="20"/>
                <w:szCs w:val="20"/>
                <w:lang w:eastAsia="pt-BR"/>
              </w:rPr>
            </w:pPr>
            <w:r w:rsidRPr="0068623C">
              <w:rPr>
                <w:rFonts w:eastAsia="Times New Roman" w:cs="Arial"/>
                <w:b/>
                <w:bCs/>
                <w:sz w:val="20"/>
                <w:szCs w:val="20"/>
                <w:lang w:eastAsia="pt-BR"/>
              </w:rPr>
              <w:t>Custo total na moeda de 2017</w:t>
            </w:r>
          </w:p>
          <w:p w:rsidR="000C0280" w:rsidRPr="0068623C" w:rsidRDefault="000C0280" w:rsidP="000C0280">
            <w:pPr>
              <w:spacing w:before="20" w:after="20"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(R$)</w:t>
            </w:r>
          </w:p>
        </w:tc>
        <w:tc>
          <w:tcPr>
            <w:tcW w:w="3096" w:type="dxa"/>
            <w:shd w:val="clear" w:color="000000" w:fill="C0C0C0"/>
            <w:vAlign w:val="center"/>
          </w:tcPr>
          <w:p w:rsidR="000C0280" w:rsidRPr="0068623C" w:rsidRDefault="000C0280" w:rsidP="000C0280">
            <w:pPr>
              <w:spacing w:line="240" w:lineRule="auto"/>
              <w:ind w:left="64" w:firstLine="8"/>
              <w:jc w:val="center"/>
              <w:rPr>
                <w:rFonts w:eastAsia="Times New Roman" w:cs="Arial"/>
                <w:b/>
                <w:bCs/>
                <w:sz w:val="20"/>
                <w:szCs w:val="20"/>
                <w:lang w:eastAsia="pt-BR"/>
              </w:rPr>
            </w:pPr>
            <w:r w:rsidRPr="0068623C">
              <w:rPr>
                <w:rFonts w:eastAsia="Times New Roman" w:cs="Arial"/>
                <w:b/>
                <w:bCs/>
                <w:sz w:val="20"/>
                <w:szCs w:val="20"/>
                <w:lang w:eastAsia="pt-BR"/>
              </w:rPr>
              <w:t>Responsável pela ação</w:t>
            </w:r>
          </w:p>
        </w:tc>
      </w:tr>
      <w:tr w:rsidR="000C0280" w:rsidRPr="0068623C" w:rsidTr="000C0280">
        <w:trPr>
          <w:trHeight w:val="1134"/>
          <w:jc w:val="center"/>
        </w:trPr>
        <w:tc>
          <w:tcPr>
            <w:tcW w:w="1041" w:type="dxa"/>
            <w:shd w:val="clear" w:color="auto" w:fill="auto"/>
            <w:vAlign w:val="center"/>
          </w:tcPr>
          <w:p w:rsidR="000C0280" w:rsidRPr="0068623C" w:rsidRDefault="000C0280" w:rsidP="000C0280">
            <w:pPr>
              <w:spacing w:before="40" w:after="40" w:line="240" w:lineRule="auto"/>
              <w:jc w:val="center"/>
              <w:rPr>
                <w:rFonts w:eastAsia="Times New Roman" w:cs="Arial"/>
                <w:sz w:val="20"/>
                <w:szCs w:val="20"/>
                <w:lang w:eastAsia="pt-BR"/>
              </w:rPr>
            </w:pPr>
            <w:r w:rsidRPr="0068623C">
              <w:rPr>
                <w:rFonts w:eastAsia="Times New Roman" w:cs="Arial"/>
                <w:sz w:val="20"/>
                <w:szCs w:val="20"/>
                <w:lang w:eastAsia="pt-BR"/>
              </w:rPr>
              <w:t>2.2.1.14</w:t>
            </w:r>
          </w:p>
        </w:tc>
        <w:tc>
          <w:tcPr>
            <w:tcW w:w="7615"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Elaborar minuciosamente o cadastro de todas as fossas (rudimentares e sépticas) na área rural do munícipio.</w:t>
            </w:r>
          </w:p>
        </w:tc>
        <w:tc>
          <w:tcPr>
            <w:tcW w:w="1571"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1º-3º</w:t>
            </w:r>
          </w:p>
        </w:tc>
        <w:tc>
          <w:tcPr>
            <w:tcW w:w="1548"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2.1.1.01 e 2.1.2.10</w:t>
            </w:r>
          </w:p>
        </w:tc>
        <w:tc>
          <w:tcPr>
            <w:tcW w:w="3096" w:type="dxa"/>
            <w:shd w:val="clear" w:color="auto" w:fill="auto"/>
            <w:vAlign w:val="center"/>
          </w:tcPr>
          <w:p w:rsidR="000C0280" w:rsidRPr="0068623C" w:rsidRDefault="000C0280" w:rsidP="000C0280">
            <w:pPr>
              <w:spacing w:line="240" w:lineRule="auto"/>
              <w:jc w:val="center"/>
              <w:rPr>
                <w:sz w:val="20"/>
                <w:szCs w:val="20"/>
              </w:rPr>
            </w:pPr>
            <w:r w:rsidRPr="0068623C">
              <w:rPr>
                <w:rFonts w:cs="Arial"/>
                <w:sz w:val="20"/>
                <w:szCs w:val="20"/>
                <w:lang w:eastAsia="pt-BR"/>
              </w:rPr>
              <w:t xml:space="preserve">Prefeitura Municipal / Departamento </w:t>
            </w:r>
            <w:r>
              <w:rPr>
                <w:rFonts w:cs="Arial"/>
                <w:sz w:val="20"/>
                <w:szCs w:val="20"/>
                <w:lang w:eastAsia="pt-BR"/>
              </w:rPr>
              <w:t>de</w:t>
            </w:r>
            <w:r w:rsidRPr="0068623C">
              <w:rPr>
                <w:rFonts w:cs="Arial"/>
                <w:sz w:val="20"/>
                <w:szCs w:val="20"/>
                <w:lang w:eastAsia="pt-BR"/>
              </w:rPr>
              <w:t xml:space="preserve"> Obras </w:t>
            </w:r>
            <w:r>
              <w:rPr>
                <w:rFonts w:cs="Arial"/>
                <w:sz w:val="20"/>
                <w:szCs w:val="20"/>
                <w:lang w:eastAsia="pt-BR"/>
              </w:rPr>
              <w:t>e</w:t>
            </w:r>
            <w:r w:rsidRPr="0068623C">
              <w:rPr>
                <w:rFonts w:cs="Arial"/>
                <w:sz w:val="20"/>
                <w:szCs w:val="20"/>
                <w:lang w:eastAsia="pt-BR"/>
              </w:rPr>
              <w:t xml:space="preserve"> Serviços Urbanos</w:t>
            </w:r>
          </w:p>
        </w:tc>
      </w:tr>
      <w:tr w:rsidR="000C0280" w:rsidRPr="0068623C" w:rsidTr="000C0280">
        <w:trPr>
          <w:trHeight w:val="1134"/>
          <w:jc w:val="center"/>
        </w:trPr>
        <w:tc>
          <w:tcPr>
            <w:tcW w:w="1041" w:type="dxa"/>
            <w:shd w:val="clear" w:color="auto" w:fill="auto"/>
            <w:vAlign w:val="center"/>
          </w:tcPr>
          <w:p w:rsidR="000C0280" w:rsidRPr="0068623C" w:rsidRDefault="000C0280" w:rsidP="000C0280">
            <w:pPr>
              <w:spacing w:before="40" w:after="40" w:line="240" w:lineRule="auto"/>
              <w:jc w:val="center"/>
              <w:rPr>
                <w:rFonts w:eastAsia="Times New Roman" w:cs="Arial"/>
                <w:sz w:val="20"/>
                <w:szCs w:val="20"/>
                <w:lang w:eastAsia="pt-BR"/>
              </w:rPr>
            </w:pPr>
            <w:r w:rsidRPr="0068623C">
              <w:rPr>
                <w:rFonts w:eastAsia="Times New Roman" w:cs="Arial"/>
                <w:sz w:val="20"/>
                <w:szCs w:val="20"/>
                <w:lang w:eastAsia="pt-BR"/>
              </w:rPr>
              <w:t>2.2.1.15</w:t>
            </w:r>
          </w:p>
        </w:tc>
        <w:tc>
          <w:tcPr>
            <w:tcW w:w="7615"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Fazer levantamento cadastral das propriedades rurais isoladas quanto à existência de banheiros e sanitários, tipo de solução para o esgotamento sanitário e demandas (Programa de Esgotamento Sanitário Rural).</w:t>
            </w:r>
          </w:p>
        </w:tc>
        <w:tc>
          <w:tcPr>
            <w:tcW w:w="1571"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1º-3º</w:t>
            </w:r>
          </w:p>
        </w:tc>
        <w:tc>
          <w:tcPr>
            <w:tcW w:w="1548"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2.1.1.01 e 2.1.2.10</w:t>
            </w:r>
          </w:p>
        </w:tc>
        <w:tc>
          <w:tcPr>
            <w:tcW w:w="3096" w:type="dxa"/>
            <w:shd w:val="clear" w:color="auto" w:fill="auto"/>
            <w:vAlign w:val="center"/>
          </w:tcPr>
          <w:p w:rsidR="000C0280" w:rsidRPr="0068623C" w:rsidRDefault="000C0280" w:rsidP="000C0280">
            <w:pPr>
              <w:spacing w:line="240" w:lineRule="auto"/>
              <w:jc w:val="center"/>
              <w:rPr>
                <w:sz w:val="20"/>
                <w:szCs w:val="20"/>
              </w:rPr>
            </w:pPr>
            <w:r w:rsidRPr="0068623C">
              <w:rPr>
                <w:rFonts w:cs="Arial"/>
                <w:sz w:val="20"/>
                <w:szCs w:val="20"/>
                <w:lang w:eastAsia="pt-BR"/>
              </w:rPr>
              <w:t xml:space="preserve">Prefeitura Municipal / Departamento </w:t>
            </w:r>
            <w:r>
              <w:rPr>
                <w:rFonts w:cs="Arial"/>
                <w:sz w:val="20"/>
                <w:szCs w:val="20"/>
                <w:lang w:eastAsia="pt-BR"/>
              </w:rPr>
              <w:t>d</w:t>
            </w:r>
            <w:r w:rsidRPr="0068623C">
              <w:rPr>
                <w:rFonts w:cs="Arial"/>
                <w:sz w:val="20"/>
                <w:szCs w:val="20"/>
                <w:lang w:eastAsia="pt-BR"/>
              </w:rPr>
              <w:t xml:space="preserve">e Obras </w:t>
            </w:r>
            <w:r>
              <w:rPr>
                <w:rFonts w:cs="Arial"/>
                <w:sz w:val="20"/>
                <w:szCs w:val="20"/>
                <w:lang w:eastAsia="pt-BR"/>
              </w:rPr>
              <w:t>e</w:t>
            </w:r>
            <w:r w:rsidRPr="0068623C">
              <w:rPr>
                <w:rFonts w:cs="Arial"/>
                <w:sz w:val="20"/>
                <w:szCs w:val="20"/>
                <w:lang w:eastAsia="pt-BR"/>
              </w:rPr>
              <w:t xml:space="preserve"> Serviços Urbanos</w:t>
            </w:r>
          </w:p>
        </w:tc>
      </w:tr>
      <w:tr w:rsidR="000C0280" w:rsidRPr="0068623C" w:rsidTr="000C0280">
        <w:trPr>
          <w:trHeight w:val="1134"/>
          <w:jc w:val="center"/>
        </w:trPr>
        <w:tc>
          <w:tcPr>
            <w:tcW w:w="1041" w:type="dxa"/>
            <w:shd w:val="clear" w:color="auto" w:fill="auto"/>
            <w:vAlign w:val="center"/>
          </w:tcPr>
          <w:p w:rsidR="000C0280" w:rsidRPr="0068623C" w:rsidRDefault="000C0280" w:rsidP="000C0280">
            <w:pPr>
              <w:spacing w:before="40" w:after="40" w:line="240" w:lineRule="auto"/>
              <w:jc w:val="center"/>
              <w:rPr>
                <w:rFonts w:eastAsia="Times New Roman" w:cs="Arial"/>
                <w:sz w:val="20"/>
                <w:szCs w:val="20"/>
                <w:lang w:eastAsia="pt-BR"/>
              </w:rPr>
            </w:pPr>
            <w:r w:rsidRPr="0068623C">
              <w:rPr>
                <w:rFonts w:eastAsia="Times New Roman" w:cs="Arial"/>
                <w:sz w:val="20"/>
                <w:szCs w:val="20"/>
                <w:lang w:eastAsia="pt-BR"/>
              </w:rPr>
              <w:t>2.2.2.16</w:t>
            </w:r>
          </w:p>
        </w:tc>
        <w:tc>
          <w:tcPr>
            <w:tcW w:w="7615"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 xml:space="preserve">Desativar fossas rudimentares e lançamentos diretos </w:t>
            </w:r>
            <w:r w:rsidRPr="0068623C">
              <w:rPr>
                <w:rFonts w:eastAsia="Calibri"/>
                <w:i/>
              </w:rPr>
              <w:t>in natura</w:t>
            </w:r>
            <w:r w:rsidRPr="0068623C">
              <w:rPr>
                <w:rFonts w:eastAsia="Calibri"/>
              </w:rPr>
              <w:t xml:space="preserve"> dos esgotos (Programa de Esgotamento Sanitário Rural).</w:t>
            </w:r>
          </w:p>
        </w:tc>
        <w:tc>
          <w:tcPr>
            <w:tcW w:w="1571"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2º-12º</w:t>
            </w:r>
          </w:p>
        </w:tc>
        <w:tc>
          <w:tcPr>
            <w:tcW w:w="1548" w:type="dxa"/>
            <w:shd w:val="clear" w:color="auto" w:fill="auto"/>
            <w:vAlign w:val="center"/>
          </w:tcPr>
          <w:p w:rsidR="000C0280" w:rsidRPr="0068623C" w:rsidRDefault="000C0280" w:rsidP="000C0280">
            <w:pPr>
              <w:spacing w:line="240" w:lineRule="auto"/>
              <w:jc w:val="right"/>
              <w:rPr>
                <w:sz w:val="20"/>
                <w:szCs w:val="20"/>
              </w:rPr>
            </w:pPr>
            <w:r w:rsidRPr="0068623C">
              <w:rPr>
                <w:sz w:val="20"/>
                <w:szCs w:val="20"/>
              </w:rPr>
              <w:t>308.000,00</w:t>
            </w:r>
          </w:p>
        </w:tc>
        <w:tc>
          <w:tcPr>
            <w:tcW w:w="3096" w:type="dxa"/>
            <w:shd w:val="clear" w:color="auto" w:fill="auto"/>
            <w:vAlign w:val="center"/>
          </w:tcPr>
          <w:p w:rsidR="000C0280" w:rsidRPr="0068623C" w:rsidRDefault="000C0280" w:rsidP="000C0280">
            <w:pPr>
              <w:spacing w:line="240" w:lineRule="auto"/>
              <w:jc w:val="center"/>
              <w:rPr>
                <w:sz w:val="20"/>
                <w:szCs w:val="20"/>
              </w:rPr>
            </w:pPr>
            <w:r w:rsidRPr="0068623C">
              <w:rPr>
                <w:rFonts w:cs="Arial"/>
                <w:sz w:val="20"/>
                <w:szCs w:val="20"/>
                <w:lang w:eastAsia="pt-BR"/>
              </w:rPr>
              <w:t xml:space="preserve">Prefeitura Municipal / Departamento </w:t>
            </w:r>
            <w:r>
              <w:rPr>
                <w:rFonts w:cs="Arial"/>
                <w:sz w:val="20"/>
                <w:szCs w:val="20"/>
                <w:lang w:eastAsia="pt-BR"/>
              </w:rPr>
              <w:t>d</w:t>
            </w:r>
            <w:r w:rsidRPr="0068623C">
              <w:rPr>
                <w:rFonts w:cs="Arial"/>
                <w:sz w:val="20"/>
                <w:szCs w:val="20"/>
                <w:lang w:eastAsia="pt-BR"/>
              </w:rPr>
              <w:t>e Obras</w:t>
            </w:r>
            <w:r>
              <w:rPr>
                <w:rFonts w:cs="Arial"/>
                <w:sz w:val="20"/>
                <w:szCs w:val="20"/>
                <w:lang w:eastAsia="pt-BR"/>
              </w:rPr>
              <w:t xml:space="preserve"> e</w:t>
            </w:r>
            <w:r w:rsidRPr="0068623C">
              <w:rPr>
                <w:rFonts w:cs="Arial"/>
                <w:sz w:val="20"/>
                <w:szCs w:val="20"/>
                <w:lang w:eastAsia="pt-BR"/>
              </w:rPr>
              <w:t xml:space="preserve"> Serviços Urbanos</w:t>
            </w:r>
          </w:p>
        </w:tc>
      </w:tr>
      <w:tr w:rsidR="000C0280" w:rsidRPr="0068623C" w:rsidTr="000C0280">
        <w:trPr>
          <w:trHeight w:val="1134"/>
          <w:jc w:val="center"/>
        </w:trPr>
        <w:tc>
          <w:tcPr>
            <w:tcW w:w="1041" w:type="dxa"/>
            <w:shd w:val="clear" w:color="auto" w:fill="auto"/>
            <w:vAlign w:val="center"/>
          </w:tcPr>
          <w:p w:rsidR="000C0280" w:rsidRPr="0068623C" w:rsidRDefault="000C0280" w:rsidP="000C0280">
            <w:pPr>
              <w:spacing w:before="40" w:after="40" w:line="240" w:lineRule="auto"/>
              <w:jc w:val="center"/>
              <w:rPr>
                <w:rFonts w:eastAsia="Times New Roman" w:cs="Arial"/>
                <w:sz w:val="20"/>
                <w:szCs w:val="20"/>
                <w:lang w:eastAsia="pt-BR"/>
              </w:rPr>
            </w:pPr>
            <w:r w:rsidRPr="0068623C">
              <w:rPr>
                <w:rFonts w:eastAsia="Times New Roman" w:cs="Arial"/>
                <w:sz w:val="20"/>
                <w:szCs w:val="20"/>
                <w:lang w:eastAsia="pt-BR"/>
              </w:rPr>
              <w:lastRenderedPageBreak/>
              <w:t>2.2.3.17</w:t>
            </w:r>
          </w:p>
        </w:tc>
        <w:tc>
          <w:tcPr>
            <w:tcW w:w="7615"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 xml:space="preserve">Implantar os sistemas de tratamento adequados: fossas sépticas ou ligação com rede coletora de esgotos, dependendo da localidade rural. </w:t>
            </w:r>
          </w:p>
        </w:tc>
        <w:tc>
          <w:tcPr>
            <w:tcW w:w="1571"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2º-12º</w:t>
            </w:r>
          </w:p>
        </w:tc>
        <w:tc>
          <w:tcPr>
            <w:tcW w:w="1548"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2.1.2.13</w:t>
            </w:r>
          </w:p>
        </w:tc>
        <w:tc>
          <w:tcPr>
            <w:tcW w:w="3096" w:type="dxa"/>
            <w:shd w:val="clear" w:color="auto" w:fill="auto"/>
            <w:vAlign w:val="center"/>
          </w:tcPr>
          <w:p w:rsidR="000C0280" w:rsidRPr="0068623C" w:rsidRDefault="000C0280" w:rsidP="000C0280">
            <w:pPr>
              <w:spacing w:line="240" w:lineRule="auto"/>
              <w:jc w:val="center"/>
              <w:rPr>
                <w:sz w:val="20"/>
                <w:szCs w:val="20"/>
              </w:rPr>
            </w:pPr>
            <w:r w:rsidRPr="0068623C">
              <w:rPr>
                <w:rFonts w:cs="Arial"/>
                <w:sz w:val="20"/>
                <w:szCs w:val="20"/>
                <w:lang w:eastAsia="pt-BR"/>
              </w:rPr>
              <w:t xml:space="preserve">Prefeitura Municipal / Departamento </w:t>
            </w:r>
            <w:r>
              <w:rPr>
                <w:rFonts w:cs="Arial"/>
                <w:sz w:val="20"/>
                <w:szCs w:val="20"/>
                <w:lang w:eastAsia="pt-BR"/>
              </w:rPr>
              <w:t>d</w:t>
            </w:r>
            <w:r w:rsidRPr="0068623C">
              <w:rPr>
                <w:rFonts w:cs="Arial"/>
                <w:sz w:val="20"/>
                <w:szCs w:val="20"/>
                <w:lang w:eastAsia="pt-BR"/>
              </w:rPr>
              <w:t xml:space="preserve">e Obras </w:t>
            </w:r>
            <w:r>
              <w:rPr>
                <w:rFonts w:cs="Arial"/>
                <w:sz w:val="20"/>
                <w:szCs w:val="20"/>
                <w:lang w:eastAsia="pt-BR"/>
              </w:rPr>
              <w:t>e</w:t>
            </w:r>
            <w:r w:rsidRPr="0068623C">
              <w:rPr>
                <w:rFonts w:cs="Arial"/>
                <w:sz w:val="20"/>
                <w:szCs w:val="20"/>
                <w:lang w:eastAsia="pt-BR"/>
              </w:rPr>
              <w:t xml:space="preserve"> Serviços Urbanos</w:t>
            </w:r>
          </w:p>
        </w:tc>
      </w:tr>
      <w:tr w:rsidR="000C0280" w:rsidRPr="0068623C" w:rsidTr="000C0280">
        <w:trPr>
          <w:trHeight w:val="1134"/>
          <w:jc w:val="center"/>
        </w:trPr>
        <w:tc>
          <w:tcPr>
            <w:tcW w:w="1041" w:type="dxa"/>
            <w:shd w:val="clear" w:color="auto" w:fill="auto"/>
            <w:vAlign w:val="center"/>
          </w:tcPr>
          <w:p w:rsidR="000C0280" w:rsidRPr="0068623C" w:rsidRDefault="000C0280" w:rsidP="000C0280">
            <w:pPr>
              <w:spacing w:before="40" w:after="40" w:line="240" w:lineRule="auto"/>
              <w:jc w:val="center"/>
              <w:rPr>
                <w:rFonts w:eastAsia="Times New Roman" w:cs="Arial"/>
                <w:sz w:val="20"/>
                <w:szCs w:val="20"/>
                <w:lang w:eastAsia="pt-BR"/>
              </w:rPr>
            </w:pPr>
            <w:r w:rsidRPr="0068623C">
              <w:rPr>
                <w:rFonts w:eastAsia="Times New Roman" w:cs="Arial"/>
                <w:sz w:val="20"/>
                <w:szCs w:val="20"/>
                <w:lang w:eastAsia="pt-BR"/>
              </w:rPr>
              <w:t>2.2.3.18</w:t>
            </w:r>
          </w:p>
        </w:tc>
        <w:tc>
          <w:tcPr>
            <w:tcW w:w="7615"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Monitorar continuamente unidades do tratamento de esgotos e os equipamentos instalados de esgotamento sanitário nessas propriedades com soluções estáticas (individuais, principalmente) para verificar a situação do tratamento e necessidade de manutenção (Programa de Esgotamento Sanitário Rural).</w:t>
            </w:r>
          </w:p>
        </w:tc>
        <w:tc>
          <w:tcPr>
            <w:tcW w:w="1571"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2º-20º</w:t>
            </w:r>
          </w:p>
        </w:tc>
        <w:tc>
          <w:tcPr>
            <w:tcW w:w="1548"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2.1.1.01</w:t>
            </w:r>
          </w:p>
        </w:tc>
        <w:tc>
          <w:tcPr>
            <w:tcW w:w="3096" w:type="dxa"/>
            <w:shd w:val="clear" w:color="auto" w:fill="auto"/>
            <w:vAlign w:val="center"/>
          </w:tcPr>
          <w:p w:rsidR="000C0280" w:rsidRPr="0068623C" w:rsidRDefault="000C0280" w:rsidP="000C0280">
            <w:pPr>
              <w:spacing w:line="240" w:lineRule="auto"/>
              <w:jc w:val="center"/>
              <w:rPr>
                <w:sz w:val="20"/>
                <w:szCs w:val="20"/>
              </w:rPr>
            </w:pPr>
            <w:r w:rsidRPr="0068623C">
              <w:rPr>
                <w:rFonts w:cs="Arial"/>
                <w:sz w:val="20"/>
                <w:szCs w:val="20"/>
                <w:lang w:eastAsia="pt-BR"/>
              </w:rPr>
              <w:t xml:space="preserve">Prefeitura Municipal / Departamento </w:t>
            </w:r>
            <w:r>
              <w:rPr>
                <w:rFonts w:cs="Arial"/>
                <w:sz w:val="20"/>
                <w:szCs w:val="20"/>
                <w:lang w:eastAsia="pt-BR"/>
              </w:rPr>
              <w:t>d</w:t>
            </w:r>
            <w:r w:rsidRPr="0068623C">
              <w:rPr>
                <w:rFonts w:cs="Arial"/>
                <w:sz w:val="20"/>
                <w:szCs w:val="20"/>
                <w:lang w:eastAsia="pt-BR"/>
              </w:rPr>
              <w:t xml:space="preserve">e Obras </w:t>
            </w:r>
            <w:r>
              <w:rPr>
                <w:rFonts w:cs="Arial"/>
                <w:sz w:val="20"/>
                <w:szCs w:val="20"/>
                <w:lang w:eastAsia="pt-BR"/>
              </w:rPr>
              <w:t>e</w:t>
            </w:r>
            <w:r w:rsidRPr="0068623C">
              <w:rPr>
                <w:rFonts w:cs="Arial"/>
                <w:sz w:val="20"/>
                <w:szCs w:val="20"/>
                <w:lang w:eastAsia="pt-BR"/>
              </w:rPr>
              <w:t xml:space="preserve"> Serviços Urbanos</w:t>
            </w:r>
          </w:p>
        </w:tc>
      </w:tr>
    </w:tbl>
    <w:p w:rsidR="000C0280" w:rsidRPr="0068623C" w:rsidRDefault="000C0280" w:rsidP="000C0280">
      <w:pPr>
        <w:pStyle w:val="Fonte"/>
      </w:pPr>
      <w:r>
        <w:t>*</w:t>
      </w:r>
      <w:r w:rsidRPr="0068623C">
        <w:t>(s/o/m/a) = nº do setor / nº do objetivo / nº da meta / nº da ação.</w:t>
      </w: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Pr="0068623C" w:rsidRDefault="000C0280" w:rsidP="000C0280">
      <w:pPr>
        <w:pStyle w:val="Legenda"/>
      </w:pPr>
      <w:bookmarkStart w:id="803" w:name="_Ref503280331"/>
      <w:bookmarkStart w:id="804" w:name="_Toc505788343"/>
      <w:bookmarkStart w:id="805" w:name="_Toc509935844"/>
      <w:r w:rsidRPr="0068623C">
        <w:lastRenderedPageBreak/>
        <w:t xml:space="preserve">Quadro </w:t>
      </w:r>
      <w:r w:rsidR="000A1C78">
        <w:fldChar w:fldCharType="begin"/>
      </w:r>
      <w:r w:rsidR="000A1C78">
        <w:instrText xml:space="preserve"> SEQ Quadro \* ARABIC </w:instrText>
      </w:r>
      <w:r w:rsidR="000A1C78">
        <w:fldChar w:fldCharType="separate"/>
      </w:r>
      <w:r w:rsidR="001B481B">
        <w:rPr>
          <w:noProof/>
        </w:rPr>
        <w:t>67</w:t>
      </w:r>
      <w:r w:rsidR="000A1C78">
        <w:rPr>
          <w:noProof/>
        </w:rPr>
        <w:fldChar w:fldCharType="end"/>
      </w:r>
      <w:bookmarkEnd w:id="803"/>
      <w:r w:rsidRPr="0068623C">
        <w:t xml:space="preserve"> - Programas e ações propostos para o setor de esgotamento sanitário - Objetivo 3</w:t>
      </w:r>
      <w:bookmarkEnd w:id="804"/>
      <w:bookmarkEnd w:id="805"/>
    </w:p>
    <w:tbl>
      <w:tblPr>
        <w:tblW w:w="14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75"/>
        <w:gridCol w:w="277"/>
        <w:gridCol w:w="2412"/>
        <w:gridCol w:w="3967"/>
        <w:gridCol w:w="3119"/>
        <w:gridCol w:w="2874"/>
      </w:tblGrid>
      <w:tr w:rsidR="000C0280" w:rsidRPr="0068623C" w:rsidTr="000C0280">
        <w:trPr>
          <w:trHeight w:val="20"/>
          <w:jc w:val="center"/>
        </w:trPr>
        <w:tc>
          <w:tcPr>
            <w:tcW w:w="705" w:type="pct"/>
            <w:shd w:val="clear" w:color="000000" w:fill="C0C0C0"/>
            <w:noWrap/>
            <w:vAlign w:val="center"/>
            <w:hideMark/>
          </w:tcPr>
          <w:p w:rsidR="000C0280" w:rsidRPr="0068623C" w:rsidRDefault="000C0280" w:rsidP="000C0280">
            <w:pPr>
              <w:spacing w:before="20" w:after="20" w:line="240" w:lineRule="auto"/>
              <w:contextualSpacing/>
              <w:rPr>
                <w:rFonts w:eastAsia="Times New Roman" w:cs="Arial"/>
                <w:b/>
                <w:bCs/>
                <w:sz w:val="20"/>
                <w:szCs w:val="20"/>
                <w:lang w:eastAsia="pt-BR"/>
              </w:rPr>
            </w:pPr>
            <w:r w:rsidRPr="0068623C">
              <w:rPr>
                <w:rFonts w:eastAsia="Times New Roman" w:cs="Arial"/>
                <w:b/>
                <w:bCs/>
                <w:sz w:val="20"/>
                <w:szCs w:val="20"/>
                <w:lang w:eastAsia="pt-BR"/>
              </w:rPr>
              <w:t>SETOR</w:t>
            </w:r>
          </w:p>
        </w:tc>
        <w:tc>
          <w:tcPr>
            <w:tcW w:w="94" w:type="pct"/>
            <w:shd w:val="clear" w:color="auto" w:fill="auto"/>
            <w:noWrap/>
            <w:vAlign w:val="center"/>
            <w:hideMark/>
          </w:tcPr>
          <w:p w:rsidR="000C0280" w:rsidRPr="0068623C" w:rsidRDefault="000C0280" w:rsidP="000C0280">
            <w:pPr>
              <w:spacing w:before="20" w:after="20" w:line="240" w:lineRule="auto"/>
              <w:contextualSpacing/>
              <w:rPr>
                <w:rFonts w:eastAsia="Times New Roman" w:cs="Arial"/>
                <w:sz w:val="20"/>
                <w:szCs w:val="20"/>
                <w:lang w:eastAsia="pt-BR"/>
              </w:rPr>
            </w:pPr>
            <w:r w:rsidRPr="0068623C">
              <w:rPr>
                <w:rFonts w:eastAsia="Times New Roman" w:cs="Arial"/>
                <w:sz w:val="20"/>
                <w:szCs w:val="20"/>
                <w:lang w:eastAsia="pt-BR"/>
              </w:rPr>
              <w:t>2</w:t>
            </w:r>
          </w:p>
        </w:tc>
        <w:tc>
          <w:tcPr>
            <w:tcW w:w="4201" w:type="pct"/>
            <w:gridSpan w:val="4"/>
            <w:shd w:val="clear" w:color="auto" w:fill="auto"/>
            <w:noWrap/>
            <w:vAlign w:val="center"/>
            <w:hideMark/>
          </w:tcPr>
          <w:p w:rsidR="000C0280" w:rsidRPr="0068623C" w:rsidRDefault="000C0280" w:rsidP="000C0280">
            <w:pPr>
              <w:spacing w:before="20" w:after="20" w:line="240" w:lineRule="auto"/>
              <w:contextualSpacing/>
              <w:jc w:val="both"/>
              <w:rPr>
                <w:rFonts w:eastAsia="Times New Roman" w:cs="Arial"/>
                <w:sz w:val="20"/>
                <w:szCs w:val="20"/>
                <w:lang w:eastAsia="pt-BR"/>
              </w:rPr>
            </w:pPr>
            <w:r w:rsidRPr="0068623C">
              <w:rPr>
                <w:rFonts w:eastAsia="Times New Roman" w:cs="Arial"/>
                <w:sz w:val="20"/>
                <w:szCs w:val="20"/>
                <w:lang w:eastAsia="pt-BR"/>
              </w:rPr>
              <w:t>Esgotamento Sanitário.</w:t>
            </w:r>
          </w:p>
        </w:tc>
      </w:tr>
      <w:tr w:rsidR="000C0280" w:rsidRPr="0068623C" w:rsidTr="000C0280">
        <w:trPr>
          <w:trHeight w:val="20"/>
          <w:jc w:val="center"/>
        </w:trPr>
        <w:tc>
          <w:tcPr>
            <w:tcW w:w="705" w:type="pct"/>
            <w:shd w:val="clear" w:color="000000" w:fill="C0C0C0"/>
            <w:vAlign w:val="center"/>
            <w:hideMark/>
          </w:tcPr>
          <w:p w:rsidR="000C0280" w:rsidRPr="0068623C" w:rsidRDefault="000C0280" w:rsidP="000C0280">
            <w:pPr>
              <w:spacing w:before="20" w:after="20" w:line="240" w:lineRule="auto"/>
              <w:contextualSpacing/>
              <w:rPr>
                <w:rFonts w:eastAsia="Times New Roman" w:cs="Arial"/>
                <w:b/>
                <w:bCs/>
                <w:sz w:val="20"/>
                <w:szCs w:val="20"/>
                <w:lang w:eastAsia="pt-BR"/>
              </w:rPr>
            </w:pPr>
            <w:r w:rsidRPr="0068623C">
              <w:rPr>
                <w:rFonts w:eastAsia="Times New Roman" w:cs="Arial"/>
                <w:b/>
                <w:bCs/>
                <w:sz w:val="20"/>
                <w:szCs w:val="20"/>
                <w:lang w:eastAsia="pt-BR"/>
              </w:rPr>
              <w:t>OBJETIVO</w:t>
            </w:r>
          </w:p>
        </w:tc>
        <w:tc>
          <w:tcPr>
            <w:tcW w:w="94" w:type="pct"/>
            <w:shd w:val="clear" w:color="auto" w:fill="auto"/>
            <w:vAlign w:val="center"/>
            <w:hideMark/>
          </w:tcPr>
          <w:p w:rsidR="000C0280" w:rsidRPr="0068623C" w:rsidRDefault="000C0280" w:rsidP="000C0280">
            <w:pPr>
              <w:spacing w:before="30" w:after="30" w:line="240" w:lineRule="auto"/>
              <w:rPr>
                <w:rFonts w:eastAsia="Times New Roman" w:cs="Arial"/>
                <w:sz w:val="20"/>
                <w:szCs w:val="20"/>
                <w:lang w:eastAsia="pt-BR"/>
              </w:rPr>
            </w:pPr>
            <w:r w:rsidRPr="0068623C">
              <w:rPr>
                <w:rFonts w:eastAsia="Times New Roman" w:cs="Arial"/>
                <w:sz w:val="20"/>
                <w:szCs w:val="20"/>
                <w:lang w:eastAsia="pt-BR"/>
              </w:rPr>
              <w:t>3</w:t>
            </w:r>
          </w:p>
        </w:tc>
        <w:tc>
          <w:tcPr>
            <w:tcW w:w="4201" w:type="pct"/>
            <w:gridSpan w:val="4"/>
            <w:shd w:val="clear" w:color="auto" w:fill="auto"/>
            <w:vAlign w:val="center"/>
            <w:hideMark/>
          </w:tcPr>
          <w:p w:rsidR="000C0280" w:rsidRPr="0068623C" w:rsidRDefault="000C0280" w:rsidP="000C0280">
            <w:pPr>
              <w:spacing w:before="30" w:after="30" w:line="240" w:lineRule="auto"/>
              <w:rPr>
                <w:rFonts w:eastAsia="Times New Roman" w:cs="Arial"/>
                <w:sz w:val="20"/>
                <w:szCs w:val="20"/>
                <w:lang w:eastAsia="pt-BR"/>
              </w:rPr>
            </w:pPr>
            <w:r w:rsidRPr="0068623C">
              <w:rPr>
                <w:rFonts w:eastAsia="Times New Roman" w:cs="Arial"/>
                <w:sz w:val="20"/>
                <w:szCs w:val="20"/>
                <w:lang w:eastAsia="pt-BR"/>
              </w:rPr>
              <w:t>Implementar, para o SES, uma gestão eficiente no que se refere aos aspectos administrativos, operacionais, financeiros e de planejamento estratégico e de sustentabilidade, além de definir instrumentos legais que garantam a regulação do mesmo e a observação das diretrizes aprovadas no presente PMSB.</w:t>
            </w:r>
          </w:p>
        </w:tc>
      </w:tr>
      <w:tr w:rsidR="000C0280" w:rsidRPr="0068623C" w:rsidTr="000C0280">
        <w:trPr>
          <w:trHeight w:val="20"/>
          <w:jc w:val="center"/>
        </w:trPr>
        <w:tc>
          <w:tcPr>
            <w:tcW w:w="705" w:type="pct"/>
            <w:shd w:val="clear" w:color="000000" w:fill="C0C0C0"/>
            <w:vAlign w:val="center"/>
          </w:tcPr>
          <w:p w:rsidR="000C0280" w:rsidRPr="00884066" w:rsidRDefault="000C0280" w:rsidP="000C0280">
            <w:pPr>
              <w:spacing w:before="20" w:after="20" w:line="240" w:lineRule="auto"/>
              <w:contextualSpacing/>
              <w:rPr>
                <w:rFonts w:eastAsia="Times New Roman" w:cs="Arial"/>
                <w:b/>
                <w:bCs/>
                <w:sz w:val="20"/>
                <w:szCs w:val="20"/>
                <w:lang w:eastAsia="pt-BR"/>
              </w:rPr>
            </w:pPr>
            <w:r w:rsidRPr="00884066">
              <w:rPr>
                <w:rFonts w:eastAsia="Times New Roman" w:cs="Arial"/>
                <w:b/>
                <w:bCs/>
                <w:sz w:val="20"/>
                <w:szCs w:val="20"/>
                <w:lang w:eastAsia="pt-BR"/>
              </w:rPr>
              <w:t>INDICADOR DE MONITORAMENTO</w:t>
            </w:r>
          </w:p>
        </w:tc>
        <w:tc>
          <w:tcPr>
            <w:tcW w:w="4295" w:type="pct"/>
            <w:gridSpan w:val="5"/>
            <w:shd w:val="clear" w:color="auto" w:fill="auto"/>
            <w:vAlign w:val="center"/>
          </w:tcPr>
          <w:p w:rsidR="000C0280" w:rsidRPr="00884066" w:rsidRDefault="000C0280" w:rsidP="000C0280">
            <w:pPr>
              <w:spacing w:before="30" w:after="30" w:line="240" w:lineRule="auto"/>
              <w:rPr>
                <w:rFonts w:eastAsia="Times New Roman" w:cs="Arial"/>
                <w:sz w:val="20"/>
                <w:szCs w:val="20"/>
                <w:lang w:eastAsia="pt-BR"/>
              </w:rPr>
            </w:pPr>
            <w:r w:rsidRPr="00884066">
              <w:rPr>
                <w:rFonts w:cs="Arial"/>
                <w:color w:val="333333"/>
                <w:sz w:val="20"/>
                <w:szCs w:val="20"/>
              </w:rPr>
              <w:t xml:space="preserve">Índice de atendimento às ações propostas para o SES.                                                                                                                                                                                                                                                                                 </w:t>
            </w:r>
          </w:p>
        </w:tc>
      </w:tr>
      <w:tr w:rsidR="000C0280" w:rsidRPr="0068623C" w:rsidTr="000C0280">
        <w:trPr>
          <w:trHeight w:val="20"/>
          <w:jc w:val="center"/>
        </w:trPr>
        <w:tc>
          <w:tcPr>
            <w:tcW w:w="5000" w:type="pct"/>
            <w:gridSpan w:val="6"/>
            <w:shd w:val="clear" w:color="000000" w:fill="C0C0C0"/>
            <w:noWrap/>
            <w:vAlign w:val="center"/>
            <w:hideMark/>
          </w:tcPr>
          <w:p w:rsidR="000C0280" w:rsidRPr="0068623C" w:rsidRDefault="000C0280" w:rsidP="000C0280">
            <w:pPr>
              <w:spacing w:before="20" w:after="20"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PRAZO DE ENTREGA DA META (ANOS)</w:t>
            </w:r>
          </w:p>
        </w:tc>
      </w:tr>
      <w:tr w:rsidR="000C0280" w:rsidRPr="0068623C" w:rsidTr="000C0280">
        <w:trPr>
          <w:trHeight w:val="20"/>
          <w:jc w:val="center"/>
        </w:trPr>
        <w:tc>
          <w:tcPr>
            <w:tcW w:w="1618" w:type="pct"/>
            <w:gridSpan w:val="3"/>
            <w:shd w:val="clear" w:color="000000" w:fill="C0C0C0"/>
            <w:noWrap/>
            <w:vAlign w:val="center"/>
            <w:hideMark/>
          </w:tcPr>
          <w:p w:rsidR="000C0280" w:rsidRPr="0068623C" w:rsidRDefault="000C0280" w:rsidP="000C0280">
            <w:pPr>
              <w:spacing w:line="240" w:lineRule="auto"/>
              <w:jc w:val="center"/>
              <w:rPr>
                <w:rFonts w:eastAsia="Times New Roman" w:cs="Arial"/>
                <w:b/>
                <w:bCs/>
                <w:sz w:val="20"/>
                <w:szCs w:val="20"/>
                <w:lang w:eastAsia="pt-BR"/>
              </w:rPr>
            </w:pPr>
            <w:r w:rsidRPr="0068623C">
              <w:rPr>
                <w:rFonts w:eastAsia="Times New Roman" w:cs="Arial"/>
                <w:b/>
                <w:bCs/>
                <w:sz w:val="20"/>
                <w:szCs w:val="20"/>
                <w:lang w:eastAsia="pt-BR"/>
              </w:rPr>
              <w:t>IMEDIATO (0 a 3)</w:t>
            </w:r>
          </w:p>
        </w:tc>
        <w:tc>
          <w:tcPr>
            <w:tcW w:w="1347" w:type="pct"/>
            <w:shd w:val="clear" w:color="000000" w:fill="C0C0C0"/>
            <w:noWrap/>
            <w:vAlign w:val="center"/>
            <w:hideMark/>
          </w:tcPr>
          <w:p w:rsidR="000C0280" w:rsidRPr="0068623C" w:rsidRDefault="000C0280" w:rsidP="000C0280">
            <w:pPr>
              <w:spacing w:line="240" w:lineRule="auto"/>
              <w:jc w:val="center"/>
              <w:rPr>
                <w:rFonts w:eastAsia="Times New Roman" w:cs="Arial"/>
                <w:b/>
                <w:bCs/>
                <w:sz w:val="20"/>
                <w:szCs w:val="20"/>
                <w:lang w:eastAsia="pt-BR"/>
              </w:rPr>
            </w:pPr>
            <w:r w:rsidRPr="0068623C">
              <w:rPr>
                <w:rFonts w:eastAsia="Times New Roman" w:cs="Arial"/>
                <w:b/>
                <w:bCs/>
                <w:sz w:val="20"/>
                <w:szCs w:val="20"/>
                <w:lang w:eastAsia="pt-BR"/>
              </w:rPr>
              <w:t>CURTO (4 a 8)</w:t>
            </w:r>
          </w:p>
        </w:tc>
        <w:tc>
          <w:tcPr>
            <w:tcW w:w="1059" w:type="pct"/>
            <w:shd w:val="clear" w:color="000000" w:fill="C0C0C0"/>
            <w:noWrap/>
            <w:vAlign w:val="center"/>
            <w:hideMark/>
          </w:tcPr>
          <w:p w:rsidR="000C0280" w:rsidRPr="0068623C" w:rsidRDefault="000C0280" w:rsidP="000C0280">
            <w:pPr>
              <w:spacing w:line="240" w:lineRule="auto"/>
              <w:jc w:val="center"/>
              <w:rPr>
                <w:rFonts w:eastAsia="Times New Roman" w:cs="Arial"/>
                <w:b/>
                <w:bCs/>
                <w:sz w:val="20"/>
                <w:szCs w:val="20"/>
                <w:lang w:eastAsia="pt-BR"/>
              </w:rPr>
            </w:pPr>
            <w:r w:rsidRPr="0068623C">
              <w:rPr>
                <w:rFonts w:eastAsia="Times New Roman" w:cs="Arial"/>
                <w:b/>
                <w:bCs/>
                <w:sz w:val="20"/>
                <w:szCs w:val="20"/>
                <w:lang w:eastAsia="pt-BR"/>
              </w:rPr>
              <w:t>MÉDIO (9 a 12)</w:t>
            </w:r>
          </w:p>
        </w:tc>
        <w:tc>
          <w:tcPr>
            <w:tcW w:w="975" w:type="pct"/>
            <w:shd w:val="clear" w:color="000000" w:fill="C0C0C0"/>
            <w:noWrap/>
            <w:vAlign w:val="center"/>
            <w:hideMark/>
          </w:tcPr>
          <w:p w:rsidR="000C0280" w:rsidRPr="0068623C" w:rsidRDefault="000C0280" w:rsidP="000C0280">
            <w:pPr>
              <w:spacing w:line="240" w:lineRule="auto"/>
              <w:jc w:val="center"/>
              <w:rPr>
                <w:rFonts w:eastAsia="Times New Roman" w:cs="Arial"/>
                <w:b/>
                <w:bCs/>
                <w:sz w:val="20"/>
                <w:szCs w:val="20"/>
                <w:lang w:eastAsia="pt-BR"/>
              </w:rPr>
            </w:pPr>
            <w:r w:rsidRPr="0068623C">
              <w:rPr>
                <w:rFonts w:eastAsia="Times New Roman" w:cs="Arial"/>
                <w:b/>
                <w:bCs/>
                <w:sz w:val="20"/>
                <w:szCs w:val="20"/>
                <w:lang w:eastAsia="pt-BR"/>
              </w:rPr>
              <w:t>LONGO (13 a 20)</w:t>
            </w:r>
          </w:p>
        </w:tc>
      </w:tr>
      <w:tr w:rsidR="000C0280" w:rsidRPr="0068623C" w:rsidTr="000C0280">
        <w:trPr>
          <w:trHeight w:val="20"/>
          <w:jc w:val="center"/>
        </w:trPr>
        <w:tc>
          <w:tcPr>
            <w:tcW w:w="1618" w:type="pct"/>
            <w:gridSpan w:val="3"/>
            <w:shd w:val="clear" w:color="auto" w:fill="auto"/>
            <w:noWrap/>
            <w:vAlign w:val="center"/>
          </w:tcPr>
          <w:p w:rsidR="000C0280" w:rsidRPr="0068623C" w:rsidRDefault="000C0280" w:rsidP="000C0280">
            <w:pPr>
              <w:spacing w:before="20" w:after="20" w:line="240" w:lineRule="auto"/>
              <w:jc w:val="both"/>
              <w:rPr>
                <w:rFonts w:eastAsia="Times New Roman" w:cs="Arial"/>
                <w:sz w:val="20"/>
                <w:szCs w:val="20"/>
                <w:lang w:eastAsia="pt-BR"/>
              </w:rPr>
            </w:pPr>
            <w:r w:rsidRPr="0068623C">
              <w:rPr>
                <w:rFonts w:cs="Arial"/>
                <w:bCs/>
                <w:sz w:val="20"/>
                <w:szCs w:val="20"/>
              </w:rPr>
              <w:t xml:space="preserve">Meta 3.1. </w:t>
            </w:r>
            <w:r w:rsidRPr="0068623C">
              <w:rPr>
                <w:rFonts w:eastAsia="Times New Roman" w:cs="Arial"/>
                <w:sz w:val="20"/>
                <w:szCs w:val="20"/>
                <w:lang w:eastAsia="pt-BR"/>
              </w:rPr>
              <w:t>Fazer a adequação do sistema gerencial do SES por meio do planejamento estratégico e da sistematização e interação das atividades de operação, ampliação e modernização da infraestrutura e da gestão político-institucional e financeira do setor.</w:t>
            </w:r>
          </w:p>
          <w:p w:rsidR="000C0280" w:rsidRPr="0068623C" w:rsidRDefault="000C0280" w:rsidP="000C0280">
            <w:pPr>
              <w:spacing w:before="20" w:after="20" w:line="240" w:lineRule="auto"/>
              <w:jc w:val="both"/>
              <w:rPr>
                <w:rFonts w:eastAsia="Times New Roman" w:cs="Arial"/>
                <w:sz w:val="20"/>
                <w:szCs w:val="20"/>
                <w:lang w:eastAsia="pt-BR"/>
              </w:rPr>
            </w:pPr>
          </w:p>
        </w:tc>
        <w:tc>
          <w:tcPr>
            <w:tcW w:w="1347" w:type="pct"/>
            <w:shd w:val="clear" w:color="auto" w:fill="auto"/>
            <w:noWrap/>
            <w:vAlign w:val="center"/>
            <w:hideMark/>
          </w:tcPr>
          <w:p w:rsidR="000C0280" w:rsidRPr="0068623C" w:rsidRDefault="000C0280" w:rsidP="000C0280">
            <w:pPr>
              <w:spacing w:before="20" w:after="20" w:line="240" w:lineRule="auto"/>
              <w:jc w:val="both"/>
              <w:rPr>
                <w:rFonts w:cs="Arial"/>
                <w:bCs/>
                <w:sz w:val="20"/>
                <w:szCs w:val="20"/>
              </w:rPr>
            </w:pPr>
            <w:r w:rsidRPr="0068623C">
              <w:rPr>
                <w:rFonts w:eastAsia="Times New Roman" w:cs="Arial"/>
                <w:sz w:val="20"/>
                <w:szCs w:val="20"/>
                <w:lang w:eastAsia="pt-BR"/>
              </w:rPr>
              <w:t>Meta 3.2. Implantar a ETE projetada com instruções em manuais de operação e operá-las adequadamente para que atendam às legislações ambientais vigentes.</w:t>
            </w:r>
          </w:p>
        </w:tc>
        <w:tc>
          <w:tcPr>
            <w:tcW w:w="1059" w:type="pct"/>
            <w:shd w:val="clear" w:color="auto" w:fill="auto"/>
            <w:noWrap/>
            <w:vAlign w:val="center"/>
          </w:tcPr>
          <w:p w:rsidR="000C0280" w:rsidRPr="0068623C" w:rsidRDefault="000C0280" w:rsidP="000C0280">
            <w:pPr>
              <w:spacing w:before="20" w:after="20" w:line="240" w:lineRule="auto"/>
              <w:jc w:val="both"/>
              <w:rPr>
                <w:rFonts w:cs="Arial"/>
                <w:bCs/>
                <w:sz w:val="20"/>
                <w:szCs w:val="20"/>
              </w:rPr>
            </w:pPr>
          </w:p>
        </w:tc>
        <w:tc>
          <w:tcPr>
            <w:tcW w:w="975" w:type="pct"/>
            <w:shd w:val="clear" w:color="auto" w:fill="auto"/>
            <w:noWrap/>
            <w:vAlign w:val="center"/>
          </w:tcPr>
          <w:p w:rsidR="000C0280" w:rsidRPr="0068623C" w:rsidRDefault="000C0280" w:rsidP="000C0280">
            <w:pPr>
              <w:spacing w:before="20" w:after="20" w:line="240" w:lineRule="auto"/>
              <w:jc w:val="both"/>
              <w:rPr>
                <w:rFonts w:eastAsia="Times New Roman" w:cs="Arial"/>
                <w:sz w:val="20"/>
                <w:szCs w:val="20"/>
                <w:lang w:eastAsia="pt-BR"/>
              </w:rPr>
            </w:pPr>
            <w:r w:rsidRPr="0068623C">
              <w:rPr>
                <w:rFonts w:eastAsia="Times New Roman" w:cs="Arial"/>
                <w:sz w:val="20"/>
                <w:szCs w:val="20"/>
                <w:lang w:eastAsia="pt-BR"/>
              </w:rPr>
              <w:t>Meta 3.3. Alcançar um desempenho financeiro satisfatório.</w:t>
            </w:r>
          </w:p>
          <w:p w:rsidR="000C0280" w:rsidRPr="0068623C" w:rsidRDefault="000C0280" w:rsidP="000C0280">
            <w:pPr>
              <w:spacing w:before="20" w:after="20" w:line="240" w:lineRule="auto"/>
              <w:jc w:val="both"/>
              <w:rPr>
                <w:rFonts w:cs="Arial"/>
                <w:bCs/>
                <w:sz w:val="20"/>
                <w:szCs w:val="20"/>
              </w:rPr>
            </w:pPr>
            <w:r w:rsidRPr="0068623C">
              <w:rPr>
                <w:rFonts w:eastAsia="Times New Roman" w:cs="Arial"/>
                <w:sz w:val="20"/>
                <w:szCs w:val="20"/>
                <w:lang w:eastAsia="pt-BR"/>
              </w:rPr>
              <w:t>Meta 3.4. Ter um sistema de informações sobre o SES sempre atualizado.</w:t>
            </w:r>
          </w:p>
        </w:tc>
      </w:tr>
    </w:tbl>
    <w:p w:rsidR="000C0280" w:rsidRPr="0068623C" w:rsidRDefault="000C0280" w:rsidP="000C0280">
      <w:pPr>
        <w:rPr>
          <w:sz w:val="2"/>
          <w:szCs w:val="2"/>
          <w:lang w:eastAsia="x-none"/>
        </w:rPr>
      </w:pPr>
    </w:p>
    <w:tbl>
      <w:tblPr>
        <w:tblW w:w="14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1"/>
        <w:gridCol w:w="7233"/>
        <w:gridCol w:w="1774"/>
        <w:gridCol w:w="1734"/>
        <w:gridCol w:w="2952"/>
      </w:tblGrid>
      <w:tr w:rsidR="000C0280" w:rsidRPr="0068623C" w:rsidTr="000C0280">
        <w:trPr>
          <w:trHeight w:val="20"/>
          <w:tblHeader/>
          <w:jc w:val="center"/>
        </w:trPr>
        <w:tc>
          <w:tcPr>
            <w:tcW w:w="1041" w:type="dxa"/>
            <w:shd w:val="clear" w:color="000000" w:fill="C0C0C0"/>
            <w:vAlign w:val="center"/>
          </w:tcPr>
          <w:p w:rsidR="000C0280" w:rsidRPr="0068623C" w:rsidRDefault="000C0280" w:rsidP="000C0280">
            <w:pPr>
              <w:spacing w:before="20" w:after="20"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CÓDIGO</w:t>
            </w:r>
          </w:p>
          <w:p w:rsidR="000C0280" w:rsidRPr="0068623C" w:rsidRDefault="000C0280" w:rsidP="000C0280">
            <w:pPr>
              <w:spacing w:before="20" w:after="20"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(s/o/m/a)*</w:t>
            </w:r>
          </w:p>
        </w:tc>
        <w:tc>
          <w:tcPr>
            <w:tcW w:w="7233" w:type="dxa"/>
            <w:shd w:val="clear" w:color="000000" w:fill="C0C0C0"/>
            <w:vAlign w:val="center"/>
          </w:tcPr>
          <w:p w:rsidR="000C0280" w:rsidRPr="0068623C" w:rsidRDefault="000C0280" w:rsidP="000C0280">
            <w:pPr>
              <w:spacing w:before="20" w:after="20"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DESCRIÇÃO</w:t>
            </w:r>
          </w:p>
        </w:tc>
        <w:tc>
          <w:tcPr>
            <w:tcW w:w="1774" w:type="dxa"/>
            <w:shd w:val="clear" w:color="000000" w:fill="C0C0C0"/>
            <w:vAlign w:val="center"/>
          </w:tcPr>
          <w:p w:rsidR="000C0280" w:rsidRPr="0068623C" w:rsidRDefault="000C0280" w:rsidP="000C0280">
            <w:pPr>
              <w:spacing w:line="240" w:lineRule="auto"/>
              <w:ind w:firstLine="72"/>
              <w:jc w:val="center"/>
              <w:rPr>
                <w:rFonts w:eastAsia="Times New Roman" w:cs="Arial"/>
                <w:b/>
                <w:bCs/>
                <w:sz w:val="20"/>
                <w:szCs w:val="20"/>
                <w:lang w:eastAsia="pt-BR"/>
              </w:rPr>
            </w:pPr>
            <w:r w:rsidRPr="0068623C">
              <w:rPr>
                <w:rFonts w:eastAsia="Times New Roman" w:cs="Arial"/>
                <w:b/>
                <w:bCs/>
                <w:sz w:val="20"/>
                <w:szCs w:val="20"/>
                <w:lang w:eastAsia="pt-BR"/>
              </w:rPr>
              <w:t>Período de desenvolvimento da ação</w:t>
            </w:r>
          </w:p>
          <w:p w:rsidR="000C0280" w:rsidRPr="0068623C" w:rsidRDefault="000C0280" w:rsidP="000C0280">
            <w:pPr>
              <w:spacing w:before="20" w:after="20"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(ano)</w:t>
            </w:r>
          </w:p>
        </w:tc>
        <w:tc>
          <w:tcPr>
            <w:tcW w:w="1734" w:type="dxa"/>
            <w:shd w:val="clear" w:color="000000" w:fill="C0C0C0"/>
            <w:vAlign w:val="center"/>
          </w:tcPr>
          <w:p w:rsidR="000C0280" w:rsidRPr="0068623C" w:rsidRDefault="000C0280" w:rsidP="000C0280">
            <w:pPr>
              <w:spacing w:line="240" w:lineRule="auto"/>
              <w:ind w:left="64" w:firstLine="8"/>
              <w:jc w:val="center"/>
              <w:rPr>
                <w:rFonts w:eastAsia="Times New Roman" w:cs="Arial"/>
                <w:b/>
                <w:bCs/>
                <w:sz w:val="20"/>
                <w:szCs w:val="20"/>
                <w:lang w:eastAsia="pt-BR"/>
              </w:rPr>
            </w:pPr>
            <w:r w:rsidRPr="0068623C">
              <w:rPr>
                <w:rFonts w:eastAsia="Times New Roman" w:cs="Arial"/>
                <w:b/>
                <w:bCs/>
                <w:sz w:val="20"/>
                <w:szCs w:val="20"/>
                <w:lang w:eastAsia="pt-BR"/>
              </w:rPr>
              <w:t>Custo total na moeda de 2017</w:t>
            </w:r>
          </w:p>
          <w:p w:rsidR="000C0280" w:rsidRPr="0068623C" w:rsidRDefault="000C0280" w:rsidP="000C0280">
            <w:pPr>
              <w:spacing w:before="20" w:after="20"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(R$)</w:t>
            </w:r>
          </w:p>
        </w:tc>
        <w:tc>
          <w:tcPr>
            <w:tcW w:w="2952" w:type="dxa"/>
            <w:shd w:val="clear" w:color="000000" w:fill="C0C0C0"/>
            <w:vAlign w:val="center"/>
          </w:tcPr>
          <w:p w:rsidR="000C0280" w:rsidRPr="0068623C" w:rsidRDefault="000C0280" w:rsidP="000C0280">
            <w:pPr>
              <w:spacing w:line="240" w:lineRule="auto"/>
              <w:ind w:left="64" w:firstLine="8"/>
              <w:jc w:val="center"/>
              <w:rPr>
                <w:rFonts w:eastAsia="Times New Roman" w:cs="Arial"/>
                <w:b/>
                <w:bCs/>
                <w:sz w:val="20"/>
                <w:szCs w:val="20"/>
                <w:lang w:eastAsia="pt-BR"/>
              </w:rPr>
            </w:pPr>
            <w:r w:rsidRPr="0068623C">
              <w:rPr>
                <w:rFonts w:eastAsia="Times New Roman" w:cs="Arial"/>
                <w:b/>
                <w:bCs/>
                <w:sz w:val="20"/>
                <w:szCs w:val="20"/>
                <w:lang w:eastAsia="pt-BR"/>
              </w:rPr>
              <w:t>Responsável pela ação</w:t>
            </w:r>
          </w:p>
        </w:tc>
      </w:tr>
      <w:tr w:rsidR="000C0280" w:rsidRPr="0068623C" w:rsidTr="000C0280">
        <w:trPr>
          <w:trHeight w:val="20"/>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t>2.3.1.19</w:t>
            </w:r>
          </w:p>
        </w:tc>
        <w:tc>
          <w:tcPr>
            <w:tcW w:w="7233"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 xml:space="preserve">Avaliar as possibilidades da escolha do prestador de serviços para o SES. </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1º-3º</w:t>
            </w:r>
          </w:p>
        </w:tc>
        <w:tc>
          <w:tcPr>
            <w:tcW w:w="173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2.1.1.01</w:t>
            </w:r>
          </w:p>
        </w:tc>
        <w:tc>
          <w:tcPr>
            <w:tcW w:w="2952" w:type="dxa"/>
            <w:shd w:val="clear" w:color="auto" w:fill="auto"/>
            <w:vAlign w:val="center"/>
          </w:tcPr>
          <w:p w:rsidR="000C0280" w:rsidRPr="0068623C" w:rsidRDefault="000C0280" w:rsidP="000C0280">
            <w:pPr>
              <w:spacing w:line="240" w:lineRule="auto"/>
              <w:jc w:val="center"/>
              <w:rPr>
                <w:sz w:val="20"/>
                <w:szCs w:val="20"/>
              </w:rPr>
            </w:pPr>
            <w:r w:rsidRPr="0068623C">
              <w:rPr>
                <w:rFonts w:cs="Arial"/>
                <w:sz w:val="20"/>
                <w:szCs w:val="20"/>
                <w:lang w:eastAsia="pt-BR"/>
              </w:rPr>
              <w:t xml:space="preserve">Prefeitura Municipal / Departamento </w:t>
            </w:r>
            <w:r>
              <w:rPr>
                <w:rFonts w:cs="Arial"/>
                <w:sz w:val="20"/>
                <w:szCs w:val="20"/>
                <w:lang w:eastAsia="pt-BR"/>
              </w:rPr>
              <w:t>d</w:t>
            </w:r>
            <w:r w:rsidRPr="0068623C">
              <w:rPr>
                <w:rFonts w:cs="Arial"/>
                <w:sz w:val="20"/>
                <w:szCs w:val="20"/>
                <w:lang w:eastAsia="pt-BR"/>
              </w:rPr>
              <w:t xml:space="preserve">e Obras </w:t>
            </w:r>
            <w:r>
              <w:rPr>
                <w:rFonts w:cs="Arial"/>
                <w:sz w:val="20"/>
                <w:szCs w:val="20"/>
                <w:lang w:eastAsia="pt-BR"/>
              </w:rPr>
              <w:t>e</w:t>
            </w:r>
            <w:r w:rsidRPr="0068623C">
              <w:rPr>
                <w:rFonts w:cs="Arial"/>
                <w:sz w:val="20"/>
                <w:szCs w:val="20"/>
                <w:lang w:eastAsia="pt-BR"/>
              </w:rPr>
              <w:t xml:space="preserve"> Serviços Urbanos</w:t>
            </w:r>
          </w:p>
        </w:tc>
      </w:tr>
      <w:tr w:rsidR="000C0280" w:rsidRPr="0068623C" w:rsidTr="000C0280">
        <w:trPr>
          <w:trHeight w:val="20"/>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t>2.3.1.20</w:t>
            </w:r>
          </w:p>
        </w:tc>
        <w:tc>
          <w:tcPr>
            <w:tcW w:w="7233"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Implementar novo modelo de gestão escolhido.</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2º</w:t>
            </w:r>
          </w:p>
        </w:tc>
        <w:tc>
          <w:tcPr>
            <w:tcW w:w="173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2.1.1.01</w:t>
            </w:r>
          </w:p>
        </w:tc>
        <w:tc>
          <w:tcPr>
            <w:tcW w:w="2952" w:type="dxa"/>
            <w:shd w:val="clear" w:color="auto" w:fill="auto"/>
          </w:tcPr>
          <w:p w:rsidR="000C0280" w:rsidRPr="00AF4459" w:rsidRDefault="000C0280" w:rsidP="000C0280">
            <w:pPr>
              <w:spacing w:line="240" w:lineRule="auto"/>
              <w:jc w:val="center"/>
              <w:rPr>
                <w:rFonts w:cs="Arial"/>
                <w:sz w:val="20"/>
                <w:szCs w:val="20"/>
                <w:lang w:eastAsia="pt-BR"/>
              </w:rPr>
            </w:pPr>
            <w:r w:rsidRPr="008D23F3">
              <w:rPr>
                <w:rFonts w:cs="Arial"/>
                <w:sz w:val="20"/>
                <w:szCs w:val="20"/>
                <w:lang w:eastAsia="pt-BR"/>
              </w:rPr>
              <w:t>Prefeitura Municipal / Departamento de Obras e Serviços Urbanos</w:t>
            </w:r>
          </w:p>
        </w:tc>
      </w:tr>
      <w:tr w:rsidR="000C0280" w:rsidRPr="0068623C" w:rsidTr="000C0280">
        <w:trPr>
          <w:trHeight w:val="20"/>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t>2.3.1.21</w:t>
            </w:r>
          </w:p>
        </w:tc>
        <w:tc>
          <w:tcPr>
            <w:tcW w:w="7233"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Avaliar continuamente o quadro de funcionários para verificar a necessidade de novas contratações frente às novas instalações e ampliações dos sistemas de esgotamento sanitário.</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1º-20º</w:t>
            </w:r>
          </w:p>
        </w:tc>
        <w:tc>
          <w:tcPr>
            <w:tcW w:w="173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2.1.1.01</w:t>
            </w:r>
          </w:p>
        </w:tc>
        <w:tc>
          <w:tcPr>
            <w:tcW w:w="2952" w:type="dxa"/>
            <w:shd w:val="clear" w:color="auto" w:fill="auto"/>
          </w:tcPr>
          <w:p w:rsidR="000C0280" w:rsidRPr="00AF4459" w:rsidRDefault="000C0280" w:rsidP="000C0280">
            <w:pPr>
              <w:spacing w:line="240" w:lineRule="auto"/>
              <w:jc w:val="center"/>
              <w:rPr>
                <w:rFonts w:cs="Arial"/>
                <w:sz w:val="20"/>
                <w:szCs w:val="20"/>
                <w:lang w:eastAsia="pt-BR"/>
              </w:rPr>
            </w:pPr>
            <w:r w:rsidRPr="008D23F3">
              <w:rPr>
                <w:rFonts w:cs="Arial"/>
                <w:sz w:val="20"/>
                <w:szCs w:val="20"/>
                <w:lang w:eastAsia="pt-BR"/>
              </w:rPr>
              <w:t>Prefeitura Municipal / Departamento de Obras e Serviços Urbanos</w:t>
            </w:r>
          </w:p>
        </w:tc>
      </w:tr>
      <w:tr w:rsidR="000C0280" w:rsidRPr="0068623C" w:rsidTr="000C0280">
        <w:trPr>
          <w:trHeight w:val="20"/>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t>2.3.1.22</w:t>
            </w:r>
          </w:p>
        </w:tc>
        <w:tc>
          <w:tcPr>
            <w:tcW w:w="7233"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Realizar a capacitação dos funcionários frente às novas práticas, conforme as novas instalações dos sistemas de esgotamento sanitário e substituições.</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1º-20º</w:t>
            </w:r>
          </w:p>
        </w:tc>
        <w:tc>
          <w:tcPr>
            <w:tcW w:w="173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2.1.1.01</w:t>
            </w:r>
          </w:p>
        </w:tc>
        <w:tc>
          <w:tcPr>
            <w:tcW w:w="2952" w:type="dxa"/>
            <w:shd w:val="clear" w:color="auto" w:fill="auto"/>
          </w:tcPr>
          <w:p w:rsidR="000C0280" w:rsidRPr="00AF4459" w:rsidRDefault="000C0280" w:rsidP="000C0280">
            <w:pPr>
              <w:spacing w:line="240" w:lineRule="auto"/>
              <w:jc w:val="center"/>
              <w:rPr>
                <w:rFonts w:cs="Arial"/>
                <w:sz w:val="20"/>
                <w:szCs w:val="20"/>
                <w:lang w:eastAsia="pt-BR"/>
              </w:rPr>
            </w:pPr>
            <w:r w:rsidRPr="008D23F3">
              <w:rPr>
                <w:rFonts w:cs="Arial"/>
                <w:sz w:val="20"/>
                <w:szCs w:val="20"/>
                <w:lang w:eastAsia="pt-BR"/>
              </w:rPr>
              <w:t>Prefeitura Municipal / Departamento de Obras e Serviços Urbanos</w:t>
            </w:r>
          </w:p>
        </w:tc>
      </w:tr>
      <w:tr w:rsidR="000C0280" w:rsidRPr="0068623C" w:rsidTr="00810C89">
        <w:trPr>
          <w:trHeight w:val="454"/>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lastRenderedPageBreak/>
              <w:t>2.3.1.23</w:t>
            </w:r>
          </w:p>
        </w:tc>
        <w:tc>
          <w:tcPr>
            <w:tcW w:w="7233"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Elencar as possibilidades de entidade reguladora para o SES e escolher a ideal para o município.</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2º</w:t>
            </w:r>
          </w:p>
        </w:tc>
        <w:tc>
          <w:tcPr>
            <w:tcW w:w="173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2.1.1.01</w:t>
            </w:r>
          </w:p>
        </w:tc>
        <w:tc>
          <w:tcPr>
            <w:tcW w:w="2952" w:type="dxa"/>
            <w:shd w:val="clear" w:color="auto" w:fill="auto"/>
          </w:tcPr>
          <w:p w:rsidR="000C0280" w:rsidRPr="00AF4459" w:rsidRDefault="000C0280" w:rsidP="000C0280">
            <w:pPr>
              <w:spacing w:line="240" w:lineRule="auto"/>
              <w:jc w:val="center"/>
              <w:rPr>
                <w:rFonts w:cs="Arial"/>
                <w:sz w:val="20"/>
                <w:szCs w:val="20"/>
                <w:lang w:eastAsia="pt-BR"/>
              </w:rPr>
            </w:pPr>
            <w:r w:rsidRPr="008D23F3">
              <w:rPr>
                <w:rFonts w:cs="Arial"/>
                <w:sz w:val="20"/>
                <w:szCs w:val="20"/>
                <w:lang w:eastAsia="pt-BR"/>
              </w:rPr>
              <w:t>Prefeitura Municipal / Departamento de Obras e Serviços Urbanos</w:t>
            </w:r>
          </w:p>
        </w:tc>
      </w:tr>
      <w:tr w:rsidR="000C0280" w:rsidRPr="0068623C" w:rsidTr="000C0280">
        <w:trPr>
          <w:trHeight w:val="20"/>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t>2.3.1.24</w:t>
            </w:r>
          </w:p>
        </w:tc>
        <w:tc>
          <w:tcPr>
            <w:tcW w:w="7233"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Iniciar as atividades com a entidade reguladora.</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3º</w:t>
            </w:r>
          </w:p>
        </w:tc>
        <w:tc>
          <w:tcPr>
            <w:tcW w:w="173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2.1.1.01</w:t>
            </w:r>
          </w:p>
        </w:tc>
        <w:tc>
          <w:tcPr>
            <w:tcW w:w="2952" w:type="dxa"/>
            <w:shd w:val="clear" w:color="auto" w:fill="auto"/>
          </w:tcPr>
          <w:p w:rsidR="000C0280" w:rsidRPr="00AF4459" w:rsidRDefault="000C0280" w:rsidP="000C0280">
            <w:pPr>
              <w:spacing w:line="240" w:lineRule="auto"/>
              <w:jc w:val="center"/>
              <w:rPr>
                <w:rFonts w:cs="Arial"/>
                <w:sz w:val="20"/>
                <w:szCs w:val="20"/>
                <w:lang w:eastAsia="pt-BR"/>
              </w:rPr>
            </w:pPr>
            <w:r w:rsidRPr="008D23F3">
              <w:rPr>
                <w:rFonts w:cs="Arial"/>
                <w:sz w:val="20"/>
                <w:szCs w:val="20"/>
                <w:lang w:eastAsia="pt-BR"/>
              </w:rPr>
              <w:t>Prefeitura Municipal / Departamento de Obras e Serviços Urbanos</w:t>
            </w:r>
          </w:p>
        </w:tc>
      </w:tr>
      <w:tr w:rsidR="000C0280" w:rsidRPr="0068623C" w:rsidTr="000C0280">
        <w:trPr>
          <w:trHeight w:val="20"/>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t>2.3.1.25</w:t>
            </w:r>
          </w:p>
        </w:tc>
        <w:tc>
          <w:tcPr>
            <w:tcW w:w="7233"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Atender rigorosamente às diretrizes estabelecidas pela Agência Reguladora.</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2º-20º</w:t>
            </w:r>
          </w:p>
        </w:tc>
        <w:tc>
          <w:tcPr>
            <w:tcW w:w="173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2.1.1.01</w:t>
            </w:r>
          </w:p>
        </w:tc>
        <w:tc>
          <w:tcPr>
            <w:tcW w:w="2952" w:type="dxa"/>
            <w:shd w:val="clear" w:color="auto" w:fill="auto"/>
          </w:tcPr>
          <w:p w:rsidR="000C0280" w:rsidRPr="00AF4459" w:rsidRDefault="000C0280" w:rsidP="000C0280">
            <w:pPr>
              <w:spacing w:line="240" w:lineRule="auto"/>
              <w:jc w:val="center"/>
              <w:rPr>
                <w:rFonts w:cs="Arial"/>
                <w:sz w:val="20"/>
                <w:szCs w:val="20"/>
                <w:lang w:eastAsia="pt-BR"/>
              </w:rPr>
            </w:pPr>
            <w:r w:rsidRPr="008D23F3">
              <w:rPr>
                <w:rFonts w:cs="Arial"/>
                <w:sz w:val="20"/>
                <w:szCs w:val="20"/>
                <w:lang w:eastAsia="pt-BR"/>
              </w:rPr>
              <w:t>Prefeitura Municipal / Departamento de Obras e Serviços Urbanos</w:t>
            </w:r>
          </w:p>
        </w:tc>
      </w:tr>
      <w:tr w:rsidR="000C0280" w:rsidRPr="0068623C" w:rsidTr="000C0280">
        <w:trPr>
          <w:trHeight w:val="20"/>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t>2.3.1.26</w:t>
            </w:r>
          </w:p>
        </w:tc>
        <w:tc>
          <w:tcPr>
            <w:tcW w:w="7233"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t>Elaborar um Plano de Manutenção para o sistema de esgotamento sanitário.</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1º-3º</w:t>
            </w:r>
          </w:p>
        </w:tc>
        <w:tc>
          <w:tcPr>
            <w:tcW w:w="173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2.1.1.01</w:t>
            </w:r>
          </w:p>
        </w:tc>
        <w:tc>
          <w:tcPr>
            <w:tcW w:w="2952" w:type="dxa"/>
            <w:shd w:val="clear" w:color="auto" w:fill="auto"/>
          </w:tcPr>
          <w:p w:rsidR="000C0280" w:rsidRPr="00AF4459" w:rsidRDefault="000C0280" w:rsidP="000C0280">
            <w:pPr>
              <w:spacing w:line="240" w:lineRule="auto"/>
              <w:jc w:val="center"/>
              <w:rPr>
                <w:rFonts w:cs="Arial"/>
                <w:sz w:val="20"/>
                <w:szCs w:val="20"/>
                <w:lang w:eastAsia="pt-BR"/>
              </w:rPr>
            </w:pPr>
            <w:r w:rsidRPr="008D23F3">
              <w:rPr>
                <w:rFonts w:cs="Arial"/>
                <w:sz w:val="20"/>
                <w:szCs w:val="20"/>
                <w:lang w:eastAsia="pt-BR"/>
              </w:rPr>
              <w:t>Prefeitura Municipal / Departamento de Obras e Serviços Urbanos</w:t>
            </w:r>
          </w:p>
        </w:tc>
      </w:tr>
      <w:tr w:rsidR="000C0280" w:rsidRPr="0068623C" w:rsidTr="000C0280">
        <w:trPr>
          <w:trHeight w:val="20"/>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t>2.3.2.27</w:t>
            </w:r>
          </w:p>
        </w:tc>
        <w:tc>
          <w:tcPr>
            <w:tcW w:w="7233"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Elaborar manuais de operação para a ETE, incluindo procedimentos corretos para o lançamento de esgotos tratados e destinação do lodo gerado. Manter o documento atualizado.</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4º-8º</w:t>
            </w:r>
          </w:p>
        </w:tc>
        <w:tc>
          <w:tcPr>
            <w:tcW w:w="1734" w:type="dxa"/>
            <w:shd w:val="clear" w:color="auto" w:fill="auto"/>
            <w:vAlign w:val="center"/>
          </w:tcPr>
          <w:p w:rsidR="000C0280" w:rsidRPr="0068623C" w:rsidRDefault="000C0280" w:rsidP="000C0280">
            <w:pPr>
              <w:spacing w:line="240" w:lineRule="auto"/>
              <w:jc w:val="right"/>
              <w:rPr>
                <w:sz w:val="20"/>
                <w:szCs w:val="20"/>
              </w:rPr>
            </w:pPr>
            <w:r w:rsidRPr="0068623C">
              <w:rPr>
                <w:sz w:val="20"/>
                <w:szCs w:val="20"/>
              </w:rPr>
              <w:t>3.388,00</w:t>
            </w:r>
          </w:p>
        </w:tc>
        <w:tc>
          <w:tcPr>
            <w:tcW w:w="2952" w:type="dxa"/>
            <w:shd w:val="clear" w:color="auto" w:fill="auto"/>
          </w:tcPr>
          <w:p w:rsidR="000C0280" w:rsidRPr="00AF4459" w:rsidRDefault="000C0280" w:rsidP="000C0280">
            <w:pPr>
              <w:spacing w:line="240" w:lineRule="auto"/>
              <w:jc w:val="center"/>
              <w:rPr>
                <w:rFonts w:cs="Arial"/>
                <w:sz w:val="20"/>
                <w:szCs w:val="20"/>
                <w:lang w:eastAsia="pt-BR"/>
              </w:rPr>
            </w:pPr>
            <w:r w:rsidRPr="008D23F3">
              <w:rPr>
                <w:rFonts w:cs="Arial"/>
                <w:sz w:val="20"/>
                <w:szCs w:val="20"/>
                <w:lang w:eastAsia="pt-BR"/>
              </w:rPr>
              <w:t>Prefeitura Municipal / Departamento de Obras e Serviços Urbanos</w:t>
            </w:r>
          </w:p>
        </w:tc>
      </w:tr>
      <w:tr w:rsidR="000C0280" w:rsidRPr="0068623C" w:rsidTr="000C0280">
        <w:trPr>
          <w:trHeight w:val="20"/>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t>2.3.2.28</w:t>
            </w:r>
          </w:p>
        </w:tc>
        <w:tc>
          <w:tcPr>
            <w:tcW w:w="7233"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Elaborar um Plano de Emergência para a ETE, para a prevenção de possíveis acidentes.</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4º-8º</w:t>
            </w:r>
          </w:p>
        </w:tc>
        <w:tc>
          <w:tcPr>
            <w:tcW w:w="1734" w:type="dxa"/>
            <w:shd w:val="clear" w:color="auto" w:fill="auto"/>
            <w:vAlign w:val="center"/>
          </w:tcPr>
          <w:p w:rsidR="000C0280" w:rsidRPr="0068623C" w:rsidRDefault="000C0280" w:rsidP="000C0280">
            <w:pPr>
              <w:spacing w:line="240" w:lineRule="auto"/>
              <w:jc w:val="right"/>
              <w:rPr>
                <w:sz w:val="20"/>
                <w:szCs w:val="20"/>
              </w:rPr>
            </w:pPr>
            <w:r w:rsidRPr="0068623C">
              <w:rPr>
                <w:sz w:val="20"/>
                <w:szCs w:val="20"/>
              </w:rPr>
              <w:t>3.388,00</w:t>
            </w:r>
          </w:p>
        </w:tc>
        <w:tc>
          <w:tcPr>
            <w:tcW w:w="2952" w:type="dxa"/>
            <w:shd w:val="clear" w:color="auto" w:fill="auto"/>
          </w:tcPr>
          <w:p w:rsidR="000C0280" w:rsidRPr="00AF4459" w:rsidRDefault="000C0280" w:rsidP="000C0280">
            <w:pPr>
              <w:spacing w:line="240" w:lineRule="auto"/>
              <w:jc w:val="center"/>
              <w:rPr>
                <w:rFonts w:cs="Arial"/>
                <w:sz w:val="20"/>
                <w:szCs w:val="20"/>
                <w:lang w:eastAsia="pt-BR"/>
              </w:rPr>
            </w:pPr>
            <w:r w:rsidRPr="008D23F3">
              <w:rPr>
                <w:rFonts w:cs="Arial"/>
                <w:sz w:val="20"/>
                <w:szCs w:val="20"/>
                <w:lang w:eastAsia="pt-BR"/>
              </w:rPr>
              <w:t>Prefeitura Municipal / Departamento de Obras e Serviços Urbanos</w:t>
            </w:r>
          </w:p>
        </w:tc>
      </w:tr>
      <w:tr w:rsidR="000C0280" w:rsidRPr="0068623C" w:rsidTr="000C0280">
        <w:trPr>
          <w:trHeight w:val="20"/>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t>2.3.3.29</w:t>
            </w:r>
          </w:p>
        </w:tc>
        <w:tc>
          <w:tcPr>
            <w:tcW w:w="7233"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Avaliar continuamente o indicador de desempenho, a fim de buscar melhorias de gestão financeira.</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1º-20º</w:t>
            </w:r>
          </w:p>
        </w:tc>
        <w:tc>
          <w:tcPr>
            <w:tcW w:w="173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2.1.1.01</w:t>
            </w:r>
          </w:p>
        </w:tc>
        <w:tc>
          <w:tcPr>
            <w:tcW w:w="2952" w:type="dxa"/>
            <w:shd w:val="clear" w:color="auto" w:fill="auto"/>
          </w:tcPr>
          <w:p w:rsidR="000C0280" w:rsidRPr="00AF4459" w:rsidRDefault="000C0280" w:rsidP="000C0280">
            <w:pPr>
              <w:spacing w:line="240" w:lineRule="auto"/>
              <w:jc w:val="center"/>
              <w:rPr>
                <w:rFonts w:cs="Arial"/>
                <w:sz w:val="20"/>
                <w:szCs w:val="20"/>
                <w:lang w:eastAsia="pt-BR"/>
              </w:rPr>
            </w:pPr>
            <w:r w:rsidRPr="008D23F3">
              <w:rPr>
                <w:rFonts w:cs="Arial"/>
                <w:sz w:val="20"/>
                <w:szCs w:val="20"/>
                <w:lang w:eastAsia="pt-BR"/>
              </w:rPr>
              <w:t>Prefeitura Municipal / Departamento de Obras e Serviços Urbanos</w:t>
            </w:r>
          </w:p>
        </w:tc>
      </w:tr>
      <w:tr w:rsidR="000C0280" w:rsidRPr="0068623C" w:rsidTr="000C0280">
        <w:trPr>
          <w:trHeight w:val="20"/>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t>2.3.3.30</w:t>
            </w:r>
          </w:p>
        </w:tc>
        <w:tc>
          <w:tcPr>
            <w:tcW w:w="7233"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Avaliar continuamente os gastos com energia elétrica do sistema, buscando a redução de gastos, realizando substituição de equipamentos que tenham maior consumo energético por equipamentos de menor consumo.</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1º-20º</w:t>
            </w:r>
          </w:p>
        </w:tc>
        <w:tc>
          <w:tcPr>
            <w:tcW w:w="173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2.1.1.01</w:t>
            </w:r>
          </w:p>
        </w:tc>
        <w:tc>
          <w:tcPr>
            <w:tcW w:w="2952" w:type="dxa"/>
            <w:shd w:val="clear" w:color="auto" w:fill="auto"/>
          </w:tcPr>
          <w:p w:rsidR="000C0280" w:rsidRPr="00AF4459" w:rsidRDefault="000C0280" w:rsidP="000C0280">
            <w:pPr>
              <w:spacing w:line="240" w:lineRule="auto"/>
              <w:jc w:val="center"/>
              <w:rPr>
                <w:rFonts w:cs="Arial"/>
                <w:sz w:val="20"/>
                <w:szCs w:val="20"/>
                <w:lang w:eastAsia="pt-BR"/>
              </w:rPr>
            </w:pPr>
            <w:r w:rsidRPr="008D23F3">
              <w:rPr>
                <w:rFonts w:cs="Arial"/>
                <w:sz w:val="20"/>
                <w:szCs w:val="20"/>
                <w:lang w:eastAsia="pt-BR"/>
              </w:rPr>
              <w:t>Prefeitura Municipal / Departamento de Obras e Serviços Urbanos</w:t>
            </w:r>
          </w:p>
        </w:tc>
      </w:tr>
      <w:tr w:rsidR="000C0280" w:rsidRPr="0068623C" w:rsidTr="000C0280">
        <w:trPr>
          <w:trHeight w:val="20"/>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t>2.3.3.31</w:t>
            </w:r>
          </w:p>
        </w:tc>
        <w:tc>
          <w:tcPr>
            <w:tcW w:w="7233"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Avaliar continuamente os gastos com produtos químicos utilizados no sistema, buscando a redução de gastos, através da substituição por equipamentos com maior eficiência na aplicação automatizada dos produtos, redução do desperdício no armazenamento, transporte e manejo do estoque.</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4º-20º</w:t>
            </w:r>
          </w:p>
        </w:tc>
        <w:tc>
          <w:tcPr>
            <w:tcW w:w="173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2.1.1.01</w:t>
            </w:r>
          </w:p>
        </w:tc>
        <w:tc>
          <w:tcPr>
            <w:tcW w:w="2952" w:type="dxa"/>
            <w:shd w:val="clear" w:color="auto" w:fill="auto"/>
          </w:tcPr>
          <w:p w:rsidR="000C0280" w:rsidRPr="00AF4459" w:rsidRDefault="000C0280" w:rsidP="000C0280">
            <w:pPr>
              <w:spacing w:line="240" w:lineRule="auto"/>
              <w:jc w:val="center"/>
              <w:rPr>
                <w:rFonts w:cs="Arial"/>
                <w:sz w:val="20"/>
                <w:szCs w:val="20"/>
                <w:lang w:eastAsia="pt-BR"/>
              </w:rPr>
            </w:pPr>
            <w:r w:rsidRPr="008D23F3">
              <w:rPr>
                <w:rFonts w:cs="Arial"/>
                <w:sz w:val="20"/>
                <w:szCs w:val="20"/>
                <w:lang w:eastAsia="pt-BR"/>
              </w:rPr>
              <w:t>Prefeitura Municipal / Departamento de Obras e Serviços Urbanos</w:t>
            </w:r>
          </w:p>
        </w:tc>
      </w:tr>
      <w:tr w:rsidR="000C0280" w:rsidRPr="0068623C" w:rsidTr="000C0280">
        <w:trPr>
          <w:trHeight w:val="20"/>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lastRenderedPageBreak/>
              <w:t>2.3.3.32</w:t>
            </w:r>
          </w:p>
        </w:tc>
        <w:tc>
          <w:tcPr>
            <w:tcW w:w="7233"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Implantar campanhas de renegociação de dívidas dos usuários, com mecanismos para informar a população, realizando eventos em praças ou locais públicos específicos para encontro dos devedores com a companhia.</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1º-20º</w:t>
            </w:r>
          </w:p>
        </w:tc>
        <w:tc>
          <w:tcPr>
            <w:tcW w:w="173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2.1.1.01</w:t>
            </w:r>
          </w:p>
        </w:tc>
        <w:tc>
          <w:tcPr>
            <w:tcW w:w="2952" w:type="dxa"/>
            <w:shd w:val="clear" w:color="auto" w:fill="auto"/>
          </w:tcPr>
          <w:p w:rsidR="000C0280" w:rsidRPr="00AF4459" w:rsidRDefault="000C0280" w:rsidP="000C0280">
            <w:pPr>
              <w:spacing w:line="240" w:lineRule="auto"/>
              <w:jc w:val="center"/>
              <w:rPr>
                <w:rFonts w:cs="Arial"/>
                <w:sz w:val="20"/>
                <w:szCs w:val="20"/>
                <w:lang w:eastAsia="pt-BR"/>
              </w:rPr>
            </w:pPr>
            <w:r w:rsidRPr="008D23F3">
              <w:rPr>
                <w:rFonts w:cs="Arial"/>
                <w:sz w:val="20"/>
                <w:szCs w:val="20"/>
                <w:lang w:eastAsia="pt-BR"/>
              </w:rPr>
              <w:t>Prefeitura Municipal / Departamento de Obras e Serviços Urbanos</w:t>
            </w:r>
          </w:p>
        </w:tc>
      </w:tr>
      <w:tr w:rsidR="000C0280" w:rsidRPr="0068623C" w:rsidTr="000C0280">
        <w:trPr>
          <w:trHeight w:val="20"/>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t>2.3.4.33</w:t>
            </w:r>
          </w:p>
        </w:tc>
        <w:tc>
          <w:tcPr>
            <w:tcW w:w="7233"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Definir funcionários, dentro da Prefeitura Municipal, responsáveis por organizar os dados operacionais e administrativos do setor de esgotamento sanitário do município.</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1º-20º</w:t>
            </w:r>
          </w:p>
        </w:tc>
        <w:tc>
          <w:tcPr>
            <w:tcW w:w="173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2.1.1.01</w:t>
            </w:r>
          </w:p>
        </w:tc>
        <w:tc>
          <w:tcPr>
            <w:tcW w:w="2952" w:type="dxa"/>
            <w:shd w:val="clear" w:color="auto" w:fill="auto"/>
          </w:tcPr>
          <w:p w:rsidR="000C0280" w:rsidRPr="00AF4459" w:rsidRDefault="000C0280" w:rsidP="000C0280">
            <w:pPr>
              <w:spacing w:line="240" w:lineRule="auto"/>
              <w:jc w:val="center"/>
              <w:rPr>
                <w:rFonts w:cs="Arial"/>
                <w:sz w:val="20"/>
                <w:szCs w:val="20"/>
                <w:lang w:eastAsia="pt-BR"/>
              </w:rPr>
            </w:pPr>
            <w:r w:rsidRPr="008D23F3">
              <w:rPr>
                <w:rFonts w:cs="Arial"/>
                <w:sz w:val="20"/>
                <w:szCs w:val="20"/>
                <w:lang w:eastAsia="pt-BR"/>
              </w:rPr>
              <w:t>Prefeitura Municipal / Departamento de Obras e Serviços Urbanos</w:t>
            </w:r>
          </w:p>
        </w:tc>
      </w:tr>
      <w:tr w:rsidR="000C0280" w:rsidRPr="0068623C" w:rsidTr="000C0280">
        <w:trPr>
          <w:trHeight w:val="20"/>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t>2.3.4.34</w:t>
            </w:r>
          </w:p>
        </w:tc>
        <w:tc>
          <w:tcPr>
            <w:tcW w:w="7233"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Atualizar continuamente o levantamento cadastral dos sistemas de esgotamento sanitário de todo o município.</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1º-20º</w:t>
            </w:r>
          </w:p>
        </w:tc>
        <w:tc>
          <w:tcPr>
            <w:tcW w:w="173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2.1.1.01</w:t>
            </w:r>
          </w:p>
        </w:tc>
        <w:tc>
          <w:tcPr>
            <w:tcW w:w="2952" w:type="dxa"/>
            <w:shd w:val="clear" w:color="auto" w:fill="auto"/>
          </w:tcPr>
          <w:p w:rsidR="000C0280" w:rsidRPr="00AF4459" w:rsidRDefault="000C0280" w:rsidP="000C0280">
            <w:pPr>
              <w:spacing w:line="240" w:lineRule="auto"/>
              <w:jc w:val="center"/>
              <w:rPr>
                <w:rFonts w:cs="Arial"/>
                <w:sz w:val="20"/>
                <w:szCs w:val="20"/>
                <w:lang w:eastAsia="pt-BR"/>
              </w:rPr>
            </w:pPr>
            <w:r w:rsidRPr="008D23F3">
              <w:rPr>
                <w:rFonts w:cs="Arial"/>
                <w:sz w:val="20"/>
                <w:szCs w:val="20"/>
                <w:lang w:eastAsia="pt-BR"/>
              </w:rPr>
              <w:t>Prefeitura Municipal / Departamento de Obras e Serviços Urbanos</w:t>
            </w:r>
          </w:p>
        </w:tc>
      </w:tr>
      <w:tr w:rsidR="000C0280" w:rsidRPr="0068623C" w:rsidTr="000C0280">
        <w:trPr>
          <w:trHeight w:val="20"/>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t>2.3.4.35</w:t>
            </w:r>
          </w:p>
        </w:tc>
        <w:tc>
          <w:tcPr>
            <w:tcW w:w="7233"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Atualizar continuamente o SMIS - Sistema Municipal de Informações em Saneamento, assim como o SNIS - Sistema Nacional de Informações sobre Saneamento.</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1º-20º</w:t>
            </w:r>
          </w:p>
        </w:tc>
        <w:tc>
          <w:tcPr>
            <w:tcW w:w="173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2.1.1.01</w:t>
            </w:r>
          </w:p>
        </w:tc>
        <w:tc>
          <w:tcPr>
            <w:tcW w:w="2952" w:type="dxa"/>
            <w:shd w:val="clear" w:color="auto" w:fill="auto"/>
          </w:tcPr>
          <w:p w:rsidR="000C0280" w:rsidRPr="00AF4459" w:rsidRDefault="000C0280" w:rsidP="000C0280">
            <w:pPr>
              <w:spacing w:line="240" w:lineRule="auto"/>
              <w:jc w:val="center"/>
              <w:rPr>
                <w:rFonts w:cs="Arial"/>
                <w:sz w:val="20"/>
                <w:szCs w:val="20"/>
                <w:lang w:eastAsia="pt-BR"/>
              </w:rPr>
            </w:pPr>
            <w:r w:rsidRPr="008D23F3">
              <w:rPr>
                <w:rFonts w:cs="Arial"/>
                <w:sz w:val="20"/>
                <w:szCs w:val="20"/>
                <w:lang w:eastAsia="pt-BR"/>
              </w:rPr>
              <w:t>Prefeitura Municipal / Departamento de Obras e Serviços Urbanos</w:t>
            </w:r>
          </w:p>
        </w:tc>
      </w:tr>
      <w:tr w:rsidR="000C0280" w:rsidRPr="0068623C" w:rsidTr="000C0280">
        <w:trPr>
          <w:trHeight w:val="20"/>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t>2.3.4.36</w:t>
            </w:r>
          </w:p>
        </w:tc>
        <w:tc>
          <w:tcPr>
            <w:tcW w:w="7233"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Confrontar continuamente a demanda de novos empreendimentos imobiliários com a legislação aplicável, de forma a planejar melhor a expansão dos sistemas de esgotamento sanitário.</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1º-20º</w:t>
            </w:r>
          </w:p>
        </w:tc>
        <w:tc>
          <w:tcPr>
            <w:tcW w:w="1734" w:type="dxa"/>
            <w:shd w:val="clear" w:color="auto" w:fill="auto"/>
            <w:vAlign w:val="center"/>
          </w:tcPr>
          <w:p w:rsidR="000C0280" w:rsidRPr="0068623C" w:rsidRDefault="000C0280" w:rsidP="000C0280">
            <w:pPr>
              <w:spacing w:line="240" w:lineRule="auto"/>
              <w:jc w:val="right"/>
              <w:rPr>
                <w:sz w:val="20"/>
                <w:szCs w:val="20"/>
              </w:rPr>
            </w:pPr>
            <w:r w:rsidRPr="0068623C">
              <w:rPr>
                <w:sz w:val="20"/>
                <w:szCs w:val="20"/>
              </w:rPr>
              <w:t>1.720.293,60</w:t>
            </w:r>
          </w:p>
        </w:tc>
        <w:tc>
          <w:tcPr>
            <w:tcW w:w="2952" w:type="dxa"/>
            <w:shd w:val="clear" w:color="auto" w:fill="auto"/>
          </w:tcPr>
          <w:p w:rsidR="000C0280" w:rsidRPr="00AF4459" w:rsidRDefault="000C0280" w:rsidP="000C0280">
            <w:pPr>
              <w:spacing w:line="240" w:lineRule="auto"/>
              <w:jc w:val="center"/>
              <w:rPr>
                <w:rFonts w:cs="Arial"/>
                <w:sz w:val="20"/>
                <w:szCs w:val="20"/>
                <w:lang w:eastAsia="pt-BR"/>
              </w:rPr>
            </w:pPr>
            <w:r w:rsidRPr="008D23F3">
              <w:rPr>
                <w:rFonts w:cs="Arial"/>
                <w:sz w:val="20"/>
                <w:szCs w:val="20"/>
                <w:lang w:eastAsia="pt-BR"/>
              </w:rPr>
              <w:t>Prefeitura Municipal / Departamento de Obras e Serviços Urbanos</w:t>
            </w:r>
          </w:p>
        </w:tc>
      </w:tr>
    </w:tbl>
    <w:p w:rsidR="000C0280" w:rsidRPr="0068623C" w:rsidRDefault="000C0280" w:rsidP="000C0280">
      <w:pPr>
        <w:pStyle w:val="Fonte"/>
      </w:pPr>
      <w:r>
        <w:t>*</w:t>
      </w:r>
      <w:r w:rsidRPr="0068623C">
        <w:t>(s/o/m/a) = nº do setor / nº do objetivo / nº da meta / nº da ação.</w:t>
      </w: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Pr="0068623C" w:rsidRDefault="000C0280" w:rsidP="000C0280">
      <w:pPr>
        <w:pStyle w:val="Fonte"/>
      </w:pPr>
    </w:p>
    <w:p w:rsidR="000C0280" w:rsidRPr="0068623C" w:rsidRDefault="000C0280" w:rsidP="000C0280">
      <w:pPr>
        <w:pStyle w:val="Legenda"/>
      </w:pPr>
      <w:bookmarkStart w:id="806" w:name="_Ref503280332"/>
      <w:bookmarkStart w:id="807" w:name="_Toc505788344"/>
      <w:bookmarkStart w:id="808" w:name="_Toc509935845"/>
      <w:r w:rsidRPr="0068623C">
        <w:lastRenderedPageBreak/>
        <w:t xml:space="preserve">Quadro </w:t>
      </w:r>
      <w:r w:rsidR="000A1C78">
        <w:fldChar w:fldCharType="begin"/>
      </w:r>
      <w:r w:rsidR="000A1C78">
        <w:instrText xml:space="preserve"> SEQ Quadro \* ARABIC </w:instrText>
      </w:r>
      <w:r w:rsidR="000A1C78">
        <w:fldChar w:fldCharType="separate"/>
      </w:r>
      <w:r w:rsidR="001B481B">
        <w:rPr>
          <w:noProof/>
        </w:rPr>
        <w:t>68</w:t>
      </w:r>
      <w:r w:rsidR="000A1C78">
        <w:rPr>
          <w:noProof/>
        </w:rPr>
        <w:fldChar w:fldCharType="end"/>
      </w:r>
      <w:bookmarkEnd w:id="806"/>
      <w:r w:rsidRPr="0068623C">
        <w:t xml:space="preserve"> - Programas e ações propostos para o setor de esgotamento sanitário - Objetivo 4</w:t>
      </w:r>
      <w:bookmarkEnd w:id="807"/>
      <w:bookmarkEnd w:id="808"/>
    </w:p>
    <w:tbl>
      <w:tblPr>
        <w:tblW w:w="14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70"/>
        <w:gridCol w:w="281"/>
        <w:gridCol w:w="298"/>
        <w:gridCol w:w="5094"/>
        <w:gridCol w:w="3544"/>
        <w:gridCol w:w="3479"/>
      </w:tblGrid>
      <w:tr w:rsidR="000C0280" w:rsidRPr="0068623C" w:rsidTr="000C0280">
        <w:trPr>
          <w:trHeight w:val="20"/>
          <w:jc w:val="center"/>
        </w:trPr>
        <w:tc>
          <w:tcPr>
            <w:tcW w:w="701" w:type="pct"/>
            <w:shd w:val="clear" w:color="000000" w:fill="C0C0C0"/>
            <w:noWrap/>
            <w:vAlign w:val="center"/>
            <w:hideMark/>
          </w:tcPr>
          <w:p w:rsidR="000C0280" w:rsidRPr="0068623C" w:rsidRDefault="000C0280" w:rsidP="000C0280">
            <w:pPr>
              <w:spacing w:before="20" w:after="20" w:line="240" w:lineRule="auto"/>
              <w:contextualSpacing/>
              <w:rPr>
                <w:rFonts w:eastAsia="Times New Roman" w:cs="Arial"/>
                <w:b/>
                <w:bCs/>
                <w:sz w:val="20"/>
                <w:szCs w:val="20"/>
                <w:lang w:eastAsia="pt-BR"/>
              </w:rPr>
            </w:pPr>
            <w:r w:rsidRPr="0068623C">
              <w:rPr>
                <w:rFonts w:eastAsia="Times New Roman" w:cs="Arial"/>
                <w:b/>
                <w:bCs/>
                <w:sz w:val="20"/>
                <w:szCs w:val="20"/>
                <w:lang w:eastAsia="pt-BR"/>
              </w:rPr>
              <w:t>SETOR</w:t>
            </w:r>
          </w:p>
        </w:tc>
        <w:tc>
          <w:tcPr>
            <w:tcW w:w="95" w:type="pct"/>
            <w:shd w:val="clear" w:color="auto" w:fill="auto"/>
            <w:noWrap/>
            <w:vAlign w:val="center"/>
            <w:hideMark/>
          </w:tcPr>
          <w:p w:rsidR="000C0280" w:rsidRPr="0068623C" w:rsidRDefault="000C0280" w:rsidP="000C0280">
            <w:pPr>
              <w:spacing w:before="20" w:after="20" w:line="240" w:lineRule="auto"/>
              <w:contextualSpacing/>
              <w:rPr>
                <w:rFonts w:eastAsia="Times New Roman" w:cs="Arial"/>
                <w:sz w:val="20"/>
                <w:szCs w:val="20"/>
                <w:lang w:eastAsia="pt-BR"/>
              </w:rPr>
            </w:pPr>
            <w:r w:rsidRPr="0068623C">
              <w:rPr>
                <w:rFonts w:eastAsia="Times New Roman" w:cs="Arial"/>
                <w:sz w:val="20"/>
                <w:szCs w:val="20"/>
                <w:lang w:eastAsia="pt-BR"/>
              </w:rPr>
              <w:t>2</w:t>
            </w:r>
          </w:p>
        </w:tc>
        <w:tc>
          <w:tcPr>
            <w:tcW w:w="4204" w:type="pct"/>
            <w:gridSpan w:val="4"/>
            <w:shd w:val="clear" w:color="auto" w:fill="auto"/>
            <w:noWrap/>
            <w:vAlign w:val="center"/>
            <w:hideMark/>
          </w:tcPr>
          <w:p w:rsidR="000C0280" w:rsidRPr="0068623C" w:rsidRDefault="000C0280" w:rsidP="000C0280">
            <w:pPr>
              <w:spacing w:before="20" w:after="20" w:line="240" w:lineRule="auto"/>
              <w:contextualSpacing/>
              <w:jc w:val="both"/>
              <w:rPr>
                <w:rFonts w:eastAsia="Times New Roman" w:cs="Arial"/>
                <w:sz w:val="20"/>
                <w:szCs w:val="20"/>
                <w:lang w:eastAsia="pt-BR"/>
              </w:rPr>
            </w:pPr>
            <w:r w:rsidRPr="0068623C">
              <w:rPr>
                <w:rFonts w:eastAsia="Times New Roman" w:cs="Arial"/>
                <w:sz w:val="20"/>
                <w:szCs w:val="20"/>
                <w:lang w:eastAsia="pt-BR"/>
              </w:rPr>
              <w:t>Esgotamento Sanitário.</w:t>
            </w:r>
          </w:p>
        </w:tc>
      </w:tr>
      <w:tr w:rsidR="000C0280" w:rsidRPr="0068623C" w:rsidTr="000C0280">
        <w:trPr>
          <w:trHeight w:val="20"/>
          <w:jc w:val="center"/>
        </w:trPr>
        <w:tc>
          <w:tcPr>
            <w:tcW w:w="701" w:type="pct"/>
            <w:shd w:val="clear" w:color="000000" w:fill="C0C0C0"/>
            <w:vAlign w:val="center"/>
            <w:hideMark/>
          </w:tcPr>
          <w:p w:rsidR="000C0280" w:rsidRPr="0068623C" w:rsidRDefault="000C0280" w:rsidP="000C0280">
            <w:pPr>
              <w:spacing w:before="20" w:after="20" w:line="240" w:lineRule="auto"/>
              <w:contextualSpacing/>
              <w:rPr>
                <w:rFonts w:eastAsia="Times New Roman" w:cs="Arial"/>
                <w:b/>
                <w:bCs/>
                <w:sz w:val="20"/>
                <w:szCs w:val="20"/>
                <w:lang w:eastAsia="pt-BR"/>
              </w:rPr>
            </w:pPr>
            <w:r w:rsidRPr="0068623C">
              <w:rPr>
                <w:rFonts w:eastAsia="Times New Roman" w:cs="Arial"/>
                <w:b/>
                <w:bCs/>
                <w:sz w:val="20"/>
                <w:szCs w:val="20"/>
                <w:lang w:eastAsia="pt-BR"/>
              </w:rPr>
              <w:t>OBJETIVO</w:t>
            </w:r>
          </w:p>
        </w:tc>
        <w:tc>
          <w:tcPr>
            <w:tcW w:w="95" w:type="pct"/>
            <w:shd w:val="clear" w:color="auto" w:fill="auto"/>
            <w:vAlign w:val="center"/>
            <w:hideMark/>
          </w:tcPr>
          <w:p w:rsidR="000C0280" w:rsidRPr="0068623C" w:rsidRDefault="000C0280" w:rsidP="000C0280">
            <w:pPr>
              <w:spacing w:before="20" w:after="20" w:line="240" w:lineRule="auto"/>
              <w:rPr>
                <w:rFonts w:eastAsia="Times New Roman" w:cs="Arial"/>
                <w:sz w:val="20"/>
                <w:szCs w:val="20"/>
                <w:lang w:eastAsia="pt-BR"/>
              </w:rPr>
            </w:pPr>
            <w:r w:rsidRPr="0068623C">
              <w:rPr>
                <w:rFonts w:eastAsia="Times New Roman" w:cs="Arial"/>
                <w:sz w:val="20"/>
                <w:szCs w:val="20"/>
                <w:lang w:eastAsia="pt-BR"/>
              </w:rPr>
              <w:t>4</w:t>
            </w:r>
          </w:p>
        </w:tc>
        <w:tc>
          <w:tcPr>
            <w:tcW w:w="4204" w:type="pct"/>
            <w:gridSpan w:val="4"/>
            <w:shd w:val="clear" w:color="auto" w:fill="auto"/>
            <w:vAlign w:val="center"/>
            <w:hideMark/>
          </w:tcPr>
          <w:p w:rsidR="000C0280" w:rsidRPr="0068623C" w:rsidRDefault="000C0280" w:rsidP="000C0280">
            <w:pPr>
              <w:spacing w:before="20" w:after="20" w:line="240" w:lineRule="auto"/>
              <w:rPr>
                <w:rFonts w:eastAsia="Times New Roman" w:cs="Arial"/>
                <w:sz w:val="20"/>
                <w:szCs w:val="20"/>
                <w:lang w:eastAsia="pt-BR"/>
              </w:rPr>
            </w:pPr>
            <w:r w:rsidRPr="0068623C">
              <w:rPr>
                <w:rFonts w:eastAsia="Times New Roman" w:cs="Arial"/>
                <w:sz w:val="20"/>
                <w:szCs w:val="20"/>
                <w:lang w:eastAsia="pt-BR"/>
              </w:rPr>
              <w:t>Adequar todo o sistema de esgotamento sanitário de Córrego Novo de forma a atender à legislação ambiental vigente.</w:t>
            </w:r>
          </w:p>
        </w:tc>
      </w:tr>
      <w:tr w:rsidR="000C0280" w:rsidRPr="0068623C" w:rsidTr="000C0280">
        <w:trPr>
          <w:trHeight w:val="20"/>
          <w:jc w:val="center"/>
        </w:trPr>
        <w:tc>
          <w:tcPr>
            <w:tcW w:w="701" w:type="pct"/>
            <w:shd w:val="clear" w:color="000000" w:fill="C0C0C0"/>
            <w:vAlign w:val="center"/>
          </w:tcPr>
          <w:p w:rsidR="000C0280" w:rsidRPr="00884066" w:rsidRDefault="000C0280" w:rsidP="000C0280">
            <w:pPr>
              <w:spacing w:before="20" w:after="20" w:line="240" w:lineRule="auto"/>
              <w:contextualSpacing/>
              <w:rPr>
                <w:rFonts w:eastAsia="Times New Roman" w:cs="Arial"/>
                <w:b/>
                <w:bCs/>
                <w:sz w:val="20"/>
                <w:szCs w:val="20"/>
                <w:lang w:eastAsia="pt-BR"/>
              </w:rPr>
            </w:pPr>
            <w:r w:rsidRPr="00884066">
              <w:rPr>
                <w:rFonts w:eastAsia="Times New Roman" w:cs="Arial"/>
                <w:b/>
                <w:bCs/>
                <w:sz w:val="20"/>
                <w:szCs w:val="20"/>
                <w:lang w:eastAsia="pt-BR"/>
              </w:rPr>
              <w:t>INDICADOR DE MONITORAMENTO</w:t>
            </w:r>
          </w:p>
        </w:tc>
        <w:tc>
          <w:tcPr>
            <w:tcW w:w="4299" w:type="pct"/>
            <w:gridSpan w:val="5"/>
            <w:shd w:val="clear" w:color="auto" w:fill="auto"/>
            <w:vAlign w:val="center"/>
          </w:tcPr>
          <w:p w:rsidR="000C0280" w:rsidRPr="00884066" w:rsidRDefault="000C0280" w:rsidP="000C0280">
            <w:pPr>
              <w:spacing w:before="20" w:after="20" w:line="240" w:lineRule="auto"/>
              <w:rPr>
                <w:rFonts w:eastAsia="Times New Roman" w:cs="Arial"/>
                <w:sz w:val="20"/>
                <w:szCs w:val="20"/>
                <w:lang w:eastAsia="pt-BR"/>
              </w:rPr>
            </w:pPr>
            <w:r w:rsidRPr="00884066">
              <w:rPr>
                <w:rFonts w:cs="Arial"/>
                <w:color w:val="333333"/>
                <w:sz w:val="20"/>
                <w:szCs w:val="20"/>
              </w:rPr>
              <w:t>Indicador do nível de regulamentação ambiental do setor.</w:t>
            </w:r>
          </w:p>
        </w:tc>
      </w:tr>
      <w:tr w:rsidR="000C0280" w:rsidRPr="0068623C" w:rsidTr="000C0280">
        <w:trPr>
          <w:trHeight w:val="20"/>
          <w:jc w:val="center"/>
        </w:trPr>
        <w:tc>
          <w:tcPr>
            <w:tcW w:w="5000" w:type="pct"/>
            <w:gridSpan w:val="6"/>
            <w:shd w:val="clear" w:color="000000" w:fill="C0C0C0"/>
            <w:noWrap/>
            <w:vAlign w:val="center"/>
            <w:hideMark/>
          </w:tcPr>
          <w:p w:rsidR="000C0280" w:rsidRPr="0068623C" w:rsidRDefault="000C0280" w:rsidP="000C0280">
            <w:pPr>
              <w:spacing w:before="20" w:after="20"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PRAZO DE ENTREGA DA META (ANOS)</w:t>
            </w:r>
          </w:p>
        </w:tc>
      </w:tr>
      <w:tr w:rsidR="000C0280" w:rsidRPr="0068623C" w:rsidTr="000C0280">
        <w:trPr>
          <w:trHeight w:val="20"/>
          <w:jc w:val="center"/>
        </w:trPr>
        <w:tc>
          <w:tcPr>
            <w:tcW w:w="897" w:type="pct"/>
            <w:gridSpan w:val="3"/>
            <w:shd w:val="clear" w:color="000000" w:fill="C0C0C0"/>
            <w:noWrap/>
            <w:vAlign w:val="center"/>
            <w:hideMark/>
          </w:tcPr>
          <w:p w:rsidR="000C0280" w:rsidRPr="0068623C" w:rsidRDefault="000C0280" w:rsidP="000C0280">
            <w:pPr>
              <w:spacing w:line="240" w:lineRule="auto"/>
              <w:jc w:val="center"/>
              <w:rPr>
                <w:rFonts w:eastAsia="Times New Roman" w:cs="Arial"/>
                <w:b/>
                <w:bCs/>
                <w:sz w:val="20"/>
                <w:szCs w:val="20"/>
                <w:lang w:eastAsia="pt-BR"/>
              </w:rPr>
            </w:pPr>
            <w:r w:rsidRPr="0068623C">
              <w:rPr>
                <w:rFonts w:eastAsia="Times New Roman" w:cs="Arial"/>
                <w:b/>
                <w:bCs/>
                <w:sz w:val="20"/>
                <w:szCs w:val="20"/>
                <w:lang w:eastAsia="pt-BR"/>
              </w:rPr>
              <w:t>IMEDIATO (0 a 3)</w:t>
            </w:r>
          </w:p>
        </w:tc>
        <w:tc>
          <w:tcPr>
            <w:tcW w:w="1725" w:type="pct"/>
            <w:shd w:val="clear" w:color="000000" w:fill="C0C0C0"/>
            <w:noWrap/>
            <w:vAlign w:val="center"/>
            <w:hideMark/>
          </w:tcPr>
          <w:p w:rsidR="000C0280" w:rsidRPr="0068623C" w:rsidRDefault="000C0280" w:rsidP="000C0280">
            <w:pPr>
              <w:spacing w:line="240" w:lineRule="auto"/>
              <w:jc w:val="center"/>
              <w:rPr>
                <w:rFonts w:eastAsia="Times New Roman" w:cs="Arial"/>
                <w:b/>
                <w:bCs/>
                <w:sz w:val="20"/>
                <w:szCs w:val="20"/>
                <w:lang w:eastAsia="pt-BR"/>
              </w:rPr>
            </w:pPr>
            <w:r w:rsidRPr="0068623C">
              <w:rPr>
                <w:rFonts w:eastAsia="Times New Roman" w:cs="Arial"/>
                <w:b/>
                <w:bCs/>
                <w:sz w:val="20"/>
                <w:szCs w:val="20"/>
                <w:lang w:eastAsia="pt-BR"/>
              </w:rPr>
              <w:t>CURTO (4 a 8)</w:t>
            </w:r>
          </w:p>
        </w:tc>
        <w:tc>
          <w:tcPr>
            <w:tcW w:w="1200" w:type="pct"/>
            <w:shd w:val="clear" w:color="000000" w:fill="C0C0C0"/>
            <w:noWrap/>
            <w:vAlign w:val="center"/>
            <w:hideMark/>
          </w:tcPr>
          <w:p w:rsidR="000C0280" w:rsidRPr="0068623C" w:rsidRDefault="000C0280" w:rsidP="000C0280">
            <w:pPr>
              <w:spacing w:line="240" w:lineRule="auto"/>
              <w:jc w:val="center"/>
              <w:rPr>
                <w:rFonts w:eastAsia="Times New Roman" w:cs="Arial"/>
                <w:b/>
                <w:bCs/>
                <w:sz w:val="20"/>
                <w:szCs w:val="20"/>
                <w:lang w:eastAsia="pt-BR"/>
              </w:rPr>
            </w:pPr>
            <w:r w:rsidRPr="0068623C">
              <w:rPr>
                <w:rFonts w:eastAsia="Times New Roman" w:cs="Arial"/>
                <w:b/>
                <w:bCs/>
                <w:sz w:val="20"/>
                <w:szCs w:val="20"/>
                <w:lang w:eastAsia="pt-BR"/>
              </w:rPr>
              <w:t>MÉDIO (9 a 12)</w:t>
            </w:r>
          </w:p>
        </w:tc>
        <w:tc>
          <w:tcPr>
            <w:tcW w:w="1178" w:type="pct"/>
            <w:shd w:val="clear" w:color="000000" w:fill="C0C0C0"/>
            <w:noWrap/>
            <w:vAlign w:val="center"/>
            <w:hideMark/>
          </w:tcPr>
          <w:p w:rsidR="000C0280" w:rsidRPr="0068623C" w:rsidRDefault="000C0280" w:rsidP="000C0280">
            <w:pPr>
              <w:spacing w:line="240" w:lineRule="auto"/>
              <w:jc w:val="center"/>
              <w:rPr>
                <w:rFonts w:eastAsia="Times New Roman" w:cs="Arial"/>
                <w:b/>
                <w:bCs/>
                <w:sz w:val="20"/>
                <w:szCs w:val="20"/>
                <w:lang w:eastAsia="pt-BR"/>
              </w:rPr>
            </w:pPr>
            <w:r w:rsidRPr="0068623C">
              <w:rPr>
                <w:rFonts w:eastAsia="Times New Roman" w:cs="Arial"/>
                <w:b/>
                <w:bCs/>
                <w:sz w:val="20"/>
                <w:szCs w:val="20"/>
                <w:lang w:eastAsia="pt-BR"/>
              </w:rPr>
              <w:t>LONGO (13 a 20)</w:t>
            </w:r>
          </w:p>
        </w:tc>
      </w:tr>
      <w:tr w:rsidR="000C0280" w:rsidRPr="0068623C" w:rsidTr="000C0280">
        <w:trPr>
          <w:trHeight w:val="20"/>
          <w:jc w:val="center"/>
        </w:trPr>
        <w:tc>
          <w:tcPr>
            <w:tcW w:w="897" w:type="pct"/>
            <w:gridSpan w:val="3"/>
            <w:shd w:val="clear" w:color="auto" w:fill="auto"/>
            <w:noWrap/>
            <w:vAlign w:val="center"/>
          </w:tcPr>
          <w:p w:rsidR="000C0280" w:rsidRPr="0068623C" w:rsidRDefault="000C0280" w:rsidP="000C0280">
            <w:pPr>
              <w:spacing w:before="20" w:after="20" w:line="240" w:lineRule="auto"/>
              <w:jc w:val="both"/>
              <w:rPr>
                <w:rFonts w:cs="Arial"/>
                <w:bCs/>
                <w:sz w:val="20"/>
                <w:szCs w:val="20"/>
              </w:rPr>
            </w:pPr>
          </w:p>
        </w:tc>
        <w:tc>
          <w:tcPr>
            <w:tcW w:w="1725" w:type="pct"/>
            <w:shd w:val="clear" w:color="auto" w:fill="auto"/>
            <w:noWrap/>
            <w:vAlign w:val="center"/>
            <w:hideMark/>
          </w:tcPr>
          <w:p w:rsidR="000C0280" w:rsidRPr="0068623C" w:rsidRDefault="000C0280" w:rsidP="000C0280">
            <w:pPr>
              <w:spacing w:before="20" w:after="20" w:line="240" w:lineRule="auto"/>
              <w:jc w:val="both"/>
              <w:rPr>
                <w:rFonts w:eastAsia="Times New Roman" w:cs="Arial"/>
                <w:sz w:val="20"/>
                <w:szCs w:val="20"/>
                <w:lang w:eastAsia="pt-BR"/>
              </w:rPr>
            </w:pPr>
            <w:r w:rsidRPr="0068623C">
              <w:rPr>
                <w:rFonts w:eastAsia="Times New Roman" w:cs="Arial"/>
                <w:sz w:val="20"/>
                <w:szCs w:val="20"/>
                <w:lang w:eastAsia="pt-BR"/>
              </w:rPr>
              <w:t>Meta 4.1. Ter todas as outorgas e licenças ambientais da infraestrutura existente relacionadas ao esgotamento sanitário regularizadas.</w:t>
            </w:r>
          </w:p>
          <w:p w:rsidR="000C0280" w:rsidRPr="0068623C" w:rsidRDefault="000C0280" w:rsidP="000C0280">
            <w:pPr>
              <w:spacing w:before="20" w:after="20" w:line="240" w:lineRule="auto"/>
              <w:jc w:val="both"/>
              <w:rPr>
                <w:rFonts w:cs="Arial"/>
                <w:bCs/>
                <w:sz w:val="20"/>
                <w:szCs w:val="20"/>
              </w:rPr>
            </w:pPr>
            <w:r w:rsidRPr="0068623C">
              <w:rPr>
                <w:rFonts w:eastAsia="Times New Roman" w:cs="Arial"/>
                <w:sz w:val="20"/>
                <w:szCs w:val="20"/>
                <w:lang w:eastAsia="pt-BR"/>
              </w:rPr>
              <w:t>Meta 4.2. Ter todas as unidades passíveis de licenciamento e outorgas regularizadas e com acompanhamento do prazo de validade das licenças.</w:t>
            </w:r>
          </w:p>
        </w:tc>
        <w:tc>
          <w:tcPr>
            <w:tcW w:w="1200" w:type="pct"/>
            <w:shd w:val="clear" w:color="auto" w:fill="auto"/>
            <w:noWrap/>
            <w:vAlign w:val="center"/>
          </w:tcPr>
          <w:p w:rsidR="000C0280" w:rsidRPr="0068623C" w:rsidRDefault="000C0280" w:rsidP="000C0280">
            <w:pPr>
              <w:spacing w:before="20" w:after="20" w:line="240" w:lineRule="auto"/>
              <w:jc w:val="both"/>
              <w:rPr>
                <w:rFonts w:cs="Arial"/>
                <w:bCs/>
                <w:sz w:val="20"/>
                <w:szCs w:val="20"/>
              </w:rPr>
            </w:pPr>
          </w:p>
        </w:tc>
        <w:tc>
          <w:tcPr>
            <w:tcW w:w="1178" w:type="pct"/>
            <w:shd w:val="clear" w:color="auto" w:fill="auto"/>
            <w:noWrap/>
            <w:vAlign w:val="center"/>
          </w:tcPr>
          <w:p w:rsidR="000C0280" w:rsidRPr="0068623C" w:rsidRDefault="000C0280" w:rsidP="000C0280">
            <w:pPr>
              <w:spacing w:before="20" w:after="20" w:line="240" w:lineRule="auto"/>
              <w:jc w:val="both"/>
              <w:rPr>
                <w:rFonts w:cs="Arial"/>
                <w:bCs/>
                <w:sz w:val="20"/>
                <w:szCs w:val="20"/>
              </w:rPr>
            </w:pPr>
            <w:r w:rsidRPr="0068623C">
              <w:rPr>
                <w:rFonts w:cs="Arial"/>
                <w:bCs/>
                <w:sz w:val="20"/>
                <w:szCs w:val="20"/>
              </w:rPr>
              <w:t xml:space="preserve">Meta </w:t>
            </w:r>
            <w:r w:rsidRPr="0068623C">
              <w:rPr>
                <w:rFonts w:cs="Arial"/>
                <w:sz w:val="20"/>
                <w:szCs w:val="20"/>
                <w:lang w:eastAsia="pt-BR"/>
              </w:rPr>
              <w:t>4.3 Ter a garantia do acompanhamento do prazo de validade das licenças.</w:t>
            </w:r>
          </w:p>
        </w:tc>
      </w:tr>
    </w:tbl>
    <w:p w:rsidR="000C0280" w:rsidRPr="0068623C" w:rsidRDefault="000C0280" w:rsidP="000C0280">
      <w:pPr>
        <w:rPr>
          <w:sz w:val="2"/>
          <w:szCs w:val="2"/>
          <w:lang w:eastAsia="x-none"/>
        </w:rPr>
      </w:pPr>
    </w:p>
    <w:tbl>
      <w:tblPr>
        <w:tblW w:w="14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1"/>
        <w:gridCol w:w="7267"/>
        <w:gridCol w:w="1807"/>
        <w:gridCol w:w="1712"/>
        <w:gridCol w:w="2956"/>
      </w:tblGrid>
      <w:tr w:rsidR="000C0280" w:rsidRPr="0068623C" w:rsidTr="000C0280">
        <w:trPr>
          <w:trHeight w:val="20"/>
          <w:tblHeader/>
          <w:jc w:val="center"/>
        </w:trPr>
        <w:tc>
          <w:tcPr>
            <w:tcW w:w="1041" w:type="dxa"/>
            <w:shd w:val="clear" w:color="000000" w:fill="C0C0C0"/>
            <w:vAlign w:val="center"/>
          </w:tcPr>
          <w:p w:rsidR="000C0280" w:rsidRPr="0068623C" w:rsidRDefault="000C0280" w:rsidP="000C0280">
            <w:pPr>
              <w:spacing w:before="20" w:after="20"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CÓDIGO</w:t>
            </w:r>
          </w:p>
          <w:p w:rsidR="000C0280" w:rsidRPr="0068623C" w:rsidRDefault="000C0280" w:rsidP="000C0280">
            <w:pPr>
              <w:spacing w:before="20" w:after="20"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(s/o/m/a)*</w:t>
            </w:r>
          </w:p>
        </w:tc>
        <w:tc>
          <w:tcPr>
            <w:tcW w:w="7267" w:type="dxa"/>
            <w:shd w:val="clear" w:color="000000" w:fill="C0C0C0"/>
            <w:vAlign w:val="center"/>
          </w:tcPr>
          <w:p w:rsidR="000C0280" w:rsidRPr="0068623C" w:rsidRDefault="000C0280" w:rsidP="000C0280">
            <w:pPr>
              <w:spacing w:before="20" w:after="20"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DESCRIÇÃO</w:t>
            </w:r>
          </w:p>
        </w:tc>
        <w:tc>
          <w:tcPr>
            <w:tcW w:w="1807" w:type="dxa"/>
            <w:shd w:val="clear" w:color="000000" w:fill="C0C0C0"/>
          </w:tcPr>
          <w:p w:rsidR="000C0280" w:rsidRPr="0068623C" w:rsidRDefault="000C0280" w:rsidP="000C0280">
            <w:pPr>
              <w:spacing w:line="240" w:lineRule="auto"/>
              <w:ind w:firstLine="72"/>
              <w:jc w:val="center"/>
              <w:rPr>
                <w:rFonts w:eastAsia="Times New Roman" w:cs="Arial"/>
                <w:b/>
                <w:bCs/>
                <w:sz w:val="20"/>
                <w:szCs w:val="20"/>
                <w:lang w:eastAsia="pt-BR"/>
              </w:rPr>
            </w:pPr>
            <w:r w:rsidRPr="0068623C">
              <w:rPr>
                <w:rFonts w:eastAsia="Times New Roman" w:cs="Arial"/>
                <w:b/>
                <w:bCs/>
                <w:sz w:val="20"/>
                <w:szCs w:val="20"/>
                <w:lang w:eastAsia="pt-BR"/>
              </w:rPr>
              <w:t>Período de desenvolvimento da ação</w:t>
            </w:r>
          </w:p>
          <w:p w:rsidR="000C0280" w:rsidRPr="0068623C" w:rsidRDefault="000C0280" w:rsidP="000C0280">
            <w:pPr>
              <w:spacing w:before="20" w:after="20"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(ano)</w:t>
            </w:r>
          </w:p>
        </w:tc>
        <w:tc>
          <w:tcPr>
            <w:tcW w:w="1712" w:type="dxa"/>
            <w:shd w:val="clear" w:color="000000" w:fill="C0C0C0"/>
            <w:vAlign w:val="center"/>
          </w:tcPr>
          <w:p w:rsidR="000C0280" w:rsidRPr="0068623C" w:rsidRDefault="000C0280" w:rsidP="000C0280">
            <w:pPr>
              <w:spacing w:line="240" w:lineRule="auto"/>
              <w:ind w:left="64" w:firstLine="8"/>
              <w:jc w:val="center"/>
              <w:rPr>
                <w:rFonts w:eastAsia="Times New Roman" w:cs="Arial"/>
                <w:b/>
                <w:bCs/>
                <w:sz w:val="20"/>
                <w:szCs w:val="20"/>
                <w:lang w:eastAsia="pt-BR"/>
              </w:rPr>
            </w:pPr>
            <w:r w:rsidRPr="0068623C">
              <w:rPr>
                <w:rFonts w:eastAsia="Times New Roman" w:cs="Arial"/>
                <w:b/>
                <w:bCs/>
                <w:sz w:val="20"/>
                <w:szCs w:val="20"/>
                <w:lang w:eastAsia="pt-BR"/>
              </w:rPr>
              <w:t>Custo total na moeda de 2017</w:t>
            </w:r>
          </w:p>
          <w:p w:rsidR="000C0280" w:rsidRPr="0068623C" w:rsidRDefault="000C0280" w:rsidP="000C0280">
            <w:pPr>
              <w:spacing w:before="20" w:after="20"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(R$)</w:t>
            </w:r>
          </w:p>
        </w:tc>
        <w:tc>
          <w:tcPr>
            <w:tcW w:w="2956" w:type="dxa"/>
            <w:shd w:val="clear" w:color="000000" w:fill="C0C0C0"/>
            <w:vAlign w:val="center"/>
          </w:tcPr>
          <w:p w:rsidR="000C0280" w:rsidRPr="0068623C" w:rsidRDefault="000C0280" w:rsidP="000C0280">
            <w:pPr>
              <w:spacing w:line="240" w:lineRule="auto"/>
              <w:ind w:left="64" w:firstLine="8"/>
              <w:jc w:val="center"/>
              <w:rPr>
                <w:rFonts w:eastAsia="Times New Roman" w:cs="Arial"/>
                <w:b/>
                <w:bCs/>
                <w:sz w:val="20"/>
                <w:szCs w:val="20"/>
                <w:lang w:eastAsia="pt-BR"/>
              </w:rPr>
            </w:pPr>
            <w:r w:rsidRPr="0068623C">
              <w:rPr>
                <w:rFonts w:eastAsia="Times New Roman" w:cs="Arial"/>
                <w:b/>
                <w:bCs/>
                <w:sz w:val="20"/>
                <w:szCs w:val="20"/>
                <w:lang w:eastAsia="pt-BR"/>
              </w:rPr>
              <w:t>Responsável pela ação</w:t>
            </w:r>
          </w:p>
        </w:tc>
      </w:tr>
      <w:tr w:rsidR="000C0280" w:rsidRPr="0068623C" w:rsidTr="000C0280">
        <w:trPr>
          <w:trHeight w:val="850"/>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t>2.4.1.37</w:t>
            </w:r>
          </w:p>
        </w:tc>
        <w:tc>
          <w:tcPr>
            <w:tcW w:w="7267"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 xml:space="preserve">Realizar levantamento das outorgas e licenças já obtidas para a operação dos atuais sistemas de esgotamento sanitário. </w:t>
            </w:r>
          </w:p>
        </w:tc>
        <w:tc>
          <w:tcPr>
            <w:tcW w:w="1807"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1º-8º</w:t>
            </w:r>
          </w:p>
        </w:tc>
        <w:tc>
          <w:tcPr>
            <w:tcW w:w="1712"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2.1.1.01</w:t>
            </w:r>
          </w:p>
        </w:tc>
        <w:tc>
          <w:tcPr>
            <w:tcW w:w="2956" w:type="dxa"/>
            <w:shd w:val="clear" w:color="auto" w:fill="auto"/>
          </w:tcPr>
          <w:p w:rsidR="000C0280" w:rsidRPr="00AF4459" w:rsidRDefault="000C0280" w:rsidP="000C0280">
            <w:pPr>
              <w:spacing w:line="240" w:lineRule="auto"/>
              <w:jc w:val="center"/>
              <w:rPr>
                <w:rFonts w:cs="Arial"/>
                <w:sz w:val="20"/>
                <w:szCs w:val="20"/>
                <w:lang w:eastAsia="pt-BR"/>
              </w:rPr>
            </w:pPr>
            <w:r w:rsidRPr="006A6ABA">
              <w:rPr>
                <w:rFonts w:cs="Arial"/>
                <w:sz w:val="20"/>
                <w:szCs w:val="20"/>
                <w:lang w:eastAsia="pt-BR"/>
              </w:rPr>
              <w:t>Prefeitura Municipal / Departamento de Obras e Serviços Urbanos</w:t>
            </w:r>
          </w:p>
        </w:tc>
      </w:tr>
      <w:tr w:rsidR="000C0280" w:rsidRPr="0068623C" w:rsidTr="000C0280">
        <w:trPr>
          <w:trHeight w:val="850"/>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t>2.4.1.38</w:t>
            </w:r>
          </w:p>
        </w:tc>
        <w:tc>
          <w:tcPr>
            <w:tcW w:w="7267"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Verificar a necessidade de obtenção ou renovação de licenças da operação dos sistemas de esgotamento sanitário existentes.</w:t>
            </w:r>
          </w:p>
        </w:tc>
        <w:tc>
          <w:tcPr>
            <w:tcW w:w="1807"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1º-8º</w:t>
            </w:r>
          </w:p>
        </w:tc>
        <w:tc>
          <w:tcPr>
            <w:tcW w:w="1712"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2.1.1.01</w:t>
            </w:r>
          </w:p>
        </w:tc>
        <w:tc>
          <w:tcPr>
            <w:tcW w:w="2956" w:type="dxa"/>
            <w:shd w:val="clear" w:color="auto" w:fill="auto"/>
          </w:tcPr>
          <w:p w:rsidR="000C0280" w:rsidRPr="00AF4459" w:rsidRDefault="000C0280" w:rsidP="000C0280">
            <w:pPr>
              <w:spacing w:line="240" w:lineRule="auto"/>
              <w:jc w:val="center"/>
              <w:rPr>
                <w:rFonts w:cs="Arial"/>
                <w:sz w:val="20"/>
                <w:szCs w:val="20"/>
                <w:lang w:eastAsia="pt-BR"/>
              </w:rPr>
            </w:pPr>
            <w:r w:rsidRPr="006A6ABA">
              <w:rPr>
                <w:rFonts w:cs="Arial"/>
                <w:sz w:val="20"/>
                <w:szCs w:val="20"/>
                <w:lang w:eastAsia="pt-BR"/>
              </w:rPr>
              <w:t>Prefeitura Municipal / Departamento de Obras e Serviços Urbanos</w:t>
            </w:r>
          </w:p>
        </w:tc>
      </w:tr>
      <w:tr w:rsidR="000C0280" w:rsidRPr="0068623C" w:rsidTr="000C0280">
        <w:trPr>
          <w:trHeight w:val="850"/>
          <w:jc w:val="center"/>
        </w:trPr>
        <w:tc>
          <w:tcPr>
            <w:tcW w:w="1041" w:type="dxa"/>
            <w:shd w:val="clear" w:color="auto" w:fill="auto"/>
            <w:vAlign w:val="center"/>
          </w:tcPr>
          <w:p w:rsidR="000C0280" w:rsidRPr="0068623C" w:rsidRDefault="000C0280" w:rsidP="000C0280">
            <w:pPr>
              <w:spacing w:before="20" w:after="20" w:line="240" w:lineRule="auto"/>
              <w:jc w:val="center"/>
              <w:rPr>
                <w:rFonts w:cs="Arial"/>
                <w:sz w:val="20"/>
                <w:szCs w:val="20"/>
              </w:rPr>
            </w:pPr>
            <w:r w:rsidRPr="0068623C">
              <w:rPr>
                <w:rFonts w:eastAsia="Times New Roman" w:cs="Arial"/>
                <w:sz w:val="20"/>
                <w:szCs w:val="20"/>
                <w:lang w:eastAsia="pt-BR"/>
              </w:rPr>
              <w:t>2.4.1.39</w:t>
            </w:r>
          </w:p>
        </w:tc>
        <w:tc>
          <w:tcPr>
            <w:tcW w:w="7267"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Realizar estudos técnicos necessários para a obtenção das Portarias de Outorga de Direito de Uso dos Recursos Hídricos e licenciamento das unidades do SES encontradas em situação irregular, segundo levantamento inicial, e dar andamento aos trâmites necessários.</w:t>
            </w:r>
          </w:p>
        </w:tc>
        <w:tc>
          <w:tcPr>
            <w:tcW w:w="1807"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2º-8º</w:t>
            </w:r>
          </w:p>
        </w:tc>
        <w:tc>
          <w:tcPr>
            <w:tcW w:w="1712"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2.1.1.01</w:t>
            </w:r>
          </w:p>
        </w:tc>
        <w:tc>
          <w:tcPr>
            <w:tcW w:w="2956" w:type="dxa"/>
            <w:shd w:val="clear" w:color="auto" w:fill="auto"/>
          </w:tcPr>
          <w:p w:rsidR="000C0280" w:rsidRPr="00AF4459" w:rsidRDefault="000C0280" w:rsidP="000C0280">
            <w:pPr>
              <w:spacing w:line="240" w:lineRule="auto"/>
              <w:jc w:val="center"/>
              <w:rPr>
                <w:rFonts w:cs="Arial"/>
                <w:sz w:val="20"/>
                <w:szCs w:val="20"/>
                <w:lang w:eastAsia="pt-BR"/>
              </w:rPr>
            </w:pPr>
            <w:r w:rsidRPr="006A6ABA">
              <w:rPr>
                <w:rFonts w:cs="Arial"/>
                <w:sz w:val="20"/>
                <w:szCs w:val="20"/>
                <w:lang w:eastAsia="pt-BR"/>
              </w:rPr>
              <w:t>Prefeitura Municipal / Departamento de Obras e Serviços Urbanos</w:t>
            </w:r>
          </w:p>
        </w:tc>
      </w:tr>
      <w:tr w:rsidR="000C0280" w:rsidRPr="0068623C" w:rsidTr="000C0280">
        <w:trPr>
          <w:trHeight w:val="850"/>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t>2.4.2.40</w:t>
            </w:r>
          </w:p>
        </w:tc>
        <w:tc>
          <w:tcPr>
            <w:tcW w:w="7267"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Realizar análises laboratoriais para o monitoramento da eficiência da ETE, com o objetivo de acompanhar o sistema e de obter as licenças requeridas.</w:t>
            </w:r>
          </w:p>
        </w:tc>
        <w:tc>
          <w:tcPr>
            <w:tcW w:w="1807"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4º-8º</w:t>
            </w:r>
          </w:p>
        </w:tc>
        <w:tc>
          <w:tcPr>
            <w:tcW w:w="1712" w:type="dxa"/>
            <w:shd w:val="clear" w:color="auto" w:fill="auto"/>
            <w:vAlign w:val="center"/>
          </w:tcPr>
          <w:p w:rsidR="000C0280" w:rsidRPr="0068623C" w:rsidRDefault="000C0280" w:rsidP="000C0280">
            <w:pPr>
              <w:spacing w:line="240" w:lineRule="auto"/>
              <w:jc w:val="right"/>
              <w:rPr>
                <w:sz w:val="20"/>
                <w:szCs w:val="20"/>
              </w:rPr>
            </w:pPr>
            <w:r w:rsidRPr="0068623C">
              <w:rPr>
                <w:sz w:val="20"/>
                <w:szCs w:val="20"/>
              </w:rPr>
              <w:t>13.000,00</w:t>
            </w:r>
          </w:p>
        </w:tc>
        <w:tc>
          <w:tcPr>
            <w:tcW w:w="2956" w:type="dxa"/>
            <w:shd w:val="clear" w:color="auto" w:fill="auto"/>
          </w:tcPr>
          <w:p w:rsidR="000C0280" w:rsidRPr="00AF4459" w:rsidRDefault="000C0280" w:rsidP="000C0280">
            <w:pPr>
              <w:spacing w:line="240" w:lineRule="auto"/>
              <w:jc w:val="center"/>
              <w:rPr>
                <w:rFonts w:cs="Arial"/>
                <w:sz w:val="20"/>
                <w:szCs w:val="20"/>
                <w:lang w:eastAsia="pt-BR"/>
              </w:rPr>
            </w:pPr>
            <w:r w:rsidRPr="006A6ABA">
              <w:rPr>
                <w:rFonts w:cs="Arial"/>
                <w:sz w:val="20"/>
                <w:szCs w:val="20"/>
                <w:lang w:eastAsia="pt-BR"/>
              </w:rPr>
              <w:t>Prefeitura Municipal / Departamento de Obras e Serviços Urbanos</w:t>
            </w:r>
          </w:p>
        </w:tc>
      </w:tr>
      <w:tr w:rsidR="000C0280" w:rsidRPr="0068623C" w:rsidTr="000C0280">
        <w:trPr>
          <w:trHeight w:val="850"/>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lastRenderedPageBreak/>
              <w:t>2.4.2.41</w:t>
            </w:r>
          </w:p>
        </w:tc>
        <w:tc>
          <w:tcPr>
            <w:tcW w:w="7267"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Realizar análises laboratoriais para o monitoramento da qualidade dos corpos receptores, com o objetivo de acompanhar o sistema e de obter as licenças requeridas.</w:t>
            </w:r>
          </w:p>
        </w:tc>
        <w:tc>
          <w:tcPr>
            <w:tcW w:w="1807"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4º-8º</w:t>
            </w:r>
          </w:p>
        </w:tc>
        <w:tc>
          <w:tcPr>
            <w:tcW w:w="1712" w:type="dxa"/>
            <w:shd w:val="clear" w:color="auto" w:fill="auto"/>
            <w:vAlign w:val="center"/>
          </w:tcPr>
          <w:p w:rsidR="000C0280" w:rsidRPr="0068623C" w:rsidRDefault="000C0280" w:rsidP="000C0280">
            <w:pPr>
              <w:spacing w:line="240" w:lineRule="auto"/>
              <w:jc w:val="right"/>
              <w:rPr>
                <w:sz w:val="20"/>
                <w:szCs w:val="20"/>
              </w:rPr>
            </w:pPr>
            <w:r w:rsidRPr="0068623C">
              <w:rPr>
                <w:sz w:val="20"/>
                <w:szCs w:val="20"/>
              </w:rPr>
              <w:t>22.000,00</w:t>
            </w:r>
          </w:p>
        </w:tc>
        <w:tc>
          <w:tcPr>
            <w:tcW w:w="2956" w:type="dxa"/>
            <w:shd w:val="clear" w:color="auto" w:fill="auto"/>
          </w:tcPr>
          <w:p w:rsidR="000C0280" w:rsidRPr="00AF4459" w:rsidRDefault="000C0280" w:rsidP="000C0280">
            <w:pPr>
              <w:spacing w:line="240" w:lineRule="auto"/>
              <w:jc w:val="center"/>
              <w:rPr>
                <w:rFonts w:cs="Arial"/>
                <w:sz w:val="20"/>
                <w:szCs w:val="20"/>
                <w:lang w:eastAsia="pt-BR"/>
              </w:rPr>
            </w:pPr>
            <w:r w:rsidRPr="006A6ABA">
              <w:rPr>
                <w:rFonts w:cs="Arial"/>
                <w:sz w:val="20"/>
                <w:szCs w:val="20"/>
                <w:lang w:eastAsia="pt-BR"/>
              </w:rPr>
              <w:t>Prefeitura Municipal / Departamento de Obras e Serviços Urbanos</w:t>
            </w:r>
          </w:p>
        </w:tc>
      </w:tr>
      <w:tr w:rsidR="000C0280" w:rsidRPr="0068623C" w:rsidTr="000C0280">
        <w:trPr>
          <w:trHeight w:val="20"/>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t>2.4.3.42</w:t>
            </w:r>
          </w:p>
        </w:tc>
        <w:tc>
          <w:tcPr>
            <w:tcW w:w="7267"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 xml:space="preserve">Verificar continuamente os prazos de validade e promover estudos complementares para manutenção das Portarias de Outorga de Direito de Uso dos Recursos Hídricos e das Licenças Ambientais do sistema. </w:t>
            </w:r>
          </w:p>
        </w:tc>
        <w:tc>
          <w:tcPr>
            <w:tcW w:w="1807"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1º-20º</w:t>
            </w:r>
          </w:p>
        </w:tc>
        <w:tc>
          <w:tcPr>
            <w:tcW w:w="1712"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2.1.1.01</w:t>
            </w:r>
          </w:p>
        </w:tc>
        <w:tc>
          <w:tcPr>
            <w:tcW w:w="2956" w:type="dxa"/>
            <w:shd w:val="clear" w:color="auto" w:fill="auto"/>
          </w:tcPr>
          <w:p w:rsidR="000C0280" w:rsidRPr="00AF4459" w:rsidRDefault="000C0280" w:rsidP="000C0280">
            <w:pPr>
              <w:spacing w:line="240" w:lineRule="auto"/>
              <w:jc w:val="center"/>
              <w:rPr>
                <w:rFonts w:cs="Arial"/>
                <w:sz w:val="20"/>
                <w:szCs w:val="20"/>
                <w:lang w:eastAsia="pt-BR"/>
              </w:rPr>
            </w:pPr>
            <w:r w:rsidRPr="006A6ABA">
              <w:rPr>
                <w:rFonts w:cs="Arial"/>
                <w:sz w:val="20"/>
                <w:szCs w:val="20"/>
                <w:lang w:eastAsia="pt-BR"/>
              </w:rPr>
              <w:t>Prefeitura Municipal / Departamento de Obras e Serviços Urbanos</w:t>
            </w:r>
          </w:p>
        </w:tc>
      </w:tr>
      <w:tr w:rsidR="000C0280" w:rsidRPr="0068623C" w:rsidTr="000C0280">
        <w:trPr>
          <w:trHeight w:val="20"/>
          <w:jc w:val="center"/>
        </w:trPr>
        <w:tc>
          <w:tcPr>
            <w:tcW w:w="1041" w:type="dxa"/>
            <w:shd w:val="clear" w:color="auto" w:fill="auto"/>
            <w:vAlign w:val="center"/>
          </w:tcPr>
          <w:p w:rsidR="000C0280" w:rsidRPr="0068623C" w:rsidRDefault="000C0280" w:rsidP="000C0280">
            <w:pPr>
              <w:spacing w:before="20" w:after="20" w:line="240" w:lineRule="auto"/>
              <w:contextualSpacing/>
              <w:jc w:val="center"/>
              <w:rPr>
                <w:rFonts w:eastAsia="Times New Roman" w:cs="Arial"/>
                <w:sz w:val="20"/>
                <w:szCs w:val="20"/>
                <w:lang w:eastAsia="pt-BR"/>
              </w:rPr>
            </w:pPr>
            <w:r w:rsidRPr="0068623C">
              <w:rPr>
                <w:rFonts w:eastAsia="Times New Roman" w:cs="Arial"/>
                <w:sz w:val="20"/>
                <w:szCs w:val="20"/>
                <w:lang w:eastAsia="pt-BR"/>
              </w:rPr>
              <w:t>2.4.3.43</w:t>
            </w:r>
          </w:p>
        </w:tc>
        <w:tc>
          <w:tcPr>
            <w:tcW w:w="7267"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Elaborar estudo para avaliação da legislação municipal, com o propósito de identificar lacunas ainda não regulamentadas, inconsistências internas e outras complementações necessárias.</w:t>
            </w:r>
          </w:p>
        </w:tc>
        <w:tc>
          <w:tcPr>
            <w:tcW w:w="1807"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1º-3º</w:t>
            </w:r>
          </w:p>
        </w:tc>
        <w:tc>
          <w:tcPr>
            <w:tcW w:w="1712"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2.3.4.36</w:t>
            </w:r>
          </w:p>
        </w:tc>
        <w:tc>
          <w:tcPr>
            <w:tcW w:w="2956" w:type="dxa"/>
            <w:shd w:val="clear" w:color="auto" w:fill="auto"/>
          </w:tcPr>
          <w:p w:rsidR="000C0280" w:rsidRPr="00AF4459" w:rsidRDefault="000C0280" w:rsidP="000C0280">
            <w:pPr>
              <w:spacing w:line="240" w:lineRule="auto"/>
              <w:jc w:val="center"/>
              <w:rPr>
                <w:rFonts w:cs="Arial"/>
                <w:sz w:val="20"/>
                <w:szCs w:val="20"/>
                <w:lang w:eastAsia="pt-BR"/>
              </w:rPr>
            </w:pPr>
            <w:r w:rsidRPr="006A6ABA">
              <w:rPr>
                <w:rFonts w:cs="Arial"/>
                <w:sz w:val="20"/>
                <w:szCs w:val="20"/>
                <w:lang w:eastAsia="pt-BR"/>
              </w:rPr>
              <w:t>Prefeitura Municipal / Departamento de Obras e Serviços Urbanos</w:t>
            </w:r>
          </w:p>
        </w:tc>
      </w:tr>
    </w:tbl>
    <w:p w:rsidR="000C0280" w:rsidRPr="0068623C" w:rsidRDefault="000C0280" w:rsidP="000C0280">
      <w:pPr>
        <w:pStyle w:val="Fonte"/>
      </w:pPr>
      <w:r>
        <w:t>*</w:t>
      </w:r>
      <w:r w:rsidRPr="0068623C">
        <w:t>(s/o/m/a) = nº do setor / nº do objetivo / nº da meta / nº da ação.</w:t>
      </w: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Default="000C0280" w:rsidP="000C0280">
      <w:pPr>
        <w:pStyle w:val="Fonte"/>
      </w:pPr>
    </w:p>
    <w:p w:rsidR="000C0280" w:rsidRPr="0068623C" w:rsidRDefault="000C0280" w:rsidP="000C0280">
      <w:pPr>
        <w:pStyle w:val="Fonte"/>
      </w:pPr>
    </w:p>
    <w:p w:rsidR="000C0280" w:rsidRPr="0068623C" w:rsidRDefault="000C0280" w:rsidP="000C0280">
      <w:pPr>
        <w:pStyle w:val="Legenda"/>
      </w:pPr>
      <w:bookmarkStart w:id="809" w:name="_Ref503280333"/>
      <w:bookmarkStart w:id="810" w:name="_Toc505788345"/>
      <w:bookmarkStart w:id="811" w:name="_Toc509935846"/>
      <w:r w:rsidRPr="0068623C">
        <w:lastRenderedPageBreak/>
        <w:t xml:space="preserve">Quadro </w:t>
      </w:r>
      <w:r w:rsidR="000A1C78">
        <w:fldChar w:fldCharType="begin"/>
      </w:r>
      <w:r w:rsidR="000A1C78">
        <w:instrText xml:space="preserve"> SEQ Quadro \* ARABIC </w:instrText>
      </w:r>
      <w:r w:rsidR="000A1C78">
        <w:fldChar w:fldCharType="separate"/>
      </w:r>
      <w:r w:rsidR="001B481B">
        <w:rPr>
          <w:noProof/>
        </w:rPr>
        <w:t>69</w:t>
      </w:r>
      <w:r w:rsidR="000A1C78">
        <w:rPr>
          <w:noProof/>
        </w:rPr>
        <w:fldChar w:fldCharType="end"/>
      </w:r>
      <w:bookmarkEnd w:id="809"/>
      <w:r w:rsidRPr="0068623C">
        <w:t xml:space="preserve"> - Programas e ações propostos para o setor de esgotamento sanitário - Objetivo 5</w:t>
      </w:r>
      <w:bookmarkEnd w:id="810"/>
      <w:bookmarkEnd w:id="811"/>
    </w:p>
    <w:tbl>
      <w:tblPr>
        <w:tblW w:w="1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62"/>
        <w:gridCol w:w="103"/>
        <w:gridCol w:w="180"/>
        <w:gridCol w:w="2230"/>
        <w:gridCol w:w="1700"/>
        <w:gridCol w:w="8555"/>
      </w:tblGrid>
      <w:tr w:rsidR="000C0280" w:rsidRPr="0068623C" w:rsidTr="000C0280">
        <w:trPr>
          <w:trHeight w:val="20"/>
          <w:jc w:val="center"/>
        </w:trPr>
        <w:tc>
          <w:tcPr>
            <w:tcW w:w="666" w:type="pct"/>
            <w:shd w:val="clear" w:color="000000" w:fill="C0C0C0"/>
            <w:noWrap/>
            <w:vAlign w:val="center"/>
            <w:hideMark/>
          </w:tcPr>
          <w:p w:rsidR="000C0280" w:rsidRPr="0068623C" w:rsidRDefault="000C0280" w:rsidP="000C0280">
            <w:pPr>
              <w:spacing w:before="20" w:after="20" w:line="240" w:lineRule="auto"/>
              <w:contextualSpacing/>
              <w:rPr>
                <w:rFonts w:eastAsia="Times New Roman" w:cs="Arial"/>
                <w:b/>
                <w:bCs/>
                <w:sz w:val="20"/>
                <w:szCs w:val="20"/>
                <w:lang w:eastAsia="pt-BR"/>
              </w:rPr>
            </w:pPr>
            <w:r w:rsidRPr="0068623C">
              <w:rPr>
                <w:rFonts w:eastAsia="Times New Roman" w:cs="Arial"/>
                <w:b/>
                <w:bCs/>
                <w:sz w:val="20"/>
                <w:szCs w:val="20"/>
                <w:lang w:eastAsia="pt-BR"/>
              </w:rPr>
              <w:t>SETOR</w:t>
            </w:r>
          </w:p>
        </w:tc>
        <w:tc>
          <w:tcPr>
            <w:tcW w:w="96" w:type="pct"/>
            <w:gridSpan w:val="2"/>
            <w:shd w:val="clear" w:color="auto" w:fill="auto"/>
            <w:noWrap/>
            <w:vAlign w:val="center"/>
            <w:hideMark/>
          </w:tcPr>
          <w:p w:rsidR="000C0280" w:rsidRPr="0068623C" w:rsidRDefault="000C0280" w:rsidP="000C0280">
            <w:pPr>
              <w:spacing w:before="20" w:after="20" w:line="240" w:lineRule="auto"/>
              <w:contextualSpacing/>
              <w:rPr>
                <w:rFonts w:eastAsia="Times New Roman" w:cs="Arial"/>
                <w:sz w:val="20"/>
                <w:szCs w:val="20"/>
                <w:lang w:eastAsia="pt-BR"/>
              </w:rPr>
            </w:pPr>
            <w:r w:rsidRPr="0068623C">
              <w:rPr>
                <w:rFonts w:eastAsia="Times New Roman" w:cs="Arial"/>
                <w:sz w:val="20"/>
                <w:szCs w:val="20"/>
                <w:lang w:eastAsia="pt-BR"/>
              </w:rPr>
              <w:t>2</w:t>
            </w:r>
          </w:p>
        </w:tc>
        <w:tc>
          <w:tcPr>
            <w:tcW w:w="4238" w:type="pct"/>
            <w:gridSpan w:val="3"/>
            <w:shd w:val="clear" w:color="auto" w:fill="auto"/>
            <w:noWrap/>
            <w:vAlign w:val="center"/>
            <w:hideMark/>
          </w:tcPr>
          <w:p w:rsidR="000C0280" w:rsidRPr="0068623C" w:rsidRDefault="000C0280" w:rsidP="000C0280">
            <w:pPr>
              <w:spacing w:before="20" w:after="20" w:line="240" w:lineRule="auto"/>
              <w:contextualSpacing/>
              <w:jc w:val="both"/>
              <w:rPr>
                <w:rFonts w:eastAsia="Times New Roman" w:cs="Arial"/>
                <w:sz w:val="20"/>
                <w:szCs w:val="20"/>
                <w:lang w:eastAsia="pt-BR"/>
              </w:rPr>
            </w:pPr>
            <w:r w:rsidRPr="0068623C">
              <w:rPr>
                <w:rFonts w:eastAsia="Times New Roman" w:cs="Arial"/>
                <w:sz w:val="20"/>
                <w:szCs w:val="20"/>
                <w:lang w:eastAsia="pt-BR"/>
              </w:rPr>
              <w:t>Esgotamento Sanitário.</w:t>
            </w:r>
          </w:p>
        </w:tc>
      </w:tr>
      <w:tr w:rsidR="000C0280" w:rsidRPr="0068623C" w:rsidTr="000C0280">
        <w:trPr>
          <w:trHeight w:val="20"/>
          <w:jc w:val="center"/>
        </w:trPr>
        <w:tc>
          <w:tcPr>
            <w:tcW w:w="666" w:type="pct"/>
            <w:shd w:val="clear" w:color="000000" w:fill="C0C0C0"/>
            <w:vAlign w:val="center"/>
            <w:hideMark/>
          </w:tcPr>
          <w:p w:rsidR="000C0280" w:rsidRPr="0068623C" w:rsidRDefault="000C0280" w:rsidP="000C0280">
            <w:pPr>
              <w:spacing w:before="20" w:after="20" w:line="240" w:lineRule="auto"/>
              <w:contextualSpacing/>
              <w:rPr>
                <w:rFonts w:eastAsia="Times New Roman" w:cs="Arial"/>
                <w:b/>
                <w:bCs/>
                <w:sz w:val="20"/>
                <w:szCs w:val="20"/>
                <w:lang w:eastAsia="pt-BR"/>
              </w:rPr>
            </w:pPr>
            <w:r w:rsidRPr="0068623C">
              <w:rPr>
                <w:rFonts w:eastAsia="Times New Roman" w:cs="Arial"/>
                <w:b/>
                <w:bCs/>
                <w:sz w:val="20"/>
                <w:szCs w:val="20"/>
                <w:lang w:eastAsia="pt-BR"/>
              </w:rPr>
              <w:t>OBJETIVO</w:t>
            </w:r>
          </w:p>
        </w:tc>
        <w:tc>
          <w:tcPr>
            <w:tcW w:w="96" w:type="pct"/>
            <w:gridSpan w:val="2"/>
            <w:shd w:val="clear" w:color="auto" w:fill="auto"/>
            <w:vAlign w:val="center"/>
            <w:hideMark/>
          </w:tcPr>
          <w:p w:rsidR="000C0280" w:rsidRPr="0068623C" w:rsidRDefault="000C0280" w:rsidP="000C0280">
            <w:pPr>
              <w:spacing w:line="240" w:lineRule="auto"/>
              <w:rPr>
                <w:rFonts w:eastAsia="Times New Roman" w:cs="Arial"/>
                <w:sz w:val="20"/>
                <w:szCs w:val="20"/>
                <w:lang w:eastAsia="pt-BR"/>
              </w:rPr>
            </w:pPr>
            <w:r w:rsidRPr="0068623C">
              <w:rPr>
                <w:rFonts w:eastAsia="Times New Roman" w:cs="Arial"/>
                <w:sz w:val="20"/>
                <w:szCs w:val="20"/>
                <w:lang w:eastAsia="pt-BR"/>
              </w:rPr>
              <w:t>5</w:t>
            </w:r>
          </w:p>
        </w:tc>
        <w:tc>
          <w:tcPr>
            <w:tcW w:w="4238" w:type="pct"/>
            <w:gridSpan w:val="3"/>
            <w:shd w:val="clear" w:color="auto" w:fill="auto"/>
            <w:vAlign w:val="center"/>
            <w:hideMark/>
          </w:tcPr>
          <w:p w:rsidR="000C0280" w:rsidRPr="0068623C" w:rsidRDefault="000C0280" w:rsidP="000C0280">
            <w:pPr>
              <w:spacing w:line="240" w:lineRule="auto"/>
              <w:jc w:val="both"/>
              <w:rPr>
                <w:rFonts w:eastAsia="Times New Roman" w:cs="Arial"/>
                <w:sz w:val="20"/>
                <w:szCs w:val="20"/>
                <w:lang w:eastAsia="pt-BR"/>
              </w:rPr>
            </w:pPr>
            <w:r w:rsidRPr="0068623C">
              <w:rPr>
                <w:rFonts w:cs="Arial"/>
                <w:bCs/>
                <w:sz w:val="20"/>
                <w:szCs w:val="20"/>
              </w:rPr>
              <w:t>Instituir canais de comunicação e participação com a sociedade e promover ações continuadas em educação ambiental.</w:t>
            </w:r>
          </w:p>
        </w:tc>
      </w:tr>
      <w:tr w:rsidR="000C0280" w:rsidRPr="0068623C" w:rsidTr="000C0280">
        <w:trPr>
          <w:trHeight w:val="20"/>
          <w:jc w:val="center"/>
        </w:trPr>
        <w:tc>
          <w:tcPr>
            <w:tcW w:w="666" w:type="pct"/>
            <w:shd w:val="clear" w:color="000000" w:fill="C0C0C0"/>
            <w:vAlign w:val="center"/>
          </w:tcPr>
          <w:p w:rsidR="000C0280" w:rsidRPr="00884066" w:rsidRDefault="000C0280" w:rsidP="000C0280">
            <w:pPr>
              <w:spacing w:before="20" w:after="20" w:line="240" w:lineRule="auto"/>
              <w:contextualSpacing/>
              <w:rPr>
                <w:rFonts w:eastAsia="Times New Roman" w:cs="Arial"/>
                <w:b/>
                <w:bCs/>
                <w:sz w:val="20"/>
                <w:szCs w:val="20"/>
                <w:lang w:eastAsia="pt-BR"/>
              </w:rPr>
            </w:pPr>
            <w:r w:rsidRPr="00884066">
              <w:rPr>
                <w:rFonts w:eastAsia="Times New Roman" w:cs="Arial"/>
                <w:b/>
                <w:bCs/>
                <w:sz w:val="20"/>
                <w:szCs w:val="20"/>
                <w:lang w:eastAsia="pt-BR"/>
              </w:rPr>
              <w:t>INDICADOR DE MONITORAMENTO</w:t>
            </w:r>
          </w:p>
        </w:tc>
        <w:tc>
          <w:tcPr>
            <w:tcW w:w="4334" w:type="pct"/>
            <w:gridSpan w:val="5"/>
            <w:shd w:val="clear" w:color="auto" w:fill="auto"/>
            <w:vAlign w:val="center"/>
          </w:tcPr>
          <w:p w:rsidR="000C0280" w:rsidRPr="00884066" w:rsidRDefault="000C0280" w:rsidP="000C0280">
            <w:pPr>
              <w:spacing w:line="240" w:lineRule="auto"/>
              <w:jc w:val="both"/>
              <w:rPr>
                <w:rFonts w:cs="Arial"/>
                <w:bCs/>
                <w:sz w:val="20"/>
                <w:szCs w:val="20"/>
              </w:rPr>
            </w:pPr>
            <w:r w:rsidRPr="00884066">
              <w:rPr>
                <w:rFonts w:cs="Arial"/>
                <w:bCs/>
                <w:sz w:val="20"/>
                <w:szCs w:val="20"/>
              </w:rPr>
              <w:t xml:space="preserve">Índice de Respostas Satisfatórias </w:t>
            </w:r>
            <w:r>
              <w:rPr>
                <w:rFonts w:cs="Arial"/>
                <w:bCs/>
                <w:sz w:val="20"/>
                <w:szCs w:val="20"/>
              </w:rPr>
              <w:t>à</w:t>
            </w:r>
            <w:r w:rsidRPr="00884066">
              <w:rPr>
                <w:rFonts w:cs="Arial"/>
                <w:bCs/>
                <w:sz w:val="20"/>
                <w:szCs w:val="20"/>
              </w:rPr>
              <w:t xml:space="preserve"> Pesquisa de Satisfação.</w:t>
            </w:r>
          </w:p>
        </w:tc>
      </w:tr>
      <w:tr w:rsidR="000C0280" w:rsidRPr="0068623C" w:rsidTr="000C0280">
        <w:trPr>
          <w:trHeight w:val="20"/>
          <w:jc w:val="center"/>
        </w:trPr>
        <w:tc>
          <w:tcPr>
            <w:tcW w:w="5000" w:type="pct"/>
            <w:gridSpan w:val="6"/>
            <w:shd w:val="clear" w:color="000000" w:fill="C0C0C0"/>
            <w:noWrap/>
            <w:vAlign w:val="center"/>
            <w:hideMark/>
          </w:tcPr>
          <w:p w:rsidR="000C0280" w:rsidRPr="0068623C" w:rsidRDefault="000C0280" w:rsidP="000C0280">
            <w:pPr>
              <w:spacing w:before="20" w:after="20"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PRAZO DE ENTREGA DA META (ANOS)</w:t>
            </w:r>
          </w:p>
        </w:tc>
      </w:tr>
      <w:tr w:rsidR="000C0280" w:rsidRPr="0068623C" w:rsidTr="000C0280">
        <w:trPr>
          <w:trHeight w:val="20"/>
          <w:jc w:val="center"/>
        </w:trPr>
        <w:tc>
          <w:tcPr>
            <w:tcW w:w="701" w:type="pct"/>
            <w:gridSpan w:val="2"/>
            <w:shd w:val="clear" w:color="000000" w:fill="C0C0C0"/>
            <w:noWrap/>
            <w:vAlign w:val="center"/>
            <w:hideMark/>
          </w:tcPr>
          <w:p w:rsidR="000C0280" w:rsidRPr="0068623C" w:rsidRDefault="000C0280" w:rsidP="000C0280">
            <w:pPr>
              <w:spacing w:line="240" w:lineRule="auto"/>
              <w:jc w:val="center"/>
              <w:rPr>
                <w:rFonts w:eastAsia="Times New Roman" w:cs="Arial"/>
                <w:b/>
                <w:bCs/>
                <w:sz w:val="20"/>
                <w:szCs w:val="20"/>
                <w:lang w:eastAsia="pt-BR"/>
              </w:rPr>
            </w:pPr>
            <w:r w:rsidRPr="0068623C">
              <w:rPr>
                <w:rFonts w:eastAsia="Times New Roman" w:cs="Arial"/>
                <w:b/>
                <w:bCs/>
                <w:sz w:val="20"/>
                <w:szCs w:val="20"/>
                <w:lang w:eastAsia="pt-BR"/>
              </w:rPr>
              <w:t>IMEDIATO (0 a 3)</w:t>
            </w:r>
          </w:p>
        </w:tc>
        <w:tc>
          <w:tcPr>
            <w:tcW w:w="818" w:type="pct"/>
            <w:gridSpan w:val="2"/>
            <w:shd w:val="clear" w:color="000000" w:fill="C0C0C0"/>
            <w:noWrap/>
            <w:vAlign w:val="center"/>
            <w:hideMark/>
          </w:tcPr>
          <w:p w:rsidR="000C0280" w:rsidRPr="0068623C" w:rsidRDefault="000C0280" w:rsidP="000C0280">
            <w:pPr>
              <w:spacing w:line="240" w:lineRule="auto"/>
              <w:jc w:val="center"/>
              <w:rPr>
                <w:rFonts w:eastAsia="Times New Roman" w:cs="Arial"/>
                <w:b/>
                <w:bCs/>
                <w:sz w:val="20"/>
                <w:szCs w:val="20"/>
                <w:lang w:eastAsia="pt-BR"/>
              </w:rPr>
            </w:pPr>
            <w:r w:rsidRPr="0068623C">
              <w:rPr>
                <w:rFonts w:eastAsia="Times New Roman" w:cs="Arial"/>
                <w:b/>
                <w:bCs/>
                <w:sz w:val="20"/>
                <w:szCs w:val="20"/>
                <w:lang w:eastAsia="pt-BR"/>
              </w:rPr>
              <w:t>CURTO (4 a 8)</w:t>
            </w:r>
          </w:p>
        </w:tc>
        <w:tc>
          <w:tcPr>
            <w:tcW w:w="577" w:type="pct"/>
            <w:shd w:val="clear" w:color="000000" w:fill="C0C0C0"/>
            <w:noWrap/>
            <w:vAlign w:val="center"/>
            <w:hideMark/>
          </w:tcPr>
          <w:p w:rsidR="000C0280" w:rsidRPr="0068623C" w:rsidRDefault="000C0280" w:rsidP="000C0280">
            <w:pPr>
              <w:spacing w:line="240" w:lineRule="auto"/>
              <w:jc w:val="center"/>
              <w:rPr>
                <w:rFonts w:eastAsia="Times New Roman" w:cs="Arial"/>
                <w:b/>
                <w:bCs/>
                <w:sz w:val="20"/>
                <w:szCs w:val="20"/>
                <w:lang w:eastAsia="pt-BR"/>
              </w:rPr>
            </w:pPr>
            <w:r w:rsidRPr="0068623C">
              <w:rPr>
                <w:rFonts w:eastAsia="Times New Roman" w:cs="Arial"/>
                <w:b/>
                <w:bCs/>
                <w:sz w:val="20"/>
                <w:szCs w:val="20"/>
                <w:lang w:eastAsia="pt-BR"/>
              </w:rPr>
              <w:t>MÉDIO (9 a 12)</w:t>
            </w:r>
          </w:p>
        </w:tc>
        <w:tc>
          <w:tcPr>
            <w:tcW w:w="2904" w:type="pct"/>
            <w:shd w:val="clear" w:color="000000" w:fill="C0C0C0"/>
            <w:noWrap/>
            <w:vAlign w:val="center"/>
            <w:hideMark/>
          </w:tcPr>
          <w:p w:rsidR="000C0280" w:rsidRPr="0068623C" w:rsidRDefault="000C0280" w:rsidP="000C0280">
            <w:pPr>
              <w:spacing w:line="240" w:lineRule="auto"/>
              <w:jc w:val="center"/>
              <w:rPr>
                <w:rFonts w:eastAsia="Times New Roman" w:cs="Arial"/>
                <w:b/>
                <w:bCs/>
                <w:sz w:val="20"/>
                <w:szCs w:val="20"/>
                <w:lang w:eastAsia="pt-BR"/>
              </w:rPr>
            </w:pPr>
            <w:r w:rsidRPr="0068623C">
              <w:rPr>
                <w:rFonts w:eastAsia="Times New Roman" w:cs="Arial"/>
                <w:b/>
                <w:bCs/>
                <w:sz w:val="20"/>
                <w:szCs w:val="20"/>
                <w:lang w:eastAsia="pt-BR"/>
              </w:rPr>
              <w:t>LONGO (13 a 20)</w:t>
            </w:r>
          </w:p>
        </w:tc>
      </w:tr>
      <w:tr w:rsidR="000C0280" w:rsidRPr="0068623C" w:rsidTr="000C0280">
        <w:trPr>
          <w:trHeight w:val="20"/>
          <w:jc w:val="center"/>
        </w:trPr>
        <w:tc>
          <w:tcPr>
            <w:tcW w:w="701" w:type="pct"/>
            <w:gridSpan w:val="2"/>
            <w:shd w:val="clear" w:color="auto" w:fill="auto"/>
            <w:noWrap/>
            <w:vAlign w:val="center"/>
          </w:tcPr>
          <w:p w:rsidR="000C0280" w:rsidRPr="0068623C" w:rsidRDefault="000C0280" w:rsidP="000C0280">
            <w:pPr>
              <w:spacing w:before="20" w:after="20" w:line="240" w:lineRule="auto"/>
              <w:jc w:val="both"/>
              <w:rPr>
                <w:rFonts w:cs="Arial"/>
                <w:bCs/>
                <w:sz w:val="20"/>
                <w:szCs w:val="20"/>
              </w:rPr>
            </w:pPr>
          </w:p>
        </w:tc>
        <w:tc>
          <w:tcPr>
            <w:tcW w:w="818" w:type="pct"/>
            <w:gridSpan w:val="2"/>
            <w:shd w:val="clear" w:color="auto" w:fill="auto"/>
            <w:noWrap/>
            <w:vAlign w:val="center"/>
            <w:hideMark/>
          </w:tcPr>
          <w:p w:rsidR="000C0280" w:rsidRPr="0068623C" w:rsidRDefault="000C0280" w:rsidP="000C0280">
            <w:pPr>
              <w:spacing w:before="20" w:after="20" w:line="240" w:lineRule="auto"/>
              <w:jc w:val="both"/>
              <w:rPr>
                <w:rFonts w:cs="Arial"/>
                <w:bCs/>
                <w:sz w:val="20"/>
                <w:szCs w:val="20"/>
              </w:rPr>
            </w:pPr>
            <w:r w:rsidRPr="0068623C">
              <w:rPr>
                <w:rFonts w:cs="Arial"/>
                <w:bCs/>
                <w:sz w:val="20"/>
                <w:szCs w:val="20"/>
              </w:rPr>
              <w:t>Meta 5.4. Obter um índice de 60% de respostas satisfatórias às reclamações dos munícipes.</w:t>
            </w:r>
          </w:p>
        </w:tc>
        <w:tc>
          <w:tcPr>
            <w:tcW w:w="577" w:type="pct"/>
            <w:shd w:val="clear" w:color="auto" w:fill="auto"/>
            <w:noWrap/>
            <w:vAlign w:val="center"/>
          </w:tcPr>
          <w:p w:rsidR="000C0280" w:rsidRPr="0068623C" w:rsidRDefault="000C0280" w:rsidP="000C0280">
            <w:pPr>
              <w:spacing w:before="20" w:after="20" w:line="240" w:lineRule="auto"/>
              <w:jc w:val="both"/>
              <w:rPr>
                <w:rFonts w:cs="Arial"/>
                <w:bCs/>
                <w:sz w:val="20"/>
                <w:szCs w:val="20"/>
              </w:rPr>
            </w:pPr>
          </w:p>
        </w:tc>
        <w:tc>
          <w:tcPr>
            <w:tcW w:w="2904" w:type="pct"/>
            <w:shd w:val="clear" w:color="auto" w:fill="auto"/>
            <w:noWrap/>
            <w:vAlign w:val="center"/>
          </w:tcPr>
          <w:p w:rsidR="000C0280" w:rsidRPr="0068623C" w:rsidRDefault="000C0280" w:rsidP="000C0280">
            <w:pPr>
              <w:spacing w:before="20" w:after="20" w:line="240" w:lineRule="auto"/>
              <w:jc w:val="both"/>
              <w:rPr>
                <w:rFonts w:cs="Arial"/>
                <w:bCs/>
                <w:sz w:val="20"/>
                <w:szCs w:val="20"/>
              </w:rPr>
            </w:pPr>
            <w:r w:rsidRPr="0068623C">
              <w:rPr>
                <w:rFonts w:cs="Arial"/>
                <w:bCs/>
                <w:sz w:val="20"/>
                <w:szCs w:val="20"/>
              </w:rPr>
              <w:t xml:space="preserve">Meta 5.1. </w:t>
            </w:r>
            <w:r w:rsidRPr="0068623C">
              <w:rPr>
                <w:rFonts w:eastAsia="Times New Roman" w:cs="Arial"/>
                <w:sz w:val="20"/>
                <w:szCs w:val="20"/>
                <w:lang w:eastAsia="pt-BR"/>
              </w:rPr>
              <w:t>Fazer com que haja participação popular ativa na gestão do SES e no processo de tomada de decisão, com população instruída.</w:t>
            </w:r>
          </w:p>
          <w:p w:rsidR="000C0280" w:rsidRPr="0068623C" w:rsidRDefault="000C0280" w:rsidP="000C0280">
            <w:pPr>
              <w:spacing w:before="20" w:after="20" w:line="240" w:lineRule="auto"/>
              <w:jc w:val="both"/>
              <w:rPr>
                <w:rFonts w:cs="Arial"/>
                <w:bCs/>
                <w:sz w:val="20"/>
                <w:szCs w:val="20"/>
              </w:rPr>
            </w:pPr>
            <w:r w:rsidRPr="0068623C">
              <w:rPr>
                <w:rFonts w:cs="Arial"/>
                <w:bCs/>
                <w:sz w:val="20"/>
                <w:szCs w:val="20"/>
              </w:rPr>
              <w:t>Meta 5.2.</w:t>
            </w:r>
            <w:r w:rsidRPr="0068623C">
              <w:rPr>
                <w:rFonts w:eastAsia="Times New Roman" w:cs="Arial"/>
                <w:sz w:val="20"/>
                <w:szCs w:val="20"/>
                <w:lang w:eastAsia="pt-BR"/>
              </w:rPr>
              <w:t xml:space="preserve"> Sensibilizar a população sobre questões de escassez de água.</w:t>
            </w:r>
          </w:p>
          <w:p w:rsidR="000C0280" w:rsidRPr="0068623C" w:rsidRDefault="000C0280" w:rsidP="000C0280">
            <w:pPr>
              <w:spacing w:before="20" w:after="20" w:line="240" w:lineRule="auto"/>
              <w:jc w:val="both"/>
              <w:rPr>
                <w:rFonts w:cs="Arial"/>
                <w:bCs/>
                <w:sz w:val="20"/>
                <w:szCs w:val="20"/>
              </w:rPr>
            </w:pPr>
            <w:r w:rsidRPr="0068623C">
              <w:rPr>
                <w:rFonts w:cs="Arial"/>
                <w:bCs/>
                <w:sz w:val="20"/>
                <w:szCs w:val="20"/>
              </w:rPr>
              <w:t xml:space="preserve">Meta 5.3. </w:t>
            </w:r>
            <w:r w:rsidRPr="0068623C">
              <w:rPr>
                <w:rFonts w:eastAsia="Times New Roman" w:cs="Arial"/>
                <w:sz w:val="20"/>
                <w:szCs w:val="20"/>
                <w:lang w:eastAsia="pt-BR"/>
              </w:rPr>
              <w:t>Promover canais de comunicação com a população.</w:t>
            </w:r>
          </w:p>
          <w:p w:rsidR="000C0280" w:rsidRPr="0068623C" w:rsidRDefault="000C0280" w:rsidP="000C0280">
            <w:pPr>
              <w:spacing w:before="20" w:after="20" w:line="240" w:lineRule="auto"/>
              <w:jc w:val="both"/>
              <w:rPr>
                <w:rFonts w:cs="Arial"/>
                <w:bCs/>
                <w:sz w:val="20"/>
                <w:szCs w:val="20"/>
              </w:rPr>
            </w:pPr>
            <w:r w:rsidRPr="0068623C">
              <w:rPr>
                <w:rFonts w:cs="Arial"/>
                <w:bCs/>
                <w:sz w:val="20"/>
                <w:szCs w:val="20"/>
              </w:rPr>
              <w:t>Meta 5.4. Obter um índice de 100% de respostas satisfatórias às reclamações dos munícipes.</w:t>
            </w:r>
          </w:p>
        </w:tc>
      </w:tr>
    </w:tbl>
    <w:p w:rsidR="000C0280" w:rsidRPr="0068623C" w:rsidRDefault="000C0280" w:rsidP="000C0280">
      <w:pPr>
        <w:rPr>
          <w:sz w:val="2"/>
          <w:szCs w:val="2"/>
          <w:lang w:eastAsia="x-none"/>
        </w:rPr>
      </w:pPr>
    </w:p>
    <w:tbl>
      <w:tblPr>
        <w:tblW w:w="147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1"/>
        <w:gridCol w:w="7225"/>
        <w:gridCol w:w="1774"/>
        <w:gridCol w:w="1724"/>
        <w:gridCol w:w="2950"/>
      </w:tblGrid>
      <w:tr w:rsidR="000C0280" w:rsidRPr="0068623C" w:rsidTr="000C0280">
        <w:trPr>
          <w:trHeight w:val="20"/>
          <w:tblHeader/>
          <w:jc w:val="center"/>
        </w:trPr>
        <w:tc>
          <w:tcPr>
            <w:tcW w:w="1041" w:type="dxa"/>
            <w:shd w:val="clear" w:color="000000" w:fill="C0C0C0"/>
            <w:vAlign w:val="center"/>
          </w:tcPr>
          <w:p w:rsidR="000C0280" w:rsidRPr="0068623C" w:rsidRDefault="000C0280" w:rsidP="000C0280">
            <w:pPr>
              <w:spacing w:before="20" w:after="20"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CÓDIGO</w:t>
            </w:r>
          </w:p>
          <w:p w:rsidR="000C0280" w:rsidRPr="0068623C" w:rsidRDefault="000C0280" w:rsidP="000C0280">
            <w:pPr>
              <w:spacing w:before="20" w:after="20"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(s/o/m/a)*</w:t>
            </w:r>
          </w:p>
        </w:tc>
        <w:tc>
          <w:tcPr>
            <w:tcW w:w="7225" w:type="dxa"/>
            <w:shd w:val="clear" w:color="000000" w:fill="C0C0C0"/>
            <w:vAlign w:val="center"/>
          </w:tcPr>
          <w:p w:rsidR="000C0280" w:rsidRPr="0068623C" w:rsidRDefault="000C0280" w:rsidP="000C0280">
            <w:pPr>
              <w:spacing w:before="20" w:after="20" w:line="240" w:lineRule="auto"/>
              <w:contextualSpacing/>
              <w:jc w:val="center"/>
              <w:rPr>
                <w:rFonts w:eastAsia="Times New Roman" w:cs="Arial"/>
                <w:b/>
                <w:bCs/>
                <w:sz w:val="20"/>
                <w:szCs w:val="20"/>
                <w:lang w:eastAsia="pt-BR"/>
              </w:rPr>
            </w:pPr>
            <w:r w:rsidRPr="0068623C">
              <w:rPr>
                <w:rFonts w:eastAsia="Times New Roman" w:cs="Arial"/>
                <w:b/>
                <w:bCs/>
                <w:sz w:val="20"/>
                <w:szCs w:val="20"/>
                <w:lang w:eastAsia="pt-BR"/>
              </w:rPr>
              <w:t>DESCRIÇÃO</w:t>
            </w:r>
          </w:p>
        </w:tc>
        <w:tc>
          <w:tcPr>
            <w:tcW w:w="1774" w:type="dxa"/>
            <w:shd w:val="clear" w:color="000000" w:fill="C0C0C0"/>
          </w:tcPr>
          <w:p w:rsidR="000C0280" w:rsidRPr="0068623C" w:rsidRDefault="000C0280" w:rsidP="000C0280">
            <w:pPr>
              <w:spacing w:line="240" w:lineRule="auto"/>
              <w:ind w:firstLine="72"/>
              <w:jc w:val="center"/>
              <w:rPr>
                <w:rFonts w:eastAsia="Times New Roman" w:cs="Arial"/>
                <w:b/>
                <w:bCs/>
                <w:sz w:val="20"/>
                <w:szCs w:val="20"/>
                <w:lang w:eastAsia="pt-BR"/>
              </w:rPr>
            </w:pPr>
            <w:r w:rsidRPr="0068623C">
              <w:rPr>
                <w:rFonts w:eastAsia="Times New Roman" w:cs="Arial"/>
                <w:b/>
                <w:bCs/>
                <w:sz w:val="20"/>
                <w:szCs w:val="20"/>
                <w:lang w:eastAsia="pt-BR"/>
              </w:rPr>
              <w:t>Período de desenvolvimento da ação (ano)</w:t>
            </w:r>
          </w:p>
        </w:tc>
        <w:tc>
          <w:tcPr>
            <w:tcW w:w="1724" w:type="dxa"/>
            <w:shd w:val="clear" w:color="000000" w:fill="C0C0C0"/>
          </w:tcPr>
          <w:p w:rsidR="000C0280" w:rsidRPr="0068623C" w:rsidRDefault="000C0280" w:rsidP="000C0280">
            <w:pPr>
              <w:spacing w:line="240" w:lineRule="auto"/>
              <w:ind w:left="64" w:firstLine="8"/>
              <w:jc w:val="center"/>
              <w:rPr>
                <w:rFonts w:eastAsia="Times New Roman" w:cs="Arial"/>
                <w:b/>
                <w:bCs/>
                <w:sz w:val="20"/>
                <w:szCs w:val="20"/>
                <w:lang w:eastAsia="pt-BR"/>
              </w:rPr>
            </w:pPr>
            <w:r w:rsidRPr="0068623C">
              <w:rPr>
                <w:rFonts w:eastAsia="Times New Roman" w:cs="Arial"/>
                <w:b/>
                <w:bCs/>
                <w:sz w:val="20"/>
                <w:szCs w:val="20"/>
                <w:lang w:eastAsia="pt-BR"/>
              </w:rPr>
              <w:t>Custo total na moeda de 2017 (R$)</w:t>
            </w:r>
          </w:p>
        </w:tc>
        <w:tc>
          <w:tcPr>
            <w:tcW w:w="2950" w:type="dxa"/>
            <w:shd w:val="clear" w:color="000000" w:fill="C0C0C0"/>
            <w:vAlign w:val="center"/>
          </w:tcPr>
          <w:p w:rsidR="000C0280" w:rsidRPr="0068623C" w:rsidRDefault="000C0280" w:rsidP="000C0280">
            <w:pPr>
              <w:spacing w:line="240" w:lineRule="auto"/>
              <w:ind w:left="64" w:firstLine="8"/>
              <w:jc w:val="center"/>
              <w:rPr>
                <w:rFonts w:eastAsia="Times New Roman" w:cs="Arial"/>
                <w:b/>
                <w:bCs/>
                <w:sz w:val="20"/>
                <w:szCs w:val="20"/>
                <w:lang w:eastAsia="pt-BR"/>
              </w:rPr>
            </w:pPr>
            <w:r w:rsidRPr="0068623C">
              <w:rPr>
                <w:rFonts w:eastAsia="Times New Roman" w:cs="Arial"/>
                <w:b/>
                <w:bCs/>
                <w:sz w:val="20"/>
                <w:szCs w:val="20"/>
                <w:lang w:eastAsia="pt-BR"/>
              </w:rPr>
              <w:t>Responsável pela ação</w:t>
            </w:r>
          </w:p>
        </w:tc>
      </w:tr>
      <w:tr w:rsidR="000C0280" w:rsidRPr="0068623C" w:rsidTr="000C0280">
        <w:trPr>
          <w:trHeight w:val="1134"/>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t>2.5.1.44</w:t>
            </w:r>
          </w:p>
        </w:tc>
        <w:tc>
          <w:tcPr>
            <w:tcW w:w="7225"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Realizar eventos públicos (como audiências e seminários) periodicamente, com o intuito de informar a população sobre a situação do SES no município e receber sugestões e reclamações.</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1º-20º</w:t>
            </w:r>
          </w:p>
        </w:tc>
        <w:tc>
          <w:tcPr>
            <w:tcW w:w="1724" w:type="dxa"/>
            <w:shd w:val="clear" w:color="auto" w:fill="auto"/>
            <w:vAlign w:val="center"/>
          </w:tcPr>
          <w:p w:rsidR="000C0280" w:rsidRPr="0068623C" w:rsidRDefault="000C0280" w:rsidP="000C0280">
            <w:pPr>
              <w:spacing w:line="240" w:lineRule="auto"/>
              <w:jc w:val="right"/>
              <w:rPr>
                <w:sz w:val="20"/>
                <w:szCs w:val="20"/>
              </w:rPr>
            </w:pPr>
            <w:r w:rsidRPr="0068623C">
              <w:rPr>
                <w:sz w:val="20"/>
                <w:szCs w:val="20"/>
              </w:rPr>
              <w:t>48.314,00</w:t>
            </w:r>
          </w:p>
        </w:tc>
        <w:tc>
          <w:tcPr>
            <w:tcW w:w="2950" w:type="dxa"/>
            <w:shd w:val="clear" w:color="auto" w:fill="auto"/>
            <w:vAlign w:val="center"/>
          </w:tcPr>
          <w:p w:rsidR="000C0280" w:rsidRPr="0068623C" w:rsidRDefault="000C0280" w:rsidP="000C0280">
            <w:pPr>
              <w:spacing w:line="240" w:lineRule="auto"/>
              <w:jc w:val="center"/>
              <w:rPr>
                <w:sz w:val="20"/>
                <w:szCs w:val="20"/>
              </w:rPr>
            </w:pPr>
            <w:r w:rsidRPr="0068623C">
              <w:rPr>
                <w:rFonts w:cs="Arial"/>
                <w:sz w:val="20"/>
                <w:szCs w:val="20"/>
                <w:lang w:eastAsia="pt-BR"/>
              </w:rPr>
              <w:t xml:space="preserve">Prefeitura Municipal / Departamento </w:t>
            </w:r>
            <w:r>
              <w:rPr>
                <w:rFonts w:cs="Arial"/>
                <w:sz w:val="20"/>
                <w:szCs w:val="20"/>
                <w:lang w:eastAsia="pt-BR"/>
              </w:rPr>
              <w:t>d</w:t>
            </w:r>
            <w:r w:rsidRPr="0068623C">
              <w:rPr>
                <w:rFonts w:cs="Arial"/>
                <w:sz w:val="20"/>
                <w:szCs w:val="20"/>
                <w:lang w:eastAsia="pt-BR"/>
              </w:rPr>
              <w:t xml:space="preserve">e Obras </w:t>
            </w:r>
            <w:r>
              <w:rPr>
                <w:rFonts w:cs="Arial"/>
                <w:sz w:val="20"/>
                <w:szCs w:val="20"/>
                <w:lang w:eastAsia="pt-BR"/>
              </w:rPr>
              <w:t>e</w:t>
            </w:r>
            <w:r w:rsidRPr="0068623C">
              <w:rPr>
                <w:rFonts w:cs="Arial"/>
                <w:sz w:val="20"/>
                <w:szCs w:val="20"/>
                <w:lang w:eastAsia="pt-BR"/>
              </w:rPr>
              <w:t xml:space="preserve"> Serviços Urbanos</w:t>
            </w:r>
          </w:p>
        </w:tc>
      </w:tr>
      <w:tr w:rsidR="000C0280" w:rsidRPr="0068623C" w:rsidTr="000C0280">
        <w:trPr>
          <w:trHeight w:val="1134"/>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t>2.5.2.45</w:t>
            </w:r>
          </w:p>
        </w:tc>
        <w:tc>
          <w:tcPr>
            <w:tcW w:w="7225"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Realizar eventos e oficinas sobre Educação Ambiental para a conscientização da população sobre os direitos e deveres dos usuários com relação ao SES. Organizar visitas educativas à ETE e às fossas sépticas do munícipio.</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1º-20º</w:t>
            </w:r>
          </w:p>
        </w:tc>
        <w:tc>
          <w:tcPr>
            <w:tcW w:w="1724" w:type="dxa"/>
            <w:shd w:val="clear" w:color="auto" w:fill="auto"/>
            <w:vAlign w:val="center"/>
          </w:tcPr>
          <w:p w:rsidR="000C0280" w:rsidRPr="0068623C" w:rsidRDefault="000C0280" w:rsidP="000C0280">
            <w:pPr>
              <w:spacing w:line="240" w:lineRule="auto"/>
              <w:jc w:val="right"/>
              <w:rPr>
                <w:sz w:val="20"/>
                <w:szCs w:val="20"/>
              </w:rPr>
            </w:pPr>
            <w:r w:rsidRPr="0068623C">
              <w:rPr>
                <w:sz w:val="20"/>
                <w:szCs w:val="20"/>
              </w:rPr>
              <w:t>96.628,00</w:t>
            </w:r>
          </w:p>
        </w:tc>
        <w:tc>
          <w:tcPr>
            <w:tcW w:w="2950" w:type="dxa"/>
            <w:shd w:val="clear" w:color="auto" w:fill="auto"/>
            <w:vAlign w:val="center"/>
          </w:tcPr>
          <w:p w:rsidR="000C0280" w:rsidRPr="0068623C" w:rsidRDefault="000C0280" w:rsidP="000C0280">
            <w:pPr>
              <w:spacing w:line="240" w:lineRule="auto"/>
              <w:jc w:val="center"/>
              <w:rPr>
                <w:sz w:val="20"/>
                <w:szCs w:val="20"/>
              </w:rPr>
            </w:pPr>
            <w:r w:rsidRPr="0068623C">
              <w:rPr>
                <w:rFonts w:cs="Arial"/>
                <w:sz w:val="20"/>
                <w:szCs w:val="20"/>
                <w:lang w:eastAsia="pt-BR"/>
              </w:rPr>
              <w:t xml:space="preserve">Prefeitura Municipal / Departamento </w:t>
            </w:r>
            <w:r>
              <w:rPr>
                <w:rFonts w:cs="Arial"/>
                <w:sz w:val="20"/>
                <w:szCs w:val="20"/>
                <w:lang w:eastAsia="pt-BR"/>
              </w:rPr>
              <w:t>d</w:t>
            </w:r>
            <w:r w:rsidRPr="0068623C">
              <w:rPr>
                <w:rFonts w:cs="Arial"/>
                <w:sz w:val="20"/>
                <w:szCs w:val="20"/>
                <w:lang w:eastAsia="pt-BR"/>
              </w:rPr>
              <w:t xml:space="preserve">e Obras </w:t>
            </w:r>
            <w:r>
              <w:rPr>
                <w:rFonts w:cs="Arial"/>
                <w:sz w:val="20"/>
                <w:szCs w:val="20"/>
                <w:lang w:eastAsia="pt-BR"/>
              </w:rPr>
              <w:t>e</w:t>
            </w:r>
            <w:r w:rsidRPr="0068623C">
              <w:rPr>
                <w:rFonts w:cs="Arial"/>
                <w:sz w:val="20"/>
                <w:szCs w:val="20"/>
                <w:lang w:eastAsia="pt-BR"/>
              </w:rPr>
              <w:t xml:space="preserve"> Serviços Urbanos</w:t>
            </w:r>
          </w:p>
        </w:tc>
      </w:tr>
      <w:tr w:rsidR="000C0280" w:rsidRPr="0068623C" w:rsidTr="000C0280">
        <w:trPr>
          <w:trHeight w:val="1134"/>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t>2.5.3.46</w:t>
            </w:r>
          </w:p>
        </w:tc>
        <w:tc>
          <w:tcPr>
            <w:tcW w:w="7225"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 xml:space="preserve">Alimentar a página do </w:t>
            </w:r>
            <w:r w:rsidRPr="0068623C">
              <w:rPr>
                <w:rFonts w:eastAsia="Calibri"/>
                <w:i/>
              </w:rPr>
              <w:t>site</w:t>
            </w:r>
            <w:r w:rsidRPr="0068623C">
              <w:rPr>
                <w:rFonts w:eastAsia="Calibri"/>
              </w:rPr>
              <w:t xml:space="preserve"> oficial da Prefeitura ou da rede social ou, ainda, da conta de aplicativo de mensagens instantâneas, com informações atualizadas e pertinentes ao saneamento.</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2º-20º</w:t>
            </w:r>
          </w:p>
        </w:tc>
        <w:tc>
          <w:tcPr>
            <w:tcW w:w="172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2.1.1.01</w:t>
            </w:r>
          </w:p>
        </w:tc>
        <w:tc>
          <w:tcPr>
            <w:tcW w:w="2950" w:type="dxa"/>
            <w:shd w:val="clear" w:color="auto" w:fill="auto"/>
            <w:vAlign w:val="center"/>
          </w:tcPr>
          <w:p w:rsidR="000C0280" w:rsidRPr="0068623C" w:rsidRDefault="000C0280" w:rsidP="000C0280">
            <w:pPr>
              <w:spacing w:line="240" w:lineRule="auto"/>
              <w:jc w:val="center"/>
              <w:rPr>
                <w:sz w:val="20"/>
                <w:szCs w:val="20"/>
              </w:rPr>
            </w:pPr>
            <w:r w:rsidRPr="0068623C">
              <w:rPr>
                <w:rFonts w:cs="Arial"/>
                <w:sz w:val="20"/>
                <w:szCs w:val="20"/>
                <w:lang w:eastAsia="pt-BR"/>
              </w:rPr>
              <w:t xml:space="preserve">Prefeitura Municipal / Departamento </w:t>
            </w:r>
            <w:r>
              <w:rPr>
                <w:rFonts w:cs="Arial"/>
                <w:sz w:val="20"/>
                <w:szCs w:val="20"/>
                <w:lang w:eastAsia="pt-BR"/>
              </w:rPr>
              <w:t>d</w:t>
            </w:r>
            <w:r w:rsidRPr="0068623C">
              <w:rPr>
                <w:rFonts w:cs="Arial"/>
                <w:sz w:val="20"/>
                <w:szCs w:val="20"/>
                <w:lang w:eastAsia="pt-BR"/>
              </w:rPr>
              <w:t xml:space="preserve">e Obras </w:t>
            </w:r>
            <w:r>
              <w:rPr>
                <w:rFonts w:cs="Arial"/>
                <w:sz w:val="20"/>
                <w:szCs w:val="20"/>
                <w:lang w:eastAsia="pt-BR"/>
              </w:rPr>
              <w:t>e</w:t>
            </w:r>
            <w:r w:rsidRPr="0068623C">
              <w:rPr>
                <w:rFonts w:cs="Arial"/>
                <w:sz w:val="20"/>
                <w:szCs w:val="20"/>
                <w:lang w:eastAsia="pt-BR"/>
              </w:rPr>
              <w:t xml:space="preserve"> Serviços Urbanos</w:t>
            </w:r>
          </w:p>
        </w:tc>
      </w:tr>
      <w:tr w:rsidR="000C0280" w:rsidRPr="0068623C" w:rsidTr="000C0280">
        <w:trPr>
          <w:trHeight w:val="1134"/>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lastRenderedPageBreak/>
              <w:t>2.5.3.47</w:t>
            </w:r>
          </w:p>
        </w:tc>
        <w:tc>
          <w:tcPr>
            <w:tcW w:w="7225"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Implementar um Sistema de Atendimento ao Consumidor (SAC) e cadastro das reclamações da população feitas à Prefeitura, sobre questões relacionadas ao SES, buscando o atendimento às demandas de maneira mais rápida e eficiente do praticado atualmente.</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1º-20º</w:t>
            </w:r>
          </w:p>
        </w:tc>
        <w:tc>
          <w:tcPr>
            <w:tcW w:w="1724" w:type="dxa"/>
            <w:shd w:val="clear" w:color="auto" w:fill="auto"/>
            <w:vAlign w:val="center"/>
          </w:tcPr>
          <w:p w:rsidR="000C0280" w:rsidRPr="0068623C" w:rsidRDefault="000C0280" w:rsidP="000C0280">
            <w:pPr>
              <w:spacing w:line="240" w:lineRule="auto"/>
              <w:jc w:val="right"/>
              <w:rPr>
                <w:sz w:val="20"/>
                <w:szCs w:val="20"/>
              </w:rPr>
            </w:pPr>
            <w:r w:rsidRPr="0068623C">
              <w:rPr>
                <w:sz w:val="20"/>
                <w:szCs w:val="20"/>
              </w:rPr>
              <w:t>96.628,00</w:t>
            </w:r>
          </w:p>
        </w:tc>
        <w:tc>
          <w:tcPr>
            <w:tcW w:w="2950" w:type="dxa"/>
            <w:shd w:val="clear" w:color="auto" w:fill="auto"/>
            <w:vAlign w:val="center"/>
          </w:tcPr>
          <w:p w:rsidR="000C0280" w:rsidRPr="0068623C" w:rsidRDefault="000C0280" w:rsidP="000C0280">
            <w:pPr>
              <w:spacing w:line="240" w:lineRule="auto"/>
              <w:jc w:val="center"/>
              <w:rPr>
                <w:sz w:val="20"/>
                <w:szCs w:val="20"/>
              </w:rPr>
            </w:pPr>
            <w:r w:rsidRPr="0068623C">
              <w:rPr>
                <w:rFonts w:cs="Arial"/>
                <w:sz w:val="20"/>
                <w:szCs w:val="20"/>
                <w:lang w:eastAsia="pt-BR"/>
              </w:rPr>
              <w:t xml:space="preserve">Prefeitura Municipal / Departamento </w:t>
            </w:r>
            <w:r>
              <w:rPr>
                <w:rFonts w:cs="Arial"/>
                <w:sz w:val="20"/>
                <w:szCs w:val="20"/>
                <w:lang w:eastAsia="pt-BR"/>
              </w:rPr>
              <w:t>d</w:t>
            </w:r>
            <w:r w:rsidRPr="0068623C">
              <w:rPr>
                <w:rFonts w:cs="Arial"/>
                <w:sz w:val="20"/>
                <w:szCs w:val="20"/>
                <w:lang w:eastAsia="pt-BR"/>
              </w:rPr>
              <w:t xml:space="preserve">e Obras </w:t>
            </w:r>
            <w:r>
              <w:rPr>
                <w:rFonts w:cs="Arial"/>
                <w:sz w:val="20"/>
                <w:szCs w:val="20"/>
                <w:lang w:eastAsia="pt-BR"/>
              </w:rPr>
              <w:t>e</w:t>
            </w:r>
            <w:r w:rsidRPr="0068623C">
              <w:rPr>
                <w:rFonts w:cs="Arial"/>
                <w:sz w:val="20"/>
                <w:szCs w:val="20"/>
                <w:lang w:eastAsia="pt-BR"/>
              </w:rPr>
              <w:t xml:space="preserve"> Serviços Urbanos</w:t>
            </w:r>
          </w:p>
        </w:tc>
      </w:tr>
      <w:tr w:rsidR="000C0280" w:rsidRPr="0068623C" w:rsidTr="000C0280">
        <w:trPr>
          <w:trHeight w:val="1134"/>
          <w:jc w:val="center"/>
        </w:trPr>
        <w:tc>
          <w:tcPr>
            <w:tcW w:w="1041" w:type="dxa"/>
            <w:shd w:val="clear" w:color="auto" w:fill="auto"/>
            <w:vAlign w:val="center"/>
          </w:tcPr>
          <w:p w:rsidR="000C0280" w:rsidRPr="0068623C" w:rsidRDefault="000C0280" w:rsidP="000C0280">
            <w:pPr>
              <w:spacing w:before="20" w:after="20" w:line="240" w:lineRule="auto"/>
              <w:jc w:val="center"/>
              <w:rPr>
                <w:rFonts w:eastAsia="Times New Roman" w:cs="Arial"/>
                <w:sz w:val="20"/>
                <w:szCs w:val="20"/>
                <w:lang w:eastAsia="pt-BR"/>
              </w:rPr>
            </w:pPr>
            <w:r w:rsidRPr="0068623C">
              <w:rPr>
                <w:rFonts w:eastAsia="Times New Roman" w:cs="Arial"/>
                <w:sz w:val="20"/>
                <w:szCs w:val="20"/>
                <w:lang w:eastAsia="pt-BR"/>
              </w:rPr>
              <w:t>2.5.4.48</w:t>
            </w:r>
          </w:p>
        </w:tc>
        <w:tc>
          <w:tcPr>
            <w:tcW w:w="7225" w:type="dxa"/>
            <w:shd w:val="clear" w:color="auto" w:fill="auto"/>
            <w:vAlign w:val="center"/>
          </w:tcPr>
          <w:p w:rsidR="000C0280" w:rsidRPr="0068623C" w:rsidRDefault="000C0280" w:rsidP="000C0280">
            <w:pPr>
              <w:pStyle w:val="Estilo1"/>
              <w:tabs>
                <w:tab w:val="clear" w:pos="891"/>
                <w:tab w:val="left" w:pos="45"/>
              </w:tabs>
              <w:spacing w:before="20" w:after="20"/>
              <w:ind w:left="779" w:hanging="425"/>
              <w:rPr>
                <w:rFonts w:eastAsia="Calibri"/>
              </w:rPr>
            </w:pPr>
            <w:r w:rsidRPr="0068623C">
              <w:rPr>
                <w:rFonts w:eastAsia="Calibri"/>
              </w:rPr>
              <w:t>Realizar periodicamente pesquisas de satisfação com a população para obter resposta quanto aos serviços prestados, de maneira a verificar os pontos passíveis de melhorias.</w:t>
            </w:r>
          </w:p>
        </w:tc>
        <w:tc>
          <w:tcPr>
            <w:tcW w:w="177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1º-20º</w:t>
            </w:r>
          </w:p>
        </w:tc>
        <w:tc>
          <w:tcPr>
            <w:tcW w:w="1724" w:type="dxa"/>
            <w:shd w:val="clear" w:color="auto" w:fill="auto"/>
            <w:vAlign w:val="center"/>
          </w:tcPr>
          <w:p w:rsidR="000C0280" w:rsidRPr="0068623C" w:rsidRDefault="000C0280" w:rsidP="000C0280">
            <w:pPr>
              <w:spacing w:line="240" w:lineRule="auto"/>
              <w:jc w:val="center"/>
              <w:rPr>
                <w:sz w:val="20"/>
                <w:szCs w:val="20"/>
              </w:rPr>
            </w:pPr>
            <w:r w:rsidRPr="0068623C">
              <w:rPr>
                <w:sz w:val="20"/>
                <w:szCs w:val="20"/>
              </w:rPr>
              <w:t>Custo já previsto na ação 2.1.1.01</w:t>
            </w:r>
          </w:p>
        </w:tc>
        <w:tc>
          <w:tcPr>
            <w:tcW w:w="2950" w:type="dxa"/>
            <w:shd w:val="clear" w:color="auto" w:fill="auto"/>
            <w:vAlign w:val="center"/>
          </w:tcPr>
          <w:p w:rsidR="000C0280" w:rsidRPr="0068623C" w:rsidRDefault="000C0280" w:rsidP="000C0280">
            <w:pPr>
              <w:spacing w:line="240" w:lineRule="auto"/>
              <w:jc w:val="center"/>
              <w:rPr>
                <w:sz w:val="20"/>
                <w:szCs w:val="20"/>
              </w:rPr>
            </w:pPr>
            <w:r w:rsidRPr="0068623C">
              <w:rPr>
                <w:rFonts w:cs="Arial"/>
                <w:sz w:val="20"/>
                <w:szCs w:val="20"/>
                <w:lang w:eastAsia="pt-BR"/>
              </w:rPr>
              <w:t xml:space="preserve">Prefeitura Municipal / Departamento </w:t>
            </w:r>
            <w:r>
              <w:rPr>
                <w:rFonts w:cs="Arial"/>
                <w:sz w:val="20"/>
                <w:szCs w:val="20"/>
                <w:lang w:eastAsia="pt-BR"/>
              </w:rPr>
              <w:t>d</w:t>
            </w:r>
            <w:r w:rsidRPr="0068623C">
              <w:rPr>
                <w:rFonts w:cs="Arial"/>
                <w:sz w:val="20"/>
                <w:szCs w:val="20"/>
                <w:lang w:eastAsia="pt-BR"/>
              </w:rPr>
              <w:t xml:space="preserve">e Obras </w:t>
            </w:r>
            <w:r>
              <w:rPr>
                <w:rFonts w:cs="Arial"/>
                <w:sz w:val="20"/>
                <w:szCs w:val="20"/>
                <w:lang w:eastAsia="pt-BR"/>
              </w:rPr>
              <w:t>e</w:t>
            </w:r>
            <w:r w:rsidRPr="0068623C">
              <w:rPr>
                <w:rFonts w:cs="Arial"/>
                <w:sz w:val="20"/>
                <w:szCs w:val="20"/>
                <w:lang w:eastAsia="pt-BR"/>
              </w:rPr>
              <w:t xml:space="preserve"> Serviços Urbanos</w:t>
            </w:r>
          </w:p>
        </w:tc>
      </w:tr>
    </w:tbl>
    <w:p w:rsidR="000C0280" w:rsidRPr="0025166A" w:rsidRDefault="000C0280" w:rsidP="000C0280">
      <w:pPr>
        <w:pStyle w:val="Fonte"/>
      </w:pPr>
      <w:r>
        <w:t>*</w:t>
      </w:r>
      <w:r w:rsidRPr="0068623C">
        <w:t>(s/o/m/a) = nº do setor / nº do objetivo / nº da meta / nº da ação.</w:t>
      </w:r>
    </w:p>
    <w:p w:rsidR="00261C41" w:rsidRDefault="00261C41" w:rsidP="00AC6D4E">
      <w:pPr>
        <w:ind w:firstLine="425"/>
        <w:jc w:val="both"/>
        <w:rPr>
          <w:color w:val="000000"/>
          <w:szCs w:val="24"/>
        </w:rPr>
        <w:sectPr w:rsidR="00261C41" w:rsidSect="000C0280">
          <w:footerReference w:type="default" r:id="rId57"/>
          <w:pgSz w:w="16838" w:h="11906" w:orient="landscape" w:code="9"/>
          <w:pgMar w:top="1134" w:right="1134" w:bottom="1418" w:left="1134" w:header="709" w:footer="709" w:gutter="0"/>
          <w:cols w:space="720"/>
          <w:docGrid w:linePitch="326"/>
        </w:sectPr>
      </w:pPr>
    </w:p>
    <w:p w:rsidR="00AC0DC7" w:rsidRDefault="00AC0DC7" w:rsidP="00BC01B1">
      <w:pPr>
        <w:pStyle w:val="Ttulo3"/>
        <w:rPr>
          <w:color w:val="FF0000"/>
          <w:lang w:val="pt-BR"/>
        </w:rPr>
      </w:pPr>
      <w:bookmarkStart w:id="812" w:name="_Toc434591760"/>
      <w:bookmarkStart w:id="813" w:name="_Toc441845921"/>
      <w:bookmarkStart w:id="814" w:name="_Toc488656492"/>
      <w:bookmarkStart w:id="815" w:name="_Toc498594045"/>
      <w:bookmarkStart w:id="816" w:name="_Toc509935536"/>
      <w:bookmarkStart w:id="817" w:name="_Toc434591761"/>
      <w:bookmarkStart w:id="818" w:name="_Toc443383573"/>
      <w:r w:rsidRPr="00764603">
        <w:lastRenderedPageBreak/>
        <w:t xml:space="preserve">Detalhamento </w:t>
      </w:r>
      <w:bookmarkEnd w:id="812"/>
      <w:r w:rsidRPr="00764603">
        <w:t>de programas, projetos e ações</w:t>
      </w:r>
      <w:bookmarkEnd w:id="813"/>
      <w:bookmarkEnd w:id="814"/>
      <w:bookmarkEnd w:id="815"/>
      <w:bookmarkEnd w:id="816"/>
    </w:p>
    <w:p w:rsidR="00261C41" w:rsidRPr="00261C41" w:rsidRDefault="00261C41" w:rsidP="00BC01B1">
      <w:pPr>
        <w:pStyle w:val="Ttulo4"/>
      </w:pPr>
      <w:bookmarkStart w:id="819" w:name="_Toc441845922"/>
      <w:bookmarkStart w:id="820" w:name="_Toc488656493"/>
      <w:bookmarkStart w:id="821" w:name="_Toc498352147"/>
      <w:bookmarkStart w:id="822" w:name="_Toc509935537"/>
      <w:r w:rsidRPr="00261C41">
        <w:t>Programa “Caça Esgoto”</w:t>
      </w:r>
      <w:bookmarkEnd w:id="819"/>
      <w:bookmarkEnd w:id="820"/>
      <w:bookmarkEnd w:id="821"/>
      <w:bookmarkEnd w:id="822"/>
    </w:p>
    <w:p w:rsidR="00261C41" w:rsidRPr="00261C41" w:rsidRDefault="00261C41" w:rsidP="00261C41">
      <w:pPr>
        <w:spacing w:before="120" w:after="120" w:line="348" w:lineRule="auto"/>
        <w:ind w:firstLine="708"/>
        <w:contextualSpacing/>
        <w:jc w:val="both"/>
        <w:rPr>
          <w:rFonts w:cs="Arial"/>
          <w:szCs w:val="24"/>
          <w:lang w:eastAsia="pt-BR"/>
        </w:rPr>
      </w:pPr>
      <w:r w:rsidRPr="00261C41">
        <w:rPr>
          <w:rFonts w:cs="Arial"/>
          <w:szCs w:val="24"/>
          <w:lang w:eastAsia="pt-BR"/>
        </w:rPr>
        <w:t>Juntamente com o “Caça Gato”, o Programa “Caça Esgoto” viria para auxiliar no combate de casos de lançamentos indevidos de esgotos clandestinos, seja no solo, nos corpos hídricos (</w:t>
      </w:r>
      <w:r w:rsidRPr="00261C41">
        <w:rPr>
          <w:rFonts w:cs="Arial"/>
          <w:i/>
          <w:szCs w:val="24"/>
          <w:lang w:eastAsia="pt-BR"/>
        </w:rPr>
        <w:t>in natura</w:t>
      </w:r>
      <w:r w:rsidRPr="00261C41">
        <w:rPr>
          <w:rFonts w:cs="Arial"/>
          <w:szCs w:val="24"/>
          <w:lang w:eastAsia="pt-BR"/>
        </w:rPr>
        <w:t>) ou nas galerias de drenagem de águas pluviais. Neste último caso, há a necessidade de legislação específica, a fim de regulamentar esses lançamentos como infração, e também definir as punições do infrator.</w:t>
      </w:r>
    </w:p>
    <w:p w:rsidR="00261C41" w:rsidRPr="00261C41" w:rsidRDefault="00261C41" w:rsidP="00261C41">
      <w:pPr>
        <w:spacing w:before="120" w:after="120" w:line="348" w:lineRule="auto"/>
        <w:ind w:firstLine="708"/>
        <w:contextualSpacing/>
        <w:jc w:val="both"/>
        <w:rPr>
          <w:rFonts w:cs="Arial"/>
          <w:szCs w:val="24"/>
          <w:lang w:eastAsia="pt-BR"/>
        </w:rPr>
      </w:pPr>
      <w:r w:rsidRPr="00261C41">
        <w:rPr>
          <w:rFonts w:cs="Arial"/>
          <w:szCs w:val="24"/>
          <w:lang w:eastAsia="pt-BR"/>
        </w:rPr>
        <w:t>Assim, ficaria a cargo do (a):</w:t>
      </w:r>
    </w:p>
    <w:p w:rsidR="00261C41" w:rsidRPr="00261C41" w:rsidRDefault="00261C41" w:rsidP="00261C41">
      <w:pPr>
        <w:numPr>
          <w:ilvl w:val="0"/>
          <w:numId w:val="5"/>
        </w:numPr>
        <w:spacing w:before="120" w:after="120" w:line="348" w:lineRule="auto"/>
        <w:contextualSpacing/>
        <w:jc w:val="both"/>
        <w:rPr>
          <w:rFonts w:cs="Arial"/>
          <w:szCs w:val="24"/>
          <w:lang w:eastAsia="pt-BR"/>
        </w:rPr>
      </w:pPr>
      <w:r w:rsidRPr="00261C41">
        <w:rPr>
          <w:rFonts w:cs="Arial"/>
          <w:szCs w:val="24"/>
          <w:u w:val="single"/>
          <w:lang w:eastAsia="pt-BR"/>
        </w:rPr>
        <w:t>Prefeitura Municipal:</w:t>
      </w:r>
      <w:r w:rsidRPr="00261C41">
        <w:rPr>
          <w:rFonts w:cs="Arial"/>
          <w:szCs w:val="24"/>
          <w:lang w:eastAsia="pt-BR"/>
        </w:rPr>
        <w:t xml:space="preserve"> fornecer informações existentes e estrutura técnica, disponibilizando funcionários para visitas a campo e vistorias periódicas, além de estrutura para ação social, como a disponibilização de agentes sociais e educadores para dialogarem com os cidadãos, principalmente os infratores.</w:t>
      </w:r>
    </w:p>
    <w:p w:rsidR="00261C41" w:rsidRPr="00261C41" w:rsidRDefault="00261C41" w:rsidP="00261C41">
      <w:pPr>
        <w:numPr>
          <w:ilvl w:val="0"/>
          <w:numId w:val="5"/>
        </w:numPr>
        <w:spacing w:before="120" w:after="120" w:line="348" w:lineRule="auto"/>
        <w:contextualSpacing/>
        <w:jc w:val="both"/>
        <w:rPr>
          <w:rFonts w:cs="Arial"/>
          <w:szCs w:val="24"/>
          <w:lang w:eastAsia="pt-BR"/>
        </w:rPr>
      </w:pPr>
      <w:r w:rsidRPr="00261C41">
        <w:rPr>
          <w:rFonts w:cs="Arial"/>
          <w:szCs w:val="24"/>
          <w:u w:val="single"/>
          <w:lang w:eastAsia="pt-BR"/>
        </w:rPr>
        <w:t>Câmara Municipal:</w:t>
      </w:r>
      <w:r w:rsidRPr="00261C41">
        <w:rPr>
          <w:rFonts w:cs="Arial"/>
          <w:szCs w:val="24"/>
          <w:lang w:eastAsia="pt-BR"/>
        </w:rPr>
        <w:t xml:space="preserve"> legislar sobre o assunto para fornecer métodos de controle do problema, de maneira legal.</w:t>
      </w:r>
    </w:p>
    <w:p w:rsidR="00261C41" w:rsidRPr="00261C41" w:rsidRDefault="00261C41" w:rsidP="00261C41">
      <w:pPr>
        <w:numPr>
          <w:ilvl w:val="0"/>
          <w:numId w:val="5"/>
        </w:numPr>
        <w:spacing w:before="120" w:after="120" w:line="348" w:lineRule="auto"/>
        <w:contextualSpacing/>
        <w:jc w:val="both"/>
        <w:rPr>
          <w:rFonts w:cs="Arial"/>
          <w:szCs w:val="24"/>
          <w:lang w:eastAsia="pt-BR"/>
        </w:rPr>
      </w:pPr>
      <w:r w:rsidRPr="00261C41">
        <w:rPr>
          <w:rFonts w:cs="Arial"/>
          <w:szCs w:val="24"/>
          <w:u w:val="single"/>
          <w:lang w:eastAsia="pt-BR"/>
        </w:rPr>
        <w:t>Ministério Público:</w:t>
      </w:r>
      <w:r w:rsidRPr="00261C41">
        <w:rPr>
          <w:rFonts w:cs="Arial"/>
          <w:szCs w:val="24"/>
          <w:lang w:eastAsia="pt-BR"/>
        </w:rPr>
        <w:t xml:space="preserve"> fornecer estrutura para meios de punição dos infratores, disponibilizando agentes para a aplicação de multas e sanções.</w:t>
      </w:r>
    </w:p>
    <w:p w:rsidR="00261C41" w:rsidRPr="00261C41" w:rsidRDefault="00261C41" w:rsidP="00BC01B1">
      <w:pPr>
        <w:pStyle w:val="Ttulo4"/>
      </w:pPr>
      <w:bookmarkStart w:id="823" w:name="_Toc441845929"/>
      <w:bookmarkStart w:id="824" w:name="_Toc488656494"/>
      <w:bookmarkStart w:id="825" w:name="_Toc498352148"/>
      <w:bookmarkStart w:id="826" w:name="_Toc509935538"/>
      <w:r w:rsidRPr="00261C41">
        <w:t>Localidades rurais</w:t>
      </w:r>
      <w:bookmarkEnd w:id="823"/>
      <w:bookmarkEnd w:id="824"/>
      <w:bookmarkEnd w:id="825"/>
      <w:bookmarkEnd w:id="826"/>
    </w:p>
    <w:p w:rsidR="00261C41" w:rsidRPr="00261C41" w:rsidRDefault="00261C41" w:rsidP="00261C41">
      <w:pPr>
        <w:spacing w:before="120" w:after="120" w:line="348" w:lineRule="auto"/>
        <w:ind w:firstLine="708"/>
        <w:contextualSpacing/>
        <w:jc w:val="both"/>
        <w:rPr>
          <w:lang w:eastAsia="x-none"/>
        </w:rPr>
      </w:pPr>
      <w:r w:rsidRPr="00261C41">
        <w:rPr>
          <w:lang w:eastAsia="x-none"/>
        </w:rPr>
        <w:t>No município existem localidades rurais que utilizam tanto soluções de esgotamento sanitário coletivo quanto soluções individuais, conforme identificado no diagnóstico. Em cada uma dessas localidades deverão ser coletadas, inicialmente, informações quanto à situação atual do esgotamento sanitário, que na maioria dos casos são soluções individualizadas, através de fossas sépticas/rudimentares ou lançamentos diretos em cursos d’água.</w:t>
      </w:r>
    </w:p>
    <w:p w:rsidR="00261C41" w:rsidRPr="00261C41" w:rsidRDefault="00261C41" w:rsidP="00261C41">
      <w:pPr>
        <w:ind w:firstLine="709"/>
        <w:jc w:val="both"/>
        <w:rPr>
          <w:lang w:eastAsia="x-none"/>
        </w:rPr>
      </w:pPr>
      <w:r w:rsidRPr="00261C41">
        <w:rPr>
          <w:lang w:eastAsia="x-none"/>
        </w:rPr>
        <w:t>Nesse sentido, verificaram-se as possíveis situações das localidades e quais ações devem ser tomadas.</w:t>
      </w:r>
    </w:p>
    <w:p w:rsidR="00261C41" w:rsidRPr="00261C41" w:rsidRDefault="00261C41" w:rsidP="00BC01B1">
      <w:pPr>
        <w:pStyle w:val="Ttulo5"/>
      </w:pPr>
      <w:bookmarkStart w:id="827" w:name="_Toc441845930"/>
      <w:bookmarkStart w:id="828" w:name="_Toc488656495"/>
      <w:bookmarkStart w:id="829" w:name="_Toc498352149"/>
      <w:bookmarkStart w:id="830" w:name="_Toc509935539"/>
      <w:r w:rsidRPr="00261C41">
        <w:t>Sistema de esgotamento sanitário coletivo</w:t>
      </w:r>
      <w:bookmarkEnd w:id="827"/>
      <w:bookmarkEnd w:id="828"/>
      <w:bookmarkEnd w:id="829"/>
      <w:bookmarkEnd w:id="830"/>
    </w:p>
    <w:p w:rsidR="00261C41" w:rsidRPr="00261C41" w:rsidRDefault="00261C41" w:rsidP="00261C41">
      <w:pPr>
        <w:ind w:firstLine="709"/>
        <w:jc w:val="both"/>
        <w:rPr>
          <w:lang w:eastAsia="x-none"/>
        </w:rPr>
      </w:pPr>
      <w:r w:rsidRPr="00261C41">
        <w:rPr>
          <w:lang w:eastAsia="x-none"/>
        </w:rPr>
        <w:t xml:space="preserve">Nas maiores concentrações de residências na área rural, como em povoados, existem redes coletoras, mas, muitas vezes, não se tem afastamento para pontos </w:t>
      </w:r>
      <w:r w:rsidRPr="00261C41">
        <w:rPr>
          <w:lang w:eastAsia="x-none"/>
        </w:rPr>
        <w:lastRenderedPageBreak/>
        <w:t>específicos, havendo diversos pontos de lançamentos sem tratamento.</w:t>
      </w:r>
      <w:r w:rsidRPr="00261C41">
        <w:t xml:space="preserve"> Nesses casos, </w:t>
      </w:r>
      <w:r w:rsidRPr="00261C41">
        <w:rPr>
          <w:lang w:eastAsia="x-none"/>
        </w:rPr>
        <w:t>seriam necessárias as seguintes ações:</w:t>
      </w:r>
    </w:p>
    <w:p w:rsidR="00261C41" w:rsidRPr="00261C41" w:rsidRDefault="00261C41" w:rsidP="0066661F">
      <w:pPr>
        <w:numPr>
          <w:ilvl w:val="0"/>
          <w:numId w:val="12"/>
        </w:numPr>
        <w:jc w:val="both"/>
        <w:rPr>
          <w:lang w:eastAsia="x-none"/>
        </w:rPr>
      </w:pPr>
      <w:r w:rsidRPr="00261C41">
        <w:rPr>
          <w:lang w:eastAsia="x-none"/>
        </w:rPr>
        <w:t>Verificar as condições atuais da rede coletora de esgotos e realizar substituições/ampliações necessárias.</w:t>
      </w:r>
    </w:p>
    <w:p w:rsidR="00261C41" w:rsidRPr="00261C41" w:rsidRDefault="00261C41" w:rsidP="0066661F">
      <w:pPr>
        <w:numPr>
          <w:ilvl w:val="0"/>
          <w:numId w:val="12"/>
        </w:numPr>
        <w:jc w:val="both"/>
        <w:rPr>
          <w:lang w:eastAsia="x-none"/>
        </w:rPr>
      </w:pPr>
      <w:r w:rsidRPr="00261C41">
        <w:rPr>
          <w:lang w:eastAsia="x-none"/>
        </w:rPr>
        <w:t>Realizar estudo locacional para implantação do tratamento adequado seja ele fossa séptica coletiva ou ETE.</w:t>
      </w:r>
    </w:p>
    <w:p w:rsidR="00261C41" w:rsidRPr="00261C41" w:rsidRDefault="00261C41" w:rsidP="0066661F">
      <w:pPr>
        <w:numPr>
          <w:ilvl w:val="0"/>
          <w:numId w:val="12"/>
        </w:numPr>
        <w:jc w:val="both"/>
        <w:rPr>
          <w:lang w:eastAsia="x-none"/>
        </w:rPr>
      </w:pPr>
      <w:r w:rsidRPr="00261C41">
        <w:rPr>
          <w:lang w:eastAsia="x-none"/>
        </w:rPr>
        <w:t>Projetar e implantar interceptores e Estações Elevatórias de Esgotos (EEEs), caso necessário, para integrar a rede coletora e afastar os esgotos ao ponto de instalação do tratamento.</w:t>
      </w:r>
    </w:p>
    <w:p w:rsidR="00261C41" w:rsidRPr="00261C41" w:rsidRDefault="00261C41" w:rsidP="0066661F">
      <w:pPr>
        <w:numPr>
          <w:ilvl w:val="0"/>
          <w:numId w:val="12"/>
        </w:numPr>
        <w:jc w:val="both"/>
        <w:rPr>
          <w:lang w:eastAsia="x-none"/>
        </w:rPr>
      </w:pPr>
      <w:r w:rsidRPr="00261C41">
        <w:rPr>
          <w:lang w:eastAsia="x-none"/>
        </w:rPr>
        <w:t>Projetar e implantar o tratamento escolhido.</w:t>
      </w:r>
    </w:p>
    <w:p w:rsidR="00261C41" w:rsidRPr="00261C41" w:rsidRDefault="00261C41" w:rsidP="0066661F">
      <w:pPr>
        <w:numPr>
          <w:ilvl w:val="0"/>
          <w:numId w:val="12"/>
        </w:numPr>
        <w:jc w:val="both"/>
        <w:rPr>
          <w:lang w:eastAsia="x-none"/>
        </w:rPr>
      </w:pPr>
      <w:r w:rsidRPr="00261C41">
        <w:rPr>
          <w:lang w:eastAsia="x-none"/>
        </w:rPr>
        <w:t>Avaliar a necessidade de cobrança dos usuários.</w:t>
      </w:r>
    </w:p>
    <w:p w:rsidR="00261C41" w:rsidRPr="00261C41" w:rsidRDefault="00261C41" w:rsidP="0066661F">
      <w:pPr>
        <w:numPr>
          <w:ilvl w:val="0"/>
          <w:numId w:val="12"/>
        </w:numPr>
        <w:jc w:val="both"/>
        <w:rPr>
          <w:lang w:eastAsia="x-none"/>
        </w:rPr>
      </w:pPr>
      <w:r w:rsidRPr="00261C41">
        <w:rPr>
          <w:lang w:eastAsia="x-none"/>
        </w:rPr>
        <w:t>Administrar o sistema (função realizada pela Prefeitura).</w:t>
      </w:r>
    </w:p>
    <w:p w:rsidR="00261C41" w:rsidRPr="00261C41" w:rsidRDefault="00261C41" w:rsidP="00261C41">
      <w:pPr>
        <w:ind w:firstLine="709"/>
        <w:jc w:val="both"/>
        <w:rPr>
          <w:lang w:eastAsia="x-none"/>
        </w:rPr>
      </w:pPr>
      <w:r w:rsidRPr="00261C41">
        <w:rPr>
          <w:lang w:eastAsia="x-none"/>
        </w:rPr>
        <w:t>Caso haja uma rede interligada e afastamento até um ponto específico, não há a necessidade das ações especificadas nos itens “2” e “3”, porém a ação “1” deve ser complementada por avaliação do sistema de afastamento, no caso de existência de estações elevatórias.</w:t>
      </w:r>
    </w:p>
    <w:p w:rsidR="00261C41" w:rsidRPr="00261C41" w:rsidRDefault="00261C41" w:rsidP="00261C41">
      <w:pPr>
        <w:ind w:firstLine="709"/>
        <w:jc w:val="both"/>
        <w:rPr>
          <w:lang w:eastAsia="x-none"/>
        </w:rPr>
      </w:pPr>
      <w:r w:rsidRPr="00261C41">
        <w:rPr>
          <w:lang w:eastAsia="x-none"/>
        </w:rPr>
        <w:t>Outra situação possível seria já haver algum tipo de tratamento de esgotos, sendo que, neste caso, não seriam necessárias as ações “2”, “3” e “4”, apenas uma complementação da ação “1”, contendo avaliação da infraestrutura e qualidade do tratamento para possíveis reformulações, desativações e/ou ampliações.</w:t>
      </w:r>
    </w:p>
    <w:p w:rsidR="00261C41" w:rsidRPr="00261C41" w:rsidRDefault="00261C41" w:rsidP="00BC01B1">
      <w:pPr>
        <w:pStyle w:val="Ttulo5"/>
      </w:pPr>
      <w:bookmarkStart w:id="831" w:name="_Toc441845931"/>
      <w:bookmarkStart w:id="832" w:name="_Toc488656496"/>
      <w:bookmarkStart w:id="833" w:name="_Toc498352150"/>
      <w:bookmarkStart w:id="834" w:name="_Toc509935540"/>
      <w:r w:rsidRPr="00261C41">
        <w:t>Sistema de esgotamento sanitário individualizado</w:t>
      </w:r>
      <w:bookmarkEnd w:id="831"/>
      <w:bookmarkEnd w:id="832"/>
      <w:bookmarkEnd w:id="833"/>
      <w:bookmarkEnd w:id="834"/>
    </w:p>
    <w:p w:rsidR="00261C41" w:rsidRPr="00261C41" w:rsidRDefault="00261C41" w:rsidP="00261C41">
      <w:pPr>
        <w:ind w:firstLine="709"/>
        <w:jc w:val="both"/>
        <w:rPr>
          <w:lang w:eastAsia="x-none"/>
        </w:rPr>
      </w:pPr>
      <w:r w:rsidRPr="00261C41">
        <w:rPr>
          <w:lang w:eastAsia="x-none"/>
        </w:rPr>
        <w:t>No meio rural também existem diversas localidades com soluções individualizadas, ou seja, cada propriedade tem seu sistema de esgotamento sanitário específico. Nas localidades onde este caso acontece, deve-se:</w:t>
      </w:r>
    </w:p>
    <w:p w:rsidR="00261C41" w:rsidRPr="00261C41" w:rsidRDefault="00261C41" w:rsidP="0066661F">
      <w:pPr>
        <w:numPr>
          <w:ilvl w:val="0"/>
          <w:numId w:val="13"/>
        </w:numPr>
        <w:jc w:val="both"/>
        <w:rPr>
          <w:lang w:eastAsia="x-none"/>
        </w:rPr>
      </w:pPr>
      <w:r w:rsidRPr="00261C41">
        <w:rPr>
          <w:lang w:eastAsia="x-none"/>
        </w:rPr>
        <w:t>Fazer estudo para verificar a possibilidade de implantação de solução coletiva.</w:t>
      </w:r>
    </w:p>
    <w:p w:rsidR="00261C41" w:rsidRPr="00261C41" w:rsidRDefault="00261C41" w:rsidP="0066661F">
      <w:pPr>
        <w:numPr>
          <w:ilvl w:val="1"/>
          <w:numId w:val="13"/>
        </w:numPr>
        <w:jc w:val="both"/>
        <w:rPr>
          <w:lang w:eastAsia="x-none"/>
        </w:rPr>
      </w:pPr>
      <w:r w:rsidRPr="00261C41">
        <w:rPr>
          <w:lang w:eastAsia="x-none"/>
        </w:rPr>
        <w:t xml:space="preserve">Caso a conclusão do estudo seja </w:t>
      </w:r>
      <w:r w:rsidRPr="00261C41">
        <w:rPr>
          <w:u w:val="single"/>
          <w:lang w:eastAsia="x-none"/>
        </w:rPr>
        <w:t>inviável</w:t>
      </w:r>
      <w:r w:rsidRPr="00261C41">
        <w:rPr>
          <w:lang w:eastAsia="x-none"/>
        </w:rPr>
        <w:t>, é necessário incluir a localidade rural no Programa de Esgotamento Sanitário Rural.</w:t>
      </w:r>
    </w:p>
    <w:p w:rsidR="00261C41" w:rsidRPr="00261C41" w:rsidRDefault="00261C41" w:rsidP="0066661F">
      <w:pPr>
        <w:numPr>
          <w:ilvl w:val="1"/>
          <w:numId w:val="13"/>
        </w:numPr>
        <w:jc w:val="both"/>
        <w:rPr>
          <w:lang w:eastAsia="x-none"/>
        </w:rPr>
      </w:pPr>
      <w:r w:rsidRPr="00261C41">
        <w:rPr>
          <w:lang w:eastAsia="x-none"/>
        </w:rPr>
        <w:t xml:space="preserve">Caso a conclusão do estudo seja </w:t>
      </w:r>
      <w:r w:rsidRPr="00261C41">
        <w:rPr>
          <w:u w:val="single"/>
          <w:lang w:eastAsia="x-none"/>
        </w:rPr>
        <w:t>viável</w:t>
      </w:r>
      <w:r w:rsidRPr="00261C41">
        <w:rPr>
          <w:lang w:eastAsia="x-none"/>
        </w:rPr>
        <w:t>, é necessário:</w:t>
      </w:r>
    </w:p>
    <w:p w:rsidR="00261C41" w:rsidRPr="00261C41" w:rsidRDefault="00261C41" w:rsidP="0066661F">
      <w:pPr>
        <w:numPr>
          <w:ilvl w:val="2"/>
          <w:numId w:val="13"/>
        </w:numPr>
        <w:jc w:val="both"/>
        <w:rPr>
          <w:lang w:eastAsia="x-none"/>
        </w:rPr>
      </w:pPr>
      <w:r w:rsidRPr="00261C41">
        <w:rPr>
          <w:lang w:eastAsia="x-none"/>
        </w:rPr>
        <w:t>Realizar estudo locacional para implantação do tratamento seja ele fossa séptica coletiva ou ETE.</w:t>
      </w:r>
    </w:p>
    <w:p w:rsidR="00261C41" w:rsidRPr="00261C41" w:rsidRDefault="00261C41" w:rsidP="0066661F">
      <w:pPr>
        <w:numPr>
          <w:ilvl w:val="2"/>
          <w:numId w:val="13"/>
        </w:numPr>
        <w:jc w:val="both"/>
        <w:rPr>
          <w:lang w:eastAsia="x-none"/>
        </w:rPr>
      </w:pPr>
      <w:r w:rsidRPr="00261C41">
        <w:rPr>
          <w:lang w:eastAsia="x-none"/>
        </w:rPr>
        <w:lastRenderedPageBreak/>
        <w:t>Projetar e implantar rede coletora integrada com interceptores e estações elevatórias caso necessário, coletando e afastando os esgotos ao ponto de instalação do tratamento dos mesmos.</w:t>
      </w:r>
    </w:p>
    <w:p w:rsidR="00261C41" w:rsidRPr="00261C41" w:rsidRDefault="00261C41" w:rsidP="0066661F">
      <w:pPr>
        <w:numPr>
          <w:ilvl w:val="2"/>
          <w:numId w:val="13"/>
        </w:numPr>
        <w:jc w:val="both"/>
        <w:rPr>
          <w:lang w:eastAsia="x-none"/>
        </w:rPr>
      </w:pPr>
      <w:r w:rsidRPr="00261C41">
        <w:rPr>
          <w:lang w:eastAsia="x-none"/>
        </w:rPr>
        <w:t>Projetar, implantar e operar o tratamento de esgotos escolhido.</w:t>
      </w:r>
    </w:p>
    <w:p w:rsidR="00261C41" w:rsidRPr="00261C41" w:rsidRDefault="00261C41" w:rsidP="0066661F">
      <w:pPr>
        <w:numPr>
          <w:ilvl w:val="2"/>
          <w:numId w:val="13"/>
        </w:numPr>
        <w:jc w:val="both"/>
        <w:rPr>
          <w:lang w:eastAsia="x-none"/>
        </w:rPr>
      </w:pPr>
      <w:r w:rsidRPr="00261C41">
        <w:rPr>
          <w:lang w:eastAsia="x-none"/>
        </w:rPr>
        <w:t>Avaliar a necessidade de cobrança dos usuários.</w:t>
      </w:r>
    </w:p>
    <w:p w:rsidR="00261C41" w:rsidRPr="00261C41" w:rsidRDefault="00261C41" w:rsidP="0066661F">
      <w:pPr>
        <w:numPr>
          <w:ilvl w:val="2"/>
          <w:numId w:val="13"/>
        </w:numPr>
        <w:jc w:val="both"/>
        <w:rPr>
          <w:lang w:eastAsia="x-none"/>
        </w:rPr>
      </w:pPr>
      <w:r w:rsidRPr="00261C41">
        <w:rPr>
          <w:lang w:eastAsia="x-none"/>
        </w:rPr>
        <w:t>Administrar o sistema (função realizada pela Prefeitura).</w:t>
      </w:r>
    </w:p>
    <w:p w:rsidR="00261C41" w:rsidRPr="00261C41" w:rsidRDefault="00261C41" w:rsidP="00BC01B1">
      <w:pPr>
        <w:pStyle w:val="Ttulo4"/>
      </w:pPr>
      <w:bookmarkStart w:id="835" w:name="_Toc441845933"/>
      <w:bookmarkStart w:id="836" w:name="_Toc488656497"/>
      <w:bookmarkStart w:id="837" w:name="_Toc498352151"/>
      <w:bookmarkStart w:id="838" w:name="_Toc509935541"/>
      <w:r w:rsidRPr="00261C41">
        <w:t>Programa de Esgotamento Sanitário Rural (PESR)</w:t>
      </w:r>
      <w:bookmarkEnd w:id="835"/>
      <w:bookmarkEnd w:id="836"/>
      <w:bookmarkEnd w:id="837"/>
      <w:bookmarkEnd w:id="838"/>
    </w:p>
    <w:p w:rsidR="00261C41" w:rsidRPr="00261C41" w:rsidRDefault="00261C41" w:rsidP="00261C41">
      <w:pPr>
        <w:ind w:firstLine="709"/>
        <w:jc w:val="both"/>
        <w:rPr>
          <w:lang w:eastAsia="x-none"/>
        </w:rPr>
      </w:pPr>
      <w:r w:rsidRPr="00261C41">
        <w:rPr>
          <w:lang w:eastAsia="x-none"/>
        </w:rPr>
        <w:t xml:space="preserve">Juntamente com o </w:t>
      </w:r>
      <w:r w:rsidRPr="00261C41">
        <w:rPr>
          <w:i/>
          <w:lang w:eastAsia="x-none"/>
        </w:rPr>
        <w:t>Programa de Aferição da Qualidade da Água Rural</w:t>
      </w:r>
      <w:r w:rsidRPr="00261C41">
        <w:rPr>
          <w:lang w:eastAsia="x-none"/>
        </w:rPr>
        <w:t xml:space="preserve">, o </w:t>
      </w:r>
      <w:r w:rsidRPr="00261C41">
        <w:rPr>
          <w:i/>
          <w:lang w:eastAsia="x-none"/>
        </w:rPr>
        <w:t>Programa de Esgotamento Sanitário Rural</w:t>
      </w:r>
      <w:r w:rsidRPr="00261C41">
        <w:rPr>
          <w:lang w:eastAsia="x-none"/>
        </w:rPr>
        <w:t xml:space="preserve"> seria fruto da parceria entre Secretaria da Saúde/Vigilância Sanitária, Secretaria da Educação, Assistência Social, </w:t>
      </w:r>
      <w:r w:rsidRPr="00261C41">
        <w:rPr>
          <w:lang w:eastAsia="pt-BR"/>
        </w:rPr>
        <w:t>Secretaria de Obras, Transportes e Serviços e Secretaria de Meio Ambiente</w:t>
      </w:r>
      <w:r w:rsidRPr="00261C41">
        <w:rPr>
          <w:lang w:eastAsia="x-none"/>
        </w:rPr>
        <w:t xml:space="preserve">. </w:t>
      </w:r>
    </w:p>
    <w:p w:rsidR="00261C41" w:rsidRPr="00261C41" w:rsidRDefault="00261C41" w:rsidP="00261C41">
      <w:pPr>
        <w:ind w:firstLine="709"/>
        <w:jc w:val="both"/>
        <w:rPr>
          <w:lang w:eastAsia="x-none"/>
        </w:rPr>
      </w:pPr>
      <w:r w:rsidRPr="00261C41">
        <w:rPr>
          <w:lang w:eastAsia="x-none"/>
        </w:rPr>
        <w:t>O PESR consiste na formação de um grupo de trabalho composto por agentes de saúde, agentes sociais, educadores de escolas da área rural e técnicos sanitaristas, que efetuariam mutirões nas propriedades rurais isoladas do município para aferir a situação do esgotamento sanitário e a qualidade das propriedades, informando a população residente. Salienta-se que é possível criar um só grupo para os dois programas.</w:t>
      </w:r>
    </w:p>
    <w:p w:rsidR="00261C41" w:rsidRPr="00261C41" w:rsidRDefault="00261C41" w:rsidP="00261C41">
      <w:pPr>
        <w:ind w:firstLine="709"/>
        <w:jc w:val="both"/>
        <w:rPr>
          <w:lang w:eastAsia="x-none"/>
        </w:rPr>
      </w:pPr>
      <w:r w:rsidRPr="00261C41">
        <w:rPr>
          <w:lang w:eastAsia="x-none"/>
        </w:rPr>
        <w:t>O mutirão serviria, inicialmente, para realizar o cadastramento das propriedades rurais de acordo com o tipo de solução adotada, qualidade do tratamento e da infraestrutura instalada e demanda da propriedade. Posteriormente, teria a função de instalar as soluções ideais, monitorar as melhorias do tratamento de esgotos e da qualidade do corpo receptor (quando houver), verificar como está o manejo dos resíduos gerados e sempre atualizar o cadastro. A periodicidade dos mutirões poderia ser semestral e ocorrer juntamente com o programa de água, já que o ideal é criar um grupo único para ambos os Programas.</w:t>
      </w:r>
    </w:p>
    <w:p w:rsidR="00261C41" w:rsidRPr="00261C41" w:rsidRDefault="00261C41" w:rsidP="00261C41">
      <w:pPr>
        <w:ind w:firstLine="709"/>
        <w:jc w:val="both"/>
        <w:rPr>
          <w:lang w:eastAsia="x-none"/>
        </w:rPr>
      </w:pPr>
    </w:p>
    <w:p w:rsidR="00261C41" w:rsidRDefault="00261C41" w:rsidP="00261C41">
      <w:pPr>
        <w:rPr>
          <w:lang w:eastAsia="x-none"/>
        </w:rPr>
      </w:pPr>
    </w:p>
    <w:p w:rsidR="00261C41" w:rsidRDefault="00261C41" w:rsidP="00261C41">
      <w:pPr>
        <w:rPr>
          <w:lang w:eastAsia="x-none"/>
        </w:rPr>
      </w:pPr>
    </w:p>
    <w:p w:rsidR="00261C41" w:rsidRPr="00261C41" w:rsidRDefault="00261C41" w:rsidP="00261C41">
      <w:pPr>
        <w:rPr>
          <w:lang w:eastAsia="x-none"/>
        </w:rPr>
      </w:pPr>
    </w:p>
    <w:p w:rsidR="00AC0DC7" w:rsidRPr="00764603" w:rsidRDefault="00AC0DC7" w:rsidP="00BC01B1">
      <w:pPr>
        <w:pStyle w:val="Ttulo3"/>
      </w:pPr>
      <w:bookmarkStart w:id="839" w:name="_Toc441845934"/>
      <w:bookmarkStart w:id="840" w:name="_Toc488656498"/>
      <w:bookmarkStart w:id="841" w:name="_Toc498594051"/>
      <w:bookmarkStart w:id="842" w:name="_Toc509935542"/>
      <w:bookmarkEnd w:id="817"/>
      <w:bookmarkEnd w:id="818"/>
      <w:r w:rsidRPr="00764603">
        <w:lastRenderedPageBreak/>
        <w:t>Ações para emergência e contingência</w:t>
      </w:r>
      <w:bookmarkEnd w:id="839"/>
      <w:bookmarkEnd w:id="840"/>
      <w:bookmarkEnd w:id="841"/>
      <w:bookmarkEnd w:id="842"/>
    </w:p>
    <w:p w:rsidR="00AC0DC7" w:rsidRDefault="00AC0DC7" w:rsidP="00AC0DC7">
      <w:pPr>
        <w:spacing w:before="120" w:after="120"/>
        <w:ind w:firstLine="708"/>
        <w:contextualSpacing/>
        <w:jc w:val="both"/>
        <w:rPr>
          <w:rFonts w:cs="Arial"/>
          <w:szCs w:val="24"/>
          <w:lang w:eastAsia="pt-BR"/>
        </w:rPr>
      </w:pPr>
      <w:r w:rsidRPr="00764603">
        <w:rPr>
          <w:rFonts w:cs="Arial"/>
          <w:szCs w:val="24"/>
          <w:lang w:eastAsia="pt-BR"/>
        </w:rPr>
        <w:t xml:space="preserve">A seguir estão listadas as </w:t>
      </w:r>
      <w:r w:rsidR="00EC6DD7">
        <w:rPr>
          <w:rFonts w:cs="Arial"/>
          <w:szCs w:val="24"/>
          <w:lang w:eastAsia="pt-BR"/>
        </w:rPr>
        <w:t xml:space="preserve">principais </w:t>
      </w:r>
      <w:r w:rsidRPr="00764603">
        <w:rPr>
          <w:rFonts w:cs="Arial"/>
          <w:szCs w:val="24"/>
          <w:lang w:eastAsia="pt-BR"/>
        </w:rPr>
        <w:t>ações de eventos de emergência e contingência relacionados ao SES e suas possíveis soluções. A fim de facilitar a compreensão, esses eventos foram separados em operacionais, de gestão e gerenciamento, e imprevisíveis.</w:t>
      </w:r>
    </w:p>
    <w:p w:rsidR="00AC0DC7" w:rsidRPr="00764603" w:rsidRDefault="00EC6DD7" w:rsidP="00BC01B1">
      <w:pPr>
        <w:pStyle w:val="Ttulo4"/>
      </w:pPr>
      <w:bookmarkStart w:id="843" w:name="_Toc441845935"/>
      <w:bookmarkStart w:id="844" w:name="_Toc488656499"/>
      <w:bookmarkStart w:id="845" w:name="_Toc498594052"/>
      <w:bookmarkStart w:id="846" w:name="_Toc509935543"/>
      <w:r>
        <w:t xml:space="preserve">Eventos </w:t>
      </w:r>
      <w:bookmarkEnd w:id="843"/>
      <w:bookmarkEnd w:id="844"/>
      <w:bookmarkEnd w:id="845"/>
      <w:r w:rsidR="00615E6E">
        <w:t>operacionais</w:t>
      </w:r>
      <w:bookmarkEnd w:id="846"/>
    </w:p>
    <w:p w:rsidR="00AC0DC7" w:rsidRPr="00764603" w:rsidRDefault="00AC0DC7" w:rsidP="00C817CB">
      <w:pPr>
        <w:pStyle w:val="PargrafodaLista"/>
        <w:numPr>
          <w:ilvl w:val="0"/>
          <w:numId w:val="4"/>
        </w:numPr>
        <w:tabs>
          <w:tab w:val="left" w:pos="993"/>
        </w:tabs>
        <w:spacing w:before="120" w:after="120"/>
        <w:ind w:left="0" w:firstLine="709"/>
        <w:rPr>
          <w:lang w:val="pt-BR" w:eastAsia="pt-BR"/>
        </w:rPr>
      </w:pPr>
      <w:r w:rsidRPr="00764603">
        <w:rPr>
          <w:b/>
          <w:lang w:val="pt-BR" w:eastAsia="pt-BR"/>
        </w:rPr>
        <w:t xml:space="preserve">Rompimento da tubulação de esgoto: </w:t>
      </w:r>
      <w:r w:rsidRPr="00764603">
        <w:rPr>
          <w:lang w:val="pt-BR" w:eastAsia="pt-BR"/>
        </w:rPr>
        <w:t xml:space="preserve">formar barreira de contenção para limitar raio ou curso de propagação do vazamento, seja no solo ou em curso d’água; isolar a área para não haver contato com outras áreas que não foram contaminadas; comunicar à população, instituições e autoridades; realizar reparos e remediar a área contaminada. </w:t>
      </w:r>
      <w:r w:rsidRPr="00764603">
        <w:rPr>
          <w:b/>
          <w:lang w:val="pt-BR" w:eastAsia="pt-BR"/>
        </w:rPr>
        <w:t>Responsável:</w:t>
      </w:r>
      <w:r w:rsidRPr="00764603">
        <w:rPr>
          <w:lang w:val="pt-BR" w:eastAsia="pt-BR"/>
        </w:rPr>
        <w:t xml:space="preserve"> prestador dos serviços de esgotamento sanitário.</w:t>
      </w:r>
    </w:p>
    <w:p w:rsidR="00AC0DC7" w:rsidRPr="00764603" w:rsidRDefault="00AC0DC7" w:rsidP="00C817CB">
      <w:pPr>
        <w:pStyle w:val="PargrafodaLista"/>
        <w:numPr>
          <w:ilvl w:val="0"/>
          <w:numId w:val="4"/>
        </w:numPr>
        <w:tabs>
          <w:tab w:val="left" w:pos="993"/>
        </w:tabs>
        <w:spacing w:before="120" w:after="120"/>
        <w:ind w:left="0" w:firstLine="709"/>
        <w:rPr>
          <w:lang w:val="pt-BR" w:eastAsia="pt-BR"/>
        </w:rPr>
      </w:pPr>
      <w:r w:rsidRPr="00764603">
        <w:rPr>
          <w:b/>
          <w:lang w:val="pt-BR" w:eastAsia="pt-BR"/>
        </w:rPr>
        <w:t>Ocorrência de retorno de esgoto nos imóveis</w:t>
      </w:r>
      <w:r w:rsidRPr="00764603">
        <w:rPr>
          <w:lang w:val="pt-BR" w:eastAsia="pt-BR"/>
        </w:rPr>
        <w:t>: comunicar à população, instituições e autoridades; procurar local na rede onde está o entupimento; e realizar a manutenção corretiva da rede.</w:t>
      </w:r>
      <w:r w:rsidRPr="00764603">
        <w:rPr>
          <w:rFonts w:cs="Arial"/>
          <w:b/>
          <w:szCs w:val="24"/>
          <w:lang w:val="pt-BR" w:eastAsia="pt-BR"/>
        </w:rPr>
        <w:t xml:space="preserve"> Responsável:</w:t>
      </w:r>
      <w:r w:rsidRPr="00764603">
        <w:rPr>
          <w:rFonts w:cs="Arial"/>
          <w:szCs w:val="24"/>
          <w:lang w:val="pt-BR" w:eastAsia="pt-BR"/>
        </w:rPr>
        <w:t xml:space="preserve"> prestador dos serviços de esgotamento sanitário.</w:t>
      </w:r>
    </w:p>
    <w:p w:rsidR="00AC0DC7" w:rsidRPr="00764603" w:rsidRDefault="00AC0DC7" w:rsidP="00C817CB">
      <w:pPr>
        <w:pStyle w:val="PargrafodaLista"/>
        <w:numPr>
          <w:ilvl w:val="0"/>
          <w:numId w:val="4"/>
        </w:numPr>
        <w:tabs>
          <w:tab w:val="left" w:pos="993"/>
        </w:tabs>
        <w:spacing w:before="120" w:after="120"/>
        <w:ind w:left="0" w:firstLine="709"/>
        <w:rPr>
          <w:rFonts w:cs="Arial"/>
          <w:szCs w:val="24"/>
          <w:lang w:val="pt-BR" w:eastAsia="pt-BR"/>
        </w:rPr>
      </w:pPr>
      <w:r w:rsidRPr="00764603">
        <w:rPr>
          <w:rFonts w:cs="Arial"/>
          <w:b/>
          <w:szCs w:val="24"/>
          <w:lang w:val="pt-BR" w:eastAsia="pt-BR"/>
        </w:rPr>
        <w:t>Ocorrência de avarias nos sistemas de bombeamento</w:t>
      </w:r>
      <w:r w:rsidRPr="00764603">
        <w:rPr>
          <w:rFonts w:cs="Arial"/>
          <w:szCs w:val="24"/>
          <w:lang w:val="pt-BR" w:eastAsia="pt-BR"/>
        </w:rPr>
        <w:t>: acionar equipamentos reserva; iniciar manutenções preventivas e corretivas; e comunicar à população, instituições e autoridades.</w:t>
      </w:r>
      <w:r w:rsidRPr="00764603">
        <w:rPr>
          <w:rFonts w:cs="Arial"/>
          <w:b/>
          <w:szCs w:val="24"/>
          <w:lang w:val="pt-BR" w:eastAsia="pt-BR"/>
        </w:rPr>
        <w:t xml:space="preserve"> Responsável:</w:t>
      </w:r>
      <w:r w:rsidRPr="00764603">
        <w:rPr>
          <w:rFonts w:cs="Arial"/>
          <w:szCs w:val="24"/>
          <w:lang w:val="pt-BR" w:eastAsia="pt-BR"/>
        </w:rPr>
        <w:t xml:space="preserve"> prestador dos serviços de esgotamento sanitário.</w:t>
      </w:r>
    </w:p>
    <w:p w:rsidR="00AC0DC7" w:rsidRPr="00764603" w:rsidRDefault="00AC0DC7" w:rsidP="00C817CB">
      <w:pPr>
        <w:pStyle w:val="PargrafodaLista"/>
        <w:numPr>
          <w:ilvl w:val="0"/>
          <w:numId w:val="4"/>
        </w:numPr>
        <w:tabs>
          <w:tab w:val="left" w:pos="993"/>
        </w:tabs>
        <w:spacing w:before="120" w:after="120"/>
        <w:ind w:left="0" w:firstLine="709"/>
        <w:rPr>
          <w:lang w:val="pt-BR" w:eastAsia="pt-BR"/>
        </w:rPr>
      </w:pPr>
      <w:r w:rsidRPr="00764603">
        <w:rPr>
          <w:b/>
          <w:lang w:val="pt-BR" w:eastAsia="pt-BR"/>
        </w:rPr>
        <w:t>Ocorrência de danos às estruturas e equipamentos nas instalações de tratamento de esgoto</w:t>
      </w:r>
      <w:r w:rsidRPr="00764603">
        <w:rPr>
          <w:lang w:val="pt-BR" w:eastAsia="pt-BR"/>
        </w:rPr>
        <w:t xml:space="preserve">: existem diversos tipos de estações de tratamento e, para cada uma, podem ser realizadas diferentes ações para minimizar os danos desta ocorrência. Geralmente, os equipamentos têm unidades reserva. O tratamento preliminar (gradeamento e caixa de areia), via de regra, é constituído de dois possíveis fluxos para que possibilite a transferência do fluxo da unidade em funcionamento e que venha necessitar de reparos, para a outra unidade que estava ociosa. As demais unidades ou estruturas não são construídas em duplicidade, pois essa condição aumentaria os custos de instalação e os equipamentos reserva ficariam por muito tempo parados, sem utilização. Nesse sentido, se houver apenas um equipamento, a correção é uma simples substituição. Já se for do tratamento preliminar, a correção é encaminhar o fluxo à unidade ociosa e reparar o dano da unidade principal. Em contrapartida, as </w:t>
      </w:r>
      <w:r w:rsidRPr="00764603">
        <w:rPr>
          <w:lang w:val="pt-BR" w:eastAsia="pt-BR"/>
        </w:rPr>
        <w:lastRenderedPageBreak/>
        <w:t>demais unidades necessitariam parar sua operação e transferir a vazão para as demais unidades da mesma etapa, resultando diminuição da capacidade e da eficiência do tratamento de esgotos. Por exemplo, no caso de um problema num tanque de aeração, fecha-se a entrada do tanque, dividindo-se a vazão pelos demais tanques, cujas entradas estão abertas, que necessitarão ficar mais tempo em aeração, demandando maior consumo energético. De qualquer forma, com um tanque a menos, a eficiência e a capacidade de tratamento diminuirão. É importante ressaltar que se deve determinar o prazo para manutenção do problema, visto que a qualidade do efluente do tratamento será inferior à esperada. Além disso, em caso de vazamentos nas estruturas avariadas, é necessário realizar as ações já definidas anteriormente, nos rompimentos de tubulações.</w:t>
      </w:r>
      <w:r w:rsidRPr="00764603">
        <w:rPr>
          <w:rFonts w:cs="Arial"/>
          <w:b/>
          <w:szCs w:val="24"/>
          <w:lang w:val="pt-BR" w:eastAsia="pt-BR"/>
        </w:rPr>
        <w:t xml:space="preserve"> Responsável:</w:t>
      </w:r>
      <w:r w:rsidRPr="00764603">
        <w:rPr>
          <w:rFonts w:cs="Arial"/>
          <w:szCs w:val="24"/>
          <w:lang w:val="pt-BR" w:eastAsia="pt-BR"/>
        </w:rPr>
        <w:t xml:space="preserve"> prestador dos serviços de esgotamento sanitário.</w:t>
      </w:r>
    </w:p>
    <w:p w:rsidR="00AC0DC7" w:rsidRPr="00764603" w:rsidRDefault="00AC0DC7" w:rsidP="00C817CB">
      <w:pPr>
        <w:pStyle w:val="PargrafodaLista"/>
        <w:numPr>
          <w:ilvl w:val="0"/>
          <w:numId w:val="4"/>
        </w:numPr>
        <w:tabs>
          <w:tab w:val="left" w:pos="993"/>
        </w:tabs>
        <w:spacing w:before="120" w:after="120"/>
        <w:ind w:left="0" w:firstLine="709"/>
        <w:rPr>
          <w:rFonts w:cs="Arial"/>
          <w:szCs w:val="24"/>
          <w:lang w:val="pt-BR" w:eastAsia="pt-BR"/>
        </w:rPr>
      </w:pPr>
      <w:r w:rsidRPr="00764603">
        <w:rPr>
          <w:rFonts w:cs="Arial"/>
          <w:b/>
          <w:szCs w:val="24"/>
          <w:lang w:val="pt-BR" w:eastAsia="pt-BR"/>
        </w:rPr>
        <w:t>Ocorrência de vazamentos de produtos químicos nas instalações de tratamento de esgoto</w:t>
      </w:r>
      <w:r w:rsidRPr="00764603">
        <w:rPr>
          <w:rFonts w:cs="Arial"/>
          <w:szCs w:val="24"/>
          <w:lang w:val="pt-BR" w:eastAsia="pt-BR"/>
        </w:rPr>
        <w:t>: iniciar processo de evacuação do local e comunicar às instituições e autoridades que realizam os trabalhos de contenção e remediação.</w:t>
      </w:r>
      <w:r w:rsidRPr="00764603">
        <w:rPr>
          <w:rFonts w:cs="Arial"/>
          <w:b/>
          <w:szCs w:val="24"/>
          <w:lang w:val="pt-BR" w:eastAsia="pt-BR"/>
        </w:rPr>
        <w:t xml:space="preserve"> Responsável:</w:t>
      </w:r>
      <w:r w:rsidRPr="00764603">
        <w:rPr>
          <w:rFonts w:cs="Arial"/>
          <w:szCs w:val="24"/>
          <w:lang w:val="pt-BR" w:eastAsia="pt-BR"/>
        </w:rPr>
        <w:t xml:space="preserve"> prestador dos serviços de esgotamento sanitário.</w:t>
      </w:r>
    </w:p>
    <w:p w:rsidR="00AC0DC7" w:rsidRPr="00764603" w:rsidRDefault="00AC0DC7" w:rsidP="00C817CB">
      <w:pPr>
        <w:pStyle w:val="PargrafodaLista"/>
        <w:numPr>
          <w:ilvl w:val="0"/>
          <w:numId w:val="4"/>
        </w:numPr>
        <w:tabs>
          <w:tab w:val="left" w:pos="993"/>
        </w:tabs>
        <w:spacing w:before="120" w:after="120"/>
        <w:ind w:left="0" w:firstLine="709"/>
        <w:rPr>
          <w:rFonts w:cs="Arial"/>
          <w:szCs w:val="24"/>
          <w:lang w:val="pt-BR" w:eastAsia="pt-BR"/>
        </w:rPr>
      </w:pPr>
      <w:r w:rsidRPr="00764603">
        <w:rPr>
          <w:rFonts w:cs="Arial"/>
          <w:b/>
          <w:szCs w:val="24"/>
          <w:lang w:val="pt-BR" w:eastAsia="pt-BR"/>
        </w:rPr>
        <w:t>Ocorrência de acidentes de trabalho nas unidades de bombeamento e tratamento de esgoto</w:t>
      </w:r>
      <w:r w:rsidRPr="00764603">
        <w:rPr>
          <w:rFonts w:cs="Arial"/>
          <w:szCs w:val="24"/>
          <w:lang w:val="pt-BR" w:eastAsia="pt-BR"/>
        </w:rPr>
        <w:t>:</w:t>
      </w:r>
      <w:r w:rsidRPr="00764603">
        <w:rPr>
          <w:rFonts w:cs="Arial"/>
          <w:b/>
          <w:szCs w:val="24"/>
          <w:lang w:val="pt-BR" w:eastAsia="pt-BR"/>
        </w:rPr>
        <w:t xml:space="preserve"> </w:t>
      </w:r>
      <w:r w:rsidRPr="00764603">
        <w:rPr>
          <w:rFonts w:cs="Arial"/>
          <w:szCs w:val="24"/>
          <w:lang w:val="pt-BR" w:eastAsia="pt-BR"/>
        </w:rPr>
        <w:t>iniciar primeiros socorros; comunicar aos socorristas; substituir função do operário lesionado, atribuindo-a a outro funcionário por período temporário.</w:t>
      </w:r>
      <w:r w:rsidRPr="00764603">
        <w:rPr>
          <w:rFonts w:cs="Arial"/>
          <w:b/>
          <w:szCs w:val="24"/>
          <w:lang w:val="pt-BR" w:eastAsia="pt-BR"/>
        </w:rPr>
        <w:t xml:space="preserve"> Responsável:</w:t>
      </w:r>
      <w:r w:rsidRPr="00764603">
        <w:rPr>
          <w:rFonts w:cs="Arial"/>
          <w:szCs w:val="24"/>
          <w:lang w:val="pt-BR" w:eastAsia="pt-BR"/>
        </w:rPr>
        <w:t xml:space="preserve"> prestador dos serviços de esgotamento sanitário.</w:t>
      </w:r>
    </w:p>
    <w:p w:rsidR="00AC0DC7" w:rsidRPr="00764603" w:rsidRDefault="00AC0DC7" w:rsidP="00C817CB">
      <w:pPr>
        <w:pStyle w:val="PargrafodaLista"/>
        <w:numPr>
          <w:ilvl w:val="0"/>
          <w:numId w:val="4"/>
        </w:numPr>
        <w:tabs>
          <w:tab w:val="left" w:pos="993"/>
        </w:tabs>
        <w:spacing w:before="120" w:after="120"/>
        <w:ind w:left="0" w:firstLine="709"/>
        <w:rPr>
          <w:rFonts w:cs="Arial"/>
          <w:szCs w:val="24"/>
          <w:lang w:val="pt-BR" w:eastAsia="pt-BR"/>
        </w:rPr>
      </w:pPr>
      <w:bookmarkStart w:id="847" w:name="_Toc441845936"/>
      <w:bookmarkStart w:id="848" w:name="_Toc488656500"/>
      <w:r w:rsidRPr="00764603">
        <w:rPr>
          <w:rFonts w:cs="Arial"/>
          <w:b/>
          <w:szCs w:val="24"/>
          <w:lang w:val="pt-BR" w:eastAsia="pt-BR"/>
        </w:rPr>
        <w:t>Interrupção no fornecimento de energia elétrica em sistemas de bombeamento</w:t>
      </w:r>
      <w:r w:rsidRPr="00764603">
        <w:rPr>
          <w:rFonts w:cs="Arial"/>
          <w:szCs w:val="24"/>
          <w:lang w:val="pt-BR" w:eastAsia="pt-BR"/>
        </w:rPr>
        <w:t>: comunicar à companhia fornecedora de energia elétrica, população, instituições e autoridades; conter o fluxo dos possíveis vazamentos; e isolar a área, instalar tanques de acumulação do esgoto extravasado, com o objetivo de evitar contaminação do solo e água</w:t>
      </w:r>
      <w:r w:rsidRPr="00764603">
        <w:rPr>
          <w:lang w:val="pt-BR" w:eastAsia="pt-BR"/>
        </w:rPr>
        <w:t>.</w:t>
      </w:r>
      <w:r w:rsidRPr="00764603">
        <w:rPr>
          <w:rFonts w:cs="Arial"/>
          <w:b/>
          <w:szCs w:val="24"/>
          <w:lang w:val="pt-BR" w:eastAsia="pt-BR"/>
        </w:rPr>
        <w:t xml:space="preserve"> Responsável:</w:t>
      </w:r>
      <w:r w:rsidRPr="00764603">
        <w:rPr>
          <w:rFonts w:cs="Arial"/>
          <w:szCs w:val="24"/>
          <w:lang w:val="pt-BR" w:eastAsia="pt-BR"/>
        </w:rPr>
        <w:t xml:space="preserve"> prestador dos serviços de esgotamento sanitário.</w:t>
      </w:r>
    </w:p>
    <w:p w:rsidR="00AC0DC7" w:rsidRPr="00764603" w:rsidRDefault="00EC6DD7" w:rsidP="00BC01B1">
      <w:pPr>
        <w:pStyle w:val="Ttulo4"/>
      </w:pPr>
      <w:bookmarkStart w:id="849" w:name="_Toc498594053"/>
      <w:bookmarkStart w:id="850" w:name="_Toc509935544"/>
      <w:r>
        <w:rPr>
          <w:lang w:val="pt-BR"/>
        </w:rPr>
        <w:t>Eventos de g</w:t>
      </w:r>
      <w:r w:rsidR="00AC0DC7" w:rsidRPr="00764603">
        <w:t>estão e gerenciamento</w:t>
      </w:r>
      <w:bookmarkEnd w:id="847"/>
      <w:bookmarkEnd w:id="848"/>
      <w:bookmarkEnd w:id="849"/>
      <w:bookmarkEnd w:id="850"/>
    </w:p>
    <w:p w:rsidR="00AC0DC7" w:rsidRPr="00764603" w:rsidRDefault="00AC0DC7" w:rsidP="00C817CB">
      <w:pPr>
        <w:pStyle w:val="PargrafodaLista"/>
        <w:numPr>
          <w:ilvl w:val="0"/>
          <w:numId w:val="4"/>
        </w:numPr>
        <w:tabs>
          <w:tab w:val="left" w:pos="993"/>
        </w:tabs>
        <w:spacing w:before="120" w:after="120"/>
        <w:ind w:left="0" w:firstLine="709"/>
        <w:rPr>
          <w:lang w:val="pt-BR" w:eastAsia="pt-BR"/>
        </w:rPr>
      </w:pPr>
      <w:r w:rsidRPr="00764603">
        <w:rPr>
          <w:b/>
          <w:lang w:val="pt-BR" w:eastAsia="pt-BR"/>
        </w:rPr>
        <w:t>Paralisação de funcionários nas unidades de bombeamento e tratamento de esgoto</w:t>
      </w:r>
      <w:r w:rsidRPr="00764603">
        <w:rPr>
          <w:lang w:val="pt-BR" w:eastAsia="pt-BR"/>
        </w:rPr>
        <w:t xml:space="preserve">: </w:t>
      </w:r>
      <w:r w:rsidRPr="00764603">
        <w:rPr>
          <w:rFonts w:cs="Arial"/>
          <w:szCs w:val="24"/>
          <w:lang w:val="pt-BR" w:eastAsia="pt-BR"/>
        </w:rPr>
        <w:t>comunicar à população, instituições e autoridades; iniciar processo de negociações; e atribuir funções temporárias aos funcionários não paralisados</w:t>
      </w:r>
      <w:r w:rsidRPr="00764603">
        <w:rPr>
          <w:lang w:val="pt-BR" w:eastAsia="pt-BR"/>
        </w:rPr>
        <w:t>.</w:t>
      </w:r>
      <w:r w:rsidRPr="00764603">
        <w:rPr>
          <w:rFonts w:cs="Arial"/>
          <w:b/>
          <w:szCs w:val="24"/>
          <w:lang w:val="pt-BR" w:eastAsia="pt-BR"/>
        </w:rPr>
        <w:t xml:space="preserve"> Responsável:</w:t>
      </w:r>
      <w:r w:rsidRPr="00764603">
        <w:rPr>
          <w:rFonts w:cs="Arial"/>
          <w:szCs w:val="24"/>
          <w:lang w:val="pt-BR" w:eastAsia="pt-BR"/>
        </w:rPr>
        <w:t xml:space="preserve"> prestador dos serviços de esgotamento sanitário.</w:t>
      </w:r>
    </w:p>
    <w:p w:rsidR="00AC0DC7" w:rsidRPr="00764603" w:rsidRDefault="00AC0DC7" w:rsidP="00C817CB">
      <w:pPr>
        <w:pStyle w:val="PargrafodaLista"/>
        <w:numPr>
          <w:ilvl w:val="0"/>
          <w:numId w:val="4"/>
        </w:numPr>
        <w:tabs>
          <w:tab w:val="left" w:pos="993"/>
        </w:tabs>
        <w:spacing w:before="120" w:after="120"/>
        <w:ind w:left="0" w:firstLine="709"/>
        <w:rPr>
          <w:rFonts w:cs="Arial"/>
          <w:szCs w:val="24"/>
          <w:lang w:val="pt-BR" w:eastAsia="pt-BR"/>
        </w:rPr>
      </w:pPr>
      <w:r w:rsidRPr="00764603">
        <w:rPr>
          <w:b/>
          <w:lang w:val="pt-BR" w:eastAsia="pt-BR"/>
        </w:rPr>
        <w:lastRenderedPageBreak/>
        <w:t>Falta de financiamento para o sistema operacional e realização de manutenções:</w:t>
      </w:r>
      <w:r w:rsidRPr="00764603">
        <w:rPr>
          <w:lang w:val="pt-BR" w:eastAsia="pt-BR"/>
        </w:rPr>
        <w:t xml:space="preserve"> comunicar à população, instituições e autoridades sobre a situação e procurar soluções emergenciais de conseguir receitas, tais como: uma emenda na Câmara de Vereadores, nas instituições legislativas do Estado ou no Congresso Nacional; solicitar recursos nos Fundos de Recuperação de Recursos Hídricos, etc.</w:t>
      </w:r>
      <w:r w:rsidRPr="00764603">
        <w:rPr>
          <w:rFonts w:cs="Arial"/>
          <w:b/>
          <w:szCs w:val="24"/>
          <w:lang w:val="pt-BR" w:eastAsia="pt-BR"/>
        </w:rPr>
        <w:t xml:space="preserve"> Responsável:</w:t>
      </w:r>
      <w:r w:rsidRPr="00764603">
        <w:rPr>
          <w:rFonts w:cs="Arial"/>
          <w:szCs w:val="24"/>
          <w:lang w:val="pt-BR" w:eastAsia="pt-BR"/>
        </w:rPr>
        <w:t xml:space="preserve"> prestador dos serviços de esgotamento sanitário e Executivo Municipal.</w:t>
      </w:r>
    </w:p>
    <w:p w:rsidR="00AC0DC7" w:rsidRPr="00764603" w:rsidRDefault="00AC0DC7" w:rsidP="00C817CB">
      <w:pPr>
        <w:pStyle w:val="PargrafodaLista"/>
        <w:numPr>
          <w:ilvl w:val="0"/>
          <w:numId w:val="4"/>
        </w:numPr>
        <w:tabs>
          <w:tab w:val="left" w:pos="993"/>
        </w:tabs>
        <w:spacing w:before="120" w:after="120"/>
        <w:ind w:left="0" w:firstLine="709"/>
        <w:rPr>
          <w:rFonts w:cs="Arial"/>
          <w:szCs w:val="24"/>
          <w:lang w:val="pt-BR" w:eastAsia="pt-BR"/>
        </w:rPr>
      </w:pPr>
      <w:r w:rsidRPr="00764603">
        <w:rPr>
          <w:b/>
          <w:lang w:val="pt-BR" w:eastAsia="pt-BR"/>
        </w:rPr>
        <w:t>Falta de produtos químicos necessários para o funcionamento da ETE</w:t>
      </w:r>
      <w:r w:rsidRPr="00764603">
        <w:rPr>
          <w:lang w:val="pt-BR" w:eastAsia="pt-BR"/>
        </w:rPr>
        <w:t>: comunicar à população, instituições e autoridades e procurar soluções emergenciais de conseguir os mesmos produtos ou similares no mercado, tais como: doações de municípios vizinhos ou de outros sistemas de tratamento do município.</w:t>
      </w:r>
      <w:r w:rsidRPr="00764603">
        <w:rPr>
          <w:rFonts w:cs="Arial"/>
          <w:b/>
          <w:szCs w:val="24"/>
          <w:lang w:val="pt-BR" w:eastAsia="pt-BR"/>
        </w:rPr>
        <w:t xml:space="preserve"> Responsável:</w:t>
      </w:r>
      <w:r w:rsidRPr="00764603">
        <w:rPr>
          <w:rFonts w:cs="Arial"/>
          <w:szCs w:val="24"/>
          <w:lang w:val="pt-BR" w:eastAsia="pt-BR"/>
        </w:rPr>
        <w:t xml:space="preserve"> prestador dos serviços de esgotamento sanitário.</w:t>
      </w:r>
    </w:p>
    <w:p w:rsidR="00AC0DC7" w:rsidRPr="00764603" w:rsidRDefault="00EC6DD7" w:rsidP="00BC01B1">
      <w:pPr>
        <w:pStyle w:val="Ttulo4"/>
      </w:pPr>
      <w:bookmarkStart w:id="851" w:name="_Toc441845937"/>
      <w:bookmarkStart w:id="852" w:name="_Toc488656501"/>
      <w:bookmarkStart w:id="853" w:name="_Toc498594054"/>
      <w:bookmarkStart w:id="854" w:name="_Toc509935545"/>
      <w:r>
        <w:t xml:space="preserve">Eventos </w:t>
      </w:r>
      <w:bookmarkEnd w:id="851"/>
      <w:bookmarkEnd w:id="852"/>
      <w:bookmarkEnd w:id="853"/>
      <w:r w:rsidR="00615E6E">
        <w:t>imprevisíveis</w:t>
      </w:r>
      <w:bookmarkEnd w:id="854"/>
    </w:p>
    <w:p w:rsidR="00AC0DC7" w:rsidRPr="00764603" w:rsidRDefault="00AC0DC7" w:rsidP="00C817CB">
      <w:pPr>
        <w:pStyle w:val="PargrafodaLista"/>
        <w:numPr>
          <w:ilvl w:val="0"/>
          <w:numId w:val="4"/>
        </w:numPr>
        <w:tabs>
          <w:tab w:val="left" w:pos="993"/>
        </w:tabs>
        <w:spacing w:before="120" w:after="120"/>
        <w:ind w:left="0" w:firstLine="709"/>
        <w:rPr>
          <w:rFonts w:cs="Arial"/>
          <w:szCs w:val="24"/>
          <w:lang w:val="pt-BR" w:eastAsia="pt-BR"/>
        </w:rPr>
      </w:pPr>
      <w:r w:rsidRPr="00764603">
        <w:rPr>
          <w:rFonts w:cs="Arial"/>
          <w:b/>
          <w:szCs w:val="24"/>
          <w:lang w:val="pt-BR" w:eastAsia="pt-BR"/>
        </w:rPr>
        <w:t>Ocorrência de danos às instalações e equipamentos do sistema devido a desastres naturais</w:t>
      </w:r>
      <w:r w:rsidRPr="00764603">
        <w:rPr>
          <w:rFonts w:cs="Arial"/>
          <w:szCs w:val="24"/>
          <w:lang w:val="pt-BR" w:eastAsia="pt-BR"/>
        </w:rPr>
        <w:t xml:space="preserve">: comunicar à população, instituições e autoridades; conter o fluxo dos possíveis vazamentos e isolar a área; realizar avaliação dos estragos; elaborar plano de manutenção corretiva; realizar as ações necessárias para reestabelecer o sistema </w:t>
      </w:r>
      <w:r w:rsidRPr="00764603">
        <w:rPr>
          <w:lang w:val="pt-BR" w:eastAsia="pt-BR"/>
        </w:rPr>
        <w:t>e reiniciar o atendimento convencional.</w:t>
      </w:r>
      <w:r w:rsidRPr="00764603">
        <w:rPr>
          <w:rFonts w:cs="Arial"/>
          <w:b/>
          <w:szCs w:val="24"/>
          <w:lang w:val="pt-BR" w:eastAsia="pt-BR"/>
        </w:rPr>
        <w:t xml:space="preserve"> Responsável:</w:t>
      </w:r>
      <w:r w:rsidRPr="00764603">
        <w:rPr>
          <w:rFonts w:cs="Arial"/>
          <w:szCs w:val="24"/>
          <w:lang w:val="pt-BR" w:eastAsia="pt-BR"/>
        </w:rPr>
        <w:t xml:space="preserve"> prestador dos serviços de esgotamento sanitário e Executivo Municipal.</w:t>
      </w:r>
    </w:p>
    <w:p w:rsidR="00AC0DC7" w:rsidRPr="00764603" w:rsidRDefault="00AC0DC7" w:rsidP="00C817CB">
      <w:pPr>
        <w:pStyle w:val="PargrafodaLista"/>
        <w:numPr>
          <w:ilvl w:val="0"/>
          <w:numId w:val="4"/>
        </w:numPr>
        <w:tabs>
          <w:tab w:val="left" w:pos="993"/>
        </w:tabs>
        <w:spacing w:before="120" w:after="120"/>
        <w:ind w:left="0" w:firstLine="709"/>
        <w:rPr>
          <w:rFonts w:cs="Arial"/>
          <w:szCs w:val="24"/>
          <w:lang w:val="pt-BR" w:eastAsia="pt-BR"/>
        </w:rPr>
      </w:pPr>
      <w:r w:rsidRPr="00764603">
        <w:rPr>
          <w:rFonts w:cs="Arial"/>
          <w:b/>
          <w:szCs w:val="24"/>
          <w:lang w:val="pt-BR" w:eastAsia="pt-BR"/>
        </w:rPr>
        <w:t>Ocorrência de incêndios em estabelecimentos e edificações do SES</w:t>
      </w:r>
      <w:r w:rsidRPr="00764603">
        <w:rPr>
          <w:rFonts w:cs="Arial"/>
          <w:szCs w:val="24"/>
          <w:lang w:val="pt-BR" w:eastAsia="pt-BR"/>
        </w:rPr>
        <w:t>: comunicar à população, instituições e autoridades e realizar evacuação total da área atingida. Após o controle do incêndio, conter o fluxo dos possíveis vazamentos e isolar a área; avaliar estragos; elaborar plano de manutenção corretiva; realizar as ações necessárias para reestabelecer o sistema</w:t>
      </w:r>
      <w:r w:rsidRPr="00764603">
        <w:rPr>
          <w:lang w:val="pt-BR" w:eastAsia="pt-BR"/>
        </w:rPr>
        <w:t xml:space="preserve"> e reiniciar o atendimento convencional.</w:t>
      </w:r>
      <w:r w:rsidRPr="00764603">
        <w:rPr>
          <w:rFonts w:cs="Arial"/>
          <w:b/>
          <w:szCs w:val="24"/>
          <w:lang w:val="pt-BR" w:eastAsia="pt-BR"/>
        </w:rPr>
        <w:t xml:space="preserve"> Responsável:</w:t>
      </w:r>
      <w:r w:rsidRPr="00764603">
        <w:rPr>
          <w:rFonts w:cs="Arial"/>
          <w:szCs w:val="24"/>
          <w:lang w:val="pt-BR" w:eastAsia="pt-BR"/>
        </w:rPr>
        <w:t xml:space="preserve"> prestador dos serviços de esgotamento sanitário.</w:t>
      </w:r>
    </w:p>
    <w:p w:rsidR="00AC0DC7" w:rsidRDefault="00AC0DC7" w:rsidP="00C817CB">
      <w:pPr>
        <w:pStyle w:val="PargrafodaLista"/>
        <w:numPr>
          <w:ilvl w:val="0"/>
          <w:numId w:val="4"/>
        </w:numPr>
        <w:tabs>
          <w:tab w:val="left" w:pos="993"/>
        </w:tabs>
        <w:spacing w:before="120" w:after="120"/>
        <w:ind w:left="0" w:firstLine="709"/>
        <w:rPr>
          <w:rFonts w:cs="Arial"/>
          <w:szCs w:val="24"/>
          <w:lang w:val="pt-BR" w:eastAsia="pt-BR"/>
        </w:rPr>
      </w:pPr>
      <w:r w:rsidRPr="00764603">
        <w:rPr>
          <w:b/>
          <w:szCs w:val="24"/>
          <w:lang w:val="pt-BR"/>
        </w:rPr>
        <w:t>Danos no gerador de energia</w:t>
      </w:r>
      <w:r w:rsidRPr="00764603">
        <w:rPr>
          <w:szCs w:val="24"/>
          <w:lang w:val="pt-BR"/>
        </w:rPr>
        <w:t>:</w:t>
      </w:r>
      <w:r w:rsidRPr="00764603">
        <w:rPr>
          <w:rFonts w:cs="Arial"/>
          <w:szCs w:val="24"/>
          <w:lang w:val="pt-BR" w:eastAsia="pt-BR"/>
        </w:rPr>
        <w:t xml:space="preserve"> comunicar à companhia fornecedora de energia elétrica, população, instituições e autoridades; conter o fluxo dos possíveis vazamentos; isolar a área; realizar a substituição do gerador de energia. </w:t>
      </w:r>
      <w:r w:rsidRPr="00764603">
        <w:rPr>
          <w:rFonts w:cs="Arial"/>
          <w:b/>
          <w:szCs w:val="24"/>
          <w:lang w:val="pt-BR" w:eastAsia="pt-BR"/>
        </w:rPr>
        <w:t>Responsável:</w:t>
      </w:r>
      <w:r w:rsidRPr="00764603">
        <w:rPr>
          <w:rFonts w:cs="Arial"/>
          <w:szCs w:val="24"/>
          <w:lang w:val="pt-BR" w:eastAsia="pt-BR"/>
        </w:rPr>
        <w:t xml:space="preserve"> prestador dos serviços de esgotamento sanitário.</w:t>
      </w:r>
    </w:p>
    <w:p w:rsidR="00810C89" w:rsidRDefault="00810C89" w:rsidP="00810C89">
      <w:pPr>
        <w:pStyle w:val="PargrafodaLista"/>
        <w:tabs>
          <w:tab w:val="left" w:pos="993"/>
        </w:tabs>
        <w:spacing w:before="120" w:after="120"/>
        <w:ind w:left="709"/>
        <w:rPr>
          <w:b/>
          <w:szCs w:val="24"/>
          <w:lang w:val="pt-BR"/>
        </w:rPr>
      </w:pPr>
    </w:p>
    <w:p w:rsidR="00810C89" w:rsidRDefault="00810C89" w:rsidP="00810C89">
      <w:pPr>
        <w:pStyle w:val="PargrafodaLista"/>
        <w:tabs>
          <w:tab w:val="left" w:pos="993"/>
        </w:tabs>
        <w:spacing w:before="120" w:after="120"/>
        <w:ind w:left="709"/>
        <w:rPr>
          <w:b/>
          <w:szCs w:val="24"/>
          <w:lang w:val="pt-BR"/>
        </w:rPr>
      </w:pPr>
    </w:p>
    <w:p w:rsidR="00810C89" w:rsidRDefault="00810C89" w:rsidP="00810C89">
      <w:pPr>
        <w:pStyle w:val="PargrafodaLista"/>
        <w:tabs>
          <w:tab w:val="left" w:pos="993"/>
        </w:tabs>
        <w:spacing w:before="120" w:after="120"/>
        <w:ind w:left="709"/>
        <w:rPr>
          <w:rFonts w:cs="Arial"/>
          <w:szCs w:val="24"/>
          <w:lang w:val="pt-BR" w:eastAsia="pt-BR"/>
        </w:rPr>
      </w:pPr>
    </w:p>
    <w:p w:rsidR="0081570C" w:rsidRPr="008044FA" w:rsidRDefault="0081570C" w:rsidP="00BC01B1">
      <w:pPr>
        <w:pStyle w:val="SHS-Ttulo02"/>
      </w:pPr>
      <w:bookmarkStart w:id="855" w:name="_Toc498593497"/>
      <w:bookmarkStart w:id="856" w:name="_Toc509935546"/>
      <w:r w:rsidRPr="008044FA">
        <w:lastRenderedPageBreak/>
        <w:t xml:space="preserve">Sistema de Drenagem </w:t>
      </w:r>
      <w:r>
        <w:t>Urbana e Manejo d</w:t>
      </w:r>
      <w:r w:rsidRPr="008044FA">
        <w:t>e Águas Pluviais</w:t>
      </w:r>
      <w:bookmarkEnd w:id="646"/>
      <w:bookmarkEnd w:id="647"/>
      <w:bookmarkEnd w:id="855"/>
      <w:bookmarkEnd w:id="856"/>
    </w:p>
    <w:p w:rsidR="0081570C" w:rsidRDefault="0081570C" w:rsidP="00BC01B1">
      <w:pPr>
        <w:pStyle w:val="Ttulo3"/>
        <w:rPr>
          <w:color w:val="FF0000"/>
          <w:lang w:val="pt-BR"/>
        </w:rPr>
      </w:pPr>
      <w:bookmarkStart w:id="857" w:name="_Toc484422557"/>
      <w:bookmarkStart w:id="858" w:name="_Toc484611634"/>
      <w:bookmarkStart w:id="859" w:name="_Toc498593498"/>
      <w:bookmarkStart w:id="860" w:name="_Toc509935547"/>
      <w:r w:rsidRPr="008044FA">
        <w:t>Proposição de cenários</w:t>
      </w:r>
      <w:bookmarkEnd w:id="857"/>
      <w:bookmarkEnd w:id="858"/>
      <w:bookmarkEnd w:id="859"/>
      <w:bookmarkEnd w:id="860"/>
      <w:r w:rsidR="00D94006">
        <w:rPr>
          <w:lang w:val="pt-BR"/>
        </w:rPr>
        <w:t xml:space="preserve"> </w:t>
      </w:r>
    </w:p>
    <w:p w:rsidR="00261C41" w:rsidRPr="005D3214" w:rsidRDefault="00261C41" w:rsidP="00261C41">
      <w:pPr>
        <w:spacing w:before="120" w:after="120"/>
        <w:ind w:firstLine="708"/>
        <w:contextualSpacing/>
        <w:rPr>
          <w:rFonts w:cs="Arial"/>
          <w:szCs w:val="24"/>
          <w:lang w:eastAsia="pt-BR"/>
        </w:rPr>
      </w:pPr>
      <w:r w:rsidRPr="005D3214">
        <w:rPr>
          <w:rFonts w:cs="Arial"/>
          <w:szCs w:val="24"/>
          <w:lang w:eastAsia="pt-BR"/>
        </w:rPr>
        <w:t xml:space="preserve">O setor de drenagem urbana também foi analisado pela metodologia SWOT que subsidiou a configuração </w:t>
      </w:r>
      <w:r w:rsidRPr="002F554A">
        <w:rPr>
          <w:rFonts w:cs="Arial"/>
          <w:szCs w:val="24"/>
          <w:lang w:eastAsia="pt-BR"/>
        </w:rPr>
        <w:t>dos cenários previsível e normativo para</w:t>
      </w:r>
      <w:r w:rsidRPr="005D3214">
        <w:rPr>
          <w:rFonts w:cs="Arial"/>
          <w:szCs w:val="24"/>
          <w:lang w:eastAsia="pt-BR"/>
        </w:rPr>
        <w:t xml:space="preserve"> este eixo, adotando-se </w:t>
      </w:r>
      <w:r w:rsidRPr="002F554A">
        <w:rPr>
          <w:rFonts w:cs="Arial"/>
          <w:szCs w:val="24"/>
          <w:lang w:eastAsia="pt-BR"/>
        </w:rPr>
        <w:t>o cenário normativo para a proposição</w:t>
      </w:r>
      <w:r w:rsidRPr="005D3214">
        <w:rPr>
          <w:rFonts w:cs="Arial"/>
          <w:szCs w:val="24"/>
          <w:lang w:eastAsia="pt-BR"/>
        </w:rPr>
        <w:t xml:space="preserve"> de objetivos, metas. O </w:t>
      </w:r>
      <w:r>
        <w:rPr>
          <w:rFonts w:cs="Arial"/>
          <w:szCs w:val="24"/>
          <w:lang w:eastAsia="pt-BR"/>
        </w:rPr>
        <w:fldChar w:fldCharType="begin"/>
      </w:r>
      <w:r>
        <w:rPr>
          <w:rFonts w:cs="Arial"/>
          <w:szCs w:val="24"/>
          <w:lang w:eastAsia="pt-BR"/>
        </w:rPr>
        <w:instrText xml:space="preserve"> REF _Ref507656784 \h </w:instrText>
      </w:r>
      <w:r>
        <w:rPr>
          <w:rFonts w:cs="Arial"/>
          <w:szCs w:val="24"/>
          <w:lang w:eastAsia="pt-BR"/>
        </w:rPr>
      </w:r>
      <w:r>
        <w:rPr>
          <w:rFonts w:cs="Arial"/>
          <w:szCs w:val="24"/>
          <w:lang w:eastAsia="pt-BR"/>
        </w:rPr>
        <w:fldChar w:fldCharType="separate"/>
      </w:r>
      <w:r w:rsidR="001B481B">
        <w:t xml:space="preserve">Quadro </w:t>
      </w:r>
      <w:r w:rsidR="001B481B">
        <w:rPr>
          <w:noProof/>
        </w:rPr>
        <w:t>70</w:t>
      </w:r>
      <w:r>
        <w:rPr>
          <w:rFonts w:cs="Arial"/>
          <w:szCs w:val="24"/>
          <w:lang w:eastAsia="pt-BR"/>
        </w:rPr>
        <w:fldChar w:fldCharType="end"/>
      </w:r>
      <w:r>
        <w:rPr>
          <w:rFonts w:cs="Arial"/>
          <w:szCs w:val="24"/>
          <w:lang w:eastAsia="pt-BR"/>
        </w:rPr>
        <w:t xml:space="preserve"> </w:t>
      </w:r>
      <w:r w:rsidRPr="005D3214">
        <w:rPr>
          <w:rFonts w:cs="Arial"/>
          <w:szCs w:val="24"/>
          <w:lang w:eastAsia="pt-BR"/>
        </w:rPr>
        <w:t>apresenta a matriz SWOT gerada pela análise.</w:t>
      </w:r>
    </w:p>
    <w:p w:rsidR="00261C41" w:rsidRPr="005D3214" w:rsidRDefault="00261C41" w:rsidP="00261C41">
      <w:pPr>
        <w:spacing w:before="120" w:after="120"/>
        <w:ind w:firstLine="708"/>
        <w:contextualSpacing/>
        <w:rPr>
          <w:rFonts w:cs="Arial"/>
          <w:szCs w:val="24"/>
          <w:lang w:eastAsia="pt-BR"/>
        </w:rPr>
        <w:sectPr w:rsidR="00261C41" w:rsidRPr="005D3214" w:rsidSect="00261C41">
          <w:footerReference w:type="default" r:id="rId58"/>
          <w:pgSz w:w="11907" w:h="16839" w:code="9"/>
          <w:pgMar w:top="1134" w:right="1134" w:bottom="1134" w:left="1418" w:header="709" w:footer="709" w:gutter="0"/>
          <w:cols w:space="708"/>
          <w:docGrid w:linePitch="360"/>
        </w:sectPr>
      </w:pPr>
    </w:p>
    <w:p w:rsidR="00261C41" w:rsidRDefault="00261C41" w:rsidP="00261C41">
      <w:pPr>
        <w:pStyle w:val="Legenda"/>
        <w:rPr>
          <w:lang w:val="pt-BR"/>
        </w:rPr>
      </w:pPr>
      <w:bookmarkStart w:id="861" w:name="_Ref507656784"/>
      <w:bookmarkStart w:id="862" w:name="_Toc398040332"/>
      <w:bookmarkStart w:id="863" w:name="_Toc447029050"/>
      <w:bookmarkStart w:id="864" w:name="_Toc484423919"/>
      <w:bookmarkStart w:id="865" w:name="_Toc484532481"/>
      <w:bookmarkStart w:id="866" w:name="_Toc498099255"/>
      <w:bookmarkStart w:id="867" w:name="_Toc509935847"/>
      <w:r>
        <w:lastRenderedPageBreak/>
        <w:t xml:space="preserve">Quadro </w:t>
      </w:r>
      <w:r w:rsidR="000A1C78">
        <w:fldChar w:fldCharType="begin"/>
      </w:r>
      <w:r w:rsidR="000A1C78">
        <w:instrText xml:space="preserve"> SEQ Quadro \* ARABIC </w:instrText>
      </w:r>
      <w:r w:rsidR="000A1C78">
        <w:fldChar w:fldCharType="separate"/>
      </w:r>
      <w:r w:rsidR="001B481B">
        <w:rPr>
          <w:noProof/>
        </w:rPr>
        <w:t>70</w:t>
      </w:r>
      <w:r w:rsidR="000A1C78">
        <w:rPr>
          <w:noProof/>
        </w:rPr>
        <w:fldChar w:fldCharType="end"/>
      </w:r>
      <w:bookmarkEnd w:id="861"/>
      <w:r w:rsidRPr="00EC377A">
        <w:t xml:space="preserve"> - Matriz SWOT do </w:t>
      </w:r>
      <w:bookmarkEnd w:id="862"/>
      <w:bookmarkEnd w:id="863"/>
      <w:r w:rsidRPr="00EC377A">
        <w:t>Sistema de Drenagem Urbana e Manejo de Águas Pluviais</w:t>
      </w:r>
      <w:bookmarkEnd w:id="864"/>
      <w:bookmarkEnd w:id="865"/>
      <w:bookmarkEnd w:id="866"/>
      <w:bookmarkEnd w:id="867"/>
    </w:p>
    <w:tbl>
      <w:tblPr>
        <w:tblW w:w="1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8"/>
        <w:gridCol w:w="3253"/>
        <w:gridCol w:w="3402"/>
        <w:gridCol w:w="7378"/>
      </w:tblGrid>
      <w:tr w:rsidR="00261C41" w:rsidRPr="00C75729" w:rsidTr="00261C41">
        <w:trPr>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261C41" w:rsidRPr="00C75729" w:rsidRDefault="00261C41" w:rsidP="00261C41">
            <w:pPr>
              <w:autoSpaceDE w:val="0"/>
              <w:autoSpaceDN w:val="0"/>
              <w:adjustRightInd w:val="0"/>
              <w:spacing w:before="60" w:after="60" w:line="240" w:lineRule="auto"/>
              <w:rPr>
                <w:rFonts w:cs="Arial"/>
                <w:sz w:val="20"/>
                <w:szCs w:val="20"/>
              </w:rPr>
            </w:pPr>
          </w:p>
        </w:tc>
        <w:tc>
          <w:tcPr>
            <w:tcW w:w="3253" w:type="dxa"/>
            <w:tcBorders>
              <w:top w:val="single" w:sz="4" w:space="0" w:color="auto"/>
              <w:left w:val="single" w:sz="4" w:space="0" w:color="auto"/>
              <w:bottom w:val="single" w:sz="4" w:space="0" w:color="auto"/>
              <w:right w:val="single" w:sz="4" w:space="0" w:color="auto"/>
            </w:tcBorders>
            <w:shd w:val="clear" w:color="auto" w:fill="95B3D7"/>
            <w:vAlign w:val="center"/>
            <w:hideMark/>
          </w:tcPr>
          <w:p w:rsidR="00261C41" w:rsidRPr="00C75729" w:rsidRDefault="00261C41" w:rsidP="00261C41">
            <w:pPr>
              <w:autoSpaceDE w:val="0"/>
              <w:autoSpaceDN w:val="0"/>
              <w:adjustRightInd w:val="0"/>
              <w:spacing w:before="60" w:after="60" w:line="240" w:lineRule="auto"/>
              <w:jc w:val="center"/>
              <w:rPr>
                <w:rFonts w:cs="Arial"/>
                <w:b/>
                <w:sz w:val="20"/>
                <w:szCs w:val="20"/>
              </w:rPr>
            </w:pPr>
            <w:r w:rsidRPr="00C75729">
              <w:rPr>
                <w:rFonts w:cs="Arial"/>
                <w:b/>
                <w:sz w:val="20"/>
                <w:szCs w:val="20"/>
              </w:rPr>
              <w:t>PONTOS POSITIVOS</w:t>
            </w:r>
          </w:p>
        </w:tc>
        <w:tc>
          <w:tcPr>
            <w:tcW w:w="3402" w:type="dxa"/>
            <w:tcBorders>
              <w:top w:val="single" w:sz="4" w:space="0" w:color="auto"/>
              <w:left w:val="single" w:sz="4" w:space="0" w:color="auto"/>
              <w:bottom w:val="single" w:sz="4" w:space="0" w:color="auto"/>
              <w:right w:val="single" w:sz="4" w:space="0" w:color="auto"/>
            </w:tcBorders>
            <w:shd w:val="clear" w:color="auto" w:fill="95B3D7"/>
            <w:vAlign w:val="center"/>
          </w:tcPr>
          <w:p w:rsidR="00261C41" w:rsidRPr="00C75729" w:rsidRDefault="00261C41" w:rsidP="00261C41">
            <w:pPr>
              <w:autoSpaceDE w:val="0"/>
              <w:autoSpaceDN w:val="0"/>
              <w:adjustRightInd w:val="0"/>
              <w:spacing w:before="60" w:after="60" w:line="240" w:lineRule="auto"/>
              <w:jc w:val="center"/>
              <w:rPr>
                <w:rFonts w:cs="Arial"/>
                <w:b/>
                <w:sz w:val="20"/>
                <w:szCs w:val="20"/>
              </w:rPr>
            </w:pPr>
            <w:r w:rsidRPr="00C75729">
              <w:rPr>
                <w:rFonts w:cs="Arial"/>
                <w:b/>
                <w:sz w:val="20"/>
                <w:szCs w:val="20"/>
              </w:rPr>
              <w:t>ITENS DE REFLEXÃO</w:t>
            </w:r>
          </w:p>
        </w:tc>
        <w:tc>
          <w:tcPr>
            <w:tcW w:w="7378" w:type="dxa"/>
            <w:tcBorders>
              <w:top w:val="single" w:sz="4" w:space="0" w:color="auto"/>
              <w:left w:val="single" w:sz="4" w:space="0" w:color="auto"/>
              <w:bottom w:val="single" w:sz="4" w:space="0" w:color="auto"/>
              <w:right w:val="single" w:sz="4" w:space="0" w:color="auto"/>
            </w:tcBorders>
            <w:shd w:val="clear" w:color="auto" w:fill="95B3D7"/>
            <w:vAlign w:val="center"/>
            <w:hideMark/>
          </w:tcPr>
          <w:p w:rsidR="00261C41" w:rsidRPr="00C75729" w:rsidRDefault="00261C41" w:rsidP="00261C41">
            <w:pPr>
              <w:autoSpaceDE w:val="0"/>
              <w:autoSpaceDN w:val="0"/>
              <w:adjustRightInd w:val="0"/>
              <w:spacing w:before="60" w:after="60" w:line="240" w:lineRule="auto"/>
              <w:jc w:val="center"/>
              <w:rPr>
                <w:rFonts w:cs="Arial"/>
                <w:b/>
                <w:sz w:val="20"/>
                <w:szCs w:val="20"/>
              </w:rPr>
            </w:pPr>
            <w:r w:rsidRPr="00C75729">
              <w:rPr>
                <w:rFonts w:cs="Arial"/>
                <w:b/>
                <w:sz w:val="20"/>
                <w:szCs w:val="20"/>
              </w:rPr>
              <w:t>PONTOS NEGATIVOS</w:t>
            </w:r>
          </w:p>
        </w:tc>
      </w:tr>
      <w:tr w:rsidR="00261C41" w:rsidRPr="00C75729" w:rsidTr="00261C41">
        <w:trPr>
          <w:trHeight w:val="1115"/>
          <w:jc w:val="center"/>
        </w:trPr>
        <w:tc>
          <w:tcPr>
            <w:tcW w:w="0" w:type="auto"/>
            <w:tcBorders>
              <w:top w:val="single" w:sz="4" w:space="0" w:color="auto"/>
              <w:left w:val="single" w:sz="4" w:space="0" w:color="auto"/>
              <w:bottom w:val="single" w:sz="4" w:space="0" w:color="auto"/>
              <w:right w:val="single" w:sz="4" w:space="0" w:color="auto"/>
            </w:tcBorders>
            <w:shd w:val="clear" w:color="auto" w:fill="365F91"/>
            <w:vAlign w:val="center"/>
            <w:hideMark/>
          </w:tcPr>
          <w:p w:rsidR="00261C41" w:rsidRPr="00C75729" w:rsidRDefault="00261C41" w:rsidP="00261C41">
            <w:pPr>
              <w:autoSpaceDE w:val="0"/>
              <w:autoSpaceDN w:val="0"/>
              <w:adjustRightInd w:val="0"/>
              <w:spacing w:before="60" w:after="60" w:line="240" w:lineRule="auto"/>
              <w:jc w:val="center"/>
              <w:rPr>
                <w:rFonts w:cs="Arial"/>
                <w:color w:val="FFFFFF"/>
                <w:sz w:val="20"/>
                <w:szCs w:val="20"/>
              </w:rPr>
            </w:pPr>
            <w:r w:rsidRPr="00C75729">
              <w:rPr>
                <w:rFonts w:cs="Arial"/>
                <w:color w:val="FFFFFF"/>
                <w:sz w:val="20"/>
                <w:szCs w:val="20"/>
              </w:rPr>
              <w:t>Ambiente Interno</w:t>
            </w:r>
          </w:p>
        </w:tc>
        <w:tc>
          <w:tcPr>
            <w:tcW w:w="3253" w:type="dxa"/>
            <w:tcBorders>
              <w:top w:val="single" w:sz="4" w:space="0" w:color="auto"/>
              <w:left w:val="single" w:sz="4" w:space="0" w:color="auto"/>
              <w:bottom w:val="single" w:sz="4" w:space="0" w:color="auto"/>
              <w:right w:val="single" w:sz="4" w:space="0" w:color="auto"/>
            </w:tcBorders>
            <w:shd w:val="clear" w:color="auto" w:fill="B8CCE4"/>
          </w:tcPr>
          <w:p w:rsidR="00261C41" w:rsidRPr="00C75729" w:rsidRDefault="00261C41" w:rsidP="00261C41">
            <w:pPr>
              <w:autoSpaceDE w:val="0"/>
              <w:autoSpaceDN w:val="0"/>
              <w:adjustRightInd w:val="0"/>
              <w:spacing w:before="60" w:after="60" w:line="240" w:lineRule="auto"/>
              <w:jc w:val="center"/>
              <w:rPr>
                <w:rFonts w:cs="Arial"/>
                <w:b/>
                <w:sz w:val="20"/>
                <w:szCs w:val="20"/>
              </w:rPr>
            </w:pPr>
            <w:r w:rsidRPr="00C75729">
              <w:rPr>
                <w:rFonts w:cs="Arial"/>
                <w:b/>
                <w:sz w:val="20"/>
                <w:szCs w:val="20"/>
              </w:rPr>
              <w:t>FORÇAS</w:t>
            </w:r>
          </w:p>
          <w:p w:rsidR="00261C41" w:rsidRPr="00EF4EE0" w:rsidRDefault="00261C41" w:rsidP="00261C41">
            <w:pPr>
              <w:autoSpaceDE w:val="0"/>
              <w:autoSpaceDN w:val="0"/>
              <w:adjustRightInd w:val="0"/>
              <w:spacing w:before="60" w:after="60" w:line="240" w:lineRule="auto"/>
              <w:rPr>
                <w:rFonts w:cs="Arial"/>
                <w:sz w:val="20"/>
                <w:szCs w:val="20"/>
              </w:rPr>
            </w:pPr>
          </w:p>
          <w:p w:rsidR="00261C41" w:rsidRPr="00EF4EE0" w:rsidRDefault="00261C41" w:rsidP="00261C41">
            <w:pPr>
              <w:autoSpaceDE w:val="0"/>
              <w:autoSpaceDN w:val="0"/>
              <w:adjustRightInd w:val="0"/>
              <w:spacing w:before="60" w:after="60" w:line="240" w:lineRule="auto"/>
              <w:rPr>
                <w:rFonts w:cs="Arial"/>
                <w:b/>
                <w:sz w:val="20"/>
                <w:szCs w:val="20"/>
              </w:rPr>
            </w:pPr>
            <w:r w:rsidRPr="00EF4EE0">
              <w:rPr>
                <w:rFonts w:cs="Arial"/>
                <w:b/>
                <w:sz w:val="20"/>
                <w:szCs w:val="20"/>
              </w:rPr>
              <w:t>1. Perfil institucional</w:t>
            </w:r>
          </w:p>
          <w:p w:rsidR="00261C41" w:rsidRDefault="00261C41" w:rsidP="00261C41">
            <w:pPr>
              <w:autoSpaceDE w:val="0"/>
              <w:autoSpaceDN w:val="0"/>
              <w:adjustRightInd w:val="0"/>
              <w:spacing w:before="60" w:after="60" w:line="240" w:lineRule="auto"/>
              <w:rPr>
                <w:rFonts w:cs="Arial"/>
                <w:sz w:val="20"/>
                <w:szCs w:val="20"/>
              </w:rPr>
            </w:pPr>
            <w:r w:rsidRPr="00EF4EE0">
              <w:rPr>
                <w:rFonts w:cs="Arial"/>
                <w:sz w:val="20"/>
                <w:szCs w:val="20"/>
              </w:rPr>
              <w:t>- O Departamento de Transporte e Obras realiza a manutenção do Sistema de Drenagem Urbana e conta com nove funcionários.</w:t>
            </w:r>
          </w:p>
          <w:p w:rsidR="00261C41" w:rsidRPr="00EF4EE0" w:rsidRDefault="00261C41" w:rsidP="00261C41">
            <w:pPr>
              <w:autoSpaceDE w:val="0"/>
              <w:autoSpaceDN w:val="0"/>
              <w:adjustRightInd w:val="0"/>
              <w:spacing w:before="60" w:after="60" w:line="240" w:lineRule="auto"/>
              <w:rPr>
                <w:rFonts w:cs="Arial"/>
                <w:sz w:val="20"/>
                <w:szCs w:val="20"/>
              </w:rPr>
            </w:pPr>
          </w:p>
          <w:p w:rsidR="00261C41" w:rsidRPr="00EF4EE0" w:rsidRDefault="00261C41" w:rsidP="00261C41">
            <w:pPr>
              <w:autoSpaceDE w:val="0"/>
              <w:autoSpaceDN w:val="0"/>
              <w:adjustRightInd w:val="0"/>
              <w:spacing w:before="60" w:after="60" w:line="240" w:lineRule="auto"/>
              <w:rPr>
                <w:rFonts w:cs="Arial"/>
                <w:b/>
                <w:sz w:val="20"/>
                <w:szCs w:val="20"/>
              </w:rPr>
            </w:pPr>
            <w:r w:rsidRPr="00EF4EE0">
              <w:rPr>
                <w:rFonts w:cs="Arial"/>
                <w:b/>
                <w:sz w:val="20"/>
                <w:szCs w:val="20"/>
              </w:rPr>
              <w:t>4. Sistema de Informações</w:t>
            </w:r>
          </w:p>
          <w:p w:rsidR="00261C41" w:rsidRPr="00EF4EE0" w:rsidRDefault="00261C41" w:rsidP="00261C41">
            <w:pPr>
              <w:autoSpaceDE w:val="0"/>
              <w:autoSpaceDN w:val="0"/>
              <w:adjustRightInd w:val="0"/>
              <w:spacing w:before="60" w:after="60" w:line="240" w:lineRule="auto"/>
              <w:rPr>
                <w:rFonts w:cs="Arial"/>
                <w:sz w:val="20"/>
                <w:szCs w:val="20"/>
              </w:rPr>
            </w:pPr>
            <w:r w:rsidRPr="00EF4EE0">
              <w:rPr>
                <w:rFonts w:cs="Arial"/>
                <w:sz w:val="20"/>
                <w:szCs w:val="20"/>
              </w:rPr>
              <w:t>- Existe um Sistema de Alerta de Eventos Críticos (SACE-CPRM).</w:t>
            </w:r>
          </w:p>
          <w:p w:rsidR="00261C41" w:rsidRPr="00EF4EE0" w:rsidRDefault="00261C41" w:rsidP="00261C41">
            <w:pPr>
              <w:autoSpaceDE w:val="0"/>
              <w:autoSpaceDN w:val="0"/>
              <w:adjustRightInd w:val="0"/>
              <w:spacing w:before="60" w:after="60" w:line="240" w:lineRule="auto"/>
              <w:rPr>
                <w:rFonts w:cs="Arial"/>
                <w:sz w:val="20"/>
                <w:szCs w:val="20"/>
              </w:rPr>
            </w:pPr>
          </w:p>
          <w:p w:rsidR="00261C41" w:rsidRPr="00EF4EE0" w:rsidRDefault="00261C41" w:rsidP="00261C41">
            <w:pPr>
              <w:autoSpaceDE w:val="0"/>
              <w:autoSpaceDN w:val="0"/>
              <w:adjustRightInd w:val="0"/>
              <w:spacing w:before="60" w:after="60" w:line="240" w:lineRule="auto"/>
              <w:rPr>
                <w:rFonts w:cs="Arial"/>
                <w:b/>
                <w:sz w:val="20"/>
                <w:szCs w:val="20"/>
              </w:rPr>
            </w:pPr>
            <w:r w:rsidRPr="00EF4EE0">
              <w:rPr>
                <w:rFonts w:cs="Arial"/>
                <w:b/>
                <w:sz w:val="20"/>
                <w:szCs w:val="20"/>
              </w:rPr>
              <w:t>8. Estrutura e sistema de gerenciamento da drenagem</w:t>
            </w:r>
          </w:p>
          <w:p w:rsidR="00261C41" w:rsidRPr="00C75729" w:rsidRDefault="00261C41" w:rsidP="00261C41">
            <w:pPr>
              <w:autoSpaceDE w:val="0"/>
              <w:autoSpaceDN w:val="0"/>
              <w:adjustRightInd w:val="0"/>
              <w:spacing w:before="60" w:after="60" w:line="240" w:lineRule="auto"/>
              <w:rPr>
                <w:rFonts w:cs="Arial"/>
                <w:sz w:val="20"/>
                <w:szCs w:val="20"/>
              </w:rPr>
            </w:pPr>
            <w:r w:rsidRPr="00EF4EE0">
              <w:rPr>
                <w:rFonts w:cs="Arial"/>
                <w:sz w:val="20"/>
                <w:szCs w:val="20"/>
              </w:rPr>
              <w:t>- Há mapeamento dos pontos de lançamento do sistema de drenagem. - Há separação entre esgotos e águas pluviais.</w:t>
            </w:r>
          </w:p>
          <w:p w:rsidR="00261C41" w:rsidRPr="00C75729" w:rsidRDefault="00261C41" w:rsidP="00261C41">
            <w:pPr>
              <w:autoSpaceDE w:val="0"/>
              <w:autoSpaceDN w:val="0"/>
              <w:adjustRightInd w:val="0"/>
              <w:spacing w:before="60" w:after="60" w:line="240" w:lineRule="auto"/>
              <w:rPr>
                <w:rFonts w:cs="Arial"/>
                <w:sz w:val="20"/>
                <w:szCs w:val="20"/>
              </w:rPr>
            </w:pPr>
          </w:p>
        </w:tc>
        <w:tc>
          <w:tcPr>
            <w:tcW w:w="3402" w:type="dxa"/>
            <w:vMerge w:val="restart"/>
            <w:tcBorders>
              <w:top w:val="single" w:sz="4" w:space="0" w:color="auto"/>
              <w:left w:val="single" w:sz="4" w:space="0" w:color="auto"/>
              <w:right w:val="single" w:sz="4" w:space="0" w:color="auto"/>
            </w:tcBorders>
            <w:shd w:val="clear" w:color="auto" w:fill="B8CCE4"/>
            <w:vAlign w:val="center"/>
          </w:tcPr>
          <w:p w:rsidR="00261C41" w:rsidRPr="00395214" w:rsidRDefault="00261C41" w:rsidP="00261C41">
            <w:pPr>
              <w:spacing w:line="240" w:lineRule="auto"/>
              <w:jc w:val="center"/>
              <w:rPr>
                <w:rFonts w:eastAsia="Times New Roman" w:cs="Arial"/>
                <w:b/>
                <w:bCs/>
                <w:sz w:val="20"/>
                <w:szCs w:val="20"/>
                <w:lang w:eastAsia="pt-BR"/>
              </w:rPr>
            </w:pPr>
            <w:r w:rsidRPr="00395214">
              <w:rPr>
                <w:rFonts w:eastAsia="Times New Roman" w:cs="Arial"/>
                <w:b/>
                <w:bCs/>
                <w:sz w:val="20"/>
                <w:szCs w:val="20"/>
                <w:lang w:eastAsia="pt-BR"/>
              </w:rPr>
              <w:t>1. Perfil institucional</w:t>
            </w:r>
          </w:p>
          <w:p w:rsidR="00261C41" w:rsidRPr="00395214" w:rsidRDefault="00261C41" w:rsidP="00261C41">
            <w:pPr>
              <w:spacing w:line="240" w:lineRule="auto"/>
              <w:jc w:val="center"/>
              <w:rPr>
                <w:rFonts w:eastAsia="Times New Roman" w:cs="Arial"/>
                <w:b/>
                <w:bCs/>
                <w:sz w:val="20"/>
                <w:szCs w:val="20"/>
                <w:lang w:eastAsia="pt-BR"/>
              </w:rPr>
            </w:pPr>
          </w:p>
          <w:p w:rsidR="00261C41" w:rsidRPr="00395214" w:rsidRDefault="00261C41" w:rsidP="00261C41">
            <w:pPr>
              <w:spacing w:line="240" w:lineRule="auto"/>
              <w:jc w:val="center"/>
              <w:rPr>
                <w:rFonts w:eastAsia="Times New Roman" w:cs="Arial"/>
                <w:b/>
                <w:bCs/>
                <w:sz w:val="20"/>
                <w:szCs w:val="20"/>
                <w:lang w:eastAsia="pt-BR"/>
              </w:rPr>
            </w:pPr>
            <w:r w:rsidRPr="00395214">
              <w:rPr>
                <w:rFonts w:eastAsia="Times New Roman" w:cs="Arial"/>
                <w:b/>
                <w:bCs/>
                <w:sz w:val="20"/>
                <w:szCs w:val="20"/>
                <w:lang w:eastAsia="pt-BR"/>
              </w:rPr>
              <w:t>2. Sustentabilidade econômica</w:t>
            </w:r>
          </w:p>
          <w:p w:rsidR="00261C41" w:rsidRPr="00395214" w:rsidRDefault="00261C41" w:rsidP="00261C41">
            <w:pPr>
              <w:spacing w:line="240" w:lineRule="auto"/>
              <w:jc w:val="center"/>
              <w:rPr>
                <w:rFonts w:eastAsia="Times New Roman" w:cs="Arial"/>
                <w:b/>
                <w:bCs/>
                <w:sz w:val="20"/>
                <w:szCs w:val="20"/>
                <w:lang w:eastAsia="pt-BR"/>
              </w:rPr>
            </w:pPr>
          </w:p>
          <w:p w:rsidR="00261C41" w:rsidRPr="00395214" w:rsidRDefault="00261C41" w:rsidP="00261C41">
            <w:pPr>
              <w:spacing w:line="240" w:lineRule="auto"/>
              <w:jc w:val="center"/>
              <w:rPr>
                <w:rFonts w:eastAsia="Times New Roman" w:cs="Arial"/>
                <w:b/>
                <w:bCs/>
                <w:sz w:val="20"/>
                <w:szCs w:val="20"/>
                <w:lang w:eastAsia="pt-BR"/>
              </w:rPr>
            </w:pPr>
            <w:r w:rsidRPr="00395214">
              <w:rPr>
                <w:rFonts w:eastAsia="Times New Roman" w:cs="Arial"/>
                <w:b/>
                <w:bCs/>
                <w:sz w:val="20"/>
                <w:szCs w:val="20"/>
                <w:lang w:eastAsia="pt-BR"/>
              </w:rPr>
              <w:t>3. Legislação e normatização do setor</w:t>
            </w:r>
          </w:p>
          <w:p w:rsidR="00261C41" w:rsidRPr="00395214" w:rsidRDefault="00261C41" w:rsidP="00261C41">
            <w:pPr>
              <w:spacing w:line="240" w:lineRule="auto"/>
              <w:jc w:val="center"/>
              <w:rPr>
                <w:rFonts w:eastAsia="Times New Roman" w:cs="Arial"/>
                <w:b/>
                <w:bCs/>
                <w:sz w:val="20"/>
                <w:szCs w:val="20"/>
                <w:lang w:eastAsia="pt-BR"/>
              </w:rPr>
            </w:pPr>
          </w:p>
          <w:p w:rsidR="00261C41" w:rsidRPr="00395214" w:rsidRDefault="00261C41" w:rsidP="00261C41">
            <w:pPr>
              <w:spacing w:line="240" w:lineRule="auto"/>
              <w:jc w:val="center"/>
              <w:rPr>
                <w:rFonts w:eastAsia="Times New Roman" w:cs="Arial"/>
                <w:b/>
                <w:bCs/>
                <w:sz w:val="20"/>
                <w:szCs w:val="20"/>
                <w:lang w:eastAsia="pt-BR"/>
              </w:rPr>
            </w:pPr>
            <w:r w:rsidRPr="00395214">
              <w:rPr>
                <w:rFonts w:eastAsia="Times New Roman" w:cs="Arial"/>
                <w:b/>
                <w:bCs/>
                <w:sz w:val="20"/>
                <w:szCs w:val="20"/>
                <w:lang w:eastAsia="pt-BR"/>
              </w:rPr>
              <w:t xml:space="preserve">4. Sistema de </w:t>
            </w:r>
            <w:r>
              <w:rPr>
                <w:rFonts w:eastAsia="Times New Roman" w:cs="Arial"/>
                <w:b/>
                <w:bCs/>
                <w:sz w:val="20"/>
                <w:szCs w:val="20"/>
                <w:lang w:eastAsia="pt-BR"/>
              </w:rPr>
              <w:t>I</w:t>
            </w:r>
            <w:r w:rsidRPr="00395214">
              <w:rPr>
                <w:rFonts w:eastAsia="Times New Roman" w:cs="Arial"/>
                <w:b/>
                <w:bCs/>
                <w:sz w:val="20"/>
                <w:szCs w:val="20"/>
                <w:lang w:eastAsia="pt-BR"/>
              </w:rPr>
              <w:t>nformações</w:t>
            </w:r>
          </w:p>
          <w:p w:rsidR="00261C41" w:rsidRPr="00395214" w:rsidRDefault="00261C41" w:rsidP="00261C41">
            <w:pPr>
              <w:spacing w:line="240" w:lineRule="auto"/>
              <w:jc w:val="center"/>
              <w:rPr>
                <w:rFonts w:eastAsia="Times New Roman" w:cs="Arial"/>
                <w:b/>
                <w:bCs/>
                <w:sz w:val="20"/>
                <w:szCs w:val="20"/>
                <w:lang w:eastAsia="pt-BR"/>
              </w:rPr>
            </w:pPr>
          </w:p>
          <w:p w:rsidR="00261C41" w:rsidRPr="00395214" w:rsidRDefault="00261C41" w:rsidP="00261C41">
            <w:pPr>
              <w:spacing w:line="240" w:lineRule="auto"/>
              <w:jc w:val="center"/>
              <w:rPr>
                <w:rFonts w:eastAsia="Times New Roman" w:cs="Arial"/>
                <w:b/>
                <w:bCs/>
                <w:sz w:val="20"/>
                <w:szCs w:val="20"/>
                <w:lang w:eastAsia="pt-BR"/>
              </w:rPr>
            </w:pPr>
            <w:r w:rsidRPr="00395214">
              <w:rPr>
                <w:rFonts w:eastAsia="Times New Roman" w:cs="Arial"/>
                <w:b/>
                <w:bCs/>
                <w:sz w:val="20"/>
                <w:szCs w:val="20"/>
                <w:lang w:eastAsia="pt-BR"/>
              </w:rPr>
              <w:t>5. Planejamento territorial / Uso e ocupação do solo</w:t>
            </w:r>
          </w:p>
          <w:p w:rsidR="00261C41" w:rsidRPr="00395214" w:rsidRDefault="00261C41" w:rsidP="00261C41">
            <w:pPr>
              <w:spacing w:line="240" w:lineRule="auto"/>
              <w:jc w:val="center"/>
              <w:rPr>
                <w:rFonts w:eastAsia="Times New Roman" w:cs="Arial"/>
                <w:b/>
                <w:bCs/>
                <w:sz w:val="20"/>
                <w:szCs w:val="20"/>
                <w:lang w:eastAsia="pt-BR"/>
              </w:rPr>
            </w:pPr>
          </w:p>
          <w:p w:rsidR="00261C41" w:rsidRPr="00395214" w:rsidRDefault="00261C41" w:rsidP="00261C41">
            <w:pPr>
              <w:spacing w:line="240" w:lineRule="auto"/>
              <w:jc w:val="center"/>
              <w:rPr>
                <w:rFonts w:eastAsia="Times New Roman" w:cs="Arial"/>
                <w:b/>
                <w:bCs/>
                <w:sz w:val="20"/>
                <w:szCs w:val="20"/>
                <w:lang w:eastAsia="pt-BR"/>
              </w:rPr>
            </w:pPr>
            <w:r w:rsidRPr="00395214">
              <w:rPr>
                <w:rFonts w:eastAsia="Times New Roman" w:cs="Arial"/>
                <w:b/>
                <w:bCs/>
                <w:sz w:val="20"/>
                <w:szCs w:val="20"/>
                <w:lang w:eastAsia="pt-BR"/>
              </w:rPr>
              <w:t>6. Parcerias institucionais</w:t>
            </w:r>
          </w:p>
          <w:p w:rsidR="00261C41" w:rsidRPr="00395214" w:rsidRDefault="00261C41" w:rsidP="00261C41">
            <w:pPr>
              <w:spacing w:line="240" w:lineRule="auto"/>
              <w:jc w:val="center"/>
              <w:rPr>
                <w:rFonts w:eastAsia="Times New Roman" w:cs="Arial"/>
                <w:b/>
                <w:bCs/>
                <w:sz w:val="20"/>
                <w:szCs w:val="20"/>
                <w:lang w:eastAsia="pt-BR"/>
              </w:rPr>
            </w:pPr>
          </w:p>
          <w:p w:rsidR="00261C41" w:rsidRPr="00395214" w:rsidRDefault="00261C41" w:rsidP="00261C41">
            <w:pPr>
              <w:spacing w:line="240" w:lineRule="auto"/>
              <w:jc w:val="center"/>
              <w:rPr>
                <w:rFonts w:eastAsia="Times New Roman" w:cs="Arial"/>
                <w:b/>
                <w:bCs/>
                <w:sz w:val="20"/>
                <w:szCs w:val="20"/>
                <w:lang w:eastAsia="pt-BR"/>
              </w:rPr>
            </w:pPr>
            <w:r w:rsidRPr="00395214">
              <w:rPr>
                <w:rFonts w:eastAsia="Times New Roman" w:cs="Arial"/>
                <w:b/>
                <w:bCs/>
                <w:sz w:val="20"/>
                <w:szCs w:val="20"/>
                <w:lang w:eastAsia="pt-BR"/>
              </w:rPr>
              <w:t>7. Orçamento municipal</w:t>
            </w:r>
          </w:p>
          <w:p w:rsidR="00261C41" w:rsidRPr="00395214" w:rsidRDefault="00261C41" w:rsidP="00261C41">
            <w:pPr>
              <w:spacing w:line="240" w:lineRule="auto"/>
              <w:jc w:val="center"/>
              <w:rPr>
                <w:rFonts w:eastAsia="Times New Roman" w:cs="Arial"/>
                <w:b/>
                <w:bCs/>
                <w:sz w:val="20"/>
                <w:szCs w:val="20"/>
                <w:lang w:eastAsia="pt-BR"/>
              </w:rPr>
            </w:pPr>
          </w:p>
          <w:p w:rsidR="00261C41" w:rsidRPr="00395214" w:rsidRDefault="00261C41" w:rsidP="00261C41">
            <w:pPr>
              <w:spacing w:line="240" w:lineRule="auto"/>
              <w:jc w:val="center"/>
              <w:rPr>
                <w:rFonts w:eastAsia="Times New Roman" w:cs="Arial"/>
                <w:b/>
                <w:bCs/>
                <w:sz w:val="20"/>
                <w:szCs w:val="20"/>
                <w:lang w:eastAsia="pt-BR"/>
              </w:rPr>
            </w:pPr>
            <w:r w:rsidRPr="00395214">
              <w:rPr>
                <w:rFonts w:eastAsia="Times New Roman" w:cs="Arial"/>
                <w:b/>
                <w:bCs/>
                <w:sz w:val="20"/>
                <w:szCs w:val="20"/>
                <w:lang w:eastAsia="pt-BR"/>
              </w:rPr>
              <w:t>8. Estrutura e sistema de gerenciamento da drenagem</w:t>
            </w:r>
          </w:p>
          <w:p w:rsidR="00261C41" w:rsidRPr="00395214" w:rsidRDefault="00261C41" w:rsidP="00261C41">
            <w:pPr>
              <w:spacing w:line="240" w:lineRule="auto"/>
              <w:jc w:val="center"/>
              <w:rPr>
                <w:rFonts w:eastAsia="Times New Roman" w:cs="Arial"/>
                <w:b/>
                <w:bCs/>
                <w:sz w:val="20"/>
                <w:szCs w:val="20"/>
                <w:lang w:eastAsia="pt-BR"/>
              </w:rPr>
            </w:pPr>
          </w:p>
          <w:p w:rsidR="00261C41" w:rsidRPr="00C75729" w:rsidRDefault="00261C41" w:rsidP="00261C41">
            <w:pPr>
              <w:autoSpaceDE w:val="0"/>
              <w:autoSpaceDN w:val="0"/>
              <w:adjustRightInd w:val="0"/>
              <w:spacing w:before="60" w:after="60" w:line="240" w:lineRule="auto"/>
              <w:jc w:val="center"/>
              <w:rPr>
                <w:rFonts w:cs="Arial"/>
                <w:b/>
                <w:sz w:val="20"/>
                <w:szCs w:val="20"/>
              </w:rPr>
            </w:pPr>
            <w:r w:rsidRPr="00395214">
              <w:rPr>
                <w:rFonts w:eastAsia="Times New Roman" w:cs="Arial"/>
                <w:b/>
                <w:bCs/>
                <w:sz w:val="20"/>
                <w:szCs w:val="20"/>
                <w:lang w:eastAsia="pt-BR"/>
              </w:rPr>
              <w:t>9. Proteção aos recursos hídricos</w:t>
            </w:r>
          </w:p>
        </w:tc>
        <w:tc>
          <w:tcPr>
            <w:tcW w:w="7378" w:type="dxa"/>
            <w:tcBorders>
              <w:top w:val="single" w:sz="4" w:space="0" w:color="auto"/>
              <w:left w:val="single" w:sz="4" w:space="0" w:color="auto"/>
              <w:bottom w:val="single" w:sz="4" w:space="0" w:color="auto"/>
              <w:right w:val="single" w:sz="4" w:space="0" w:color="auto"/>
            </w:tcBorders>
            <w:shd w:val="clear" w:color="auto" w:fill="B8CCE4"/>
          </w:tcPr>
          <w:p w:rsidR="00261C41" w:rsidRPr="00C75729" w:rsidRDefault="00261C41" w:rsidP="00261C41">
            <w:pPr>
              <w:autoSpaceDE w:val="0"/>
              <w:autoSpaceDN w:val="0"/>
              <w:adjustRightInd w:val="0"/>
              <w:spacing w:before="60" w:after="60" w:line="240" w:lineRule="auto"/>
              <w:jc w:val="center"/>
              <w:rPr>
                <w:rFonts w:cs="Arial"/>
                <w:b/>
                <w:sz w:val="20"/>
                <w:szCs w:val="20"/>
              </w:rPr>
            </w:pPr>
            <w:r w:rsidRPr="00C75729">
              <w:rPr>
                <w:rFonts w:cs="Arial"/>
                <w:b/>
                <w:sz w:val="20"/>
                <w:szCs w:val="20"/>
              </w:rPr>
              <w:t>FRAQUEZAS</w:t>
            </w:r>
          </w:p>
          <w:p w:rsidR="00261C41" w:rsidRPr="00C75729" w:rsidRDefault="00261C41" w:rsidP="00261C41">
            <w:pPr>
              <w:autoSpaceDE w:val="0"/>
              <w:autoSpaceDN w:val="0"/>
              <w:adjustRightInd w:val="0"/>
              <w:spacing w:before="60" w:after="60" w:line="240" w:lineRule="auto"/>
              <w:rPr>
                <w:rFonts w:cs="Arial"/>
                <w:b/>
                <w:sz w:val="20"/>
                <w:szCs w:val="20"/>
              </w:rPr>
            </w:pPr>
          </w:p>
          <w:p w:rsidR="00261C41" w:rsidRPr="00EF4EE0" w:rsidRDefault="00261C41" w:rsidP="00261C41">
            <w:pPr>
              <w:widowControl w:val="0"/>
              <w:autoSpaceDE w:val="0"/>
              <w:autoSpaceDN w:val="0"/>
              <w:adjustRightInd w:val="0"/>
              <w:spacing w:before="120" w:after="120" w:line="240" w:lineRule="auto"/>
              <w:ind w:firstLine="23"/>
              <w:contextualSpacing/>
              <w:rPr>
                <w:rFonts w:cs="Arial"/>
                <w:b/>
                <w:sz w:val="20"/>
                <w:szCs w:val="20"/>
              </w:rPr>
            </w:pPr>
            <w:r w:rsidRPr="00EF4EE0">
              <w:rPr>
                <w:rFonts w:cs="Arial"/>
                <w:b/>
                <w:sz w:val="20"/>
                <w:szCs w:val="20"/>
              </w:rPr>
              <w:t>1. Perfil institucional</w:t>
            </w:r>
          </w:p>
          <w:p w:rsidR="00261C41" w:rsidRPr="00EF4EE0" w:rsidRDefault="00261C41" w:rsidP="00261C41">
            <w:pPr>
              <w:widowControl w:val="0"/>
              <w:autoSpaceDE w:val="0"/>
              <w:autoSpaceDN w:val="0"/>
              <w:adjustRightInd w:val="0"/>
              <w:spacing w:before="120" w:after="120" w:line="240" w:lineRule="auto"/>
              <w:ind w:firstLine="23"/>
              <w:contextualSpacing/>
              <w:rPr>
                <w:rFonts w:cs="Arial"/>
                <w:sz w:val="20"/>
                <w:szCs w:val="20"/>
              </w:rPr>
            </w:pPr>
            <w:r w:rsidRPr="00EF4EE0">
              <w:rPr>
                <w:rFonts w:cs="Arial"/>
                <w:sz w:val="20"/>
                <w:szCs w:val="20"/>
              </w:rPr>
              <w:t>- Ausência de atribuições bem definidas para execução das atividades da gestão do sistema de drenagem urbana e manejo de águas pluviais.</w:t>
            </w:r>
          </w:p>
          <w:p w:rsidR="00261C41" w:rsidRDefault="00261C41" w:rsidP="00261C41">
            <w:pPr>
              <w:widowControl w:val="0"/>
              <w:autoSpaceDE w:val="0"/>
              <w:autoSpaceDN w:val="0"/>
              <w:adjustRightInd w:val="0"/>
              <w:spacing w:before="120" w:after="120" w:line="240" w:lineRule="auto"/>
              <w:ind w:firstLine="23"/>
              <w:contextualSpacing/>
              <w:rPr>
                <w:rFonts w:cs="Arial"/>
                <w:sz w:val="20"/>
                <w:szCs w:val="20"/>
              </w:rPr>
            </w:pPr>
            <w:r w:rsidRPr="00EF4EE0">
              <w:rPr>
                <w:rFonts w:cs="Arial"/>
                <w:sz w:val="20"/>
                <w:szCs w:val="20"/>
              </w:rPr>
              <w:t>- Não há planejamento na manutenção preventiva das redes de drenagem.</w:t>
            </w:r>
          </w:p>
          <w:p w:rsidR="00261C41" w:rsidRPr="00EF4EE0" w:rsidRDefault="00261C41" w:rsidP="00261C41">
            <w:pPr>
              <w:widowControl w:val="0"/>
              <w:autoSpaceDE w:val="0"/>
              <w:autoSpaceDN w:val="0"/>
              <w:adjustRightInd w:val="0"/>
              <w:spacing w:before="120" w:after="120" w:line="240" w:lineRule="auto"/>
              <w:ind w:firstLine="23"/>
              <w:contextualSpacing/>
              <w:rPr>
                <w:rFonts w:cs="Arial"/>
                <w:sz w:val="20"/>
                <w:szCs w:val="20"/>
              </w:rPr>
            </w:pPr>
          </w:p>
          <w:p w:rsidR="00261C41" w:rsidRPr="00EF4EE0" w:rsidRDefault="00261C41" w:rsidP="00261C41">
            <w:pPr>
              <w:widowControl w:val="0"/>
              <w:autoSpaceDE w:val="0"/>
              <w:autoSpaceDN w:val="0"/>
              <w:adjustRightInd w:val="0"/>
              <w:spacing w:before="120" w:after="120" w:line="240" w:lineRule="auto"/>
              <w:ind w:firstLine="23"/>
              <w:contextualSpacing/>
              <w:rPr>
                <w:rFonts w:cs="Arial"/>
                <w:b/>
                <w:sz w:val="20"/>
                <w:szCs w:val="20"/>
              </w:rPr>
            </w:pPr>
            <w:r w:rsidRPr="00EF4EE0">
              <w:rPr>
                <w:rFonts w:cs="Arial"/>
                <w:b/>
                <w:sz w:val="20"/>
                <w:szCs w:val="20"/>
              </w:rPr>
              <w:t>2. Sustentabilidade econômica</w:t>
            </w:r>
          </w:p>
          <w:p w:rsidR="00261C41" w:rsidRDefault="00261C41" w:rsidP="00261C41">
            <w:pPr>
              <w:widowControl w:val="0"/>
              <w:autoSpaceDE w:val="0"/>
              <w:autoSpaceDN w:val="0"/>
              <w:adjustRightInd w:val="0"/>
              <w:spacing w:before="120" w:after="120" w:line="240" w:lineRule="auto"/>
              <w:ind w:firstLine="23"/>
              <w:contextualSpacing/>
              <w:rPr>
                <w:rFonts w:cs="Arial"/>
                <w:sz w:val="20"/>
                <w:szCs w:val="20"/>
              </w:rPr>
            </w:pPr>
            <w:r w:rsidRPr="00EF4EE0">
              <w:rPr>
                <w:rFonts w:cs="Arial"/>
                <w:sz w:val="20"/>
                <w:szCs w:val="20"/>
              </w:rPr>
              <w:t>- Não há monitoramento dos gastos públicos com drenagem.</w:t>
            </w:r>
          </w:p>
          <w:p w:rsidR="00261C41" w:rsidRDefault="00261C41" w:rsidP="00261C41">
            <w:pPr>
              <w:widowControl w:val="0"/>
              <w:autoSpaceDE w:val="0"/>
              <w:autoSpaceDN w:val="0"/>
              <w:adjustRightInd w:val="0"/>
              <w:spacing w:before="120" w:after="120" w:line="240" w:lineRule="auto"/>
              <w:ind w:firstLine="23"/>
              <w:contextualSpacing/>
              <w:rPr>
                <w:rFonts w:cs="Arial"/>
                <w:sz w:val="20"/>
                <w:szCs w:val="20"/>
              </w:rPr>
            </w:pPr>
            <w:r>
              <w:rPr>
                <w:rFonts w:cs="Arial"/>
                <w:sz w:val="20"/>
                <w:szCs w:val="20"/>
              </w:rPr>
              <w:t>- Não há cobranças para os serviços municipais de drenagem urbana.</w:t>
            </w:r>
          </w:p>
          <w:p w:rsidR="00261C41" w:rsidRPr="00EF4EE0" w:rsidRDefault="00261C41" w:rsidP="00261C41">
            <w:pPr>
              <w:widowControl w:val="0"/>
              <w:autoSpaceDE w:val="0"/>
              <w:autoSpaceDN w:val="0"/>
              <w:adjustRightInd w:val="0"/>
              <w:spacing w:before="120" w:after="120" w:line="240" w:lineRule="auto"/>
              <w:ind w:firstLine="23"/>
              <w:contextualSpacing/>
              <w:rPr>
                <w:rFonts w:cs="Arial"/>
                <w:sz w:val="20"/>
                <w:szCs w:val="20"/>
              </w:rPr>
            </w:pPr>
          </w:p>
          <w:p w:rsidR="00261C41" w:rsidRPr="00EF4EE0" w:rsidRDefault="00261C41" w:rsidP="00261C41">
            <w:pPr>
              <w:widowControl w:val="0"/>
              <w:autoSpaceDE w:val="0"/>
              <w:autoSpaceDN w:val="0"/>
              <w:adjustRightInd w:val="0"/>
              <w:spacing w:before="120" w:after="120" w:line="240" w:lineRule="auto"/>
              <w:ind w:firstLine="23"/>
              <w:contextualSpacing/>
              <w:rPr>
                <w:rFonts w:cs="Arial"/>
                <w:b/>
                <w:sz w:val="20"/>
                <w:szCs w:val="20"/>
              </w:rPr>
            </w:pPr>
            <w:r w:rsidRPr="00EF4EE0">
              <w:rPr>
                <w:rFonts w:cs="Arial"/>
                <w:b/>
                <w:sz w:val="20"/>
                <w:szCs w:val="20"/>
              </w:rPr>
              <w:t>4. Sistema de Informações</w:t>
            </w:r>
          </w:p>
          <w:p w:rsidR="00261C41" w:rsidRPr="00EF4EE0" w:rsidRDefault="00261C41" w:rsidP="00261C41">
            <w:pPr>
              <w:widowControl w:val="0"/>
              <w:autoSpaceDE w:val="0"/>
              <w:autoSpaceDN w:val="0"/>
              <w:adjustRightInd w:val="0"/>
              <w:spacing w:before="120" w:after="120" w:line="240" w:lineRule="auto"/>
              <w:ind w:firstLine="23"/>
              <w:contextualSpacing/>
              <w:rPr>
                <w:rFonts w:cs="Arial"/>
                <w:sz w:val="20"/>
                <w:szCs w:val="20"/>
              </w:rPr>
            </w:pPr>
            <w:r w:rsidRPr="00EF4EE0">
              <w:rPr>
                <w:rFonts w:cs="Arial"/>
                <w:sz w:val="20"/>
                <w:szCs w:val="20"/>
              </w:rPr>
              <w:t>- Ausência de sistematização para armazenamento e recuperação de dados administrativos e operacionais.</w:t>
            </w:r>
          </w:p>
          <w:p w:rsidR="00261C41" w:rsidRPr="00EF4EE0" w:rsidRDefault="00261C41" w:rsidP="00261C41">
            <w:pPr>
              <w:widowControl w:val="0"/>
              <w:autoSpaceDE w:val="0"/>
              <w:autoSpaceDN w:val="0"/>
              <w:adjustRightInd w:val="0"/>
              <w:spacing w:before="120" w:after="120" w:line="240" w:lineRule="auto"/>
              <w:ind w:firstLine="23"/>
              <w:contextualSpacing/>
              <w:rPr>
                <w:rFonts w:cs="Arial"/>
                <w:sz w:val="20"/>
                <w:szCs w:val="20"/>
              </w:rPr>
            </w:pPr>
            <w:r w:rsidRPr="00EF4EE0">
              <w:rPr>
                <w:rFonts w:cs="Arial"/>
                <w:sz w:val="20"/>
                <w:szCs w:val="20"/>
              </w:rPr>
              <w:t>- Não há monitoramento do sistema de drenagem.</w:t>
            </w:r>
          </w:p>
          <w:p w:rsidR="00261C41" w:rsidRDefault="00261C41" w:rsidP="00261C41">
            <w:pPr>
              <w:widowControl w:val="0"/>
              <w:autoSpaceDE w:val="0"/>
              <w:autoSpaceDN w:val="0"/>
              <w:adjustRightInd w:val="0"/>
              <w:spacing w:before="120" w:after="120" w:line="240" w:lineRule="auto"/>
              <w:ind w:firstLine="23"/>
              <w:contextualSpacing/>
              <w:rPr>
                <w:rFonts w:cs="Arial"/>
                <w:sz w:val="20"/>
                <w:szCs w:val="20"/>
              </w:rPr>
            </w:pPr>
            <w:r w:rsidRPr="00EF4EE0">
              <w:rPr>
                <w:rFonts w:cs="Arial"/>
                <w:sz w:val="20"/>
                <w:szCs w:val="20"/>
              </w:rPr>
              <w:t>- Não há planos de emergência para eventos extremos.</w:t>
            </w:r>
          </w:p>
          <w:p w:rsidR="00261C41" w:rsidRPr="00EF4EE0" w:rsidRDefault="00261C41" w:rsidP="00261C41">
            <w:pPr>
              <w:widowControl w:val="0"/>
              <w:autoSpaceDE w:val="0"/>
              <w:autoSpaceDN w:val="0"/>
              <w:adjustRightInd w:val="0"/>
              <w:spacing w:before="120" w:after="120" w:line="240" w:lineRule="auto"/>
              <w:ind w:firstLine="23"/>
              <w:contextualSpacing/>
              <w:rPr>
                <w:rFonts w:cs="Arial"/>
                <w:sz w:val="20"/>
                <w:szCs w:val="20"/>
              </w:rPr>
            </w:pPr>
          </w:p>
          <w:p w:rsidR="00261C41" w:rsidRPr="00EF4EE0" w:rsidRDefault="00261C41" w:rsidP="00261C41">
            <w:pPr>
              <w:widowControl w:val="0"/>
              <w:autoSpaceDE w:val="0"/>
              <w:autoSpaceDN w:val="0"/>
              <w:adjustRightInd w:val="0"/>
              <w:spacing w:before="120" w:after="120" w:line="240" w:lineRule="auto"/>
              <w:ind w:firstLine="23"/>
              <w:contextualSpacing/>
              <w:rPr>
                <w:rFonts w:cs="Arial"/>
                <w:b/>
                <w:sz w:val="20"/>
                <w:szCs w:val="20"/>
              </w:rPr>
            </w:pPr>
            <w:r w:rsidRPr="00EF4EE0">
              <w:rPr>
                <w:rFonts w:cs="Arial"/>
                <w:b/>
                <w:sz w:val="20"/>
                <w:szCs w:val="20"/>
              </w:rPr>
              <w:t>5. Planejamento territorial / Uso e ocupação do solo</w:t>
            </w:r>
          </w:p>
          <w:p w:rsidR="00261C41" w:rsidRPr="00EF4EE0" w:rsidRDefault="00261C41" w:rsidP="00261C41">
            <w:pPr>
              <w:widowControl w:val="0"/>
              <w:autoSpaceDE w:val="0"/>
              <w:autoSpaceDN w:val="0"/>
              <w:adjustRightInd w:val="0"/>
              <w:spacing w:before="120" w:after="120" w:line="240" w:lineRule="auto"/>
              <w:ind w:firstLine="23"/>
              <w:contextualSpacing/>
              <w:rPr>
                <w:rFonts w:cs="Arial"/>
                <w:sz w:val="20"/>
                <w:szCs w:val="20"/>
              </w:rPr>
            </w:pPr>
            <w:r w:rsidRPr="00EF4EE0">
              <w:rPr>
                <w:rFonts w:cs="Arial"/>
                <w:sz w:val="20"/>
                <w:szCs w:val="20"/>
              </w:rPr>
              <w:t>- Não há infraestruturas de controle de processos erosivos em locais de risco.</w:t>
            </w:r>
          </w:p>
          <w:p w:rsidR="00261C41" w:rsidRDefault="00261C41" w:rsidP="00261C41">
            <w:pPr>
              <w:widowControl w:val="0"/>
              <w:autoSpaceDE w:val="0"/>
              <w:autoSpaceDN w:val="0"/>
              <w:adjustRightInd w:val="0"/>
              <w:spacing w:before="120" w:after="120" w:line="240" w:lineRule="auto"/>
              <w:ind w:firstLine="23"/>
              <w:contextualSpacing/>
              <w:rPr>
                <w:rFonts w:cs="Arial"/>
                <w:sz w:val="20"/>
                <w:szCs w:val="20"/>
              </w:rPr>
            </w:pPr>
            <w:r w:rsidRPr="00EF4EE0">
              <w:rPr>
                <w:rFonts w:cs="Arial"/>
                <w:sz w:val="20"/>
                <w:szCs w:val="20"/>
              </w:rPr>
              <w:t>- Ocupações residenciais em áreas de risco de deslizamentos.</w:t>
            </w:r>
          </w:p>
          <w:p w:rsidR="00261C41" w:rsidRPr="00EF4EE0" w:rsidRDefault="00261C41" w:rsidP="00261C41">
            <w:pPr>
              <w:widowControl w:val="0"/>
              <w:autoSpaceDE w:val="0"/>
              <w:autoSpaceDN w:val="0"/>
              <w:adjustRightInd w:val="0"/>
              <w:spacing w:before="120" w:after="120" w:line="240" w:lineRule="auto"/>
              <w:ind w:firstLine="23"/>
              <w:contextualSpacing/>
              <w:rPr>
                <w:rFonts w:cs="Arial"/>
                <w:sz w:val="20"/>
                <w:szCs w:val="20"/>
              </w:rPr>
            </w:pPr>
          </w:p>
          <w:p w:rsidR="00261C41" w:rsidRPr="00EF4EE0" w:rsidRDefault="00261C41" w:rsidP="00261C41">
            <w:pPr>
              <w:widowControl w:val="0"/>
              <w:autoSpaceDE w:val="0"/>
              <w:autoSpaceDN w:val="0"/>
              <w:adjustRightInd w:val="0"/>
              <w:spacing w:before="120" w:after="120" w:line="240" w:lineRule="auto"/>
              <w:ind w:firstLine="23"/>
              <w:contextualSpacing/>
              <w:rPr>
                <w:rFonts w:cs="Arial"/>
                <w:b/>
                <w:sz w:val="20"/>
                <w:szCs w:val="20"/>
              </w:rPr>
            </w:pPr>
            <w:r w:rsidRPr="00EF4EE0">
              <w:rPr>
                <w:rFonts w:cs="Arial"/>
                <w:b/>
                <w:sz w:val="20"/>
                <w:szCs w:val="20"/>
              </w:rPr>
              <w:t>8. Estrutura e sistema de gerenciamento da drenagem</w:t>
            </w:r>
          </w:p>
          <w:p w:rsidR="00261C41" w:rsidRPr="00EF4EE0" w:rsidRDefault="00261C41" w:rsidP="00261C41">
            <w:pPr>
              <w:widowControl w:val="0"/>
              <w:autoSpaceDE w:val="0"/>
              <w:autoSpaceDN w:val="0"/>
              <w:adjustRightInd w:val="0"/>
              <w:spacing w:before="120" w:after="120" w:line="240" w:lineRule="auto"/>
              <w:ind w:firstLine="23"/>
              <w:contextualSpacing/>
              <w:rPr>
                <w:rFonts w:cs="Arial"/>
                <w:sz w:val="20"/>
                <w:szCs w:val="20"/>
              </w:rPr>
            </w:pPr>
            <w:r w:rsidRPr="00EF4EE0">
              <w:rPr>
                <w:rFonts w:cs="Arial"/>
                <w:sz w:val="20"/>
                <w:szCs w:val="20"/>
              </w:rPr>
              <w:t>- O município não possui levantamento cadastral da drenagem urbana.</w:t>
            </w:r>
          </w:p>
          <w:p w:rsidR="00261C41" w:rsidRPr="00EF4EE0" w:rsidRDefault="00261C41" w:rsidP="00261C41">
            <w:pPr>
              <w:widowControl w:val="0"/>
              <w:autoSpaceDE w:val="0"/>
              <w:autoSpaceDN w:val="0"/>
              <w:adjustRightInd w:val="0"/>
              <w:spacing w:before="120" w:after="120" w:line="240" w:lineRule="auto"/>
              <w:ind w:firstLine="23"/>
              <w:contextualSpacing/>
              <w:rPr>
                <w:rFonts w:cs="Arial"/>
                <w:sz w:val="20"/>
                <w:szCs w:val="20"/>
              </w:rPr>
            </w:pPr>
            <w:r w:rsidRPr="00EF4EE0">
              <w:rPr>
                <w:rFonts w:cs="Arial"/>
                <w:sz w:val="20"/>
                <w:szCs w:val="20"/>
              </w:rPr>
              <w:t>- Não há estruturas de microdrenagem.</w:t>
            </w:r>
          </w:p>
          <w:p w:rsidR="00261C41" w:rsidRPr="00EF4EE0" w:rsidRDefault="00261C41" w:rsidP="00261C41">
            <w:pPr>
              <w:widowControl w:val="0"/>
              <w:autoSpaceDE w:val="0"/>
              <w:autoSpaceDN w:val="0"/>
              <w:adjustRightInd w:val="0"/>
              <w:spacing w:before="120" w:after="120" w:line="240" w:lineRule="auto"/>
              <w:ind w:firstLine="23"/>
              <w:contextualSpacing/>
              <w:rPr>
                <w:rFonts w:cs="Arial"/>
                <w:sz w:val="20"/>
                <w:szCs w:val="20"/>
              </w:rPr>
            </w:pPr>
            <w:r w:rsidRPr="00EF4EE0">
              <w:rPr>
                <w:rFonts w:cs="Arial"/>
                <w:sz w:val="20"/>
                <w:szCs w:val="20"/>
              </w:rPr>
              <w:t>- Não há dissipadores de energia ao fim dos lançamentos.</w:t>
            </w:r>
          </w:p>
          <w:p w:rsidR="00261C41" w:rsidRPr="00EF4EE0" w:rsidRDefault="00261C41" w:rsidP="00261C41">
            <w:pPr>
              <w:widowControl w:val="0"/>
              <w:autoSpaceDE w:val="0"/>
              <w:autoSpaceDN w:val="0"/>
              <w:adjustRightInd w:val="0"/>
              <w:spacing w:before="120" w:after="120" w:line="240" w:lineRule="auto"/>
              <w:ind w:firstLine="23"/>
              <w:contextualSpacing/>
              <w:rPr>
                <w:rFonts w:cs="Arial"/>
                <w:sz w:val="20"/>
                <w:szCs w:val="20"/>
              </w:rPr>
            </w:pPr>
            <w:r w:rsidRPr="00EF4EE0">
              <w:rPr>
                <w:rFonts w:cs="Arial"/>
                <w:sz w:val="20"/>
                <w:szCs w:val="20"/>
              </w:rPr>
              <w:t>- Há pontos de alagamento em estradas rurais e inundações em área urbana.</w:t>
            </w:r>
          </w:p>
          <w:p w:rsidR="00261C41" w:rsidRDefault="00261C41" w:rsidP="00261C41">
            <w:pPr>
              <w:widowControl w:val="0"/>
              <w:autoSpaceDE w:val="0"/>
              <w:autoSpaceDN w:val="0"/>
              <w:adjustRightInd w:val="0"/>
              <w:spacing w:before="120" w:after="120" w:line="240" w:lineRule="auto"/>
              <w:ind w:firstLine="23"/>
              <w:contextualSpacing/>
              <w:rPr>
                <w:rFonts w:cs="Arial"/>
                <w:sz w:val="20"/>
                <w:szCs w:val="20"/>
              </w:rPr>
            </w:pPr>
            <w:r w:rsidRPr="00EF4EE0">
              <w:rPr>
                <w:rFonts w:cs="Arial"/>
                <w:sz w:val="20"/>
                <w:szCs w:val="20"/>
              </w:rPr>
              <w:t>- Na sede municipal, há quatro pontes que não atendem às demandas hidrológicas.</w:t>
            </w:r>
          </w:p>
          <w:p w:rsidR="00261C41" w:rsidRDefault="00261C41" w:rsidP="00261C41">
            <w:pPr>
              <w:autoSpaceDE w:val="0"/>
              <w:autoSpaceDN w:val="0"/>
              <w:adjustRightInd w:val="0"/>
              <w:spacing w:before="60" w:after="60" w:line="240" w:lineRule="auto"/>
              <w:rPr>
                <w:rFonts w:cs="Arial"/>
                <w:b/>
                <w:sz w:val="20"/>
                <w:szCs w:val="20"/>
              </w:rPr>
            </w:pPr>
          </w:p>
          <w:p w:rsidR="00810C89" w:rsidRDefault="00810C89" w:rsidP="00261C41">
            <w:pPr>
              <w:autoSpaceDE w:val="0"/>
              <w:autoSpaceDN w:val="0"/>
              <w:adjustRightInd w:val="0"/>
              <w:spacing w:before="60" w:after="60" w:line="240" w:lineRule="auto"/>
              <w:rPr>
                <w:rFonts w:cs="Arial"/>
                <w:b/>
                <w:sz w:val="20"/>
                <w:szCs w:val="20"/>
              </w:rPr>
            </w:pPr>
          </w:p>
          <w:p w:rsidR="00261C41" w:rsidRDefault="00261C41" w:rsidP="00261C41">
            <w:pPr>
              <w:autoSpaceDE w:val="0"/>
              <w:autoSpaceDN w:val="0"/>
              <w:adjustRightInd w:val="0"/>
              <w:spacing w:before="60" w:after="60" w:line="240" w:lineRule="auto"/>
              <w:rPr>
                <w:rFonts w:cs="Arial"/>
                <w:b/>
                <w:sz w:val="20"/>
                <w:szCs w:val="20"/>
              </w:rPr>
            </w:pPr>
          </w:p>
          <w:p w:rsidR="00261C41" w:rsidRPr="00EF4EE0" w:rsidRDefault="00261C41" w:rsidP="00261C41">
            <w:pPr>
              <w:autoSpaceDE w:val="0"/>
              <w:autoSpaceDN w:val="0"/>
              <w:adjustRightInd w:val="0"/>
              <w:spacing w:before="60" w:after="60" w:line="240" w:lineRule="auto"/>
              <w:rPr>
                <w:rFonts w:cs="Arial"/>
                <w:b/>
                <w:sz w:val="20"/>
                <w:szCs w:val="20"/>
              </w:rPr>
            </w:pPr>
            <w:r w:rsidRPr="00EF4EE0">
              <w:rPr>
                <w:rFonts w:cs="Arial"/>
                <w:b/>
                <w:sz w:val="20"/>
                <w:szCs w:val="20"/>
              </w:rPr>
              <w:lastRenderedPageBreak/>
              <w:t>9. Proteção aos recursos hídricos</w:t>
            </w:r>
          </w:p>
          <w:p w:rsidR="00261C41" w:rsidRPr="00327800" w:rsidRDefault="00261C41" w:rsidP="00261C41">
            <w:pPr>
              <w:autoSpaceDE w:val="0"/>
              <w:autoSpaceDN w:val="0"/>
              <w:adjustRightInd w:val="0"/>
              <w:spacing w:before="60" w:after="60" w:line="240" w:lineRule="auto"/>
              <w:rPr>
                <w:rFonts w:cs="Arial"/>
                <w:sz w:val="20"/>
                <w:szCs w:val="20"/>
              </w:rPr>
            </w:pPr>
            <w:r w:rsidRPr="00327800">
              <w:rPr>
                <w:rFonts w:cs="Arial"/>
                <w:sz w:val="20"/>
                <w:szCs w:val="20"/>
              </w:rPr>
              <w:t>- Há cursos hídricos assoreados.</w:t>
            </w:r>
          </w:p>
          <w:p w:rsidR="00261C41" w:rsidRPr="004939D6" w:rsidRDefault="00261C41" w:rsidP="00261C41">
            <w:pPr>
              <w:autoSpaceDE w:val="0"/>
              <w:autoSpaceDN w:val="0"/>
              <w:adjustRightInd w:val="0"/>
              <w:spacing w:before="60" w:after="60" w:line="240" w:lineRule="auto"/>
              <w:rPr>
                <w:rFonts w:cs="Arial"/>
                <w:sz w:val="20"/>
                <w:szCs w:val="20"/>
              </w:rPr>
            </w:pPr>
            <w:r w:rsidRPr="00327800">
              <w:rPr>
                <w:rFonts w:cs="Arial"/>
                <w:sz w:val="20"/>
                <w:szCs w:val="20"/>
              </w:rPr>
              <w:t>- De modo geral, as APPs de nascentes estão degradadas.</w:t>
            </w:r>
          </w:p>
        </w:tc>
      </w:tr>
      <w:tr w:rsidR="00261C41" w:rsidRPr="00C75729" w:rsidTr="00261C41">
        <w:trPr>
          <w:trHeight w:val="1895"/>
          <w:jc w:val="center"/>
        </w:trPr>
        <w:tc>
          <w:tcPr>
            <w:tcW w:w="0" w:type="auto"/>
            <w:tcBorders>
              <w:top w:val="single" w:sz="4" w:space="0" w:color="auto"/>
              <w:left w:val="single" w:sz="4" w:space="0" w:color="auto"/>
              <w:bottom w:val="single" w:sz="4" w:space="0" w:color="auto"/>
              <w:right w:val="single" w:sz="4" w:space="0" w:color="auto"/>
            </w:tcBorders>
            <w:shd w:val="clear" w:color="auto" w:fill="365F91"/>
            <w:vAlign w:val="center"/>
            <w:hideMark/>
          </w:tcPr>
          <w:p w:rsidR="00261C41" w:rsidRPr="00C75729" w:rsidRDefault="00261C41" w:rsidP="00261C41">
            <w:pPr>
              <w:autoSpaceDE w:val="0"/>
              <w:autoSpaceDN w:val="0"/>
              <w:adjustRightInd w:val="0"/>
              <w:spacing w:before="60" w:after="60" w:line="240" w:lineRule="auto"/>
              <w:jc w:val="center"/>
              <w:rPr>
                <w:rFonts w:cs="Arial"/>
                <w:color w:val="FFFFFF"/>
                <w:sz w:val="20"/>
                <w:szCs w:val="20"/>
              </w:rPr>
            </w:pPr>
            <w:r w:rsidRPr="00C75729">
              <w:rPr>
                <w:rFonts w:cs="Arial"/>
                <w:color w:val="FFFFFF"/>
                <w:sz w:val="20"/>
                <w:szCs w:val="20"/>
              </w:rPr>
              <w:lastRenderedPageBreak/>
              <w:t>Ambiente Externo</w:t>
            </w:r>
          </w:p>
        </w:tc>
        <w:tc>
          <w:tcPr>
            <w:tcW w:w="3253" w:type="dxa"/>
            <w:tcBorders>
              <w:top w:val="single" w:sz="4" w:space="0" w:color="auto"/>
              <w:left w:val="single" w:sz="4" w:space="0" w:color="auto"/>
              <w:bottom w:val="single" w:sz="4" w:space="0" w:color="auto"/>
              <w:right w:val="single" w:sz="4" w:space="0" w:color="auto"/>
            </w:tcBorders>
            <w:shd w:val="clear" w:color="auto" w:fill="B8CCE4"/>
          </w:tcPr>
          <w:p w:rsidR="00261C41" w:rsidRPr="00C75729" w:rsidRDefault="00261C41" w:rsidP="00261C41">
            <w:pPr>
              <w:autoSpaceDE w:val="0"/>
              <w:autoSpaceDN w:val="0"/>
              <w:adjustRightInd w:val="0"/>
              <w:spacing w:before="60" w:after="60" w:line="240" w:lineRule="auto"/>
              <w:jc w:val="center"/>
              <w:rPr>
                <w:rFonts w:cs="Arial"/>
                <w:b/>
                <w:sz w:val="20"/>
                <w:szCs w:val="20"/>
              </w:rPr>
            </w:pPr>
            <w:r w:rsidRPr="00C75729">
              <w:rPr>
                <w:rFonts w:cs="Arial"/>
                <w:b/>
                <w:sz w:val="20"/>
                <w:szCs w:val="20"/>
              </w:rPr>
              <w:t>OPORTUNIDADES</w:t>
            </w:r>
          </w:p>
          <w:p w:rsidR="00261C41" w:rsidRPr="00C75729" w:rsidRDefault="00261C41" w:rsidP="00261C41">
            <w:pPr>
              <w:autoSpaceDE w:val="0"/>
              <w:autoSpaceDN w:val="0"/>
              <w:adjustRightInd w:val="0"/>
              <w:spacing w:before="60" w:after="60" w:line="240" w:lineRule="auto"/>
              <w:jc w:val="center"/>
              <w:rPr>
                <w:rFonts w:cs="Arial"/>
                <w:b/>
                <w:sz w:val="20"/>
                <w:szCs w:val="20"/>
              </w:rPr>
            </w:pPr>
          </w:p>
          <w:p w:rsidR="00261C41" w:rsidRPr="00EF4EE0" w:rsidRDefault="00261C41" w:rsidP="00261C41">
            <w:pPr>
              <w:autoSpaceDE w:val="0"/>
              <w:autoSpaceDN w:val="0"/>
              <w:adjustRightInd w:val="0"/>
              <w:spacing w:before="60" w:after="60" w:line="240" w:lineRule="auto"/>
              <w:rPr>
                <w:rFonts w:cs="Arial"/>
                <w:b/>
                <w:sz w:val="20"/>
                <w:szCs w:val="20"/>
              </w:rPr>
            </w:pPr>
            <w:r w:rsidRPr="00EF4EE0">
              <w:rPr>
                <w:rFonts w:cs="Arial"/>
                <w:b/>
                <w:sz w:val="20"/>
                <w:szCs w:val="20"/>
              </w:rPr>
              <w:t>3. Legislação e normatização do setor</w:t>
            </w:r>
          </w:p>
          <w:p w:rsidR="00261C41" w:rsidRDefault="00261C41" w:rsidP="00261C41">
            <w:pPr>
              <w:autoSpaceDE w:val="0"/>
              <w:autoSpaceDN w:val="0"/>
              <w:adjustRightInd w:val="0"/>
              <w:spacing w:before="60" w:after="60" w:line="240" w:lineRule="auto"/>
              <w:rPr>
                <w:rFonts w:cs="Arial"/>
                <w:sz w:val="20"/>
                <w:szCs w:val="20"/>
              </w:rPr>
            </w:pPr>
            <w:r w:rsidRPr="00EF4EE0">
              <w:rPr>
                <w:rFonts w:cs="Arial"/>
                <w:sz w:val="20"/>
                <w:szCs w:val="20"/>
              </w:rPr>
              <w:t>- Lei federal sobre o parcelamento do solo, disposições sobre infraestrutura básica de parcelamento de solos, incluindo equipamentos urbanos de escoamento de águas pluviais (Lei nº 6.766, 19/12/1979).</w:t>
            </w:r>
          </w:p>
          <w:p w:rsidR="00261C41" w:rsidRPr="00EF4EE0" w:rsidRDefault="00261C41" w:rsidP="00261C41">
            <w:pPr>
              <w:autoSpaceDE w:val="0"/>
              <w:autoSpaceDN w:val="0"/>
              <w:adjustRightInd w:val="0"/>
              <w:spacing w:before="60" w:after="60" w:line="240" w:lineRule="auto"/>
              <w:rPr>
                <w:rFonts w:cs="Arial"/>
                <w:sz w:val="20"/>
                <w:szCs w:val="20"/>
              </w:rPr>
            </w:pPr>
          </w:p>
          <w:p w:rsidR="00261C41" w:rsidRPr="00EF4EE0" w:rsidRDefault="00261C41" w:rsidP="00261C41">
            <w:pPr>
              <w:autoSpaceDE w:val="0"/>
              <w:autoSpaceDN w:val="0"/>
              <w:adjustRightInd w:val="0"/>
              <w:spacing w:before="60" w:after="60" w:line="240" w:lineRule="auto"/>
              <w:rPr>
                <w:rFonts w:cs="Arial"/>
                <w:b/>
                <w:sz w:val="20"/>
                <w:szCs w:val="20"/>
              </w:rPr>
            </w:pPr>
            <w:r w:rsidRPr="00EF4EE0">
              <w:rPr>
                <w:rFonts w:cs="Arial"/>
                <w:b/>
                <w:sz w:val="20"/>
                <w:szCs w:val="20"/>
              </w:rPr>
              <w:t>6. Parcerias institucionais</w:t>
            </w:r>
          </w:p>
          <w:p w:rsidR="00261C41" w:rsidRPr="00EF4EE0" w:rsidRDefault="00261C41" w:rsidP="00261C41">
            <w:pPr>
              <w:autoSpaceDE w:val="0"/>
              <w:autoSpaceDN w:val="0"/>
              <w:adjustRightInd w:val="0"/>
              <w:spacing w:before="60" w:after="60" w:line="240" w:lineRule="auto"/>
              <w:rPr>
                <w:rFonts w:cs="Arial"/>
                <w:sz w:val="20"/>
                <w:szCs w:val="20"/>
              </w:rPr>
            </w:pPr>
            <w:r w:rsidRPr="00EF4EE0">
              <w:rPr>
                <w:rFonts w:cs="Arial"/>
                <w:sz w:val="20"/>
                <w:szCs w:val="20"/>
              </w:rPr>
              <w:t>-Faz parte do PIRH-Doce.</w:t>
            </w:r>
          </w:p>
          <w:p w:rsidR="00261C41" w:rsidRPr="00EF4EE0" w:rsidRDefault="00261C41" w:rsidP="00261C41">
            <w:pPr>
              <w:autoSpaceDE w:val="0"/>
              <w:autoSpaceDN w:val="0"/>
              <w:adjustRightInd w:val="0"/>
              <w:spacing w:before="60" w:after="60" w:line="240" w:lineRule="auto"/>
              <w:rPr>
                <w:rFonts w:cs="Arial"/>
                <w:sz w:val="20"/>
                <w:szCs w:val="20"/>
              </w:rPr>
            </w:pPr>
            <w:r w:rsidRPr="00EF4EE0">
              <w:rPr>
                <w:rFonts w:cs="Arial"/>
                <w:sz w:val="20"/>
                <w:szCs w:val="20"/>
              </w:rPr>
              <w:t>-Sistema de alertas CPRM.</w:t>
            </w:r>
          </w:p>
          <w:p w:rsidR="00261C41" w:rsidRPr="00EF4EE0" w:rsidRDefault="00261C41" w:rsidP="00261C41">
            <w:pPr>
              <w:autoSpaceDE w:val="0"/>
              <w:autoSpaceDN w:val="0"/>
              <w:adjustRightInd w:val="0"/>
              <w:spacing w:before="60" w:after="60" w:line="240" w:lineRule="auto"/>
              <w:rPr>
                <w:rFonts w:cs="Arial"/>
                <w:sz w:val="20"/>
                <w:szCs w:val="20"/>
              </w:rPr>
            </w:pPr>
          </w:p>
          <w:p w:rsidR="00261C41" w:rsidRPr="00EF4EE0" w:rsidRDefault="00261C41" w:rsidP="00261C41">
            <w:pPr>
              <w:autoSpaceDE w:val="0"/>
              <w:autoSpaceDN w:val="0"/>
              <w:adjustRightInd w:val="0"/>
              <w:spacing w:before="60" w:after="60" w:line="240" w:lineRule="auto"/>
              <w:rPr>
                <w:rFonts w:cs="Arial"/>
                <w:b/>
                <w:sz w:val="20"/>
                <w:szCs w:val="20"/>
              </w:rPr>
            </w:pPr>
            <w:r w:rsidRPr="00EF4EE0">
              <w:rPr>
                <w:rFonts w:cs="Arial"/>
                <w:b/>
                <w:sz w:val="20"/>
                <w:szCs w:val="20"/>
              </w:rPr>
              <w:t>9. Proteção aos recursos hídricos</w:t>
            </w:r>
          </w:p>
          <w:p w:rsidR="00261C41" w:rsidRPr="00EF4EE0" w:rsidRDefault="00261C41" w:rsidP="00261C41">
            <w:pPr>
              <w:autoSpaceDE w:val="0"/>
              <w:autoSpaceDN w:val="0"/>
              <w:adjustRightInd w:val="0"/>
              <w:spacing w:before="60" w:after="60" w:line="240" w:lineRule="auto"/>
              <w:rPr>
                <w:rFonts w:cs="Arial"/>
                <w:sz w:val="20"/>
                <w:szCs w:val="20"/>
              </w:rPr>
            </w:pPr>
            <w:r w:rsidRPr="00EF4EE0">
              <w:rPr>
                <w:rFonts w:cs="Arial"/>
                <w:sz w:val="20"/>
                <w:szCs w:val="20"/>
              </w:rPr>
              <w:t>- Programa de recomposição de APPs em parceria com PIRH-DOCE.</w:t>
            </w:r>
          </w:p>
          <w:p w:rsidR="00261C41" w:rsidRPr="00C75729" w:rsidRDefault="00261C41" w:rsidP="00261C41">
            <w:pPr>
              <w:autoSpaceDE w:val="0"/>
              <w:autoSpaceDN w:val="0"/>
              <w:adjustRightInd w:val="0"/>
              <w:spacing w:before="60" w:after="60" w:line="240" w:lineRule="auto"/>
              <w:rPr>
                <w:rFonts w:cs="Arial"/>
                <w:sz w:val="20"/>
                <w:szCs w:val="20"/>
              </w:rPr>
            </w:pPr>
            <w:r w:rsidRPr="00EF4EE0">
              <w:rPr>
                <w:rFonts w:cs="Arial"/>
                <w:sz w:val="20"/>
                <w:szCs w:val="20"/>
              </w:rPr>
              <w:t>-Há projeto do sistema de esgotamento sanitário elaborado, faltando somente a execução.</w:t>
            </w:r>
          </w:p>
        </w:tc>
        <w:tc>
          <w:tcPr>
            <w:tcW w:w="3402" w:type="dxa"/>
            <w:vMerge/>
            <w:tcBorders>
              <w:left w:val="single" w:sz="4" w:space="0" w:color="auto"/>
              <w:bottom w:val="single" w:sz="4" w:space="0" w:color="auto"/>
              <w:right w:val="single" w:sz="4" w:space="0" w:color="auto"/>
            </w:tcBorders>
            <w:shd w:val="clear" w:color="auto" w:fill="B8CCE4"/>
            <w:vAlign w:val="center"/>
          </w:tcPr>
          <w:p w:rsidR="00261C41" w:rsidRPr="00C75729" w:rsidRDefault="00261C41" w:rsidP="00261C41">
            <w:pPr>
              <w:autoSpaceDE w:val="0"/>
              <w:autoSpaceDN w:val="0"/>
              <w:adjustRightInd w:val="0"/>
              <w:spacing w:before="60" w:after="60" w:line="240" w:lineRule="auto"/>
              <w:rPr>
                <w:rFonts w:cs="Arial"/>
                <w:b/>
                <w:sz w:val="20"/>
                <w:szCs w:val="20"/>
                <w:highlight w:val="yellow"/>
              </w:rPr>
            </w:pPr>
          </w:p>
        </w:tc>
        <w:tc>
          <w:tcPr>
            <w:tcW w:w="7378" w:type="dxa"/>
            <w:tcBorders>
              <w:top w:val="single" w:sz="4" w:space="0" w:color="auto"/>
              <w:left w:val="single" w:sz="4" w:space="0" w:color="auto"/>
              <w:bottom w:val="single" w:sz="4" w:space="0" w:color="auto"/>
              <w:right w:val="single" w:sz="4" w:space="0" w:color="auto"/>
            </w:tcBorders>
            <w:shd w:val="clear" w:color="auto" w:fill="B8CCE4"/>
          </w:tcPr>
          <w:p w:rsidR="00261C41" w:rsidRPr="00327800" w:rsidRDefault="00261C41" w:rsidP="00261C41">
            <w:pPr>
              <w:autoSpaceDE w:val="0"/>
              <w:autoSpaceDN w:val="0"/>
              <w:adjustRightInd w:val="0"/>
              <w:spacing w:before="60" w:after="60" w:line="240" w:lineRule="auto"/>
              <w:jc w:val="center"/>
              <w:rPr>
                <w:rFonts w:cs="Arial"/>
                <w:b/>
                <w:sz w:val="20"/>
                <w:szCs w:val="20"/>
              </w:rPr>
            </w:pPr>
            <w:r w:rsidRPr="00C75729">
              <w:rPr>
                <w:rFonts w:cs="Arial"/>
                <w:b/>
                <w:sz w:val="20"/>
                <w:szCs w:val="20"/>
              </w:rPr>
              <w:t>AMEAÇAS</w:t>
            </w:r>
          </w:p>
          <w:p w:rsidR="00261C41" w:rsidRDefault="00261C41" w:rsidP="00261C41">
            <w:pPr>
              <w:autoSpaceDE w:val="0"/>
              <w:autoSpaceDN w:val="0"/>
              <w:adjustRightInd w:val="0"/>
              <w:spacing w:before="60" w:after="60" w:line="240" w:lineRule="auto"/>
              <w:rPr>
                <w:rFonts w:cs="Arial"/>
                <w:sz w:val="20"/>
                <w:szCs w:val="20"/>
              </w:rPr>
            </w:pPr>
          </w:p>
          <w:p w:rsidR="00261C41" w:rsidRPr="00EF4EE0" w:rsidRDefault="00261C41" w:rsidP="00261C41">
            <w:pPr>
              <w:autoSpaceDE w:val="0"/>
              <w:autoSpaceDN w:val="0"/>
              <w:adjustRightInd w:val="0"/>
              <w:spacing w:before="60" w:after="60" w:line="240" w:lineRule="auto"/>
              <w:rPr>
                <w:rFonts w:cs="Arial"/>
                <w:b/>
                <w:sz w:val="20"/>
                <w:szCs w:val="20"/>
              </w:rPr>
            </w:pPr>
            <w:r w:rsidRPr="00EF4EE0">
              <w:rPr>
                <w:rFonts w:cs="Arial"/>
                <w:b/>
                <w:sz w:val="20"/>
                <w:szCs w:val="20"/>
              </w:rPr>
              <w:t>3. Legislação e normatização do setor</w:t>
            </w:r>
          </w:p>
          <w:p w:rsidR="00261C41" w:rsidRDefault="00261C41" w:rsidP="00261C41">
            <w:pPr>
              <w:autoSpaceDE w:val="0"/>
              <w:autoSpaceDN w:val="0"/>
              <w:adjustRightInd w:val="0"/>
              <w:spacing w:before="60" w:after="60" w:line="240" w:lineRule="auto"/>
              <w:rPr>
                <w:rFonts w:cs="Arial"/>
                <w:sz w:val="20"/>
                <w:szCs w:val="20"/>
              </w:rPr>
            </w:pPr>
            <w:r>
              <w:rPr>
                <w:rFonts w:cs="Arial"/>
                <w:sz w:val="20"/>
                <w:szCs w:val="20"/>
              </w:rPr>
              <w:t>- Falta de fiscalização das ocupações em APP e fundos de vale (planícies de inundação).</w:t>
            </w:r>
          </w:p>
          <w:p w:rsidR="00261C41" w:rsidRPr="00EF4EE0" w:rsidRDefault="00261C41" w:rsidP="00261C41">
            <w:pPr>
              <w:autoSpaceDE w:val="0"/>
              <w:autoSpaceDN w:val="0"/>
              <w:adjustRightInd w:val="0"/>
              <w:spacing w:before="60" w:after="60" w:line="240" w:lineRule="auto"/>
              <w:rPr>
                <w:rFonts w:cs="Arial"/>
                <w:sz w:val="20"/>
                <w:szCs w:val="20"/>
              </w:rPr>
            </w:pPr>
          </w:p>
          <w:p w:rsidR="00261C41" w:rsidRPr="00EF4EE0" w:rsidRDefault="00261C41" w:rsidP="00261C41">
            <w:pPr>
              <w:autoSpaceDE w:val="0"/>
              <w:autoSpaceDN w:val="0"/>
              <w:adjustRightInd w:val="0"/>
              <w:spacing w:before="60" w:after="60" w:line="240" w:lineRule="auto"/>
              <w:rPr>
                <w:rFonts w:cs="Arial"/>
                <w:b/>
                <w:sz w:val="20"/>
                <w:szCs w:val="20"/>
              </w:rPr>
            </w:pPr>
            <w:r w:rsidRPr="00EF4EE0">
              <w:rPr>
                <w:rFonts w:cs="Arial"/>
                <w:b/>
                <w:sz w:val="20"/>
                <w:szCs w:val="20"/>
              </w:rPr>
              <w:t>5. Planejamento territorial / Uso e ocupação do solo</w:t>
            </w:r>
          </w:p>
          <w:p w:rsidR="00261C41" w:rsidRDefault="00261C41" w:rsidP="00261C41">
            <w:pPr>
              <w:autoSpaceDE w:val="0"/>
              <w:autoSpaceDN w:val="0"/>
              <w:adjustRightInd w:val="0"/>
              <w:spacing w:before="60" w:after="60" w:line="240" w:lineRule="auto"/>
              <w:rPr>
                <w:rFonts w:cs="Arial"/>
                <w:sz w:val="20"/>
                <w:szCs w:val="20"/>
              </w:rPr>
            </w:pPr>
            <w:r w:rsidRPr="00EF4EE0">
              <w:rPr>
                <w:rFonts w:cs="Arial"/>
                <w:sz w:val="20"/>
                <w:szCs w:val="20"/>
              </w:rPr>
              <w:t>- Há processos erosivos na área rural do município.</w:t>
            </w:r>
          </w:p>
          <w:p w:rsidR="00261C41" w:rsidRPr="00EF4EE0" w:rsidRDefault="00261C41" w:rsidP="00261C41">
            <w:pPr>
              <w:autoSpaceDE w:val="0"/>
              <w:autoSpaceDN w:val="0"/>
              <w:adjustRightInd w:val="0"/>
              <w:spacing w:before="60" w:after="60" w:line="240" w:lineRule="auto"/>
              <w:rPr>
                <w:rFonts w:cs="Arial"/>
                <w:sz w:val="20"/>
                <w:szCs w:val="20"/>
              </w:rPr>
            </w:pPr>
          </w:p>
          <w:p w:rsidR="00261C41" w:rsidRPr="00EF4EE0" w:rsidRDefault="00261C41" w:rsidP="00261C41">
            <w:pPr>
              <w:autoSpaceDE w:val="0"/>
              <w:autoSpaceDN w:val="0"/>
              <w:adjustRightInd w:val="0"/>
              <w:spacing w:before="60" w:after="60" w:line="240" w:lineRule="auto"/>
              <w:rPr>
                <w:rFonts w:cs="Arial"/>
                <w:b/>
                <w:sz w:val="20"/>
                <w:szCs w:val="20"/>
              </w:rPr>
            </w:pPr>
            <w:r w:rsidRPr="00EF4EE0">
              <w:rPr>
                <w:rFonts w:cs="Arial"/>
                <w:b/>
                <w:sz w:val="20"/>
                <w:szCs w:val="20"/>
              </w:rPr>
              <w:t>7. Orçamento municipal</w:t>
            </w:r>
          </w:p>
          <w:p w:rsidR="00261C41" w:rsidRDefault="00261C41" w:rsidP="00261C41">
            <w:pPr>
              <w:autoSpaceDE w:val="0"/>
              <w:autoSpaceDN w:val="0"/>
              <w:adjustRightInd w:val="0"/>
              <w:spacing w:before="60" w:after="60" w:line="240" w:lineRule="auto"/>
              <w:rPr>
                <w:rFonts w:cs="Arial"/>
                <w:sz w:val="20"/>
                <w:szCs w:val="20"/>
              </w:rPr>
            </w:pPr>
            <w:r w:rsidRPr="00EF4EE0">
              <w:rPr>
                <w:rFonts w:cs="Arial"/>
                <w:sz w:val="20"/>
                <w:szCs w:val="20"/>
              </w:rPr>
              <w:t>- Baixo orçamento.</w:t>
            </w:r>
          </w:p>
          <w:p w:rsidR="00261C41" w:rsidRPr="00EF4EE0" w:rsidRDefault="00261C41" w:rsidP="00261C41">
            <w:pPr>
              <w:autoSpaceDE w:val="0"/>
              <w:autoSpaceDN w:val="0"/>
              <w:adjustRightInd w:val="0"/>
              <w:spacing w:before="60" w:after="60" w:line="240" w:lineRule="auto"/>
              <w:rPr>
                <w:rFonts w:cs="Arial"/>
                <w:sz w:val="20"/>
                <w:szCs w:val="20"/>
              </w:rPr>
            </w:pPr>
          </w:p>
          <w:p w:rsidR="00261C41" w:rsidRPr="00EF4EE0" w:rsidRDefault="00261C41" w:rsidP="00261C41">
            <w:pPr>
              <w:autoSpaceDE w:val="0"/>
              <w:autoSpaceDN w:val="0"/>
              <w:adjustRightInd w:val="0"/>
              <w:spacing w:before="60" w:after="60" w:line="240" w:lineRule="auto"/>
              <w:rPr>
                <w:rFonts w:cs="Arial"/>
                <w:b/>
                <w:sz w:val="20"/>
                <w:szCs w:val="20"/>
              </w:rPr>
            </w:pPr>
            <w:r w:rsidRPr="00EF4EE0">
              <w:rPr>
                <w:rFonts w:cs="Arial"/>
                <w:b/>
                <w:sz w:val="20"/>
                <w:szCs w:val="20"/>
              </w:rPr>
              <w:t>8. Estrutura e sistema de gerenciamento da drenagem</w:t>
            </w:r>
          </w:p>
          <w:p w:rsidR="00261C41" w:rsidRDefault="00261C41" w:rsidP="00261C41">
            <w:pPr>
              <w:autoSpaceDE w:val="0"/>
              <w:autoSpaceDN w:val="0"/>
              <w:adjustRightInd w:val="0"/>
              <w:spacing w:before="60" w:after="60" w:line="240" w:lineRule="auto"/>
              <w:rPr>
                <w:rFonts w:cs="Arial"/>
                <w:sz w:val="20"/>
                <w:szCs w:val="20"/>
              </w:rPr>
            </w:pPr>
            <w:r w:rsidRPr="00EF4EE0">
              <w:rPr>
                <w:rFonts w:cs="Arial"/>
                <w:sz w:val="20"/>
                <w:szCs w:val="20"/>
              </w:rPr>
              <w:t>- Há lançamento de esgoto doméstico clandestino nas redes de drenagem.</w:t>
            </w:r>
          </w:p>
          <w:p w:rsidR="00261C41" w:rsidRPr="00EF4EE0" w:rsidRDefault="00261C41" w:rsidP="00261C41">
            <w:pPr>
              <w:autoSpaceDE w:val="0"/>
              <w:autoSpaceDN w:val="0"/>
              <w:adjustRightInd w:val="0"/>
              <w:spacing w:before="60" w:after="60" w:line="240" w:lineRule="auto"/>
              <w:rPr>
                <w:rFonts w:cs="Arial"/>
                <w:sz w:val="20"/>
                <w:szCs w:val="20"/>
              </w:rPr>
            </w:pPr>
          </w:p>
          <w:p w:rsidR="00261C41" w:rsidRPr="00EF4EE0" w:rsidRDefault="00261C41" w:rsidP="00261C41">
            <w:pPr>
              <w:autoSpaceDE w:val="0"/>
              <w:autoSpaceDN w:val="0"/>
              <w:adjustRightInd w:val="0"/>
              <w:spacing w:before="60" w:after="60" w:line="240" w:lineRule="auto"/>
              <w:rPr>
                <w:rFonts w:cs="Arial"/>
                <w:b/>
                <w:sz w:val="20"/>
                <w:szCs w:val="20"/>
              </w:rPr>
            </w:pPr>
            <w:r w:rsidRPr="00EF4EE0">
              <w:rPr>
                <w:rFonts w:cs="Arial"/>
                <w:b/>
                <w:sz w:val="20"/>
                <w:szCs w:val="20"/>
              </w:rPr>
              <w:t>9. Proteção aos recursos hídricos</w:t>
            </w:r>
          </w:p>
          <w:p w:rsidR="00261C41" w:rsidRPr="00EF4EE0" w:rsidRDefault="00261C41" w:rsidP="00261C41">
            <w:pPr>
              <w:autoSpaceDE w:val="0"/>
              <w:autoSpaceDN w:val="0"/>
              <w:adjustRightInd w:val="0"/>
              <w:spacing w:before="60" w:after="60" w:line="240" w:lineRule="auto"/>
              <w:rPr>
                <w:rFonts w:cs="Arial"/>
                <w:sz w:val="20"/>
                <w:szCs w:val="20"/>
              </w:rPr>
            </w:pPr>
            <w:r w:rsidRPr="00EF4EE0">
              <w:rPr>
                <w:rFonts w:cs="Arial"/>
                <w:sz w:val="20"/>
                <w:szCs w:val="20"/>
              </w:rPr>
              <w:t>- Não há ETE no município.</w:t>
            </w:r>
          </w:p>
          <w:p w:rsidR="00261C41" w:rsidRPr="00C75729" w:rsidRDefault="00261C41" w:rsidP="00261C41">
            <w:pPr>
              <w:autoSpaceDE w:val="0"/>
              <w:autoSpaceDN w:val="0"/>
              <w:adjustRightInd w:val="0"/>
              <w:spacing w:before="60" w:after="60" w:line="240" w:lineRule="auto"/>
              <w:rPr>
                <w:rFonts w:cs="Arial"/>
                <w:sz w:val="20"/>
                <w:szCs w:val="20"/>
                <w:highlight w:val="yellow"/>
              </w:rPr>
            </w:pPr>
            <w:r w:rsidRPr="00EF4EE0">
              <w:rPr>
                <w:rFonts w:cs="Arial"/>
                <w:sz w:val="20"/>
                <w:szCs w:val="20"/>
              </w:rPr>
              <w:t>- Há disposição de resíduos sólidos urbanos nos cursos hídricos.</w:t>
            </w:r>
          </w:p>
        </w:tc>
      </w:tr>
    </w:tbl>
    <w:p w:rsidR="00261C41" w:rsidRPr="005D3214" w:rsidRDefault="00261C41" w:rsidP="00261C41">
      <w:pPr>
        <w:pStyle w:val="Fonte"/>
        <w:rPr>
          <w:rFonts w:cs="Arial"/>
          <w:szCs w:val="24"/>
          <w:highlight w:val="yellow"/>
        </w:rPr>
      </w:pPr>
      <w:r w:rsidRPr="00F23897">
        <w:t>Fonte: adaptado por SHS, 2017.</w:t>
      </w:r>
    </w:p>
    <w:p w:rsidR="00261C41" w:rsidRPr="005D3214" w:rsidRDefault="00261C41" w:rsidP="00261C41">
      <w:pPr>
        <w:autoSpaceDE w:val="0"/>
        <w:autoSpaceDN w:val="0"/>
        <w:adjustRightInd w:val="0"/>
        <w:rPr>
          <w:rFonts w:cs="Arial"/>
          <w:szCs w:val="24"/>
          <w:highlight w:val="yellow"/>
        </w:rPr>
        <w:sectPr w:rsidR="00261C41" w:rsidRPr="005D3214" w:rsidSect="00261C41">
          <w:footerReference w:type="default" r:id="rId59"/>
          <w:pgSz w:w="16839" w:h="11907" w:orient="landscape" w:code="9"/>
          <w:pgMar w:top="1418" w:right="1134" w:bottom="1134" w:left="1134" w:header="709" w:footer="709" w:gutter="0"/>
          <w:cols w:space="708"/>
          <w:docGrid w:linePitch="360"/>
        </w:sectPr>
      </w:pPr>
    </w:p>
    <w:p w:rsidR="00261C41" w:rsidRPr="005D3214" w:rsidRDefault="00261C41" w:rsidP="00261C41">
      <w:pPr>
        <w:spacing w:before="120" w:after="120"/>
        <w:ind w:firstLine="708"/>
        <w:contextualSpacing/>
        <w:rPr>
          <w:rFonts w:cs="Arial"/>
          <w:szCs w:val="24"/>
          <w:lang w:eastAsia="pt-BR"/>
        </w:rPr>
      </w:pPr>
      <w:r w:rsidRPr="005D3214">
        <w:rPr>
          <w:rFonts w:cs="Arial"/>
          <w:szCs w:val="24"/>
          <w:lang w:eastAsia="pt-BR"/>
        </w:rPr>
        <w:lastRenderedPageBreak/>
        <w:t>Considerando</w:t>
      </w:r>
      <w:r>
        <w:rPr>
          <w:rFonts w:cs="Arial"/>
          <w:szCs w:val="24"/>
          <w:lang w:eastAsia="pt-BR"/>
        </w:rPr>
        <w:t xml:space="preserve"> </w:t>
      </w:r>
      <w:r w:rsidRPr="005D3214">
        <w:rPr>
          <w:rFonts w:cs="Arial"/>
          <w:szCs w:val="24"/>
          <w:lang w:eastAsia="pt-BR"/>
        </w:rPr>
        <w:t>todas es</w:t>
      </w:r>
      <w:r>
        <w:rPr>
          <w:rFonts w:cs="Arial"/>
          <w:szCs w:val="24"/>
          <w:lang w:eastAsia="pt-BR"/>
        </w:rPr>
        <w:t>s</w:t>
      </w:r>
      <w:r w:rsidRPr="005D3214">
        <w:rPr>
          <w:rFonts w:cs="Arial"/>
          <w:szCs w:val="24"/>
          <w:lang w:eastAsia="pt-BR"/>
        </w:rPr>
        <w:t xml:space="preserve">as questões, partiu-se para a construção de dois cenários, </w:t>
      </w:r>
      <w:r w:rsidRPr="002F554A">
        <w:rPr>
          <w:rFonts w:cs="Arial"/>
          <w:szCs w:val="24"/>
          <w:lang w:eastAsia="pt-BR"/>
        </w:rPr>
        <w:t>um previsível, ou seja, aquele que retrata uma evolução do SDU baseada em providências tomadas corretivamente, de forma emergencial, sem planejamento; e outro chamado cenário normativo,</w:t>
      </w:r>
      <w:r w:rsidRPr="005D3214">
        <w:rPr>
          <w:rFonts w:cs="Arial"/>
          <w:szCs w:val="24"/>
          <w:lang w:eastAsia="pt-BR"/>
        </w:rPr>
        <w:t xml:space="preserve"> que é aquele que retrata uma situação bem mais organizada, alcançada através de procedimentos planejados e sustentados por regulamentos (leis e normas)</w:t>
      </w:r>
      <w:r>
        <w:rPr>
          <w:rFonts w:cs="Arial"/>
          <w:szCs w:val="24"/>
          <w:lang w:eastAsia="pt-BR"/>
        </w:rPr>
        <w:t>,</w:t>
      </w:r>
      <w:r w:rsidRPr="005D3214">
        <w:rPr>
          <w:rFonts w:cs="Arial"/>
          <w:szCs w:val="24"/>
          <w:lang w:eastAsia="pt-BR"/>
        </w:rPr>
        <w:t xml:space="preserve"> que desde já incidem sobre a gestão deste e dos demais eixos do saneamento básico. O resultado está mostrado no</w:t>
      </w:r>
      <w:r>
        <w:rPr>
          <w:rFonts w:cs="Arial"/>
          <w:szCs w:val="24"/>
          <w:lang w:eastAsia="pt-BR"/>
        </w:rPr>
        <w:t xml:space="preserve"> </w:t>
      </w:r>
      <w:r>
        <w:rPr>
          <w:rFonts w:cs="Arial"/>
          <w:szCs w:val="24"/>
          <w:lang w:eastAsia="pt-BR"/>
        </w:rPr>
        <w:fldChar w:fldCharType="begin"/>
      </w:r>
      <w:r>
        <w:rPr>
          <w:rFonts w:cs="Arial"/>
          <w:szCs w:val="24"/>
          <w:lang w:eastAsia="pt-BR"/>
        </w:rPr>
        <w:instrText xml:space="preserve"> REF _Ref484157868 \h </w:instrText>
      </w:r>
      <w:r>
        <w:rPr>
          <w:rFonts w:cs="Arial"/>
          <w:szCs w:val="24"/>
          <w:lang w:eastAsia="pt-BR"/>
        </w:rPr>
      </w:r>
      <w:r>
        <w:rPr>
          <w:rFonts w:cs="Arial"/>
          <w:szCs w:val="24"/>
          <w:lang w:eastAsia="pt-BR"/>
        </w:rPr>
        <w:fldChar w:fldCharType="separate"/>
      </w:r>
      <w:r w:rsidR="001B481B" w:rsidRPr="000B03E0">
        <w:t xml:space="preserve">Quadro </w:t>
      </w:r>
      <w:r w:rsidR="001B481B">
        <w:rPr>
          <w:noProof/>
        </w:rPr>
        <w:t>71</w:t>
      </w:r>
      <w:r>
        <w:rPr>
          <w:rFonts w:cs="Arial"/>
          <w:szCs w:val="24"/>
          <w:lang w:eastAsia="pt-BR"/>
        </w:rPr>
        <w:fldChar w:fldCharType="end"/>
      </w:r>
      <w:r w:rsidRPr="005D3214">
        <w:rPr>
          <w:rFonts w:cs="Arial"/>
          <w:szCs w:val="24"/>
          <w:lang w:eastAsia="pt-BR"/>
        </w:rPr>
        <w:t>.</w:t>
      </w:r>
    </w:p>
    <w:p w:rsidR="00261C41" w:rsidRPr="00A42342" w:rsidRDefault="00261C41" w:rsidP="00261C41">
      <w:pPr>
        <w:pStyle w:val="Legenda"/>
        <w:rPr>
          <w:lang w:val="pt-BR"/>
        </w:rPr>
      </w:pPr>
      <w:bookmarkStart w:id="868" w:name="_Ref484157868"/>
      <w:bookmarkStart w:id="869" w:name="_Toc398040333"/>
      <w:bookmarkStart w:id="870" w:name="_Toc447029051"/>
      <w:bookmarkStart w:id="871" w:name="_Toc484423920"/>
      <w:bookmarkStart w:id="872" w:name="_Toc484532482"/>
      <w:bookmarkStart w:id="873" w:name="_Toc498099256"/>
      <w:bookmarkStart w:id="874" w:name="_Toc509935848"/>
      <w:r w:rsidRPr="000B03E0">
        <w:t xml:space="preserve">Quadro </w:t>
      </w:r>
      <w:r w:rsidR="000A1C78">
        <w:fldChar w:fldCharType="begin"/>
      </w:r>
      <w:r w:rsidR="000A1C78">
        <w:instrText xml:space="preserve"> SEQ Quadro \* ARABIC </w:instrText>
      </w:r>
      <w:r w:rsidR="000A1C78">
        <w:fldChar w:fldCharType="separate"/>
      </w:r>
      <w:r w:rsidR="001B481B">
        <w:rPr>
          <w:noProof/>
        </w:rPr>
        <w:t>71</w:t>
      </w:r>
      <w:r w:rsidR="000A1C78">
        <w:rPr>
          <w:noProof/>
        </w:rPr>
        <w:fldChar w:fldCharType="end"/>
      </w:r>
      <w:bookmarkEnd w:id="868"/>
      <w:r w:rsidRPr="000B03E0">
        <w:t xml:space="preserve"> - Descrição dos cenários previsível e normativo para o </w:t>
      </w:r>
      <w:bookmarkEnd w:id="869"/>
      <w:bookmarkEnd w:id="870"/>
      <w:r>
        <w:rPr>
          <w:lang w:val="pt-BR"/>
        </w:rPr>
        <w:t>Sistema de Drenagem Urbana</w:t>
      </w:r>
      <w:bookmarkEnd w:id="871"/>
      <w:bookmarkEnd w:id="872"/>
      <w:bookmarkEnd w:id="873"/>
      <w:bookmarkEnd w:id="874"/>
    </w:p>
    <w:tbl>
      <w:tblPr>
        <w:tblW w:w="0" w:type="auto"/>
        <w:jc w:val="center"/>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3659"/>
        <w:gridCol w:w="5075"/>
      </w:tblGrid>
      <w:tr w:rsidR="00261C41" w:rsidRPr="00D06736" w:rsidTr="00261C41">
        <w:trPr>
          <w:tblHeader/>
          <w:jc w:val="center"/>
        </w:trPr>
        <w:tc>
          <w:tcPr>
            <w:tcW w:w="3659" w:type="dxa"/>
            <w:tcBorders>
              <w:bottom w:val="single" w:sz="8" w:space="0" w:color="4F81BD"/>
            </w:tcBorders>
            <w:shd w:val="clear" w:color="auto" w:fill="4F81BD"/>
          </w:tcPr>
          <w:p w:rsidR="00261C41" w:rsidRPr="00D06736" w:rsidRDefault="00261C41" w:rsidP="00261C41">
            <w:pPr>
              <w:autoSpaceDE w:val="0"/>
              <w:autoSpaceDN w:val="0"/>
              <w:adjustRightInd w:val="0"/>
              <w:jc w:val="center"/>
              <w:rPr>
                <w:rFonts w:cs="Arial"/>
                <w:b/>
                <w:bCs/>
              </w:rPr>
            </w:pPr>
            <w:r w:rsidRPr="00D06736">
              <w:rPr>
                <w:rFonts w:cs="Arial"/>
                <w:b/>
                <w:bCs/>
              </w:rPr>
              <w:t>Cenário Previsível</w:t>
            </w:r>
          </w:p>
        </w:tc>
        <w:tc>
          <w:tcPr>
            <w:tcW w:w="5075" w:type="dxa"/>
            <w:tcBorders>
              <w:bottom w:val="single" w:sz="8" w:space="0" w:color="4F81BD"/>
            </w:tcBorders>
            <w:shd w:val="clear" w:color="auto" w:fill="4F81BD"/>
          </w:tcPr>
          <w:p w:rsidR="00261C41" w:rsidRPr="00D06736" w:rsidRDefault="00261C41" w:rsidP="00261C41">
            <w:pPr>
              <w:autoSpaceDE w:val="0"/>
              <w:autoSpaceDN w:val="0"/>
              <w:adjustRightInd w:val="0"/>
              <w:jc w:val="center"/>
              <w:rPr>
                <w:rFonts w:cs="Arial"/>
                <w:b/>
                <w:bCs/>
              </w:rPr>
            </w:pPr>
            <w:r w:rsidRPr="00D06736">
              <w:rPr>
                <w:rFonts w:cs="Arial"/>
                <w:b/>
                <w:bCs/>
              </w:rPr>
              <w:t>Cenário Normativo</w:t>
            </w:r>
          </w:p>
        </w:tc>
      </w:tr>
      <w:tr w:rsidR="00261C41" w:rsidRPr="00D06736" w:rsidTr="00261C41">
        <w:trPr>
          <w:trHeight w:val="2008"/>
          <w:jc w:val="center"/>
        </w:trPr>
        <w:tc>
          <w:tcPr>
            <w:tcW w:w="3659" w:type="dxa"/>
            <w:tcBorders>
              <w:top w:val="single" w:sz="8" w:space="0" w:color="4F81BD"/>
              <w:left w:val="single" w:sz="8" w:space="0" w:color="4F81BD"/>
              <w:bottom w:val="single" w:sz="8" w:space="0" w:color="4F81BD"/>
              <w:right w:val="single" w:sz="4" w:space="0" w:color="auto"/>
            </w:tcBorders>
            <w:shd w:val="clear" w:color="auto" w:fill="auto"/>
            <w:vAlign w:val="center"/>
          </w:tcPr>
          <w:p w:rsidR="00261C41" w:rsidRPr="00D06736" w:rsidRDefault="00261C41" w:rsidP="00261C41">
            <w:pPr>
              <w:rPr>
                <w:rFonts w:cs="Arial"/>
                <w:sz w:val="20"/>
                <w:szCs w:val="20"/>
              </w:rPr>
            </w:pPr>
            <w:r w:rsidRPr="00D06736">
              <w:rPr>
                <w:rFonts w:cs="Arial"/>
                <w:sz w:val="20"/>
                <w:szCs w:val="20"/>
              </w:rPr>
              <w:t>Planejamento territorial desordenado, ocupação irregular das margens dos rios e de APPs, ocupação de áreas propícias à inundação e escorregamento. Controle mínimo por parte da Administração Pública.</w:t>
            </w:r>
          </w:p>
        </w:tc>
        <w:tc>
          <w:tcPr>
            <w:tcW w:w="5075" w:type="dxa"/>
            <w:tcBorders>
              <w:top w:val="single" w:sz="8" w:space="0" w:color="4F81BD"/>
              <w:left w:val="single" w:sz="4" w:space="0" w:color="auto"/>
              <w:bottom w:val="single" w:sz="8" w:space="0" w:color="4F81BD"/>
              <w:right w:val="single" w:sz="8" w:space="0" w:color="4F81BD"/>
            </w:tcBorders>
            <w:shd w:val="clear" w:color="auto" w:fill="auto"/>
            <w:vAlign w:val="center"/>
          </w:tcPr>
          <w:p w:rsidR="00261C41" w:rsidRPr="00D06736" w:rsidRDefault="00261C41" w:rsidP="00261C41">
            <w:pPr>
              <w:rPr>
                <w:rFonts w:cs="Arial"/>
                <w:sz w:val="20"/>
                <w:szCs w:val="20"/>
              </w:rPr>
            </w:pPr>
            <w:r w:rsidRPr="00D06736">
              <w:rPr>
                <w:rFonts w:cs="Arial"/>
                <w:sz w:val="20"/>
                <w:szCs w:val="20"/>
              </w:rPr>
              <w:t>Administração Pública realiza o controle eficaz na aprovação de novos lotes urbanos evitando aprovação de locais que apresentem riscos humanos e ambientais que a ocupação irregular pode acarretar. Segue normatização definida por legislações vigentes.</w:t>
            </w:r>
          </w:p>
        </w:tc>
      </w:tr>
      <w:tr w:rsidR="00261C41" w:rsidRPr="00D06736" w:rsidTr="00261C41">
        <w:trPr>
          <w:trHeight w:val="627"/>
          <w:jc w:val="center"/>
        </w:trPr>
        <w:tc>
          <w:tcPr>
            <w:tcW w:w="3659" w:type="dxa"/>
            <w:tcBorders>
              <w:top w:val="single" w:sz="8" w:space="0" w:color="4F81BD"/>
              <w:bottom w:val="single" w:sz="8" w:space="0" w:color="4F81BD"/>
              <w:right w:val="single" w:sz="4" w:space="0" w:color="auto"/>
            </w:tcBorders>
            <w:shd w:val="clear" w:color="auto" w:fill="auto"/>
            <w:vAlign w:val="center"/>
          </w:tcPr>
          <w:p w:rsidR="00261C41" w:rsidRPr="00D06736" w:rsidRDefault="00261C41" w:rsidP="00261C41">
            <w:pPr>
              <w:rPr>
                <w:rFonts w:cs="Arial"/>
                <w:sz w:val="20"/>
                <w:szCs w:val="20"/>
              </w:rPr>
            </w:pPr>
            <w:r w:rsidRPr="00D06736">
              <w:rPr>
                <w:rFonts w:cs="Arial"/>
                <w:sz w:val="20"/>
                <w:szCs w:val="20"/>
              </w:rPr>
              <w:t>Sistema de informações sobre drenagem urbana (cadastro) com dados desatualizados e de difícil acesso.</w:t>
            </w:r>
          </w:p>
        </w:tc>
        <w:tc>
          <w:tcPr>
            <w:tcW w:w="5075" w:type="dxa"/>
            <w:tcBorders>
              <w:top w:val="single" w:sz="8" w:space="0" w:color="4F81BD"/>
              <w:left w:val="single" w:sz="4" w:space="0" w:color="auto"/>
              <w:bottom w:val="single" w:sz="8" w:space="0" w:color="4F81BD"/>
            </w:tcBorders>
            <w:shd w:val="clear" w:color="auto" w:fill="auto"/>
            <w:vAlign w:val="center"/>
          </w:tcPr>
          <w:p w:rsidR="00261C41" w:rsidRPr="00D06736" w:rsidRDefault="00261C41" w:rsidP="00261C41">
            <w:pPr>
              <w:rPr>
                <w:rFonts w:cs="Arial"/>
                <w:sz w:val="20"/>
                <w:szCs w:val="20"/>
              </w:rPr>
            </w:pPr>
            <w:r w:rsidRPr="00D06736">
              <w:rPr>
                <w:rFonts w:cs="Arial"/>
                <w:sz w:val="20"/>
                <w:szCs w:val="20"/>
              </w:rPr>
              <w:t>Sistema de informações sobre drenagem urbana (cadastro) com dados atualizados anualmente.</w:t>
            </w:r>
          </w:p>
        </w:tc>
      </w:tr>
      <w:tr w:rsidR="00261C41" w:rsidRPr="00D06736" w:rsidTr="00261C41">
        <w:trPr>
          <w:trHeight w:val="1342"/>
          <w:jc w:val="center"/>
        </w:trPr>
        <w:tc>
          <w:tcPr>
            <w:tcW w:w="3659" w:type="dxa"/>
            <w:tcBorders>
              <w:top w:val="single" w:sz="8" w:space="0" w:color="4F81BD"/>
              <w:left w:val="single" w:sz="8" w:space="0" w:color="4F81BD"/>
              <w:bottom w:val="single" w:sz="8" w:space="0" w:color="4F81BD"/>
              <w:right w:val="single" w:sz="4" w:space="0" w:color="auto"/>
            </w:tcBorders>
            <w:shd w:val="clear" w:color="auto" w:fill="auto"/>
            <w:vAlign w:val="center"/>
          </w:tcPr>
          <w:p w:rsidR="00261C41" w:rsidRPr="00D06736" w:rsidRDefault="00261C41" w:rsidP="00261C41">
            <w:pPr>
              <w:rPr>
                <w:rFonts w:cs="Arial"/>
                <w:sz w:val="20"/>
                <w:szCs w:val="20"/>
              </w:rPr>
            </w:pPr>
            <w:r w:rsidRPr="00D06736">
              <w:rPr>
                <w:rFonts w:cs="Arial"/>
                <w:sz w:val="20"/>
                <w:szCs w:val="20"/>
              </w:rPr>
              <w:t>Limitação de recursos humanos e qualificação ainda não possibilita implantação da gestão da drenagem urbana e de leis municipais para Córrego Novo.</w:t>
            </w:r>
          </w:p>
        </w:tc>
        <w:tc>
          <w:tcPr>
            <w:tcW w:w="5075" w:type="dxa"/>
            <w:tcBorders>
              <w:top w:val="single" w:sz="8" w:space="0" w:color="4F81BD"/>
              <w:left w:val="single" w:sz="4" w:space="0" w:color="auto"/>
              <w:bottom w:val="single" w:sz="8" w:space="0" w:color="4F81BD"/>
              <w:right w:val="single" w:sz="8" w:space="0" w:color="4F81BD"/>
            </w:tcBorders>
            <w:shd w:val="clear" w:color="auto" w:fill="auto"/>
            <w:vAlign w:val="center"/>
          </w:tcPr>
          <w:p w:rsidR="00261C41" w:rsidRPr="00D06736" w:rsidRDefault="00261C41" w:rsidP="00261C41">
            <w:pPr>
              <w:rPr>
                <w:rFonts w:cs="Arial"/>
                <w:sz w:val="20"/>
                <w:szCs w:val="20"/>
              </w:rPr>
            </w:pPr>
            <w:r w:rsidRPr="00D06736">
              <w:rPr>
                <w:rFonts w:cs="Arial"/>
                <w:sz w:val="20"/>
                <w:szCs w:val="20"/>
              </w:rPr>
              <w:t>Revisão e adequação da estrutura de pessoal e qualificação continuada dos quadros, visando ao êxito da implantação da gestão da drenagem urbana de Córrego Novo.</w:t>
            </w:r>
          </w:p>
        </w:tc>
      </w:tr>
      <w:tr w:rsidR="00261C41" w:rsidRPr="00D06736" w:rsidTr="00261C41">
        <w:trPr>
          <w:trHeight w:val="1863"/>
          <w:jc w:val="center"/>
        </w:trPr>
        <w:tc>
          <w:tcPr>
            <w:tcW w:w="3659" w:type="dxa"/>
            <w:tcBorders>
              <w:top w:val="single" w:sz="8" w:space="0" w:color="4F81BD"/>
              <w:bottom w:val="single" w:sz="8" w:space="0" w:color="4F81BD"/>
              <w:right w:val="single" w:sz="4" w:space="0" w:color="auto"/>
            </w:tcBorders>
            <w:shd w:val="clear" w:color="auto" w:fill="auto"/>
            <w:vAlign w:val="center"/>
          </w:tcPr>
          <w:p w:rsidR="00261C41" w:rsidRPr="00D06736" w:rsidRDefault="00261C41" w:rsidP="00261C41">
            <w:pPr>
              <w:rPr>
                <w:rFonts w:cs="Arial"/>
                <w:sz w:val="20"/>
                <w:szCs w:val="20"/>
              </w:rPr>
            </w:pPr>
            <w:r w:rsidRPr="00D06736">
              <w:rPr>
                <w:rFonts w:cs="Arial"/>
                <w:sz w:val="20"/>
                <w:szCs w:val="20"/>
              </w:rPr>
              <w:t>Programas de educação ambiental realizados de forma desvinculada entre os quatro setores do saneamento, descontínua e não planejada.</w:t>
            </w:r>
          </w:p>
        </w:tc>
        <w:tc>
          <w:tcPr>
            <w:tcW w:w="5075" w:type="dxa"/>
            <w:tcBorders>
              <w:top w:val="single" w:sz="8" w:space="0" w:color="4F81BD"/>
              <w:left w:val="single" w:sz="4" w:space="0" w:color="auto"/>
              <w:bottom w:val="single" w:sz="8" w:space="0" w:color="4F81BD"/>
            </w:tcBorders>
            <w:shd w:val="clear" w:color="auto" w:fill="auto"/>
            <w:vAlign w:val="center"/>
          </w:tcPr>
          <w:p w:rsidR="00261C41" w:rsidRPr="00D06736" w:rsidRDefault="00261C41" w:rsidP="00261C41">
            <w:pPr>
              <w:rPr>
                <w:rFonts w:cs="Arial"/>
                <w:sz w:val="20"/>
                <w:szCs w:val="20"/>
              </w:rPr>
            </w:pPr>
            <w:r w:rsidRPr="00D06736">
              <w:rPr>
                <w:rFonts w:cs="Arial"/>
                <w:sz w:val="20"/>
                <w:szCs w:val="20"/>
              </w:rPr>
              <w:t>Programas de educação ambiental realizados periodicamente, de forma sistemática e integrando os quatro setores do saneamento e, em casos mais específicos, como para a conscientização da importância de se preservar as APPs dos cursos hídricos, conscientização da gestão dos recursos hídricos a partir das bacias hidrográficas.</w:t>
            </w:r>
          </w:p>
        </w:tc>
      </w:tr>
    </w:tbl>
    <w:p w:rsidR="00261C41" w:rsidRDefault="00261C41" w:rsidP="00261C41">
      <w:pPr>
        <w:pStyle w:val="Fonte"/>
      </w:pPr>
    </w:p>
    <w:p w:rsidR="00261C41" w:rsidRDefault="00261C41" w:rsidP="00261C41">
      <w:pPr>
        <w:pStyle w:val="Fonte"/>
      </w:pPr>
    </w:p>
    <w:p w:rsidR="00261C41" w:rsidRDefault="00261C41" w:rsidP="00261C41">
      <w:pPr>
        <w:pStyle w:val="Fonte"/>
      </w:pPr>
    </w:p>
    <w:p w:rsidR="00261C41" w:rsidRPr="00261C41" w:rsidRDefault="00261C41" w:rsidP="00261C41">
      <w:pPr>
        <w:rPr>
          <w:lang w:eastAsia="x-none"/>
        </w:rPr>
      </w:pPr>
    </w:p>
    <w:p w:rsidR="0039587A" w:rsidRDefault="0081570C" w:rsidP="00BC01B1">
      <w:pPr>
        <w:pStyle w:val="Ttulo3"/>
        <w:rPr>
          <w:color w:val="FF0000"/>
          <w:lang w:val="pt-BR"/>
        </w:rPr>
      </w:pPr>
      <w:bookmarkStart w:id="875" w:name="_Toc484422558"/>
      <w:bookmarkStart w:id="876" w:name="_Toc484611635"/>
      <w:bookmarkStart w:id="877" w:name="_Toc498593499"/>
      <w:bookmarkStart w:id="878" w:name="_Toc509935548"/>
      <w:r>
        <w:lastRenderedPageBreak/>
        <w:t>Objetivos e metas</w:t>
      </w:r>
      <w:bookmarkEnd w:id="875"/>
      <w:bookmarkEnd w:id="876"/>
      <w:bookmarkEnd w:id="877"/>
      <w:bookmarkEnd w:id="878"/>
      <w:r w:rsidR="00D94006" w:rsidRPr="0039587A">
        <w:rPr>
          <w:lang w:val="pt-BR"/>
        </w:rPr>
        <w:t xml:space="preserve"> </w:t>
      </w:r>
      <w:bookmarkStart w:id="879" w:name="_Toc498594055"/>
    </w:p>
    <w:p w:rsidR="00261C41" w:rsidRPr="00261C41" w:rsidRDefault="00261C41" w:rsidP="00261C41">
      <w:pPr>
        <w:spacing w:before="120" w:after="120" w:line="348" w:lineRule="auto"/>
        <w:ind w:firstLine="709"/>
        <w:contextualSpacing/>
        <w:jc w:val="both"/>
        <w:rPr>
          <w:rFonts w:cs="Arial"/>
          <w:szCs w:val="24"/>
          <w:lang w:eastAsia="pt-BR"/>
        </w:rPr>
      </w:pPr>
      <w:r w:rsidRPr="00261C41">
        <w:rPr>
          <w:rFonts w:cs="Arial"/>
          <w:szCs w:val="24"/>
          <w:lang w:eastAsia="pt-BR"/>
        </w:rPr>
        <w:t>Para o sistema de drenagem de águas pluviais foram propostos seis objetivos específicos, de acordo com os aspectos desse sistema, com as características de Córrego Novo levantadas na etapa do diagnóstico técnico-participativo e com o cenário normativo como elemento norteador para o alcance das metas. Esses objetivos são descritos a seguir.</w:t>
      </w:r>
    </w:p>
    <w:p w:rsidR="00261C41" w:rsidRPr="00261C41" w:rsidRDefault="00261C41" w:rsidP="0066661F">
      <w:pPr>
        <w:numPr>
          <w:ilvl w:val="0"/>
          <w:numId w:val="35"/>
        </w:numPr>
        <w:ind w:left="2127" w:hanging="1560"/>
        <w:contextualSpacing/>
        <w:jc w:val="both"/>
        <w:rPr>
          <w:rFonts w:eastAsia="Times New Roman" w:cs="Arial"/>
          <w:b/>
          <w:bCs/>
          <w:szCs w:val="24"/>
          <w:lang w:eastAsia="pt-BR"/>
        </w:rPr>
      </w:pPr>
      <w:r w:rsidRPr="00261C41">
        <w:rPr>
          <w:rFonts w:eastAsia="Times New Roman" w:cs="Arial"/>
          <w:b/>
          <w:bCs/>
          <w:szCs w:val="24"/>
          <w:lang w:eastAsia="pt-BR"/>
        </w:rPr>
        <w:t>Manter o município livre de inundações e diminuir a frequência de alagamentos causados por insuficiências e deficiências nas galerias e obras de drenagem.</w:t>
      </w:r>
    </w:p>
    <w:p w:rsidR="00261C41" w:rsidRPr="00261C41" w:rsidRDefault="00261C41" w:rsidP="0066661F">
      <w:pPr>
        <w:numPr>
          <w:ilvl w:val="0"/>
          <w:numId w:val="35"/>
        </w:numPr>
        <w:ind w:left="2127" w:hanging="1560"/>
        <w:contextualSpacing/>
        <w:jc w:val="both"/>
        <w:rPr>
          <w:rFonts w:eastAsia="Times New Roman" w:cs="Arial"/>
          <w:b/>
          <w:bCs/>
          <w:szCs w:val="24"/>
          <w:lang w:eastAsia="pt-BR"/>
        </w:rPr>
      </w:pPr>
      <w:r w:rsidRPr="00261C41">
        <w:rPr>
          <w:rFonts w:eastAsia="Times New Roman" w:cs="Arial"/>
          <w:b/>
          <w:bCs/>
          <w:szCs w:val="24"/>
          <w:lang w:eastAsia="pt-BR"/>
        </w:rPr>
        <w:t>Desestimular a ocupação de áreas susceptíveis a processos erosivos e promover a desocupação em áreas de risco.</w:t>
      </w:r>
    </w:p>
    <w:p w:rsidR="00261C41" w:rsidRPr="00261C41" w:rsidRDefault="00261C41" w:rsidP="0066661F">
      <w:pPr>
        <w:numPr>
          <w:ilvl w:val="0"/>
          <w:numId w:val="35"/>
        </w:numPr>
        <w:ind w:left="2127" w:hanging="1560"/>
        <w:contextualSpacing/>
        <w:jc w:val="both"/>
        <w:rPr>
          <w:rFonts w:eastAsia="Times New Roman" w:cs="Arial"/>
          <w:b/>
          <w:bCs/>
          <w:szCs w:val="24"/>
          <w:lang w:eastAsia="pt-BR"/>
        </w:rPr>
      </w:pPr>
      <w:r w:rsidRPr="00261C41">
        <w:rPr>
          <w:rFonts w:eastAsia="Times New Roman" w:cs="Arial"/>
          <w:b/>
          <w:bCs/>
          <w:szCs w:val="24"/>
          <w:lang w:eastAsia="pt-BR"/>
        </w:rPr>
        <w:t>Planejar o uso e ocupação da bacia de forma adequada e promover a recuperação e revitalização de APPs e áreas verdes.</w:t>
      </w:r>
    </w:p>
    <w:p w:rsidR="00261C41" w:rsidRPr="00261C41" w:rsidRDefault="00261C41" w:rsidP="0066661F">
      <w:pPr>
        <w:numPr>
          <w:ilvl w:val="0"/>
          <w:numId w:val="35"/>
        </w:numPr>
        <w:ind w:left="2127" w:hanging="1560"/>
        <w:contextualSpacing/>
        <w:jc w:val="both"/>
        <w:rPr>
          <w:rFonts w:eastAsia="Times New Roman" w:cs="Arial"/>
          <w:b/>
          <w:bCs/>
          <w:szCs w:val="24"/>
          <w:lang w:eastAsia="pt-BR"/>
        </w:rPr>
      </w:pPr>
      <w:r w:rsidRPr="00261C41">
        <w:rPr>
          <w:rFonts w:eastAsia="Times New Roman" w:cs="Arial"/>
          <w:b/>
          <w:bCs/>
          <w:szCs w:val="24"/>
          <w:lang w:eastAsia="pt-BR"/>
        </w:rPr>
        <w:t xml:space="preserve">Implementar para o SDU uma gestão eficiente no que concerne aos aspectos </w:t>
      </w:r>
      <w:r w:rsidRPr="00261C41">
        <w:rPr>
          <w:b/>
          <w:bCs/>
          <w:szCs w:val="24"/>
        </w:rPr>
        <w:t>administrativos, operacionais, financeiros, de planejamento estratégico e de sustentabilidade</w:t>
      </w:r>
      <w:r w:rsidRPr="00261C41">
        <w:rPr>
          <w:rFonts w:eastAsia="Times New Roman" w:cs="Arial"/>
          <w:b/>
          <w:bCs/>
          <w:szCs w:val="24"/>
          <w:lang w:eastAsia="pt-BR"/>
        </w:rPr>
        <w:t>.</w:t>
      </w:r>
    </w:p>
    <w:p w:rsidR="00261C41" w:rsidRPr="00261C41" w:rsidRDefault="00261C41" w:rsidP="0066661F">
      <w:pPr>
        <w:numPr>
          <w:ilvl w:val="0"/>
          <w:numId w:val="35"/>
        </w:numPr>
        <w:ind w:left="2127" w:hanging="1560"/>
        <w:contextualSpacing/>
        <w:jc w:val="both"/>
        <w:rPr>
          <w:rFonts w:eastAsia="Times New Roman" w:cs="Arial"/>
          <w:b/>
          <w:bCs/>
          <w:szCs w:val="24"/>
          <w:lang w:eastAsia="pt-BR"/>
        </w:rPr>
      </w:pPr>
      <w:r w:rsidRPr="00261C41">
        <w:rPr>
          <w:rFonts w:eastAsia="Times New Roman" w:cs="Arial"/>
          <w:b/>
          <w:bCs/>
          <w:szCs w:val="24"/>
          <w:lang w:eastAsia="pt-BR"/>
        </w:rPr>
        <w:t>Alcançar o pleno atendimento à legislação ambiental aplicável em todos os subprocessos integrantes do Sistema de Drenagem Urbana.</w:t>
      </w:r>
    </w:p>
    <w:p w:rsidR="00261C41" w:rsidRPr="00261C41" w:rsidRDefault="00261C41" w:rsidP="0066661F">
      <w:pPr>
        <w:numPr>
          <w:ilvl w:val="0"/>
          <w:numId w:val="35"/>
        </w:numPr>
        <w:ind w:left="2127" w:hanging="1560"/>
        <w:contextualSpacing/>
        <w:jc w:val="both"/>
        <w:rPr>
          <w:rFonts w:eastAsia="Times New Roman" w:cs="Arial"/>
          <w:b/>
          <w:bCs/>
          <w:szCs w:val="24"/>
          <w:lang w:eastAsia="pt-BR"/>
        </w:rPr>
      </w:pPr>
      <w:r w:rsidRPr="00261C41">
        <w:rPr>
          <w:rFonts w:eastAsia="Times New Roman" w:cs="Arial"/>
          <w:b/>
          <w:bCs/>
          <w:szCs w:val="24"/>
          <w:lang w:eastAsia="pt-BR"/>
        </w:rPr>
        <w:t>Garantir a mobilização social e canais de comunicação com a sociedade, além de promover ações continuadas em educação ambiental.</w:t>
      </w:r>
    </w:p>
    <w:p w:rsidR="00261C41" w:rsidRPr="00261C41" w:rsidRDefault="00261C41" w:rsidP="00261C41">
      <w:pPr>
        <w:spacing w:before="120" w:after="120"/>
        <w:ind w:firstLine="708"/>
        <w:contextualSpacing/>
        <w:jc w:val="both"/>
        <w:rPr>
          <w:rFonts w:cs="Arial"/>
          <w:szCs w:val="24"/>
          <w:lang w:eastAsia="pt-BR"/>
        </w:rPr>
      </w:pPr>
      <w:r w:rsidRPr="00261C41">
        <w:rPr>
          <w:rFonts w:cs="Arial"/>
          <w:szCs w:val="24"/>
          <w:lang w:eastAsia="pt-BR"/>
        </w:rPr>
        <w:t xml:space="preserve">A </w:t>
      </w:r>
      <w:r>
        <w:rPr>
          <w:rFonts w:cs="Arial"/>
          <w:szCs w:val="24"/>
          <w:lang w:eastAsia="pt-BR"/>
        </w:rPr>
        <w:fldChar w:fldCharType="begin"/>
      </w:r>
      <w:r>
        <w:rPr>
          <w:rFonts w:cs="Arial"/>
          <w:szCs w:val="24"/>
          <w:lang w:eastAsia="pt-BR"/>
        </w:rPr>
        <w:instrText xml:space="preserve"> REF _Ref507656860 \h </w:instrText>
      </w:r>
      <w:r>
        <w:rPr>
          <w:rFonts w:cs="Arial"/>
          <w:szCs w:val="24"/>
          <w:lang w:eastAsia="pt-BR"/>
        </w:rPr>
      </w:r>
      <w:r>
        <w:rPr>
          <w:rFonts w:cs="Arial"/>
          <w:szCs w:val="24"/>
          <w:lang w:eastAsia="pt-BR"/>
        </w:rPr>
        <w:fldChar w:fldCharType="separate"/>
      </w:r>
      <w:r w:rsidR="001B481B">
        <w:t xml:space="preserve">Tabela </w:t>
      </w:r>
      <w:r w:rsidR="001B481B">
        <w:rPr>
          <w:noProof/>
        </w:rPr>
        <w:t>4</w:t>
      </w:r>
      <w:r>
        <w:rPr>
          <w:rFonts w:cs="Arial"/>
          <w:szCs w:val="24"/>
          <w:lang w:eastAsia="pt-BR"/>
        </w:rPr>
        <w:fldChar w:fldCharType="end"/>
      </w:r>
      <w:r w:rsidRPr="00261C41">
        <w:rPr>
          <w:rFonts w:cs="Arial"/>
          <w:szCs w:val="24"/>
          <w:lang w:eastAsia="pt-BR"/>
        </w:rPr>
        <w:t xml:space="preserve"> apresenta os objetivos e as respectivas metas de forma sistematizada, além dos prazos para cada meta.</w:t>
      </w:r>
    </w:p>
    <w:p w:rsidR="00261C41" w:rsidRPr="00261C41" w:rsidRDefault="00261C41" w:rsidP="00261C41">
      <w:pPr>
        <w:spacing w:before="120" w:after="120"/>
        <w:ind w:firstLine="708"/>
        <w:contextualSpacing/>
        <w:jc w:val="both"/>
        <w:rPr>
          <w:rFonts w:cs="Arial"/>
          <w:szCs w:val="24"/>
          <w:lang w:eastAsia="pt-BR"/>
        </w:rPr>
        <w:sectPr w:rsidR="00261C41" w:rsidRPr="00261C41" w:rsidSect="00261C41">
          <w:footerReference w:type="default" r:id="rId60"/>
          <w:pgSz w:w="11906" w:h="16838"/>
          <w:pgMar w:top="1418" w:right="1134" w:bottom="1134" w:left="1134" w:header="709" w:footer="709" w:gutter="0"/>
          <w:cols w:space="708"/>
          <w:docGrid w:linePitch="360"/>
        </w:sectPr>
      </w:pPr>
    </w:p>
    <w:p w:rsidR="00261C41" w:rsidRPr="00261C41" w:rsidRDefault="00261C41" w:rsidP="00261C41">
      <w:pPr>
        <w:pStyle w:val="Legenda"/>
        <w:rPr>
          <w:rFonts w:cs="Arial"/>
        </w:rPr>
      </w:pPr>
      <w:bookmarkStart w:id="880" w:name="_Ref507656860"/>
      <w:bookmarkStart w:id="881" w:name="_Toc398040309"/>
      <w:bookmarkStart w:id="882" w:name="_Ref435021990"/>
      <w:bookmarkStart w:id="883" w:name="_Toc447028917"/>
      <w:bookmarkStart w:id="884" w:name="_Toc484422575"/>
      <w:bookmarkStart w:id="885" w:name="_Toc484532488"/>
      <w:bookmarkStart w:id="886" w:name="_Toc498099273"/>
      <w:bookmarkStart w:id="887" w:name="_Toc509935874"/>
      <w:r>
        <w:lastRenderedPageBreak/>
        <w:t xml:space="preserve">Tabela </w:t>
      </w:r>
      <w:r w:rsidR="000A1C78">
        <w:fldChar w:fldCharType="begin"/>
      </w:r>
      <w:r w:rsidR="000A1C78">
        <w:instrText xml:space="preserve"> SEQ Tabela \* ARABIC </w:instrText>
      </w:r>
      <w:r w:rsidR="000A1C78">
        <w:fldChar w:fldCharType="separate"/>
      </w:r>
      <w:r w:rsidR="001B481B">
        <w:rPr>
          <w:noProof/>
        </w:rPr>
        <w:t>4</w:t>
      </w:r>
      <w:r w:rsidR="000A1C78">
        <w:rPr>
          <w:noProof/>
        </w:rPr>
        <w:fldChar w:fldCharType="end"/>
      </w:r>
      <w:bookmarkEnd w:id="880"/>
      <w:r w:rsidRPr="00261C41">
        <w:rPr>
          <w:rFonts w:cs="Arial"/>
        </w:rPr>
        <w:t xml:space="preserve"> - Objetivos e metas do Sistema de Drenagem Urbana e Manejo de Águas Pluviais</w:t>
      </w:r>
      <w:bookmarkEnd w:id="881"/>
      <w:bookmarkEnd w:id="882"/>
      <w:bookmarkEnd w:id="883"/>
      <w:bookmarkEnd w:id="884"/>
      <w:bookmarkEnd w:id="885"/>
      <w:bookmarkEnd w:id="886"/>
      <w:bookmarkEnd w:id="887"/>
    </w:p>
    <w:tbl>
      <w:tblPr>
        <w:tblW w:w="0" w:type="auto"/>
        <w:jc w:val="center"/>
        <w:tblBorders>
          <w:top w:val="single" w:sz="8" w:space="0" w:color="4F81BD"/>
          <w:bottom w:val="single" w:sz="4" w:space="0" w:color="1F497D"/>
          <w:insideH w:val="dashSmallGap" w:sz="4" w:space="0" w:color="1F497D"/>
          <w:insideV w:val="single" w:sz="4" w:space="0" w:color="1F497D"/>
        </w:tblBorders>
        <w:tblLook w:val="04A0" w:firstRow="1" w:lastRow="0" w:firstColumn="1" w:lastColumn="0" w:noHBand="0" w:noVBand="1"/>
      </w:tblPr>
      <w:tblGrid>
        <w:gridCol w:w="2802"/>
        <w:gridCol w:w="10722"/>
        <w:gridCol w:w="1262"/>
      </w:tblGrid>
      <w:tr w:rsidR="00261C41" w:rsidRPr="00261C41" w:rsidTr="00261C41">
        <w:trPr>
          <w:cantSplit/>
          <w:trHeight w:val="340"/>
          <w:tblHeader/>
          <w:jc w:val="center"/>
        </w:trPr>
        <w:tc>
          <w:tcPr>
            <w:tcW w:w="2802" w:type="dxa"/>
            <w:tcBorders>
              <w:top w:val="single" w:sz="4" w:space="0" w:color="1F497D"/>
              <w:left w:val="single" w:sz="4" w:space="0" w:color="1F497D"/>
              <w:bottom w:val="single" w:sz="4" w:space="0" w:color="1F497D"/>
            </w:tcBorders>
            <w:shd w:val="clear" w:color="auto" w:fill="4F81BD"/>
            <w:vAlign w:val="center"/>
          </w:tcPr>
          <w:p w:rsidR="00261C41" w:rsidRPr="00261C41" w:rsidRDefault="00261C41" w:rsidP="00261C41">
            <w:pPr>
              <w:autoSpaceDE w:val="0"/>
              <w:autoSpaceDN w:val="0"/>
              <w:adjustRightInd w:val="0"/>
              <w:spacing w:before="40" w:after="40" w:line="240" w:lineRule="auto"/>
              <w:jc w:val="center"/>
              <w:rPr>
                <w:rFonts w:eastAsia="Times New Roman" w:cs="Arial"/>
                <w:b/>
                <w:bCs/>
                <w:sz w:val="20"/>
                <w:szCs w:val="20"/>
              </w:rPr>
            </w:pPr>
            <w:r w:rsidRPr="00261C41">
              <w:rPr>
                <w:rFonts w:eastAsia="Times New Roman" w:cs="Arial"/>
                <w:b/>
                <w:bCs/>
                <w:sz w:val="20"/>
                <w:szCs w:val="20"/>
              </w:rPr>
              <w:t>Objetivo</w:t>
            </w:r>
          </w:p>
        </w:tc>
        <w:tc>
          <w:tcPr>
            <w:tcW w:w="10722" w:type="dxa"/>
            <w:tcBorders>
              <w:top w:val="single" w:sz="4" w:space="0" w:color="1F497D"/>
              <w:bottom w:val="single" w:sz="4" w:space="0" w:color="1F497D"/>
            </w:tcBorders>
            <w:shd w:val="clear" w:color="auto" w:fill="4F81BD"/>
            <w:vAlign w:val="center"/>
          </w:tcPr>
          <w:p w:rsidR="00261C41" w:rsidRPr="00261C41" w:rsidRDefault="00261C41" w:rsidP="00261C41">
            <w:pPr>
              <w:autoSpaceDE w:val="0"/>
              <w:autoSpaceDN w:val="0"/>
              <w:adjustRightInd w:val="0"/>
              <w:spacing w:before="40" w:after="40" w:line="240" w:lineRule="auto"/>
              <w:jc w:val="center"/>
              <w:rPr>
                <w:rFonts w:eastAsia="Times New Roman" w:cs="Arial"/>
                <w:b/>
                <w:bCs/>
                <w:sz w:val="20"/>
                <w:szCs w:val="20"/>
              </w:rPr>
            </w:pPr>
            <w:r w:rsidRPr="00261C41">
              <w:rPr>
                <w:rFonts w:eastAsia="Times New Roman" w:cs="Arial"/>
                <w:b/>
                <w:bCs/>
                <w:sz w:val="20"/>
                <w:szCs w:val="20"/>
              </w:rPr>
              <w:t>Metas</w:t>
            </w:r>
          </w:p>
        </w:tc>
        <w:tc>
          <w:tcPr>
            <w:tcW w:w="0" w:type="auto"/>
            <w:tcBorders>
              <w:top w:val="single" w:sz="4" w:space="0" w:color="1F497D"/>
              <w:bottom w:val="single" w:sz="4" w:space="0" w:color="1F497D"/>
              <w:right w:val="single" w:sz="4" w:space="0" w:color="1F497D"/>
            </w:tcBorders>
            <w:shd w:val="clear" w:color="auto" w:fill="4F81BD"/>
            <w:vAlign w:val="center"/>
          </w:tcPr>
          <w:p w:rsidR="00261C41" w:rsidRPr="00261C41" w:rsidRDefault="00261C41" w:rsidP="00261C41">
            <w:pPr>
              <w:autoSpaceDE w:val="0"/>
              <w:autoSpaceDN w:val="0"/>
              <w:adjustRightInd w:val="0"/>
              <w:spacing w:before="40" w:after="40" w:line="240" w:lineRule="auto"/>
              <w:jc w:val="center"/>
              <w:rPr>
                <w:rFonts w:eastAsia="Times New Roman" w:cs="Arial"/>
                <w:b/>
                <w:bCs/>
                <w:sz w:val="20"/>
                <w:szCs w:val="20"/>
              </w:rPr>
            </w:pPr>
            <w:r w:rsidRPr="00261C41">
              <w:rPr>
                <w:rFonts w:eastAsia="Times New Roman" w:cs="Arial"/>
                <w:b/>
                <w:bCs/>
                <w:sz w:val="20"/>
                <w:szCs w:val="20"/>
              </w:rPr>
              <w:t>Prazo de entrega</w:t>
            </w:r>
          </w:p>
        </w:tc>
      </w:tr>
      <w:tr w:rsidR="00261C41" w:rsidRPr="00261C41" w:rsidTr="00261C41">
        <w:trPr>
          <w:cantSplit/>
          <w:trHeight w:val="283"/>
          <w:jc w:val="center"/>
        </w:trPr>
        <w:tc>
          <w:tcPr>
            <w:tcW w:w="2802" w:type="dxa"/>
            <w:vMerge w:val="restart"/>
            <w:tcBorders>
              <w:top w:val="single" w:sz="4" w:space="0" w:color="1F497D"/>
            </w:tcBorders>
            <w:shd w:val="clear" w:color="auto" w:fill="auto"/>
            <w:vAlign w:val="center"/>
          </w:tcPr>
          <w:p w:rsidR="00261C41" w:rsidRPr="00261C41" w:rsidRDefault="00261C41" w:rsidP="00261C41">
            <w:pPr>
              <w:spacing w:before="40" w:after="40" w:line="240" w:lineRule="auto"/>
              <w:jc w:val="both"/>
              <w:rPr>
                <w:rFonts w:eastAsia="Times New Roman" w:cs="Arial"/>
                <w:bCs/>
                <w:sz w:val="20"/>
                <w:szCs w:val="20"/>
                <w:lang w:eastAsia="pt-BR"/>
              </w:rPr>
            </w:pPr>
            <w:r w:rsidRPr="00261C41">
              <w:rPr>
                <w:rFonts w:eastAsia="Times New Roman" w:cs="Arial"/>
                <w:sz w:val="20"/>
                <w:szCs w:val="20"/>
              </w:rPr>
              <w:t>1. Manter o município livre de inundações e diminuir a frequência de alagamentos causados por insuficiências e deficiências nas galerias e obras de drenagem</w:t>
            </w:r>
            <w:r w:rsidRPr="00261C41">
              <w:rPr>
                <w:rFonts w:eastAsia="Times New Roman" w:cs="Arial"/>
                <w:bCs/>
                <w:szCs w:val="24"/>
                <w:lang w:eastAsia="pt-BR"/>
              </w:rPr>
              <w:t>.</w:t>
            </w:r>
          </w:p>
        </w:tc>
        <w:tc>
          <w:tcPr>
            <w:tcW w:w="10722" w:type="dxa"/>
            <w:tcBorders>
              <w:top w:val="single" w:sz="4" w:space="0" w:color="1F497D"/>
            </w:tcBorders>
            <w:shd w:val="clear" w:color="auto" w:fill="auto"/>
            <w:vAlign w:val="center"/>
          </w:tcPr>
          <w:p w:rsidR="00261C41" w:rsidRPr="00261C41" w:rsidRDefault="00261C41" w:rsidP="00261C41">
            <w:pPr>
              <w:spacing w:before="40" w:after="40" w:line="240" w:lineRule="auto"/>
              <w:jc w:val="both"/>
              <w:rPr>
                <w:rFonts w:cs="Arial"/>
                <w:sz w:val="20"/>
                <w:szCs w:val="20"/>
              </w:rPr>
            </w:pPr>
            <w:r w:rsidRPr="00261C41">
              <w:rPr>
                <w:rFonts w:eastAsia="Times New Roman" w:cs="Arial"/>
                <w:sz w:val="20"/>
                <w:szCs w:val="20"/>
              </w:rPr>
              <w:t>1.1 Ter garantido o mapeamento e cadastramento (banco de dados) dos sistemas de drenagem urbana do município e de suas áreas críticas.</w:t>
            </w:r>
          </w:p>
        </w:tc>
        <w:tc>
          <w:tcPr>
            <w:tcW w:w="0" w:type="auto"/>
            <w:tcBorders>
              <w:top w:val="single" w:sz="4" w:space="0" w:color="1F497D"/>
            </w:tcBorders>
            <w:shd w:val="clear" w:color="auto" w:fill="auto"/>
            <w:vAlign w:val="center"/>
          </w:tcPr>
          <w:p w:rsidR="00261C41" w:rsidRPr="00261C41" w:rsidRDefault="00261C41" w:rsidP="00261C41">
            <w:pPr>
              <w:spacing w:before="40" w:after="40" w:line="240" w:lineRule="auto"/>
              <w:jc w:val="center"/>
              <w:rPr>
                <w:rFonts w:eastAsia="Times New Roman" w:cs="Arial"/>
                <w:bCs/>
                <w:sz w:val="20"/>
                <w:szCs w:val="20"/>
              </w:rPr>
            </w:pPr>
            <w:r w:rsidRPr="00261C41">
              <w:rPr>
                <w:rFonts w:eastAsia="Times New Roman" w:cs="Arial"/>
                <w:bCs/>
                <w:sz w:val="20"/>
                <w:szCs w:val="20"/>
              </w:rPr>
              <w:t>Curto</w:t>
            </w:r>
          </w:p>
        </w:tc>
      </w:tr>
      <w:tr w:rsidR="00261C41" w:rsidRPr="00261C41" w:rsidTr="00261C41">
        <w:trPr>
          <w:cantSplit/>
          <w:trHeight w:val="283"/>
          <w:jc w:val="center"/>
        </w:trPr>
        <w:tc>
          <w:tcPr>
            <w:tcW w:w="2802" w:type="dxa"/>
            <w:vMerge/>
            <w:shd w:val="clear" w:color="auto" w:fill="auto"/>
            <w:vAlign w:val="center"/>
          </w:tcPr>
          <w:p w:rsidR="00261C41" w:rsidRPr="00261C41" w:rsidRDefault="00261C41" w:rsidP="00261C41">
            <w:pPr>
              <w:spacing w:before="40" w:after="40" w:line="240" w:lineRule="auto"/>
              <w:rPr>
                <w:rFonts w:eastAsia="Times New Roman" w:cs="Arial"/>
                <w:bCs/>
                <w:sz w:val="20"/>
                <w:szCs w:val="20"/>
                <w:lang w:eastAsia="pt-BR"/>
              </w:rPr>
            </w:pPr>
          </w:p>
        </w:tc>
        <w:tc>
          <w:tcPr>
            <w:tcW w:w="10722" w:type="dxa"/>
            <w:shd w:val="clear" w:color="auto" w:fill="auto"/>
            <w:vAlign w:val="center"/>
          </w:tcPr>
          <w:p w:rsidR="00261C41" w:rsidRPr="00261C41" w:rsidRDefault="00261C41" w:rsidP="00261C41">
            <w:pPr>
              <w:spacing w:before="40" w:after="40" w:line="240" w:lineRule="auto"/>
              <w:jc w:val="both"/>
              <w:rPr>
                <w:rFonts w:eastAsia="Times New Roman" w:cs="Arial"/>
                <w:sz w:val="20"/>
                <w:szCs w:val="20"/>
              </w:rPr>
            </w:pPr>
            <w:r w:rsidRPr="00261C41">
              <w:rPr>
                <w:rFonts w:eastAsia="Times New Roman" w:cs="Arial"/>
                <w:sz w:val="20"/>
                <w:szCs w:val="20"/>
              </w:rPr>
              <w:t>1.2 Possuir um plano de limpeza sistemática das calhas, poços de visita (PVs) e bocas de lobo do município de Córrego Novo.</w:t>
            </w:r>
          </w:p>
        </w:tc>
        <w:tc>
          <w:tcPr>
            <w:tcW w:w="0" w:type="auto"/>
            <w:shd w:val="clear" w:color="auto" w:fill="auto"/>
            <w:vAlign w:val="center"/>
          </w:tcPr>
          <w:p w:rsidR="00261C41" w:rsidRPr="00261C41" w:rsidRDefault="00261C41" w:rsidP="00261C41">
            <w:pPr>
              <w:spacing w:before="40" w:after="40" w:line="240" w:lineRule="auto"/>
              <w:jc w:val="center"/>
              <w:rPr>
                <w:rFonts w:eastAsia="Times New Roman" w:cs="Arial"/>
                <w:bCs/>
                <w:sz w:val="20"/>
                <w:szCs w:val="20"/>
              </w:rPr>
            </w:pPr>
            <w:r w:rsidRPr="00261C41">
              <w:rPr>
                <w:rFonts w:eastAsia="Times New Roman" w:cs="Arial"/>
                <w:bCs/>
                <w:sz w:val="20"/>
                <w:szCs w:val="20"/>
              </w:rPr>
              <w:t>Imediato</w:t>
            </w:r>
          </w:p>
        </w:tc>
      </w:tr>
      <w:tr w:rsidR="00261C41" w:rsidRPr="00261C41" w:rsidTr="00261C41">
        <w:trPr>
          <w:cantSplit/>
          <w:trHeight w:val="283"/>
          <w:jc w:val="center"/>
        </w:trPr>
        <w:tc>
          <w:tcPr>
            <w:tcW w:w="2802" w:type="dxa"/>
            <w:vMerge/>
            <w:shd w:val="clear" w:color="auto" w:fill="auto"/>
            <w:vAlign w:val="center"/>
          </w:tcPr>
          <w:p w:rsidR="00261C41" w:rsidRPr="00261C41" w:rsidRDefault="00261C41" w:rsidP="00261C41">
            <w:pPr>
              <w:spacing w:before="40" w:after="40" w:line="240" w:lineRule="auto"/>
              <w:rPr>
                <w:rFonts w:eastAsia="Times New Roman" w:cs="Arial"/>
                <w:bCs/>
                <w:sz w:val="20"/>
                <w:szCs w:val="20"/>
                <w:lang w:eastAsia="pt-BR"/>
              </w:rPr>
            </w:pPr>
          </w:p>
        </w:tc>
        <w:tc>
          <w:tcPr>
            <w:tcW w:w="10722" w:type="dxa"/>
            <w:shd w:val="clear" w:color="auto" w:fill="auto"/>
            <w:vAlign w:val="center"/>
          </w:tcPr>
          <w:p w:rsidR="00261C41" w:rsidRPr="00261C41" w:rsidRDefault="00261C41" w:rsidP="00261C41">
            <w:pPr>
              <w:spacing w:before="40" w:after="40" w:line="240" w:lineRule="auto"/>
              <w:jc w:val="both"/>
              <w:rPr>
                <w:rFonts w:eastAsia="Times New Roman" w:cs="Arial"/>
                <w:sz w:val="20"/>
                <w:szCs w:val="20"/>
              </w:rPr>
            </w:pPr>
            <w:r w:rsidRPr="00261C41">
              <w:rPr>
                <w:rFonts w:eastAsia="Times New Roman" w:cs="Arial"/>
                <w:sz w:val="20"/>
                <w:szCs w:val="20"/>
              </w:rPr>
              <w:t>1.3 Reduzir em 75% a quantidade de pontos de alagamentos no município e redução de 70% na quantidade de pontos de inundações.</w:t>
            </w:r>
          </w:p>
        </w:tc>
        <w:tc>
          <w:tcPr>
            <w:tcW w:w="0" w:type="auto"/>
            <w:shd w:val="clear" w:color="auto" w:fill="auto"/>
            <w:vAlign w:val="center"/>
          </w:tcPr>
          <w:p w:rsidR="00261C41" w:rsidRPr="00261C41" w:rsidRDefault="00261C41" w:rsidP="00261C41">
            <w:pPr>
              <w:spacing w:before="40" w:after="40" w:line="240" w:lineRule="auto"/>
              <w:jc w:val="center"/>
              <w:rPr>
                <w:rFonts w:eastAsia="Times New Roman" w:cs="Arial"/>
                <w:bCs/>
                <w:sz w:val="20"/>
                <w:szCs w:val="20"/>
              </w:rPr>
            </w:pPr>
            <w:r w:rsidRPr="00261C41">
              <w:rPr>
                <w:rFonts w:eastAsia="Times New Roman" w:cs="Arial"/>
                <w:bCs/>
                <w:sz w:val="20"/>
                <w:szCs w:val="20"/>
              </w:rPr>
              <w:t>Curto</w:t>
            </w:r>
          </w:p>
        </w:tc>
      </w:tr>
      <w:tr w:rsidR="00261C41" w:rsidRPr="00261C41" w:rsidTr="00261C41">
        <w:trPr>
          <w:cantSplit/>
          <w:trHeight w:val="283"/>
          <w:jc w:val="center"/>
        </w:trPr>
        <w:tc>
          <w:tcPr>
            <w:tcW w:w="2802" w:type="dxa"/>
            <w:vMerge/>
            <w:shd w:val="clear" w:color="auto" w:fill="auto"/>
            <w:vAlign w:val="center"/>
          </w:tcPr>
          <w:p w:rsidR="00261C41" w:rsidRPr="00261C41" w:rsidRDefault="00261C41" w:rsidP="00261C41">
            <w:pPr>
              <w:spacing w:before="40" w:after="40" w:line="240" w:lineRule="auto"/>
              <w:rPr>
                <w:rFonts w:eastAsia="Times New Roman" w:cs="Arial"/>
                <w:bCs/>
                <w:sz w:val="20"/>
                <w:szCs w:val="20"/>
                <w:lang w:eastAsia="pt-BR"/>
              </w:rPr>
            </w:pPr>
          </w:p>
        </w:tc>
        <w:tc>
          <w:tcPr>
            <w:tcW w:w="10722" w:type="dxa"/>
            <w:shd w:val="clear" w:color="auto" w:fill="auto"/>
            <w:vAlign w:val="center"/>
          </w:tcPr>
          <w:p w:rsidR="00261C41" w:rsidRPr="00261C41" w:rsidRDefault="00261C41" w:rsidP="00261C41">
            <w:pPr>
              <w:spacing w:before="40" w:after="40" w:line="240" w:lineRule="auto"/>
              <w:jc w:val="both"/>
              <w:rPr>
                <w:rFonts w:eastAsia="Times New Roman" w:cs="Arial"/>
                <w:sz w:val="20"/>
                <w:szCs w:val="20"/>
              </w:rPr>
            </w:pPr>
            <w:r w:rsidRPr="00261C41">
              <w:rPr>
                <w:rFonts w:eastAsia="Times New Roman" w:cs="Arial"/>
                <w:sz w:val="20"/>
                <w:szCs w:val="20"/>
              </w:rPr>
              <w:t>1.4 Dobrar (em relação a 2017) o número de eventos anuais do município voltados à conscientização acerca do correto manejo dos resíduos sólidos.</w:t>
            </w:r>
          </w:p>
        </w:tc>
        <w:tc>
          <w:tcPr>
            <w:tcW w:w="0" w:type="auto"/>
            <w:shd w:val="clear" w:color="auto" w:fill="auto"/>
            <w:vAlign w:val="center"/>
          </w:tcPr>
          <w:p w:rsidR="00261C41" w:rsidRPr="00261C41" w:rsidRDefault="00261C41" w:rsidP="00261C41">
            <w:pPr>
              <w:spacing w:before="40" w:after="40" w:line="240" w:lineRule="auto"/>
              <w:jc w:val="center"/>
              <w:rPr>
                <w:rFonts w:eastAsia="Times New Roman" w:cs="Arial"/>
                <w:bCs/>
                <w:sz w:val="20"/>
                <w:szCs w:val="20"/>
              </w:rPr>
            </w:pPr>
            <w:r w:rsidRPr="00261C41">
              <w:rPr>
                <w:rFonts w:eastAsia="Times New Roman" w:cs="Arial"/>
                <w:bCs/>
                <w:sz w:val="20"/>
                <w:szCs w:val="20"/>
              </w:rPr>
              <w:t>Imediato</w:t>
            </w:r>
          </w:p>
        </w:tc>
      </w:tr>
      <w:tr w:rsidR="00261C41" w:rsidRPr="00261C41" w:rsidTr="00261C41">
        <w:trPr>
          <w:cantSplit/>
          <w:trHeight w:val="283"/>
          <w:jc w:val="center"/>
        </w:trPr>
        <w:tc>
          <w:tcPr>
            <w:tcW w:w="2802" w:type="dxa"/>
            <w:vMerge/>
            <w:shd w:val="clear" w:color="auto" w:fill="auto"/>
            <w:vAlign w:val="center"/>
          </w:tcPr>
          <w:p w:rsidR="00261C41" w:rsidRPr="00261C41" w:rsidRDefault="00261C41" w:rsidP="00261C41">
            <w:pPr>
              <w:spacing w:before="40" w:after="40" w:line="240" w:lineRule="auto"/>
              <w:rPr>
                <w:rFonts w:eastAsia="Times New Roman" w:cs="Arial"/>
                <w:bCs/>
                <w:sz w:val="20"/>
                <w:szCs w:val="20"/>
                <w:lang w:eastAsia="pt-BR"/>
              </w:rPr>
            </w:pPr>
          </w:p>
        </w:tc>
        <w:tc>
          <w:tcPr>
            <w:tcW w:w="10722" w:type="dxa"/>
            <w:tcBorders>
              <w:bottom w:val="single" w:sz="4" w:space="0" w:color="1F497D"/>
            </w:tcBorders>
            <w:shd w:val="clear" w:color="auto" w:fill="auto"/>
            <w:vAlign w:val="center"/>
          </w:tcPr>
          <w:p w:rsidR="00261C41" w:rsidRPr="00261C41" w:rsidRDefault="00261C41" w:rsidP="00261C41">
            <w:pPr>
              <w:spacing w:before="40" w:after="40" w:line="240" w:lineRule="auto"/>
              <w:jc w:val="both"/>
              <w:rPr>
                <w:rFonts w:eastAsia="Times New Roman" w:cs="Arial"/>
                <w:sz w:val="20"/>
                <w:szCs w:val="20"/>
              </w:rPr>
            </w:pPr>
            <w:r w:rsidRPr="00261C41">
              <w:rPr>
                <w:rFonts w:eastAsia="Times New Roman" w:cs="Arial"/>
                <w:sz w:val="20"/>
                <w:szCs w:val="20"/>
              </w:rPr>
              <w:t xml:space="preserve">1.5 </w:t>
            </w:r>
            <w:r w:rsidRPr="00261C41">
              <w:rPr>
                <w:rFonts w:eastAsia="Times New Roman" w:cs="Arial"/>
                <w:bCs/>
                <w:sz w:val="20"/>
                <w:szCs w:val="20"/>
                <w:lang w:eastAsia="pt-BR"/>
              </w:rPr>
              <w:t>Reduzir em 70% a quantidade de resíduos sólidos depositados nas margens dos rios do município.</w:t>
            </w:r>
          </w:p>
        </w:tc>
        <w:tc>
          <w:tcPr>
            <w:tcW w:w="0" w:type="auto"/>
            <w:tcBorders>
              <w:bottom w:val="single" w:sz="4" w:space="0" w:color="1F497D"/>
            </w:tcBorders>
            <w:shd w:val="clear" w:color="auto" w:fill="auto"/>
            <w:vAlign w:val="center"/>
          </w:tcPr>
          <w:p w:rsidR="00261C41" w:rsidRPr="00261C41" w:rsidRDefault="00261C41" w:rsidP="00261C41">
            <w:pPr>
              <w:spacing w:before="40" w:after="40" w:line="240" w:lineRule="auto"/>
              <w:jc w:val="center"/>
              <w:rPr>
                <w:rFonts w:eastAsia="Times New Roman" w:cs="Arial"/>
                <w:bCs/>
                <w:sz w:val="20"/>
                <w:szCs w:val="20"/>
              </w:rPr>
            </w:pPr>
            <w:r w:rsidRPr="00261C41">
              <w:rPr>
                <w:rFonts w:eastAsia="Times New Roman" w:cs="Arial"/>
                <w:bCs/>
                <w:sz w:val="20"/>
                <w:szCs w:val="20"/>
              </w:rPr>
              <w:t>Curto</w:t>
            </w:r>
          </w:p>
        </w:tc>
      </w:tr>
      <w:tr w:rsidR="00261C41" w:rsidRPr="00261C41" w:rsidTr="00261C41">
        <w:trPr>
          <w:cantSplit/>
          <w:trHeight w:val="283"/>
          <w:jc w:val="center"/>
        </w:trPr>
        <w:tc>
          <w:tcPr>
            <w:tcW w:w="2802" w:type="dxa"/>
            <w:vMerge/>
            <w:tcBorders>
              <w:bottom w:val="single" w:sz="4" w:space="0" w:color="1F497D"/>
            </w:tcBorders>
            <w:shd w:val="clear" w:color="auto" w:fill="auto"/>
            <w:vAlign w:val="center"/>
          </w:tcPr>
          <w:p w:rsidR="00261C41" w:rsidRPr="00261C41" w:rsidRDefault="00261C41" w:rsidP="00261C41">
            <w:pPr>
              <w:spacing w:before="40" w:after="40" w:line="240" w:lineRule="auto"/>
              <w:rPr>
                <w:rFonts w:eastAsia="Times New Roman" w:cs="Arial"/>
                <w:bCs/>
                <w:sz w:val="20"/>
                <w:szCs w:val="20"/>
                <w:lang w:eastAsia="pt-BR"/>
              </w:rPr>
            </w:pPr>
          </w:p>
        </w:tc>
        <w:tc>
          <w:tcPr>
            <w:tcW w:w="10722" w:type="dxa"/>
            <w:tcBorders>
              <w:bottom w:val="single" w:sz="4" w:space="0" w:color="1F497D"/>
            </w:tcBorders>
            <w:shd w:val="clear" w:color="auto" w:fill="auto"/>
            <w:vAlign w:val="center"/>
          </w:tcPr>
          <w:p w:rsidR="00261C41" w:rsidRPr="00261C41" w:rsidRDefault="00261C41" w:rsidP="00261C41">
            <w:pPr>
              <w:spacing w:before="40" w:after="40" w:line="240" w:lineRule="auto"/>
              <w:jc w:val="both"/>
              <w:rPr>
                <w:rFonts w:eastAsia="Times New Roman" w:cs="Arial"/>
                <w:sz w:val="20"/>
                <w:szCs w:val="20"/>
              </w:rPr>
            </w:pPr>
            <w:r w:rsidRPr="00261C41">
              <w:rPr>
                <w:rFonts w:eastAsia="Times New Roman" w:cs="Arial"/>
                <w:sz w:val="20"/>
                <w:szCs w:val="20"/>
              </w:rPr>
              <w:t>1.6 Regulamentar sobre o percentual de impermeabilização dos lotes urbanos e garantir a fiscalização.</w:t>
            </w:r>
          </w:p>
        </w:tc>
        <w:tc>
          <w:tcPr>
            <w:tcW w:w="0" w:type="auto"/>
            <w:tcBorders>
              <w:bottom w:val="single" w:sz="4" w:space="0" w:color="1F497D"/>
            </w:tcBorders>
            <w:shd w:val="clear" w:color="auto" w:fill="auto"/>
            <w:vAlign w:val="center"/>
          </w:tcPr>
          <w:p w:rsidR="00261C41" w:rsidRPr="00261C41" w:rsidRDefault="00261C41" w:rsidP="00261C41">
            <w:pPr>
              <w:spacing w:before="40" w:after="40" w:line="240" w:lineRule="auto"/>
              <w:jc w:val="center"/>
              <w:rPr>
                <w:rFonts w:eastAsia="Times New Roman" w:cs="Arial"/>
                <w:bCs/>
                <w:sz w:val="20"/>
                <w:szCs w:val="20"/>
              </w:rPr>
            </w:pPr>
            <w:r w:rsidRPr="00261C41">
              <w:rPr>
                <w:rFonts w:eastAsia="Times New Roman" w:cs="Arial"/>
                <w:bCs/>
                <w:sz w:val="20"/>
                <w:szCs w:val="20"/>
              </w:rPr>
              <w:t>Longo</w:t>
            </w:r>
          </w:p>
        </w:tc>
      </w:tr>
      <w:tr w:rsidR="00261C41" w:rsidRPr="00261C41" w:rsidTr="00261C41">
        <w:trPr>
          <w:cantSplit/>
          <w:trHeight w:val="283"/>
          <w:jc w:val="center"/>
        </w:trPr>
        <w:tc>
          <w:tcPr>
            <w:tcW w:w="2802" w:type="dxa"/>
            <w:vMerge w:val="restart"/>
            <w:tcBorders>
              <w:top w:val="single" w:sz="4" w:space="0" w:color="1F497D"/>
            </w:tcBorders>
            <w:shd w:val="clear" w:color="auto" w:fill="auto"/>
            <w:vAlign w:val="center"/>
          </w:tcPr>
          <w:p w:rsidR="00261C41" w:rsidRPr="00261C41" w:rsidRDefault="00261C41" w:rsidP="00261C41">
            <w:pPr>
              <w:spacing w:before="40" w:after="40" w:line="240" w:lineRule="auto"/>
              <w:jc w:val="both"/>
              <w:rPr>
                <w:rFonts w:eastAsia="Times New Roman" w:cs="Arial"/>
                <w:sz w:val="20"/>
                <w:szCs w:val="20"/>
              </w:rPr>
            </w:pPr>
            <w:r w:rsidRPr="00261C41">
              <w:rPr>
                <w:rFonts w:eastAsia="Times New Roman" w:cs="Arial"/>
                <w:sz w:val="20"/>
                <w:szCs w:val="20"/>
              </w:rPr>
              <w:t xml:space="preserve">2. Desestimular a ocupação de áreas susceptíveis a processos erosivos e promover a desocupação em áreas de risco. </w:t>
            </w:r>
          </w:p>
        </w:tc>
        <w:tc>
          <w:tcPr>
            <w:tcW w:w="10722" w:type="dxa"/>
            <w:tcBorders>
              <w:top w:val="single" w:sz="4" w:space="0" w:color="1F497D"/>
              <w:bottom w:val="dashSmallGap" w:sz="4" w:space="0" w:color="1F497D"/>
            </w:tcBorders>
            <w:shd w:val="clear" w:color="auto" w:fill="auto"/>
            <w:vAlign w:val="center"/>
          </w:tcPr>
          <w:p w:rsidR="00261C41" w:rsidRPr="00261C41" w:rsidRDefault="00261C41" w:rsidP="00261C41">
            <w:pPr>
              <w:spacing w:before="40" w:after="40" w:line="240" w:lineRule="auto"/>
              <w:jc w:val="both"/>
              <w:rPr>
                <w:rFonts w:cs="Arial"/>
                <w:sz w:val="20"/>
                <w:szCs w:val="20"/>
              </w:rPr>
            </w:pPr>
            <w:r w:rsidRPr="00261C41">
              <w:rPr>
                <w:rFonts w:eastAsia="Times New Roman" w:cs="Arial"/>
                <w:sz w:val="20"/>
                <w:szCs w:val="20"/>
              </w:rPr>
              <w:t>2.1 Garantir o mapeamento das ocupações em áreas de risco de movimentação de massa em conjunto com a Defesa Civil.</w:t>
            </w:r>
          </w:p>
        </w:tc>
        <w:tc>
          <w:tcPr>
            <w:tcW w:w="0" w:type="auto"/>
            <w:tcBorders>
              <w:top w:val="single" w:sz="4" w:space="0" w:color="1F497D"/>
              <w:bottom w:val="dashSmallGap" w:sz="4" w:space="0" w:color="1F497D"/>
            </w:tcBorders>
            <w:shd w:val="clear" w:color="auto" w:fill="auto"/>
            <w:vAlign w:val="center"/>
          </w:tcPr>
          <w:p w:rsidR="00261C41" w:rsidRPr="00261C41" w:rsidRDefault="00261C41" w:rsidP="00261C41">
            <w:pPr>
              <w:spacing w:before="40" w:after="40" w:line="240" w:lineRule="auto"/>
              <w:jc w:val="center"/>
              <w:rPr>
                <w:rFonts w:eastAsia="Times New Roman" w:cs="Arial"/>
                <w:bCs/>
                <w:sz w:val="20"/>
                <w:szCs w:val="20"/>
              </w:rPr>
            </w:pPr>
            <w:r w:rsidRPr="00261C41">
              <w:rPr>
                <w:rFonts w:eastAsia="Times New Roman" w:cs="Arial"/>
                <w:bCs/>
                <w:sz w:val="20"/>
                <w:szCs w:val="20"/>
              </w:rPr>
              <w:t>Imediato</w:t>
            </w:r>
          </w:p>
        </w:tc>
      </w:tr>
      <w:tr w:rsidR="00261C41" w:rsidRPr="00261C41" w:rsidTr="00261C41">
        <w:trPr>
          <w:cantSplit/>
          <w:trHeight w:val="283"/>
          <w:jc w:val="center"/>
        </w:trPr>
        <w:tc>
          <w:tcPr>
            <w:tcW w:w="2802" w:type="dxa"/>
            <w:vMerge/>
            <w:shd w:val="clear" w:color="auto" w:fill="auto"/>
            <w:vAlign w:val="center"/>
          </w:tcPr>
          <w:p w:rsidR="00261C41" w:rsidRPr="00261C41" w:rsidRDefault="00261C41" w:rsidP="00261C41">
            <w:pPr>
              <w:spacing w:before="40" w:after="40" w:line="240" w:lineRule="auto"/>
              <w:rPr>
                <w:rFonts w:eastAsia="Times New Roman" w:cs="Arial"/>
                <w:bCs/>
                <w:sz w:val="20"/>
                <w:szCs w:val="20"/>
                <w:lang w:eastAsia="pt-BR"/>
              </w:rPr>
            </w:pPr>
          </w:p>
        </w:tc>
        <w:tc>
          <w:tcPr>
            <w:tcW w:w="10722" w:type="dxa"/>
            <w:tcBorders>
              <w:top w:val="dashSmallGap" w:sz="4" w:space="0" w:color="1F497D"/>
              <w:bottom w:val="dashSmallGap" w:sz="4" w:space="0" w:color="1F497D"/>
            </w:tcBorders>
            <w:shd w:val="clear" w:color="auto" w:fill="auto"/>
            <w:vAlign w:val="center"/>
          </w:tcPr>
          <w:p w:rsidR="00261C41" w:rsidRPr="00261C41" w:rsidRDefault="00261C41" w:rsidP="00261C41">
            <w:pPr>
              <w:spacing w:before="40" w:after="40" w:line="240" w:lineRule="auto"/>
              <w:jc w:val="both"/>
              <w:rPr>
                <w:rFonts w:cs="Arial"/>
                <w:sz w:val="20"/>
                <w:szCs w:val="20"/>
              </w:rPr>
            </w:pPr>
            <w:r w:rsidRPr="00261C41">
              <w:rPr>
                <w:rFonts w:eastAsia="Times New Roman" w:cs="Arial"/>
                <w:sz w:val="20"/>
                <w:szCs w:val="20"/>
              </w:rPr>
              <w:t xml:space="preserve">2.2 </w:t>
            </w:r>
            <w:r w:rsidRPr="00261C41">
              <w:rPr>
                <w:rFonts w:cs="Arial"/>
                <w:sz w:val="20"/>
                <w:szCs w:val="20"/>
              </w:rPr>
              <w:t xml:space="preserve">Elaborar um plano de </w:t>
            </w:r>
            <w:r w:rsidRPr="00261C41">
              <w:rPr>
                <w:rFonts w:eastAsia="Times New Roman" w:cs="Arial"/>
                <w:sz w:val="20"/>
                <w:szCs w:val="20"/>
              </w:rPr>
              <w:t>desocupação em áreas com risco de movimentação de massa.</w:t>
            </w:r>
          </w:p>
        </w:tc>
        <w:tc>
          <w:tcPr>
            <w:tcW w:w="0" w:type="auto"/>
            <w:tcBorders>
              <w:top w:val="dashSmallGap" w:sz="4" w:space="0" w:color="1F497D"/>
              <w:bottom w:val="dashSmallGap" w:sz="4" w:space="0" w:color="1F497D"/>
            </w:tcBorders>
            <w:shd w:val="clear" w:color="auto" w:fill="auto"/>
            <w:vAlign w:val="center"/>
          </w:tcPr>
          <w:p w:rsidR="00261C41" w:rsidRPr="00261C41" w:rsidRDefault="00261C41" w:rsidP="00261C41">
            <w:pPr>
              <w:spacing w:before="40" w:after="40" w:line="240" w:lineRule="auto"/>
              <w:jc w:val="center"/>
              <w:rPr>
                <w:rFonts w:eastAsia="Times New Roman" w:cs="Arial"/>
                <w:bCs/>
                <w:sz w:val="20"/>
                <w:szCs w:val="20"/>
              </w:rPr>
            </w:pPr>
            <w:r w:rsidRPr="00261C41">
              <w:rPr>
                <w:rFonts w:eastAsia="Times New Roman" w:cs="Arial"/>
                <w:bCs/>
                <w:sz w:val="20"/>
                <w:szCs w:val="20"/>
              </w:rPr>
              <w:t>Curto</w:t>
            </w:r>
          </w:p>
        </w:tc>
      </w:tr>
      <w:tr w:rsidR="00261C41" w:rsidRPr="00261C41" w:rsidTr="00261C41">
        <w:trPr>
          <w:cantSplit/>
          <w:trHeight w:val="283"/>
          <w:jc w:val="center"/>
        </w:trPr>
        <w:tc>
          <w:tcPr>
            <w:tcW w:w="2802" w:type="dxa"/>
            <w:vMerge/>
            <w:shd w:val="clear" w:color="auto" w:fill="auto"/>
            <w:vAlign w:val="center"/>
          </w:tcPr>
          <w:p w:rsidR="00261C41" w:rsidRPr="00261C41" w:rsidRDefault="00261C41" w:rsidP="00261C41">
            <w:pPr>
              <w:spacing w:before="40" w:after="40" w:line="240" w:lineRule="auto"/>
              <w:rPr>
                <w:rFonts w:eastAsia="Times New Roman" w:cs="Arial"/>
                <w:bCs/>
                <w:sz w:val="20"/>
                <w:szCs w:val="20"/>
                <w:lang w:eastAsia="pt-BR"/>
              </w:rPr>
            </w:pPr>
          </w:p>
        </w:tc>
        <w:tc>
          <w:tcPr>
            <w:tcW w:w="10722" w:type="dxa"/>
            <w:tcBorders>
              <w:top w:val="dashSmallGap" w:sz="4" w:space="0" w:color="1F497D"/>
              <w:bottom w:val="dashSmallGap" w:sz="4" w:space="0" w:color="1F497D"/>
            </w:tcBorders>
            <w:shd w:val="clear" w:color="auto" w:fill="auto"/>
            <w:vAlign w:val="center"/>
          </w:tcPr>
          <w:p w:rsidR="00261C41" w:rsidRPr="00261C41" w:rsidRDefault="00261C41" w:rsidP="00261C41">
            <w:pPr>
              <w:spacing w:before="40" w:after="40" w:line="240" w:lineRule="auto"/>
              <w:jc w:val="both"/>
              <w:rPr>
                <w:rFonts w:eastAsia="Times New Roman" w:cs="Arial"/>
                <w:sz w:val="20"/>
                <w:szCs w:val="20"/>
              </w:rPr>
            </w:pPr>
            <w:r w:rsidRPr="00261C41">
              <w:rPr>
                <w:rFonts w:eastAsia="Times New Roman" w:cs="Arial"/>
                <w:sz w:val="20"/>
                <w:szCs w:val="20"/>
              </w:rPr>
              <w:t xml:space="preserve">2.3 </w:t>
            </w:r>
            <w:r w:rsidRPr="00261C41">
              <w:rPr>
                <w:rFonts w:cs="Arial"/>
                <w:bCs/>
                <w:sz w:val="19"/>
                <w:szCs w:val="19"/>
              </w:rPr>
              <w:t>Impedir legalmente a ocupação de áreas de risco e garantir a fiscalização.</w:t>
            </w:r>
          </w:p>
        </w:tc>
        <w:tc>
          <w:tcPr>
            <w:tcW w:w="0" w:type="auto"/>
            <w:tcBorders>
              <w:top w:val="dashSmallGap" w:sz="4" w:space="0" w:color="1F497D"/>
              <w:bottom w:val="dashSmallGap" w:sz="4" w:space="0" w:color="1F497D"/>
            </w:tcBorders>
            <w:shd w:val="clear" w:color="auto" w:fill="auto"/>
            <w:vAlign w:val="center"/>
          </w:tcPr>
          <w:p w:rsidR="00261C41" w:rsidRPr="00261C41" w:rsidRDefault="00261C41" w:rsidP="00261C41">
            <w:pPr>
              <w:spacing w:before="40" w:after="40" w:line="240" w:lineRule="auto"/>
              <w:jc w:val="center"/>
              <w:rPr>
                <w:rFonts w:eastAsia="Times New Roman" w:cs="Arial"/>
                <w:bCs/>
                <w:sz w:val="20"/>
                <w:szCs w:val="20"/>
              </w:rPr>
            </w:pPr>
            <w:r w:rsidRPr="00261C41">
              <w:rPr>
                <w:rFonts w:eastAsia="Times New Roman" w:cs="Arial"/>
                <w:bCs/>
                <w:sz w:val="20"/>
                <w:szCs w:val="20"/>
              </w:rPr>
              <w:t>Curto</w:t>
            </w:r>
          </w:p>
        </w:tc>
      </w:tr>
      <w:tr w:rsidR="00261C41" w:rsidRPr="00261C41" w:rsidTr="00261C41">
        <w:trPr>
          <w:cantSplit/>
          <w:trHeight w:val="283"/>
          <w:jc w:val="center"/>
        </w:trPr>
        <w:tc>
          <w:tcPr>
            <w:tcW w:w="2802" w:type="dxa"/>
            <w:vMerge/>
            <w:shd w:val="clear" w:color="auto" w:fill="auto"/>
            <w:vAlign w:val="center"/>
          </w:tcPr>
          <w:p w:rsidR="00261C41" w:rsidRPr="00261C41" w:rsidRDefault="00261C41" w:rsidP="00261C41">
            <w:pPr>
              <w:spacing w:before="40" w:after="40" w:line="240" w:lineRule="auto"/>
              <w:rPr>
                <w:rFonts w:eastAsia="Times New Roman" w:cs="Arial"/>
                <w:bCs/>
                <w:sz w:val="20"/>
                <w:szCs w:val="20"/>
                <w:lang w:eastAsia="pt-BR"/>
              </w:rPr>
            </w:pPr>
          </w:p>
        </w:tc>
        <w:tc>
          <w:tcPr>
            <w:tcW w:w="10722" w:type="dxa"/>
            <w:tcBorders>
              <w:top w:val="dashSmallGap" w:sz="4" w:space="0" w:color="1F497D"/>
              <w:bottom w:val="dashSmallGap" w:sz="4" w:space="0" w:color="1F497D"/>
            </w:tcBorders>
            <w:shd w:val="clear" w:color="auto" w:fill="auto"/>
            <w:vAlign w:val="center"/>
          </w:tcPr>
          <w:p w:rsidR="00261C41" w:rsidRPr="00261C41" w:rsidRDefault="00261C41" w:rsidP="00261C41">
            <w:pPr>
              <w:spacing w:before="40" w:after="40" w:line="240" w:lineRule="auto"/>
              <w:jc w:val="both"/>
              <w:rPr>
                <w:rFonts w:cs="Arial"/>
                <w:sz w:val="20"/>
                <w:szCs w:val="20"/>
              </w:rPr>
            </w:pPr>
            <w:r w:rsidRPr="00261C41">
              <w:rPr>
                <w:rFonts w:eastAsia="Times New Roman" w:cs="Arial"/>
                <w:sz w:val="20"/>
                <w:szCs w:val="20"/>
              </w:rPr>
              <w:t xml:space="preserve">2.4 </w:t>
            </w:r>
            <w:r w:rsidRPr="00261C41">
              <w:rPr>
                <w:rFonts w:cs="Arial"/>
                <w:sz w:val="20"/>
                <w:szCs w:val="20"/>
              </w:rPr>
              <w:t xml:space="preserve">Executar o plano de </w:t>
            </w:r>
            <w:r w:rsidRPr="00261C41">
              <w:rPr>
                <w:rFonts w:eastAsia="Times New Roman" w:cs="Arial"/>
                <w:sz w:val="20"/>
                <w:szCs w:val="20"/>
              </w:rPr>
              <w:t>desocupação em áreas com risco de movimentação de massa.</w:t>
            </w:r>
          </w:p>
        </w:tc>
        <w:tc>
          <w:tcPr>
            <w:tcW w:w="0" w:type="auto"/>
            <w:tcBorders>
              <w:top w:val="dashSmallGap" w:sz="4" w:space="0" w:color="1F497D"/>
              <w:bottom w:val="dashSmallGap" w:sz="4" w:space="0" w:color="1F497D"/>
            </w:tcBorders>
            <w:shd w:val="clear" w:color="auto" w:fill="auto"/>
            <w:vAlign w:val="center"/>
          </w:tcPr>
          <w:p w:rsidR="00261C41" w:rsidRPr="00261C41" w:rsidRDefault="00261C41" w:rsidP="00261C41">
            <w:pPr>
              <w:spacing w:before="40" w:after="40" w:line="240" w:lineRule="auto"/>
              <w:jc w:val="center"/>
              <w:rPr>
                <w:rFonts w:eastAsia="Times New Roman" w:cs="Arial"/>
                <w:bCs/>
                <w:sz w:val="20"/>
                <w:szCs w:val="20"/>
              </w:rPr>
            </w:pPr>
            <w:r w:rsidRPr="00261C41">
              <w:rPr>
                <w:rFonts w:eastAsia="Times New Roman" w:cs="Arial"/>
                <w:bCs/>
                <w:sz w:val="20"/>
                <w:szCs w:val="20"/>
              </w:rPr>
              <w:t>Curto</w:t>
            </w:r>
          </w:p>
        </w:tc>
      </w:tr>
      <w:tr w:rsidR="00261C41" w:rsidRPr="00261C41" w:rsidTr="00261C41">
        <w:trPr>
          <w:cantSplit/>
          <w:trHeight w:val="283"/>
          <w:jc w:val="center"/>
        </w:trPr>
        <w:tc>
          <w:tcPr>
            <w:tcW w:w="2802" w:type="dxa"/>
            <w:vMerge/>
            <w:shd w:val="clear" w:color="auto" w:fill="auto"/>
            <w:vAlign w:val="center"/>
          </w:tcPr>
          <w:p w:rsidR="00261C41" w:rsidRPr="00261C41" w:rsidRDefault="00261C41" w:rsidP="00261C41">
            <w:pPr>
              <w:spacing w:before="40" w:after="40" w:line="240" w:lineRule="auto"/>
              <w:rPr>
                <w:rFonts w:eastAsia="Times New Roman" w:cs="Arial"/>
                <w:bCs/>
                <w:sz w:val="20"/>
                <w:szCs w:val="20"/>
                <w:lang w:eastAsia="pt-BR"/>
              </w:rPr>
            </w:pPr>
          </w:p>
        </w:tc>
        <w:tc>
          <w:tcPr>
            <w:tcW w:w="10722" w:type="dxa"/>
            <w:tcBorders>
              <w:top w:val="dashSmallGap" w:sz="4" w:space="0" w:color="1F497D"/>
              <w:bottom w:val="dashSmallGap" w:sz="4" w:space="0" w:color="1F497D"/>
            </w:tcBorders>
            <w:shd w:val="clear" w:color="auto" w:fill="auto"/>
            <w:vAlign w:val="center"/>
          </w:tcPr>
          <w:p w:rsidR="00261C41" w:rsidRPr="00261C41" w:rsidRDefault="00261C41" w:rsidP="00261C41">
            <w:pPr>
              <w:spacing w:before="40" w:after="40" w:line="240" w:lineRule="auto"/>
              <w:jc w:val="both"/>
              <w:rPr>
                <w:rFonts w:cs="Arial"/>
                <w:sz w:val="20"/>
                <w:szCs w:val="20"/>
              </w:rPr>
            </w:pPr>
            <w:r w:rsidRPr="00261C41">
              <w:rPr>
                <w:rFonts w:eastAsia="Times New Roman" w:cs="Arial"/>
                <w:sz w:val="20"/>
                <w:szCs w:val="20"/>
              </w:rPr>
              <w:t xml:space="preserve">2.5 </w:t>
            </w:r>
            <w:r w:rsidRPr="00261C41">
              <w:rPr>
                <w:rFonts w:cs="Arial"/>
                <w:sz w:val="20"/>
                <w:szCs w:val="20"/>
              </w:rPr>
              <w:t>Recuperar 40% das áreas de risco decorrentes de processos erosivos.</w:t>
            </w:r>
          </w:p>
        </w:tc>
        <w:tc>
          <w:tcPr>
            <w:tcW w:w="0" w:type="auto"/>
            <w:tcBorders>
              <w:top w:val="dashSmallGap" w:sz="4" w:space="0" w:color="1F497D"/>
              <w:bottom w:val="dashSmallGap" w:sz="4" w:space="0" w:color="1F497D"/>
            </w:tcBorders>
            <w:shd w:val="clear" w:color="auto" w:fill="auto"/>
            <w:vAlign w:val="center"/>
          </w:tcPr>
          <w:p w:rsidR="00261C41" w:rsidRPr="00261C41" w:rsidRDefault="00261C41" w:rsidP="00261C41">
            <w:pPr>
              <w:spacing w:before="40" w:after="40" w:line="240" w:lineRule="auto"/>
              <w:jc w:val="center"/>
              <w:rPr>
                <w:rFonts w:eastAsia="Times New Roman" w:cs="Arial"/>
                <w:bCs/>
                <w:sz w:val="20"/>
                <w:szCs w:val="20"/>
              </w:rPr>
            </w:pPr>
            <w:r w:rsidRPr="00261C41">
              <w:rPr>
                <w:rFonts w:eastAsia="Times New Roman" w:cs="Arial"/>
                <w:bCs/>
                <w:sz w:val="20"/>
                <w:szCs w:val="20"/>
              </w:rPr>
              <w:t>Curto</w:t>
            </w:r>
          </w:p>
        </w:tc>
      </w:tr>
      <w:tr w:rsidR="00261C41" w:rsidRPr="00261C41" w:rsidTr="00261C41">
        <w:trPr>
          <w:cantSplit/>
          <w:trHeight w:val="283"/>
          <w:jc w:val="center"/>
        </w:trPr>
        <w:tc>
          <w:tcPr>
            <w:tcW w:w="2802" w:type="dxa"/>
            <w:vMerge/>
            <w:shd w:val="clear" w:color="auto" w:fill="auto"/>
            <w:vAlign w:val="center"/>
          </w:tcPr>
          <w:p w:rsidR="00261C41" w:rsidRPr="00261C41" w:rsidRDefault="00261C41" w:rsidP="00261C41">
            <w:pPr>
              <w:spacing w:before="40" w:after="40" w:line="240" w:lineRule="auto"/>
              <w:rPr>
                <w:rFonts w:eastAsia="Times New Roman" w:cs="Arial"/>
                <w:bCs/>
                <w:sz w:val="20"/>
                <w:szCs w:val="20"/>
                <w:lang w:eastAsia="pt-BR"/>
              </w:rPr>
            </w:pPr>
          </w:p>
        </w:tc>
        <w:tc>
          <w:tcPr>
            <w:tcW w:w="10722" w:type="dxa"/>
            <w:tcBorders>
              <w:top w:val="dashSmallGap" w:sz="4" w:space="0" w:color="1F497D"/>
              <w:bottom w:val="single" w:sz="4" w:space="0" w:color="1F497D"/>
            </w:tcBorders>
            <w:shd w:val="clear" w:color="auto" w:fill="auto"/>
            <w:vAlign w:val="center"/>
          </w:tcPr>
          <w:p w:rsidR="00261C41" w:rsidRPr="00261C41" w:rsidRDefault="00261C41" w:rsidP="00261C41">
            <w:pPr>
              <w:spacing w:before="40" w:after="40" w:line="240" w:lineRule="auto"/>
              <w:jc w:val="both"/>
              <w:rPr>
                <w:rFonts w:eastAsia="Times New Roman" w:cs="Arial"/>
                <w:sz w:val="20"/>
                <w:szCs w:val="20"/>
              </w:rPr>
            </w:pPr>
            <w:r w:rsidRPr="00261C41">
              <w:rPr>
                <w:rFonts w:eastAsia="Times New Roman" w:cs="Arial"/>
                <w:sz w:val="20"/>
                <w:szCs w:val="20"/>
              </w:rPr>
              <w:t xml:space="preserve">2.6 </w:t>
            </w:r>
            <w:r w:rsidRPr="00261C41">
              <w:rPr>
                <w:rFonts w:cs="Arial"/>
                <w:bCs/>
                <w:sz w:val="19"/>
                <w:szCs w:val="19"/>
              </w:rPr>
              <w:t>Recuperar 100% das áreas de risco depois de desocupadas.</w:t>
            </w:r>
          </w:p>
        </w:tc>
        <w:tc>
          <w:tcPr>
            <w:tcW w:w="0" w:type="auto"/>
            <w:tcBorders>
              <w:top w:val="dashSmallGap" w:sz="4" w:space="0" w:color="1F497D"/>
              <w:bottom w:val="single" w:sz="4" w:space="0" w:color="1F497D"/>
            </w:tcBorders>
            <w:shd w:val="clear" w:color="auto" w:fill="auto"/>
            <w:vAlign w:val="center"/>
          </w:tcPr>
          <w:p w:rsidR="00261C41" w:rsidRPr="00261C41" w:rsidRDefault="00261C41" w:rsidP="00261C41">
            <w:pPr>
              <w:spacing w:before="40" w:after="40" w:line="240" w:lineRule="auto"/>
              <w:jc w:val="center"/>
              <w:rPr>
                <w:rFonts w:eastAsia="Times New Roman" w:cs="Arial"/>
                <w:bCs/>
                <w:sz w:val="20"/>
                <w:szCs w:val="20"/>
              </w:rPr>
            </w:pPr>
            <w:r w:rsidRPr="00261C41">
              <w:rPr>
                <w:rFonts w:eastAsia="Times New Roman" w:cs="Arial"/>
                <w:bCs/>
                <w:sz w:val="20"/>
                <w:szCs w:val="20"/>
              </w:rPr>
              <w:t>Longo</w:t>
            </w:r>
          </w:p>
        </w:tc>
      </w:tr>
      <w:tr w:rsidR="00261C41" w:rsidRPr="00261C41" w:rsidTr="00261C41">
        <w:trPr>
          <w:cantSplit/>
          <w:trHeight w:val="283"/>
          <w:jc w:val="center"/>
        </w:trPr>
        <w:tc>
          <w:tcPr>
            <w:tcW w:w="2802" w:type="dxa"/>
            <w:vMerge/>
            <w:tcBorders>
              <w:bottom w:val="single" w:sz="4" w:space="0" w:color="1F497D"/>
            </w:tcBorders>
            <w:shd w:val="clear" w:color="auto" w:fill="auto"/>
            <w:vAlign w:val="center"/>
          </w:tcPr>
          <w:p w:rsidR="00261C41" w:rsidRPr="00261C41" w:rsidRDefault="00261C41" w:rsidP="00261C41">
            <w:pPr>
              <w:spacing w:before="40" w:after="40" w:line="240" w:lineRule="auto"/>
              <w:rPr>
                <w:rFonts w:eastAsia="Times New Roman" w:cs="Arial"/>
                <w:bCs/>
                <w:sz w:val="20"/>
                <w:szCs w:val="20"/>
                <w:lang w:eastAsia="pt-BR"/>
              </w:rPr>
            </w:pPr>
          </w:p>
        </w:tc>
        <w:tc>
          <w:tcPr>
            <w:tcW w:w="10722" w:type="dxa"/>
            <w:tcBorders>
              <w:top w:val="dashSmallGap" w:sz="4" w:space="0" w:color="1F497D"/>
              <w:bottom w:val="single" w:sz="4" w:space="0" w:color="1F497D"/>
            </w:tcBorders>
            <w:shd w:val="clear" w:color="auto" w:fill="auto"/>
            <w:vAlign w:val="center"/>
          </w:tcPr>
          <w:p w:rsidR="00261C41" w:rsidRPr="00261C41" w:rsidRDefault="00261C41" w:rsidP="00261C41">
            <w:pPr>
              <w:spacing w:before="40" w:after="40" w:line="240" w:lineRule="auto"/>
              <w:jc w:val="both"/>
              <w:rPr>
                <w:rFonts w:eastAsia="Times New Roman" w:cs="Arial"/>
                <w:sz w:val="20"/>
                <w:szCs w:val="20"/>
              </w:rPr>
            </w:pPr>
            <w:r w:rsidRPr="00261C41">
              <w:rPr>
                <w:rFonts w:cs="Arial"/>
                <w:bCs/>
                <w:sz w:val="20"/>
                <w:szCs w:val="20"/>
              </w:rPr>
              <w:t>2.7 Garantir a existência do Plano de Contingência e Emergência para áreas de riscos.</w:t>
            </w:r>
          </w:p>
        </w:tc>
        <w:tc>
          <w:tcPr>
            <w:tcW w:w="0" w:type="auto"/>
            <w:tcBorders>
              <w:top w:val="dashSmallGap" w:sz="4" w:space="0" w:color="1F497D"/>
              <w:bottom w:val="single" w:sz="4" w:space="0" w:color="1F497D"/>
            </w:tcBorders>
            <w:shd w:val="clear" w:color="auto" w:fill="auto"/>
            <w:vAlign w:val="center"/>
          </w:tcPr>
          <w:p w:rsidR="00261C41" w:rsidRPr="00261C41" w:rsidRDefault="00261C41" w:rsidP="00261C41">
            <w:pPr>
              <w:spacing w:before="40" w:after="40" w:line="240" w:lineRule="auto"/>
              <w:jc w:val="center"/>
              <w:rPr>
                <w:rFonts w:eastAsia="Times New Roman" w:cs="Arial"/>
                <w:bCs/>
                <w:sz w:val="20"/>
                <w:szCs w:val="20"/>
              </w:rPr>
            </w:pPr>
            <w:r w:rsidRPr="00261C41">
              <w:rPr>
                <w:rFonts w:eastAsia="Times New Roman" w:cs="Arial"/>
                <w:bCs/>
                <w:sz w:val="20"/>
                <w:szCs w:val="20"/>
              </w:rPr>
              <w:t>Imediato</w:t>
            </w:r>
          </w:p>
        </w:tc>
      </w:tr>
      <w:tr w:rsidR="00261C41" w:rsidRPr="00261C41" w:rsidTr="00261C41">
        <w:trPr>
          <w:cantSplit/>
          <w:trHeight w:val="283"/>
          <w:jc w:val="center"/>
        </w:trPr>
        <w:tc>
          <w:tcPr>
            <w:tcW w:w="2802" w:type="dxa"/>
            <w:vMerge w:val="restart"/>
            <w:tcBorders>
              <w:top w:val="single" w:sz="4" w:space="0" w:color="1F497D"/>
            </w:tcBorders>
            <w:shd w:val="clear" w:color="auto" w:fill="auto"/>
            <w:vAlign w:val="center"/>
          </w:tcPr>
          <w:p w:rsidR="00261C41" w:rsidRPr="00261C41" w:rsidRDefault="00261C41" w:rsidP="00261C41">
            <w:pPr>
              <w:spacing w:before="40" w:after="40" w:line="240" w:lineRule="auto"/>
              <w:rPr>
                <w:rFonts w:eastAsia="Times New Roman" w:cs="Arial"/>
                <w:bCs/>
                <w:sz w:val="20"/>
                <w:szCs w:val="20"/>
                <w:lang w:eastAsia="pt-BR"/>
              </w:rPr>
            </w:pPr>
            <w:r w:rsidRPr="00261C41">
              <w:rPr>
                <w:rFonts w:eastAsia="Times New Roman" w:cs="Arial"/>
                <w:bCs/>
                <w:sz w:val="20"/>
                <w:szCs w:val="20"/>
                <w:lang w:eastAsia="pt-BR"/>
              </w:rPr>
              <w:t>3. Planejar o uso e ocupação da bacia de forma adequada e promover a recuperação e revitalização de APPs e áreas verdes.</w:t>
            </w:r>
          </w:p>
        </w:tc>
        <w:tc>
          <w:tcPr>
            <w:tcW w:w="10722" w:type="dxa"/>
            <w:tcBorders>
              <w:top w:val="single" w:sz="4" w:space="0" w:color="1F497D"/>
            </w:tcBorders>
            <w:shd w:val="clear" w:color="auto" w:fill="auto"/>
            <w:vAlign w:val="center"/>
          </w:tcPr>
          <w:p w:rsidR="00261C41" w:rsidRPr="00261C41" w:rsidRDefault="00261C41" w:rsidP="00261C41">
            <w:pPr>
              <w:spacing w:before="40" w:after="40" w:line="240" w:lineRule="auto"/>
              <w:jc w:val="both"/>
              <w:rPr>
                <w:rFonts w:eastAsia="Times New Roman" w:cs="Arial"/>
                <w:sz w:val="20"/>
                <w:szCs w:val="20"/>
              </w:rPr>
            </w:pPr>
            <w:r w:rsidRPr="00261C41">
              <w:rPr>
                <w:rFonts w:eastAsia="Times New Roman" w:cs="Arial"/>
                <w:bCs/>
                <w:sz w:val="20"/>
                <w:szCs w:val="20"/>
                <w:lang w:eastAsia="pt-BR"/>
              </w:rPr>
              <w:t xml:space="preserve">3.1 </w:t>
            </w:r>
            <w:r w:rsidRPr="00261C41">
              <w:rPr>
                <w:rFonts w:cs="Arial"/>
                <w:bCs/>
                <w:sz w:val="20"/>
                <w:szCs w:val="20"/>
              </w:rPr>
              <w:t xml:space="preserve">Elaborar o plano de recuperação de APPs e áreas verdes, considerando </w:t>
            </w:r>
            <w:r w:rsidRPr="00261C41">
              <w:rPr>
                <w:rFonts w:eastAsia="Times New Roman" w:cs="Arial"/>
                <w:bCs/>
                <w:sz w:val="20"/>
                <w:szCs w:val="20"/>
              </w:rPr>
              <w:t>o mapeamento de áreas críticas de drenagem.</w:t>
            </w:r>
          </w:p>
        </w:tc>
        <w:tc>
          <w:tcPr>
            <w:tcW w:w="0" w:type="auto"/>
            <w:tcBorders>
              <w:top w:val="single" w:sz="4" w:space="0" w:color="1F497D"/>
            </w:tcBorders>
            <w:shd w:val="clear" w:color="auto" w:fill="auto"/>
            <w:vAlign w:val="center"/>
          </w:tcPr>
          <w:p w:rsidR="00261C41" w:rsidRPr="00261C41" w:rsidRDefault="00261C41" w:rsidP="00261C41">
            <w:pPr>
              <w:spacing w:before="40" w:after="40" w:line="240" w:lineRule="auto"/>
              <w:jc w:val="center"/>
              <w:rPr>
                <w:rFonts w:eastAsia="Times New Roman" w:cs="Arial"/>
                <w:bCs/>
                <w:sz w:val="20"/>
                <w:szCs w:val="20"/>
              </w:rPr>
            </w:pPr>
            <w:r w:rsidRPr="00261C41">
              <w:rPr>
                <w:rFonts w:eastAsia="Times New Roman" w:cs="Arial"/>
                <w:bCs/>
                <w:sz w:val="20"/>
                <w:szCs w:val="20"/>
              </w:rPr>
              <w:t>Curto</w:t>
            </w:r>
          </w:p>
        </w:tc>
      </w:tr>
      <w:tr w:rsidR="00261C41" w:rsidRPr="00261C41" w:rsidTr="00261C41">
        <w:trPr>
          <w:cantSplit/>
          <w:trHeight w:val="283"/>
          <w:jc w:val="center"/>
        </w:trPr>
        <w:tc>
          <w:tcPr>
            <w:tcW w:w="2802" w:type="dxa"/>
            <w:vMerge/>
            <w:shd w:val="clear" w:color="auto" w:fill="auto"/>
            <w:vAlign w:val="center"/>
          </w:tcPr>
          <w:p w:rsidR="00261C41" w:rsidRPr="00261C41" w:rsidRDefault="00261C41" w:rsidP="0066661F">
            <w:pPr>
              <w:numPr>
                <w:ilvl w:val="0"/>
                <w:numId w:val="33"/>
              </w:numPr>
              <w:spacing w:before="40" w:after="40" w:line="240" w:lineRule="auto"/>
              <w:ind w:left="173" w:hanging="173"/>
              <w:jc w:val="both"/>
              <w:rPr>
                <w:rFonts w:eastAsia="Times New Roman" w:cs="Arial"/>
                <w:bCs/>
                <w:sz w:val="20"/>
                <w:szCs w:val="20"/>
                <w:lang w:eastAsia="pt-BR"/>
              </w:rPr>
            </w:pPr>
          </w:p>
        </w:tc>
        <w:tc>
          <w:tcPr>
            <w:tcW w:w="10722" w:type="dxa"/>
            <w:shd w:val="clear" w:color="auto" w:fill="auto"/>
            <w:vAlign w:val="center"/>
          </w:tcPr>
          <w:p w:rsidR="00261C41" w:rsidRPr="00261C41" w:rsidRDefault="00261C41" w:rsidP="00261C41">
            <w:pPr>
              <w:spacing w:before="40" w:after="40" w:line="240" w:lineRule="auto"/>
              <w:jc w:val="both"/>
              <w:rPr>
                <w:rFonts w:eastAsia="Times New Roman" w:cs="Arial"/>
                <w:bCs/>
                <w:sz w:val="20"/>
                <w:szCs w:val="20"/>
                <w:lang w:eastAsia="pt-BR"/>
              </w:rPr>
            </w:pPr>
            <w:r w:rsidRPr="00261C41">
              <w:rPr>
                <w:rFonts w:eastAsia="Times New Roman" w:cs="Arial"/>
                <w:bCs/>
                <w:sz w:val="20"/>
                <w:szCs w:val="20"/>
                <w:lang w:eastAsia="pt-BR"/>
              </w:rPr>
              <w:t xml:space="preserve">3.2. </w:t>
            </w:r>
            <w:r w:rsidRPr="00261C41">
              <w:rPr>
                <w:rFonts w:cs="Arial"/>
                <w:bCs/>
                <w:sz w:val="18"/>
                <w:szCs w:val="18"/>
              </w:rPr>
              <w:t>Recuperar 100% das APPs do município.</w:t>
            </w:r>
          </w:p>
        </w:tc>
        <w:tc>
          <w:tcPr>
            <w:tcW w:w="0" w:type="auto"/>
            <w:shd w:val="clear" w:color="auto" w:fill="auto"/>
            <w:vAlign w:val="center"/>
          </w:tcPr>
          <w:p w:rsidR="00261C41" w:rsidRPr="00261C41" w:rsidRDefault="00261C41" w:rsidP="00261C41">
            <w:pPr>
              <w:spacing w:before="40" w:after="40" w:line="240" w:lineRule="auto"/>
              <w:jc w:val="center"/>
              <w:rPr>
                <w:rFonts w:eastAsia="Times New Roman" w:cs="Arial"/>
                <w:bCs/>
                <w:sz w:val="20"/>
                <w:szCs w:val="20"/>
              </w:rPr>
            </w:pPr>
            <w:r w:rsidRPr="00261C41">
              <w:rPr>
                <w:rFonts w:eastAsia="Times New Roman" w:cs="Arial"/>
                <w:bCs/>
                <w:sz w:val="20"/>
                <w:szCs w:val="20"/>
              </w:rPr>
              <w:t>Médio</w:t>
            </w:r>
          </w:p>
        </w:tc>
      </w:tr>
      <w:tr w:rsidR="00261C41" w:rsidRPr="00261C41" w:rsidTr="00261C41">
        <w:trPr>
          <w:cantSplit/>
          <w:trHeight w:val="283"/>
          <w:jc w:val="center"/>
        </w:trPr>
        <w:tc>
          <w:tcPr>
            <w:tcW w:w="2802" w:type="dxa"/>
            <w:vMerge/>
            <w:shd w:val="clear" w:color="auto" w:fill="auto"/>
            <w:vAlign w:val="center"/>
          </w:tcPr>
          <w:p w:rsidR="00261C41" w:rsidRPr="00261C41" w:rsidRDefault="00261C41" w:rsidP="0066661F">
            <w:pPr>
              <w:numPr>
                <w:ilvl w:val="0"/>
                <w:numId w:val="33"/>
              </w:numPr>
              <w:spacing w:before="40" w:after="40" w:line="240" w:lineRule="auto"/>
              <w:ind w:left="173" w:hanging="173"/>
              <w:jc w:val="both"/>
              <w:rPr>
                <w:rFonts w:eastAsia="Times New Roman" w:cs="Arial"/>
                <w:bCs/>
                <w:sz w:val="20"/>
                <w:szCs w:val="20"/>
                <w:lang w:eastAsia="pt-BR"/>
              </w:rPr>
            </w:pPr>
          </w:p>
        </w:tc>
        <w:tc>
          <w:tcPr>
            <w:tcW w:w="10722" w:type="dxa"/>
            <w:shd w:val="clear" w:color="auto" w:fill="auto"/>
            <w:vAlign w:val="center"/>
          </w:tcPr>
          <w:p w:rsidR="00261C41" w:rsidRPr="00261C41" w:rsidRDefault="00261C41" w:rsidP="00261C41">
            <w:pPr>
              <w:spacing w:before="40" w:after="40" w:line="240" w:lineRule="auto"/>
              <w:jc w:val="both"/>
              <w:rPr>
                <w:rFonts w:eastAsia="Times New Roman" w:cs="Arial"/>
                <w:bCs/>
                <w:sz w:val="20"/>
                <w:szCs w:val="20"/>
                <w:lang w:eastAsia="pt-BR"/>
              </w:rPr>
            </w:pPr>
            <w:r w:rsidRPr="00261C41">
              <w:rPr>
                <w:rFonts w:eastAsia="Times New Roman" w:cs="Arial"/>
                <w:bCs/>
                <w:sz w:val="20"/>
                <w:szCs w:val="20"/>
                <w:lang w:eastAsia="pt-BR"/>
              </w:rPr>
              <w:t>3.3. Evitar ocupações em fundos de vale visando diminuir o assoreamento.</w:t>
            </w:r>
          </w:p>
        </w:tc>
        <w:tc>
          <w:tcPr>
            <w:tcW w:w="0" w:type="auto"/>
            <w:shd w:val="clear" w:color="auto" w:fill="auto"/>
            <w:vAlign w:val="center"/>
          </w:tcPr>
          <w:p w:rsidR="00261C41" w:rsidRPr="00261C41" w:rsidRDefault="00261C41" w:rsidP="00261C41">
            <w:pPr>
              <w:spacing w:before="40" w:after="40" w:line="240" w:lineRule="auto"/>
              <w:jc w:val="center"/>
              <w:rPr>
                <w:rFonts w:eastAsia="Times New Roman" w:cs="Arial"/>
                <w:bCs/>
                <w:sz w:val="20"/>
                <w:szCs w:val="20"/>
              </w:rPr>
            </w:pPr>
            <w:r w:rsidRPr="00261C41">
              <w:rPr>
                <w:rFonts w:eastAsia="Times New Roman" w:cs="Arial"/>
                <w:bCs/>
                <w:sz w:val="20"/>
                <w:szCs w:val="20"/>
              </w:rPr>
              <w:t>Curto</w:t>
            </w:r>
          </w:p>
        </w:tc>
      </w:tr>
      <w:tr w:rsidR="00261C41" w:rsidRPr="00261C41" w:rsidTr="00261C41">
        <w:trPr>
          <w:cantSplit/>
          <w:trHeight w:val="283"/>
          <w:jc w:val="center"/>
        </w:trPr>
        <w:tc>
          <w:tcPr>
            <w:tcW w:w="2802" w:type="dxa"/>
            <w:vMerge/>
            <w:shd w:val="clear" w:color="auto" w:fill="auto"/>
            <w:vAlign w:val="center"/>
          </w:tcPr>
          <w:p w:rsidR="00261C41" w:rsidRPr="00261C41" w:rsidRDefault="00261C41" w:rsidP="0066661F">
            <w:pPr>
              <w:numPr>
                <w:ilvl w:val="0"/>
                <w:numId w:val="33"/>
              </w:numPr>
              <w:spacing w:before="40" w:after="40" w:line="240" w:lineRule="auto"/>
              <w:ind w:left="173" w:hanging="173"/>
              <w:jc w:val="both"/>
              <w:rPr>
                <w:rFonts w:eastAsia="Times New Roman" w:cs="Arial"/>
                <w:bCs/>
                <w:sz w:val="20"/>
                <w:szCs w:val="20"/>
                <w:lang w:eastAsia="pt-BR"/>
              </w:rPr>
            </w:pPr>
          </w:p>
        </w:tc>
        <w:tc>
          <w:tcPr>
            <w:tcW w:w="10722" w:type="dxa"/>
            <w:tcBorders>
              <w:bottom w:val="single" w:sz="4" w:space="0" w:color="1F497D"/>
            </w:tcBorders>
            <w:shd w:val="clear" w:color="auto" w:fill="auto"/>
            <w:vAlign w:val="center"/>
          </w:tcPr>
          <w:p w:rsidR="00261C41" w:rsidRPr="00261C41" w:rsidRDefault="00261C41" w:rsidP="00261C41">
            <w:pPr>
              <w:spacing w:before="40" w:after="40" w:line="240" w:lineRule="auto"/>
              <w:jc w:val="both"/>
              <w:rPr>
                <w:rFonts w:eastAsia="Times New Roman" w:cs="Arial"/>
                <w:bCs/>
                <w:sz w:val="20"/>
                <w:szCs w:val="20"/>
                <w:lang w:eastAsia="pt-BR"/>
              </w:rPr>
            </w:pPr>
            <w:r w:rsidRPr="00261C41">
              <w:rPr>
                <w:rFonts w:eastAsia="Times New Roman" w:cs="Arial"/>
                <w:bCs/>
                <w:sz w:val="20"/>
                <w:szCs w:val="20"/>
                <w:lang w:eastAsia="pt-BR"/>
              </w:rPr>
              <w:t>3.4 Favorecer a infiltração da água no solo, especialmente utilizando a cobertura natural.</w:t>
            </w:r>
          </w:p>
        </w:tc>
        <w:tc>
          <w:tcPr>
            <w:tcW w:w="0" w:type="auto"/>
            <w:tcBorders>
              <w:bottom w:val="single" w:sz="4" w:space="0" w:color="1F497D"/>
            </w:tcBorders>
            <w:shd w:val="clear" w:color="auto" w:fill="auto"/>
            <w:vAlign w:val="center"/>
          </w:tcPr>
          <w:p w:rsidR="00261C41" w:rsidRPr="00261C41" w:rsidRDefault="00261C41" w:rsidP="00261C41">
            <w:pPr>
              <w:spacing w:before="40" w:after="40" w:line="240" w:lineRule="auto"/>
              <w:jc w:val="center"/>
              <w:rPr>
                <w:rFonts w:eastAsia="Times New Roman" w:cs="Arial"/>
                <w:bCs/>
                <w:sz w:val="20"/>
                <w:szCs w:val="20"/>
              </w:rPr>
            </w:pPr>
            <w:r w:rsidRPr="00261C41">
              <w:rPr>
                <w:rFonts w:eastAsia="Times New Roman" w:cs="Arial"/>
                <w:bCs/>
                <w:sz w:val="20"/>
                <w:szCs w:val="20"/>
              </w:rPr>
              <w:t>Longo</w:t>
            </w:r>
          </w:p>
        </w:tc>
      </w:tr>
      <w:tr w:rsidR="00261C41" w:rsidRPr="00261C41" w:rsidTr="00261C41">
        <w:trPr>
          <w:cantSplit/>
          <w:trHeight w:val="283"/>
          <w:jc w:val="center"/>
        </w:trPr>
        <w:tc>
          <w:tcPr>
            <w:tcW w:w="2802" w:type="dxa"/>
            <w:vMerge/>
            <w:tcBorders>
              <w:bottom w:val="single" w:sz="4" w:space="0" w:color="1F497D"/>
            </w:tcBorders>
            <w:shd w:val="clear" w:color="auto" w:fill="auto"/>
            <w:vAlign w:val="center"/>
          </w:tcPr>
          <w:p w:rsidR="00261C41" w:rsidRPr="00261C41" w:rsidRDefault="00261C41" w:rsidP="00261C41">
            <w:pPr>
              <w:spacing w:before="40" w:after="40" w:line="240" w:lineRule="auto"/>
              <w:rPr>
                <w:bCs/>
                <w:sz w:val="20"/>
              </w:rPr>
            </w:pPr>
          </w:p>
        </w:tc>
        <w:tc>
          <w:tcPr>
            <w:tcW w:w="10722" w:type="dxa"/>
            <w:tcBorders>
              <w:bottom w:val="single" w:sz="4" w:space="0" w:color="1F497D"/>
            </w:tcBorders>
            <w:shd w:val="clear" w:color="auto" w:fill="auto"/>
            <w:vAlign w:val="center"/>
          </w:tcPr>
          <w:p w:rsidR="00261C41" w:rsidRPr="00261C41" w:rsidRDefault="00261C41" w:rsidP="00261C41">
            <w:pPr>
              <w:spacing w:before="40" w:after="40" w:line="240" w:lineRule="auto"/>
              <w:jc w:val="both"/>
              <w:rPr>
                <w:rFonts w:eastAsia="Times New Roman" w:cs="Arial"/>
                <w:bCs/>
                <w:sz w:val="20"/>
                <w:szCs w:val="20"/>
                <w:lang w:eastAsia="pt-BR"/>
              </w:rPr>
            </w:pPr>
            <w:r w:rsidRPr="00261C41">
              <w:rPr>
                <w:rFonts w:eastAsia="Times New Roman" w:cs="Arial"/>
                <w:bCs/>
                <w:sz w:val="20"/>
                <w:szCs w:val="20"/>
                <w:lang w:eastAsia="pt-BR"/>
              </w:rPr>
              <w:t>3.5 Promover o ordenamento territorial na escala da bacia hidrográfica.</w:t>
            </w:r>
          </w:p>
        </w:tc>
        <w:tc>
          <w:tcPr>
            <w:tcW w:w="0" w:type="auto"/>
            <w:tcBorders>
              <w:bottom w:val="single" w:sz="4" w:space="0" w:color="1F497D"/>
            </w:tcBorders>
            <w:shd w:val="clear" w:color="auto" w:fill="auto"/>
            <w:vAlign w:val="center"/>
          </w:tcPr>
          <w:p w:rsidR="00261C41" w:rsidRPr="00261C41" w:rsidRDefault="00261C41" w:rsidP="00261C41">
            <w:pPr>
              <w:spacing w:before="40" w:after="40" w:line="240" w:lineRule="auto"/>
              <w:jc w:val="center"/>
              <w:rPr>
                <w:rFonts w:eastAsia="Times New Roman" w:cs="Arial"/>
                <w:bCs/>
                <w:sz w:val="20"/>
                <w:szCs w:val="20"/>
              </w:rPr>
            </w:pPr>
            <w:r w:rsidRPr="00261C41">
              <w:rPr>
                <w:rFonts w:eastAsia="Times New Roman" w:cs="Arial"/>
                <w:bCs/>
                <w:sz w:val="20"/>
                <w:szCs w:val="20"/>
              </w:rPr>
              <w:t>Longo</w:t>
            </w:r>
          </w:p>
        </w:tc>
      </w:tr>
      <w:tr w:rsidR="00261C41" w:rsidRPr="00261C41" w:rsidTr="00261C41">
        <w:trPr>
          <w:cantSplit/>
          <w:trHeight w:val="340"/>
          <w:jc w:val="center"/>
        </w:trPr>
        <w:tc>
          <w:tcPr>
            <w:tcW w:w="2802" w:type="dxa"/>
            <w:vMerge w:val="restart"/>
            <w:tcBorders>
              <w:top w:val="single" w:sz="4" w:space="0" w:color="1F497D"/>
              <w:bottom w:val="dashSmallGap" w:sz="4" w:space="0" w:color="1F497D"/>
            </w:tcBorders>
            <w:shd w:val="clear" w:color="auto" w:fill="auto"/>
            <w:vAlign w:val="center"/>
          </w:tcPr>
          <w:p w:rsidR="00261C41" w:rsidRPr="00261C41" w:rsidRDefault="00261C41" w:rsidP="00261C41">
            <w:pPr>
              <w:spacing w:before="40" w:after="40" w:line="240" w:lineRule="auto"/>
              <w:rPr>
                <w:rFonts w:eastAsia="Times New Roman" w:cs="Arial"/>
                <w:bCs/>
                <w:sz w:val="20"/>
                <w:szCs w:val="20"/>
                <w:lang w:eastAsia="pt-BR"/>
              </w:rPr>
            </w:pPr>
            <w:r w:rsidRPr="00261C41">
              <w:rPr>
                <w:rFonts w:eastAsia="Times New Roman" w:cs="Arial"/>
                <w:bCs/>
                <w:sz w:val="20"/>
                <w:szCs w:val="20"/>
                <w:lang w:eastAsia="pt-BR"/>
              </w:rPr>
              <w:lastRenderedPageBreak/>
              <w:t>4. Implementar para o SDU uma gestão eficiente no que concerne aos aspectos administrativos, operacionais, financeiros, de planejamento estratégico e de sustentabilidade.</w:t>
            </w:r>
          </w:p>
        </w:tc>
        <w:tc>
          <w:tcPr>
            <w:tcW w:w="10722" w:type="dxa"/>
            <w:tcBorders>
              <w:top w:val="single" w:sz="4" w:space="0" w:color="1F497D"/>
              <w:bottom w:val="dashSmallGap" w:sz="4" w:space="0" w:color="1F497D"/>
            </w:tcBorders>
            <w:shd w:val="clear" w:color="auto" w:fill="auto"/>
            <w:vAlign w:val="center"/>
          </w:tcPr>
          <w:p w:rsidR="00261C41" w:rsidRPr="00261C41" w:rsidRDefault="00261C41" w:rsidP="00261C41">
            <w:pPr>
              <w:spacing w:before="40" w:after="40" w:line="240" w:lineRule="auto"/>
              <w:jc w:val="both"/>
              <w:rPr>
                <w:rFonts w:eastAsia="Times New Roman" w:cs="Arial"/>
                <w:bCs/>
                <w:sz w:val="20"/>
                <w:szCs w:val="20"/>
                <w:lang w:eastAsia="pt-BR"/>
              </w:rPr>
            </w:pPr>
            <w:r w:rsidRPr="00261C41">
              <w:rPr>
                <w:rFonts w:eastAsia="Times New Roman" w:cs="Arial"/>
                <w:bCs/>
                <w:sz w:val="20"/>
                <w:szCs w:val="20"/>
                <w:lang w:eastAsia="pt-BR"/>
              </w:rPr>
              <w:t>4.1 Mapeamento e cadastramento (banco de dados) de pelo menos 50% dos sistemas de drenagem urbana de Córrego Novo.</w:t>
            </w:r>
          </w:p>
        </w:tc>
        <w:tc>
          <w:tcPr>
            <w:tcW w:w="0" w:type="auto"/>
            <w:tcBorders>
              <w:top w:val="single" w:sz="4" w:space="0" w:color="1F497D"/>
              <w:bottom w:val="dashSmallGap" w:sz="4" w:space="0" w:color="1F497D"/>
            </w:tcBorders>
            <w:shd w:val="clear" w:color="auto" w:fill="auto"/>
            <w:vAlign w:val="center"/>
          </w:tcPr>
          <w:p w:rsidR="00261C41" w:rsidRPr="00261C41" w:rsidRDefault="00261C41" w:rsidP="00261C41">
            <w:pPr>
              <w:spacing w:before="40" w:after="40" w:line="240" w:lineRule="auto"/>
              <w:jc w:val="center"/>
              <w:rPr>
                <w:rFonts w:eastAsia="Times New Roman" w:cs="Arial"/>
                <w:bCs/>
                <w:color w:val="0070C0"/>
                <w:sz w:val="20"/>
                <w:szCs w:val="20"/>
              </w:rPr>
            </w:pPr>
            <w:r w:rsidRPr="00261C41">
              <w:rPr>
                <w:rFonts w:eastAsia="Times New Roman" w:cs="Arial"/>
                <w:bCs/>
                <w:sz w:val="20"/>
                <w:szCs w:val="20"/>
              </w:rPr>
              <w:t>Curto</w:t>
            </w:r>
          </w:p>
        </w:tc>
      </w:tr>
      <w:tr w:rsidR="00261C41" w:rsidRPr="00261C41" w:rsidTr="00261C41">
        <w:trPr>
          <w:cantSplit/>
          <w:trHeight w:val="340"/>
          <w:jc w:val="center"/>
        </w:trPr>
        <w:tc>
          <w:tcPr>
            <w:tcW w:w="2802" w:type="dxa"/>
            <w:vMerge/>
            <w:tcBorders>
              <w:top w:val="dashSmallGap" w:sz="4" w:space="0" w:color="1F497D"/>
              <w:bottom w:val="dashSmallGap" w:sz="4" w:space="0" w:color="1F497D"/>
            </w:tcBorders>
            <w:shd w:val="clear" w:color="auto" w:fill="auto"/>
            <w:vAlign w:val="center"/>
          </w:tcPr>
          <w:p w:rsidR="00261C41" w:rsidRPr="00261C41" w:rsidRDefault="00261C41" w:rsidP="0066661F">
            <w:pPr>
              <w:numPr>
                <w:ilvl w:val="0"/>
                <w:numId w:val="34"/>
              </w:numPr>
              <w:spacing w:before="40" w:after="40" w:line="240" w:lineRule="auto"/>
              <w:ind w:left="173" w:hanging="173"/>
              <w:jc w:val="both"/>
              <w:rPr>
                <w:rFonts w:eastAsia="Times New Roman" w:cs="Arial"/>
                <w:bCs/>
                <w:sz w:val="20"/>
                <w:szCs w:val="20"/>
                <w:lang w:eastAsia="pt-BR"/>
              </w:rPr>
            </w:pPr>
          </w:p>
        </w:tc>
        <w:tc>
          <w:tcPr>
            <w:tcW w:w="10722" w:type="dxa"/>
            <w:tcBorders>
              <w:top w:val="dashSmallGap" w:sz="4" w:space="0" w:color="1F497D"/>
              <w:bottom w:val="dashSmallGap" w:sz="4" w:space="0" w:color="1F497D"/>
            </w:tcBorders>
            <w:shd w:val="clear" w:color="auto" w:fill="auto"/>
            <w:vAlign w:val="center"/>
          </w:tcPr>
          <w:p w:rsidR="00261C41" w:rsidRPr="00261C41" w:rsidRDefault="00261C41" w:rsidP="00261C41">
            <w:pPr>
              <w:spacing w:before="40" w:after="40" w:line="240" w:lineRule="auto"/>
              <w:jc w:val="both"/>
              <w:rPr>
                <w:rFonts w:eastAsia="Times New Roman" w:cs="Arial"/>
                <w:bCs/>
                <w:sz w:val="20"/>
                <w:szCs w:val="20"/>
                <w:lang w:eastAsia="pt-BR"/>
              </w:rPr>
            </w:pPr>
            <w:r w:rsidRPr="00261C41">
              <w:rPr>
                <w:rFonts w:eastAsia="Times New Roman" w:cs="Arial"/>
                <w:bCs/>
                <w:sz w:val="20"/>
                <w:szCs w:val="20"/>
                <w:lang w:eastAsia="pt-BR"/>
              </w:rPr>
              <w:t>4.2 Mapeamento e cadastramento (banco de dados) de 100% dos sistemas de drenagem urbana de Córrego Novo.</w:t>
            </w:r>
          </w:p>
        </w:tc>
        <w:tc>
          <w:tcPr>
            <w:tcW w:w="0" w:type="auto"/>
            <w:tcBorders>
              <w:top w:val="dashSmallGap" w:sz="4" w:space="0" w:color="1F497D"/>
              <w:bottom w:val="dashSmallGap" w:sz="4" w:space="0" w:color="1F497D"/>
            </w:tcBorders>
            <w:shd w:val="clear" w:color="auto" w:fill="auto"/>
            <w:vAlign w:val="center"/>
          </w:tcPr>
          <w:p w:rsidR="00261C41" w:rsidRPr="00261C41" w:rsidRDefault="00261C41" w:rsidP="00261C41">
            <w:pPr>
              <w:spacing w:before="40" w:after="40" w:line="240" w:lineRule="auto"/>
              <w:jc w:val="center"/>
              <w:rPr>
                <w:rFonts w:eastAsia="Times New Roman" w:cs="Arial"/>
                <w:bCs/>
                <w:color w:val="0070C0"/>
                <w:sz w:val="20"/>
                <w:szCs w:val="20"/>
              </w:rPr>
            </w:pPr>
            <w:r w:rsidRPr="00261C41">
              <w:rPr>
                <w:rFonts w:eastAsia="Times New Roman" w:cs="Arial"/>
                <w:bCs/>
                <w:sz w:val="20"/>
                <w:szCs w:val="20"/>
              </w:rPr>
              <w:t>Médio</w:t>
            </w:r>
          </w:p>
        </w:tc>
      </w:tr>
      <w:tr w:rsidR="00261C41" w:rsidRPr="00261C41" w:rsidTr="00261C41">
        <w:trPr>
          <w:cantSplit/>
          <w:trHeight w:val="340"/>
          <w:jc w:val="center"/>
        </w:trPr>
        <w:tc>
          <w:tcPr>
            <w:tcW w:w="2802" w:type="dxa"/>
            <w:vMerge/>
            <w:tcBorders>
              <w:top w:val="dashSmallGap" w:sz="4" w:space="0" w:color="1F497D"/>
              <w:bottom w:val="dashSmallGap" w:sz="4" w:space="0" w:color="1F497D"/>
            </w:tcBorders>
            <w:shd w:val="clear" w:color="auto" w:fill="auto"/>
            <w:vAlign w:val="center"/>
          </w:tcPr>
          <w:p w:rsidR="00261C41" w:rsidRPr="00261C41" w:rsidRDefault="00261C41" w:rsidP="0066661F">
            <w:pPr>
              <w:numPr>
                <w:ilvl w:val="0"/>
                <w:numId w:val="34"/>
              </w:numPr>
              <w:spacing w:before="40" w:after="40" w:line="240" w:lineRule="auto"/>
              <w:ind w:left="173" w:hanging="173"/>
              <w:jc w:val="both"/>
              <w:rPr>
                <w:rFonts w:eastAsia="Times New Roman" w:cs="Arial"/>
                <w:bCs/>
                <w:sz w:val="20"/>
                <w:szCs w:val="20"/>
                <w:lang w:eastAsia="pt-BR"/>
              </w:rPr>
            </w:pPr>
          </w:p>
        </w:tc>
        <w:tc>
          <w:tcPr>
            <w:tcW w:w="10722" w:type="dxa"/>
            <w:tcBorders>
              <w:top w:val="dashSmallGap" w:sz="4" w:space="0" w:color="1F497D"/>
              <w:bottom w:val="dashSmallGap" w:sz="4" w:space="0" w:color="1F497D"/>
            </w:tcBorders>
            <w:shd w:val="clear" w:color="auto" w:fill="auto"/>
            <w:vAlign w:val="center"/>
          </w:tcPr>
          <w:p w:rsidR="00261C41" w:rsidRPr="00261C41" w:rsidRDefault="00261C41" w:rsidP="00261C41">
            <w:pPr>
              <w:spacing w:before="40" w:after="40" w:line="240" w:lineRule="auto"/>
              <w:jc w:val="both"/>
              <w:rPr>
                <w:rFonts w:eastAsia="Times New Roman" w:cs="Arial"/>
                <w:sz w:val="20"/>
                <w:szCs w:val="20"/>
              </w:rPr>
            </w:pPr>
            <w:r w:rsidRPr="00261C41">
              <w:rPr>
                <w:rFonts w:eastAsia="Times New Roman" w:cs="Arial"/>
                <w:bCs/>
                <w:sz w:val="20"/>
                <w:szCs w:val="20"/>
                <w:lang w:eastAsia="pt-BR"/>
              </w:rPr>
              <w:t>4.3 Manter o sistema de informações sobre o SDU atualizado.</w:t>
            </w:r>
          </w:p>
        </w:tc>
        <w:tc>
          <w:tcPr>
            <w:tcW w:w="0" w:type="auto"/>
            <w:tcBorders>
              <w:top w:val="dashSmallGap" w:sz="4" w:space="0" w:color="1F497D"/>
              <w:bottom w:val="dashSmallGap" w:sz="4" w:space="0" w:color="1F497D"/>
            </w:tcBorders>
            <w:shd w:val="clear" w:color="auto" w:fill="auto"/>
            <w:vAlign w:val="center"/>
          </w:tcPr>
          <w:p w:rsidR="00261C41" w:rsidRPr="00261C41" w:rsidRDefault="00261C41" w:rsidP="00261C41">
            <w:pPr>
              <w:spacing w:before="40" w:after="40" w:line="240" w:lineRule="auto"/>
              <w:jc w:val="center"/>
              <w:rPr>
                <w:rFonts w:eastAsia="Times New Roman" w:cs="Arial"/>
                <w:bCs/>
                <w:sz w:val="20"/>
                <w:szCs w:val="20"/>
              </w:rPr>
            </w:pPr>
            <w:r w:rsidRPr="00261C41">
              <w:rPr>
                <w:rFonts w:eastAsia="Times New Roman" w:cs="Arial"/>
                <w:bCs/>
                <w:sz w:val="20"/>
                <w:szCs w:val="20"/>
              </w:rPr>
              <w:t>Curto</w:t>
            </w:r>
          </w:p>
        </w:tc>
      </w:tr>
      <w:tr w:rsidR="00261C41" w:rsidRPr="00261C41" w:rsidTr="00261C41">
        <w:trPr>
          <w:cantSplit/>
          <w:trHeight w:val="340"/>
          <w:jc w:val="center"/>
        </w:trPr>
        <w:tc>
          <w:tcPr>
            <w:tcW w:w="2802" w:type="dxa"/>
            <w:vMerge/>
            <w:tcBorders>
              <w:top w:val="dashSmallGap" w:sz="4" w:space="0" w:color="1F497D"/>
              <w:bottom w:val="dashSmallGap" w:sz="4" w:space="0" w:color="1F497D"/>
            </w:tcBorders>
            <w:shd w:val="clear" w:color="auto" w:fill="auto"/>
            <w:vAlign w:val="center"/>
          </w:tcPr>
          <w:p w:rsidR="00261C41" w:rsidRPr="00261C41" w:rsidRDefault="00261C41" w:rsidP="0066661F">
            <w:pPr>
              <w:numPr>
                <w:ilvl w:val="0"/>
                <w:numId w:val="34"/>
              </w:numPr>
              <w:spacing w:before="40" w:after="40" w:line="240" w:lineRule="auto"/>
              <w:ind w:left="173" w:hanging="173"/>
              <w:jc w:val="both"/>
              <w:rPr>
                <w:rFonts w:eastAsia="Times New Roman" w:cs="Arial"/>
                <w:bCs/>
                <w:sz w:val="20"/>
                <w:szCs w:val="20"/>
                <w:lang w:eastAsia="pt-BR"/>
              </w:rPr>
            </w:pPr>
          </w:p>
        </w:tc>
        <w:tc>
          <w:tcPr>
            <w:tcW w:w="10722" w:type="dxa"/>
            <w:tcBorders>
              <w:top w:val="dashSmallGap" w:sz="4" w:space="0" w:color="1F497D"/>
              <w:bottom w:val="dashSmallGap" w:sz="4" w:space="0" w:color="1F497D"/>
            </w:tcBorders>
            <w:shd w:val="clear" w:color="auto" w:fill="auto"/>
            <w:vAlign w:val="center"/>
          </w:tcPr>
          <w:p w:rsidR="00261C41" w:rsidRPr="00261C41" w:rsidRDefault="00261C41" w:rsidP="00261C41">
            <w:pPr>
              <w:spacing w:before="40" w:after="40" w:line="240" w:lineRule="auto"/>
              <w:jc w:val="both"/>
              <w:rPr>
                <w:rFonts w:eastAsia="Times New Roman" w:cs="Arial"/>
                <w:sz w:val="20"/>
                <w:szCs w:val="20"/>
              </w:rPr>
            </w:pPr>
            <w:r w:rsidRPr="00261C41">
              <w:rPr>
                <w:rFonts w:eastAsia="Times New Roman" w:cs="Arial"/>
                <w:sz w:val="20"/>
                <w:szCs w:val="20"/>
              </w:rPr>
              <w:t>4.4 Corpo técnico capacitado e em número suficiente para atuar em questões específicas de drenagem urbana.</w:t>
            </w:r>
          </w:p>
        </w:tc>
        <w:tc>
          <w:tcPr>
            <w:tcW w:w="0" w:type="auto"/>
            <w:tcBorders>
              <w:top w:val="dashSmallGap" w:sz="4" w:space="0" w:color="1F497D"/>
              <w:bottom w:val="dashSmallGap" w:sz="4" w:space="0" w:color="1F497D"/>
            </w:tcBorders>
            <w:shd w:val="clear" w:color="auto" w:fill="auto"/>
            <w:vAlign w:val="center"/>
          </w:tcPr>
          <w:p w:rsidR="00261C41" w:rsidRPr="00261C41" w:rsidRDefault="00261C41" w:rsidP="00261C41">
            <w:pPr>
              <w:spacing w:before="40" w:after="40" w:line="240" w:lineRule="auto"/>
              <w:jc w:val="center"/>
              <w:rPr>
                <w:rFonts w:eastAsia="Times New Roman" w:cs="Arial"/>
                <w:bCs/>
                <w:sz w:val="20"/>
                <w:szCs w:val="20"/>
              </w:rPr>
            </w:pPr>
            <w:r w:rsidRPr="00261C41">
              <w:rPr>
                <w:rFonts w:eastAsia="Times New Roman" w:cs="Arial"/>
                <w:bCs/>
                <w:sz w:val="20"/>
                <w:szCs w:val="20"/>
              </w:rPr>
              <w:t>Curto</w:t>
            </w:r>
          </w:p>
        </w:tc>
      </w:tr>
      <w:tr w:rsidR="00261C41" w:rsidRPr="00261C41" w:rsidTr="00261C41">
        <w:trPr>
          <w:cantSplit/>
          <w:trHeight w:val="340"/>
          <w:jc w:val="center"/>
        </w:trPr>
        <w:tc>
          <w:tcPr>
            <w:tcW w:w="2802" w:type="dxa"/>
            <w:vMerge/>
            <w:tcBorders>
              <w:top w:val="dashSmallGap" w:sz="4" w:space="0" w:color="1F497D"/>
              <w:bottom w:val="single" w:sz="4" w:space="0" w:color="1F497D"/>
            </w:tcBorders>
            <w:shd w:val="clear" w:color="auto" w:fill="auto"/>
            <w:vAlign w:val="center"/>
          </w:tcPr>
          <w:p w:rsidR="00261C41" w:rsidRPr="00261C41" w:rsidRDefault="00261C41" w:rsidP="0066661F">
            <w:pPr>
              <w:numPr>
                <w:ilvl w:val="0"/>
                <w:numId w:val="34"/>
              </w:numPr>
              <w:spacing w:before="40" w:after="40" w:line="240" w:lineRule="auto"/>
              <w:ind w:left="173" w:hanging="173"/>
              <w:jc w:val="both"/>
              <w:rPr>
                <w:rFonts w:eastAsia="Times New Roman" w:cs="Arial"/>
                <w:bCs/>
                <w:sz w:val="20"/>
                <w:szCs w:val="20"/>
                <w:lang w:eastAsia="pt-BR"/>
              </w:rPr>
            </w:pPr>
          </w:p>
        </w:tc>
        <w:tc>
          <w:tcPr>
            <w:tcW w:w="10722" w:type="dxa"/>
            <w:tcBorders>
              <w:top w:val="dashSmallGap" w:sz="4" w:space="0" w:color="1F497D"/>
              <w:bottom w:val="single" w:sz="4" w:space="0" w:color="1F497D"/>
            </w:tcBorders>
            <w:shd w:val="clear" w:color="auto" w:fill="auto"/>
            <w:vAlign w:val="center"/>
          </w:tcPr>
          <w:p w:rsidR="00261C41" w:rsidRPr="00261C41" w:rsidRDefault="00261C41" w:rsidP="00261C41">
            <w:pPr>
              <w:spacing w:before="40" w:after="40" w:line="240" w:lineRule="auto"/>
              <w:jc w:val="both"/>
              <w:rPr>
                <w:rFonts w:eastAsia="Times New Roman" w:cs="Arial"/>
                <w:sz w:val="20"/>
                <w:szCs w:val="20"/>
              </w:rPr>
            </w:pPr>
            <w:r w:rsidRPr="00261C41">
              <w:rPr>
                <w:rFonts w:eastAsia="Times New Roman" w:cs="Arial"/>
                <w:sz w:val="20"/>
                <w:szCs w:val="20"/>
              </w:rPr>
              <w:t>4.5 Uso e Ocupação e macrozoneamento urbano devidamente regulamentados no município.</w:t>
            </w:r>
          </w:p>
        </w:tc>
        <w:tc>
          <w:tcPr>
            <w:tcW w:w="0" w:type="auto"/>
            <w:tcBorders>
              <w:top w:val="dashSmallGap" w:sz="4" w:space="0" w:color="1F497D"/>
              <w:bottom w:val="single" w:sz="4" w:space="0" w:color="1F497D"/>
            </w:tcBorders>
            <w:shd w:val="clear" w:color="auto" w:fill="auto"/>
            <w:vAlign w:val="center"/>
          </w:tcPr>
          <w:p w:rsidR="00261C41" w:rsidRPr="00261C41" w:rsidRDefault="00261C41" w:rsidP="00261C41">
            <w:pPr>
              <w:spacing w:before="40" w:after="40" w:line="240" w:lineRule="auto"/>
              <w:jc w:val="center"/>
              <w:rPr>
                <w:rFonts w:eastAsia="Times New Roman" w:cs="Arial"/>
                <w:bCs/>
                <w:sz w:val="20"/>
                <w:szCs w:val="20"/>
              </w:rPr>
            </w:pPr>
            <w:r w:rsidRPr="00261C41">
              <w:rPr>
                <w:rFonts w:eastAsia="Times New Roman" w:cs="Arial"/>
                <w:bCs/>
                <w:sz w:val="20"/>
                <w:szCs w:val="20"/>
              </w:rPr>
              <w:t>Imediato</w:t>
            </w:r>
          </w:p>
        </w:tc>
      </w:tr>
      <w:tr w:rsidR="00261C41" w:rsidRPr="00261C41" w:rsidTr="00261C41">
        <w:trPr>
          <w:cantSplit/>
          <w:trHeight w:val="340"/>
          <w:jc w:val="center"/>
        </w:trPr>
        <w:tc>
          <w:tcPr>
            <w:tcW w:w="2802" w:type="dxa"/>
            <w:vMerge w:val="restart"/>
            <w:tcBorders>
              <w:top w:val="single" w:sz="4" w:space="0" w:color="1F497D"/>
            </w:tcBorders>
            <w:shd w:val="clear" w:color="auto" w:fill="auto"/>
            <w:vAlign w:val="center"/>
          </w:tcPr>
          <w:p w:rsidR="00261C41" w:rsidRPr="00261C41" w:rsidRDefault="00261C41" w:rsidP="00261C41">
            <w:pPr>
              <w:spacing w:before="40" w:after="40" w:line="240" w:lineRule="auto"/>
              <w:jc w:val="both"/>
              <w:rPr>
                <w:rFonts w:eastAsia="Times New Roman" w:cs="Arial"/>
                <w:bCs/>
                <w:sz w:val="20"/>
                <w:szCs w:val="20"/>
              </w:rPr>
            </w:pPr>
            <w:r w:rsidRPr="00261C41">
              <w:rPr>
                <w:rFonts w:eastAsia="Times New Roman" w:cs="Arial"/>
                <w:bCs/>
                <w:sz w:val="20"/>
                <w:szCs w:val="20"/>
              </w:rPr>
              <w:t>5. Alcançar o pleno atendimento à legislação ambiental aplicável em todos os subprocessos integrantes do Sistema de Drenagem Urbana.</w:t>
            </w:r>
          </w:p>
        </w:tc>
        <w:tc>
          <w:tcPr>
            <w:tcW w:w="10722" w:type="dxa"/>
            <w:tcBorders>
              <w:top w:val="single" w:sz="4" w:space="0" w:color="1F497D"/>
            </w:tcBorders>
            <w:shd w:val="clear" w:color="auto" w:fill="auto"/>
            <w:vAlign w:val="center"/>
          </w:tcPr>
          <w:p w:rsidR="00261C41" w:rsidRPr="00261C41" w:rsidRDefault="00261C41" w:rsidP="00261C41">
            <w:pPr>
              <w:spacing w:before="40" w:after="40" w:line="240" w:lineRule="auto"/>
              <w:jc w:val="both"/>
              <w:rPr>
                <w:rFonts w:eastAsia="Times New Roman" w:cs="Arial"/>
                <w:bCs/>
                <w:sz w:val="20"/>
                <w:szCs w:val="20"/>
              </w:rPr>
            </w:pPr>
            <w:r w:rsidRPr="00261C41">
              <w:rPr>
                <w:rFonts w:eastAsia="Times New Roman" w:cs="Arial"/>
                <w:bCs/>
                <w:sz w:val="20"/>
                <w:szCs w:val="20"/>
              </w:rPr>
              <w:t>5.1 Regularização de todas as licenças ambientais da infraestrutura existente relacionada ao SDU.</w:t>
            </w:r>
          </w:p>
        </w:tc>
        <w:tc>
          <w:tcPr>
            <w:tcW w:w="0" w:type="auto"/>
            <w:tcBorders>
              <w:top w:val="single" w:sz="4" w:space="0" w:color="1F497D"/>
            </w:tcBorders>
            <w:shd w:val="clear" w:color="auto" w:fill="auto"/>
            <w:vAlign w:val="center"/>
          </w:tcPr>
          <w:p w:rsidR="00261C41" w:rsidRPr="00261C41" w:rsidRDefault="00261C41" w:rsidP="00261C41">
            <w:pPr>
              <w:spacing w:before="40" w:after="40" w:line="240" w:lineRule="auto"/>
              <w:jc w:val="center"/>
              <w:rPr>
                <w:rFonts w:eastAsia="Times New Roman" w:cs="Arial"/>
                <w:bCs/>
                <w:sz w:val="20"/>
                <w:szCs w:val="20"/>
              </w:rPr>
            </w:pPr>
            <w:r w:rsidRPr="00261C41">
              <w:rPr>
                <w:rFonts w:eastAsia="Times New Roman" w:cs="Arial"/>
                <w:bCs/>
                <w:sz w:val="20"/>
                <w:szCs w:val="20"/>
              </w:rPr>
              <w:t>Curto</w:t>
            </w:r>
          </w:p>
        </w:tc>
      </w:tr>
      <w:tr w:rsidR="00261C41" w:rsidRPr="00261C41" w:rsidTr="00261C41">
        <w:trPr>
          <w:cantSplit/>
          <w:trHeight w:val="340"/>
          <w:jc w:val="center"/>
        </w:trPr>
        <w:tc>
          <w:tcPr>
            <w:tcW w:w="2802" w:type="dxa"/>
            <w:vMerge/>
            <w:tcBorders>
              <w:bottom w:val="single" w:sz="4" w:space="0" w:color="1F497D"/>
            </w:tcBorders>
            <w:shd w:val="clear" w:color="auto" w:fill="auto"/>
            <w:vAlign w:val="center"/>
          </w:tcPr>
          <w:p w:rsidR="00261C41" w:rsidRPr="00261C41" w:rsidRDefault="00261C41" w:rsidP="00261C41">
            <w:pPr>
              <w:spacing w:before="40" w:after="40" w:line="240" w:lineRule="auto"/>
              <w:jc w:val="both"/>
              <w:rPr>
                <w:rFonts w:eastAsia="Times New Roman" w:cs="Arial"/>
                <w:bCs/>
                <w:sz w:val="20"/>
                <w:szCs w:val="20"/>
              </w:rPr>
            </w:pPr>
          </w:p>
        </w:tc>
        <w:tc>
          <w:tcPr>
            <w:tcW w:w="10722" w:type="dxa"/>
            <w:tcBorders>
              <w:bottom w:val="single" w:sz="4" w:space="0" w:color="1F497D"/>
            </w:tcBorders>
            <w:shd w:val="clear" w:color="auto" w:fill="auto"/>
            <w:vAlign w:val="center"/>
          </w:tcPr>
          <w:p w:rsidR="00261C41" w:rsidRPr="00261C41" w:rsidRDefault="00261C41" w:rsidP="00261C41">
            <w:pPr>
              <w:spacing w:before="40" w:after="40" w:line="240" w:lineRule="auto"/>
              <w:jc w:val="both"/>
              <w:rPr>
                <w:rFonts w:eastAsia="Times New Roman" w:cs="Arial"/>
                <w:bCs/>
                <w:sz w:val="20"/>
                <w:szCs w:val="20"/>
              </w:rPr>
            </w:pPr>
            <w:r w:rsidRPr="00261C41">
              <w:rPr>
                <w:rFonts w:cs="Arial"/>
                <w:sz w:val="20"/>
                <w:szCs w:val="20"/>
              </w:rPr>
              <w:t xml:space="preserve">5.2 </w:t>
            </w:r>
            <w:r w:rsidRPr="00261C41">
              <w:rPr>
                <w:rFonts w:eastAsia="Times New Roman" w:cs="Arial"/>
                <w:sz w:val="20"/>
                <w:szCs w:val="20"/>
                <w:lang w:eastAsia="pt-BR"/>
              </w:rPr>
              <w:t>Possuir método de acompanhamento da validade das licenças ambientais do SDU, segundo procedimento pré-estabelecido.</w:t>
            </w:r>
          </w:p>
        </w:tc>
        <w:tc>
          <w:tcPr>
            <w:tcW w:w="0" w:type="auto"/>
            <w:tcBorders>
              <w:bottom w:val="single" w:sz="4" w:space="0" w:color="1F497D"/>
            </w:tcBorders>
            <w:shd w:val="clear" w:color="auto" w:fill="auto"/>
            <w:vAlign w:val="center"/>
          </w:tcPr>
          <w:p w:rsidR="00261C41" w:rsidRPr="00261C41" w:rsidRDefault="00261C41" w:rsidP="00261C41">
            <w:pPr>
              <w:spacing w:before="40" w:after="40" w:line="240" w:lineRule="auto"/>
              <w:jc w:val="center"/>
              <w:rPr>
                <w:rFonts w:eastAsia="Times New Roman" w:cs="Arial"/>
                <w:bCs/>
                <w:sz w:val="20"/>
                <w:szCs w:val="20"/>
              </w:rPr>
            </w:pPr>
            <w:r w:rsidRPr="00261C41">
              <w:rPr>
                <w:rFonts w:eastAsia="Times New Roman" w:cs="Arial"/>
                <w:bCs/>
                <w:sz w:val="20"/>
                <w:szCs w:val="20"/>
              </w:rPr>
              <w:t>Longo</w:t>
            </w:r>
          </w:p>
        </w:tc>
      </w:tr>
      <w:tr w:rsidR="00261C41" w:rsidRPr="00261C41" w:rsidTr="00261C41">
        <w:trPr>
          <w:cantSplit/>
          <w:trHeight w:val="340"/>
          <w:jc w:val="center"/>
        </w:trPr>
        <w:tc>
          <w:tcPr>
            <w:tcW w:w="2802" w:type="dxa"/>
            <w:vMerge w:val="restart"/>
            <w:tcBorders>
              <w:top w:val="single" w:sz="4" w:space="0" w:color="1F497D"/>
            </w:tcBorders>
            <w:shd w:val="clear" w:color="auto" w:fill="auto"/>
            <w:vAlign w:val="center"/>
          </w:tcPr>
          <w:p w:rsidR="00261C41" w:rsidRPr="00261C41" w:rsidRDefault="00261C41" w:rsidP="00261C41">
            <w:pPr>
              <w:spacing w:before="40" w:after="40" w:line="240" w:lineRule="auto"/>
              <w:jc w:val="both"/>
              <w:rPr>
                <w:rFonts w:cs="Arial"/>
                <w:sz w:val="20"/>
                <w:szCs w:val="20"/>
              </w:rPr>
            </w:pPr>
            <w:r w:rsidRPr="00261C41">
              <w:rPr>
                <w:rFonts w:cs="Arial"/>
                <w:sz w:val="20"/>
                <w:szCs w:val="20"/>
              </w:rPr>
              <w:t xml:space="preserve">6. </w:t>
            </w:r>
            <w:r w:rsidRPr="00261C41">
              <w:rPr>
                <w:rFonts w:eastAsia="Times New Roman" w:cs="Arial"/>
                <w:bCs/>
                <w:sz w:val="20"/>
                <w:szCs w:val="20"/>
              </w:rPr>
              <w:t>Garantir a mobilização social e canais de comunicação com a sociedade, além de promover ações continuadas em educação ambiental.</w:t>
            </w:r>
          </w:p>
        </w:tc>
        <w:tc>
          <w:tcPr>
            <w:tcW w:w="10722" w:type="dxa"/>
            <w:tcBorders>
              <w:top w:val="single" w:sz="4" w:space="0" w:color="1F497D"/>
              <w:bottom w:val="dashSmallGap" w:sz="4" w:space="0" w:color="1F497D"/>
            </w:tcBorders>
            <w:shd w:val="clear" w:color="auto" w:fill="auto"/>
            <w:vAlign w:val="center"/>
          </w:tcPr>
          <w:p w:rsidR="00261C41" w:rsidRPr="00261C41" w:rsidRDefault="00261C41" w:rsidP="00261C41">
            <w:pPr>
              <w:spacing w:before="40" w:after="40" w:line="240" w:lineRule="auto"/>
              <w:jc w:val="both"/>
              <w:rPr>
                <w:rFonts w:eastAsia="Times New Roman" w:cs="Arial"/>
                <w:bCs/>
                <w:sz w:val="20"/>
                <w:szCs w:val="20"/>
              </w:rPr>
            </w:pPr>
            <w:r w:rsidRPr="00261C41">
              <w:rPr>
                <w:rFonts w:eastAsia="Times New Roman" w:cs="Arial"/>
                <w:bCs/>
                <w:sz w:val="20"/>
                <w:szCs w:val="20"/>
              </w:rPr>
              <w:t>6.1 Promover, sistematicamente, eventos que proporcionem a participação de usuários e ampliem o controle social sobre o processo de tomada de decisão do SDU.</w:t>
            </w:r>
          </w:p>
        </w:tc>
        <w:tc>
          <w:tcPr>
            <w:tcW w:w="0" w:type="auto"/>
            <w:tcBorders>
              <w:top w:val="single" w:sz="4" w:space="0" w:color="1F497D"/>
              <w:bottom w:val="dashSmallGap" w:sz="4" w:space="0" w:color="1F497D"/>
            </w:tcBorders>
            <w:shd w:val="clear" w:color="auto" w:fill="auto"/>
            <w:vAlign w:val="center"/>
          </w:tcPr>
          <w:p w:rsidR="00261C41" w:rsidRPr="00261C41" w:rsidRDefault="00261C41" w:rsidP="00261C41">
            <w:pPr>
              <w:spacing w:before="40" w:after="40" w:line="240" w:lineRule="auto"/>
              <w:jc w:val="center"/>
              <w:rPr>
                <w:rFonts w:cs="Arial"/>
                <w:b/>
                <w:bCs/>
                <w:sz w:val="20"/>
                <w:szCs w:val="20"/>
              </w:rPr>
            </w:pPr>
            <w:r w:rsidRPr="00261C41">
              <w:rPr>
                <w:rFonts w:cs="Arial"/>
                <w:sz w:val="20"/>
                <w:szCs w:val="20"/>
              </w:rPr>
              <w:t>Curto</w:t>
            </w:r>
          </w:p>
        </w:tc>
      </w:tr>
      <w:tr w:rsidR="00261C41" w:rsidRPr="00261C41" w:rsidTr="00261C41">
        <w:trPr>
          <w:cantSplit/>
          <w:trHeight w:val="340"/>
          <w:jc w:val="center"/>
        </w:trPr>
        <w:tc>
          <w:tcPr>
            <w:tcW w:w="2802" w:type="dxa"/>
            <w:vMerge/>
            <w:shd w:val="clear" w:color="auto" w:fill="auto"/>
            <w:vAlign w:val="center"/>
          </w:tcPr>
          <w:p w:rsidR="00261C41" w:rsidRPr="00261C41" w:rsidRDefault="00261C41" w:rsidP="00261C41">
            <w:pPr>
              <w:spacing w:before="40" w:after="40" w:line="240" w:lineRule="auto"/>
              <w:jc w:val="both"/>
              <w:rPr>
                <w:rFonts w:cs="Arial"/>
                <w:bCs/>
                <w:sz w:val="20"/>
                <w:szCs w:val="20"/>
              </w:rPr>
            </w:pPr>
          </w:p>
        </w:tc>
        <w:tc>
          <w:tcPr>
            <w:tcW w:w="10722" w:type="dxa"/>
            <w:tcBorders>
              <w:top w:val="dashSmallGap" w:sz="4" w:space="0" w:color="1F497D"/>
              <w:bottom w:val="dashSmallGap" w:sz="4" w:space="0" w:color="1F497D"/>
            </w:tcBorders>
            <w:shd w:val="clear" w:color="auto" w:fill="auto"/>
            <w:vAlign w:val="center"/>
          </w:tcPr>
          <w:p w:rsidR="00261C41" w:rsidRPr="00261C41" w:rsidRDefault="00261C41" w:rsidP="00261C41">
            <w:pPr>
              <w:spacing w:before="40" w:after="40" w:line="240" w:lineRule="auto"/>
              <w:jc w:val="both"/>
              <w:rPr>
                <w:rFonts w:eastAsia="Times New Roman" w:cs="Arial"/>
                <w:bCs/>
                <w:sz w:val="20"/>
                <w:szCs w:val="20"/>
              </w:rPr>
            </w:pPr>
            <w:r w:rsidRPr="00261C41">
              <w:rPr>
                <w:rFonts w:eastAsia="Times New Roman" w:cs="Arial"/>
                <w:bCs/>
                <w:sz w:val="20"/>
                <w:szCs w:val="20"/>
              </w:rPr>
              <w:t>6.2 Estabelecer canais de comunicação com a população que sejam constantes e bem difundidos em todo o município.</w:t>
            </w:r>
          </w:p>
        </w:tc>
        <w:tc>
          <w:tcPr>
            <w:tcW w:w="0" w:type="auto"/>
            <w:tcBorders>
              <w:top w:val="dashSmallGap" w:sz="4" w:space="0" w:color="1F497D"/>
              <w:bottom w:val="dashSmallGap" w:sz="4" w:space="0" w:color="1F497D"/>
            </w:tcBorders>
            <w:shd w:val="clear" w:color="auto" w:fill="auto"/>
            <w:vAlign w:val="center"/>
          </w:tcPr>
          <w:p w:rsidR="00261C41" w:rsidRPr="00261C41" w:rsidRDefault="00261C41" w:rsidP="00261C41">
            <w:pPr>
              <w:spacing w:before="40" w:after="40" w:line="240" w:lineRule="auto"/>
              <w:jc w:val="center"/>
              <w:rPr>
                <w:rFonts w:cs="Arial"/>
                <w:bCs/>
                <w:sz w:val="20"/>
                <w:szCs w:val="20"/>
              </w:rPr>
            </w:pPr>
            <w:r w:rsidRPr="00261C41">
              <w:rPr>
                <w:rFonts w:cs="Arial"/>
                <w:bCs/>
                <w:sz w:val="20"/>
                <w:szCs w:val="20"/>
              </w:rPr>
              <w:t>Curto</w:t>
            </w:r>
          </w:p>
        </w:tc>
      </w:tr>
      <w:tr w:rsidR="00261C41" w:rsidRPr="00261C41" w:rsidTr="00261C41">
        <w:trPr>
          <w:cantSplit/>
          <w:trHeight w:val="340"/>
          <w:jc w:val="center"/>
        </w:trPr>
        <w:tc>
          <w:tcPr>
            <w:tcW w:w="2802" w:type="dxa"/>
            <w:vMerge/>
            <w:shd w:val="clear" w:color="auto" w:fill="auto"/>
            <w:vAlign w:val="center"/>
          </w:tcPr>
          <w:p w:rsidR="00261C41" w:rsidRPr="00261C41" w:rsidRDefault="00261C41" w:rsidP="00261C41">
            <w:pPr>
              <w:spacing w:before="40" w:after="40" w:line="240" w:lineRule="auto"/>
              <w:jc w:val="both"/>
              <w:rPr>
                <w:rFonts w:cs="Arial"/>
                <w:bCs/>
                <w:sz w:val="20"/>
                <w:szCs w:val="20"/>
              </w:rPr>
            </w:pPr>
          </w:p>
        </w:tc>
        <w:tc>
          <w:tcPr>
            <w:tcW w:w="10722" w:type="dxa"/>
            <w:tcBorders>
              <w:top w:val="dashSmallGap" w:sz="4" w:space="0" w:color="1F497D"/>
              <w:bottom w:val="dashSmallGap" w:sz="4" w:space="0" w:color="1F497D"/>
            </w:tcBorders>
            <w:shd w:val="clear" w:color="auto" w:fill="auto"/>
            <w:vAlign w:val="center"/>
          </w:tcPr>
          <w:p w:rsidR="00261C41" w:rsidRPr="00261C41" w:rsidRDefault="00261C41" w:rsidP="00261C41">
            <w:pPr>
              <w:spacing w:before="40" w:after="40" w:line="240" w:lineRule="auto"/>
              <w:jc w:val="both"/>
              <w:rPr>
                <w:rFonts w:eastAsia="Times New Roman" w:cs="Arial"/>
                <w:bCs/>
                <w:sz w:val="20"/>
                <w:szCs w:val="20"/>
              </w:rPr>
            </w:pPr>
            <w:r w:rsidRPr="00261C41">
              <w:rPr>
                <w:rFonts w:eastAsia="Times New Roman" w:cs="Arial"/>
                <w:bCs/>
                <w:sz w:val="20"/>
                <w:szCs w:val="20"/>
              </w:rPr>
              <w:t>6.3 Realizar, anualmente no município, eventos voltados à conscientização acerca de boas práticas para correto funcionamento do SDU.</w:t>
            </w:r>
          </w:p>
        </w:tc>
        <w:tc>
          <w:tcPr>
            <w:tcW w:w="0" w:type="auto"/>
            <w:tcBorders>
              <w:top w:val="dashSmallGap" w:sz="4" w:space="0" w:color="1F497D"/>
              <w:bottom w:val="dashSmallGap" w:sz="4" w:space="0" w:color="1F497D"/>
            </w:tcBorders>
            <w:shd w:val="clear" w:color="auto" w:fill="auto"/>
            <w:vAlign w:val="center"/>
          </w:tcPr>
          <w:p w:rsidR="00261C41" w:rsidRPr="00261C41" w:rsidRDefault="00261C41" w:rsidP="00261C41">
            <w:pPr>
              <w:spacing w:before="40" w:after="40" w:line="240" w:lineRule="auto"/>
              <w:jc w:val="center"/>
              <w:rPr>
                <w:rFonts w:cs="Arial"/>
                <w:bCs/>
                <w:sz w:val="20"/>
                <w:szCs w:val="20"/>
              </w:rPr>
            </w:pPr>
            <w:r w:rsidRPr="00261C41">
              <w:rPr>
                <w:rFonts w:cs="Arial"/>
                <w:bCs/>
                <w:sz w:val="20"/>
                <w:szCs w:val="20"/>
              </w:rPr>
              <w:t>Curto</w:t>
            </w:r>
          </w:p>
        </w:tc>
      </w:tr>
      <w:tr w:rsidR="00261C41" w:rsidRPr="00261C41" w:rsidTr="00261C41">
        <w:trPr>
          <w:cantSplit/>
          <w:trHeight w:val="340"/>
          <w:jc w:val="center"/>
        </w:trPr>
        <w:tc>
          <w:tcPr>
            <w:tcW w:w="2802" w:type="dxa"/>
            <w:vMerge/>
            <w:tcBorders>
              <w:bottom w:val="single" w:sz="4" w:space="0" w:color="1F497D"/>
            </w:tcBorders>
            <w:shd w:val="clear" w:color="auto" w:fill="auto"/>
            <w:vAlign w:val="center"/>
          </w:tcPr>
          <w:p w:rsidR="00261C41" w:rsidRPr="00261C41" w:rsidRDefault="00261C41" w:rsidP="00261C41">
            <w:pPr>
              <w:spacing w:before="40" w:after="40" w:line="240" w:lineRule="auto"/>
              <w:jc w:val="both"/>
              <w:rPr>
                <w:rFonts w:cs="Arial"/>
                <w:bCs/>
                <w:sz w:val="20"/>
                <w:szCs w:val="20"/>
              </w:rPr>
            </w:pPr>
          </w:p>
        </w:tc>
        <w:tc>
          <w:tcPr>
            <w:tcW w:w="10722" w:type="dxa"/>
            <w:tcBorders>
              <w:top w:val="dashSmallGap" w:sz="4" w:space="0" w:color="1F497D"/>
              <w:bottom w:val="single" w:sz="4" w:space="0" w:color="1F497D"/>
            </w:tcBorders>
            <w:shd w:val="clear" w:color="auto" w:fill="auto"/>
            <w:vAlign w:val="center"/>
          </w:tcPr>
          <w:p w:rsidR="00261C41" w:rsidRPr="00261C41" w:rsidRDefault="00261C41" w:rsidP="00261C41">
            <w:pPr>
              <w:spacing w:before="40" w:after="40" w:line="240" w:lineRule="auto"/>
              <w:jc w:val="both"/>
              <w:rPr>
                <w:rFonts w:eastAsia="Times New Roman" w:cs="Arial"/>
                <w:bCs/>
                <w:sz w:val="20"/>
                <w:szCs w:val="20"/>
              </w:rPr>
            </w:pPr>
            <w:r w:rsidRPr="00261C41">
              <w:rPr>
                <w:rFonts w:eastAsia="Times New Roman" w:cs="Arial"/>
                <w:bCs/>
                <w:sz w:val="20"/>
                <w:szCs w:val="20"/>
              </w:rPr>
              <w:t>6.4 Promover ações que visem à educação ambiental ligada ao SDU.</w:t>
            </w:r>
          </w:p>
        </w:tc>
        <w:tc>
          <w:tcPr>
            <w:tcW w:w="0" w:type="auto"/>
            <w:tcBorders>
              <w:top w:val="dashSmallGap" w:sz="4" w:space="0" w:color="1F497D"/>
              <w:bottom w:val="single" w:sz="4" w:space="0" w:color="1F497D"/>
            </w:tcBorders>
            <w:shd w:val="clear" w:color="auto" w:fill="auto"/>
            <w:vAlign w:val="center"/>
          </w:tcPr>
          <w:p w:rsidR="00261C41" w:rsidRPr="00261C41" w:rsidRDefault="00261C41" w:rsidP="00261C41">
            <w:pPr>
              <w:spacing w:before="40" w:after="40" w:line="240" w:lineRule="auto"/>
              <w:jc w:val="center"/>
              <w:rPr>
                <w:rFonts w:cs="Arial"/>
                <w:bCs/>
                <w:sz w:val="20"/>
                <w:szCs w:val="20"/>
              </w:rPr>
            </w:pPr>
            <w:r w:rsidRPr="00261C41">
              <w:rPr>
                <w:rFonts w:cs="Arial"/>
                <w:bCs/>
                <w:sz w:val="20"/>
                <w:szCs w:val="20"/>
              </w:rPr>
              <w:t>Médio</w:t>
            </w:r>
          </w:p>
        </w:tc>
      </w:tr>
    </w:tbl>
    <w:p w:rsidR="00261C41" w:rsidRPr="00261C41" w:rsidRDefault="00261C41" w:rsidP="00261C41">
      <w:pPr>
        <w:jc w:val="both"/>
        <w:rPr>
          <w:lang w:eastAsia="pt-BR"/>
        </w:rPr>
        <w:sectPr w:rsidR="00261C41" w:rsidRPr="00261C41" w:rsidSect="00261C41">
          <w:footerReference w:type="default" r:id="rId61"/>
          <w:pgSz w:w="16838" w:h="11906" w:orient="landscape"/>
          <w:pgMar w:top="1418" w:right="1134" w:bottom="1134" w:left="1134" w:header="709" w:footer="709" w:gutter="0"/>
          <w:cols w:space="708"/>
          <w:docGrid w:linePitch="360"/>
        </w:sectPr>
      </w:pPr>
    </w:p>
    <w:p w:rsidR="006724CD" w:rsidRPr="00261C41" w:rsidRDefault="002609B1" w:rsidP="00BC01B1">
      <w:pPr>
        <w:pStyle w:val="Ttulo3"/>
      </w:pPr>
      <w:bookmarkStart w:id="888" w:name="_Toc509935549"/>
      <w:r w:rsidRPr="0039587A">
        <w:rPr>
          <w:lang w:val="pt-BR"/>
        </w:rPr>
        <w:lastRenderedPageBreak/>
        <w:t>P</w:t>
      </w:r>
      <w:r w:rsidRPr="00F15CF7">
        <w:t xml:space="preserve">rogramas, </w:t>
      </w:r>
      <w:r w:rsidRPr="000B1994">
        <w:t>projetos e ações para o sistema de drenagem urbana.</w:t>
      </w:r>
      <w:bookmarkEnd w:id="879"/>
      <w:bookmarkEnd w:id="888"/>
      <w:r w:rsidRPr="000B1994">
        <w:t xml:space="preserve"> </w:t>
      </w:r>
    </w:p>
    <w:p w:rsidR="00261C41" w:rsidRPr="00601B3C" w:rsidRDefault="00261C41" w:rsidP="00261C41">
      <w:pPr>
        <w:spacing w:before="120" w:after="120"/>
        <w:ind w:firstLine="709"/>
        <w:contextualSpacing/>
        <w:jc w:val="both"/>
        <w:rPr>
          <w:rFonts w:cs="Arial"/>
          <w:szCs w:val="24"/>
          <w:lang w:eastAsia="pt-BR"/>
        </w:rPr>
      </w:pPr>
      <w:r>
        <w:rPr>
          <w:rFonts w:cs="Arial"/>
          <w:szCs w:val="24"/>
          <w:lang w:eastAsia="pt-BR"/>
        </w:rPr>
        <w:t xml:space="preserve">Do </w:t>
      </w:r>
      <w:r>
        <w:rPr>
          <w:rFonts w:cs="Arial"/>
          <w:szCs w:val="24"/>
          <w:lang w:eastAsia="pt-BR"/>
        </w:rPr>
        <w:fldChar w:fldCharType="begin"/>
      </w:r>
      <w:r>
        <w:rPr>
          <w:rFonts w:cs="Arial"/>
          <w:szCs w:val="24"/>
          <w:lang w:eastAsia="pt-BR"/>
        </w:rPr>
        <w:instrText xml:space="preserve"> REF _Ref507657052 \h </w:instrText>
      </w:r>
      <w:r>
        <w:rPr>
          <w:rFonts w:cs="Arial"/>
          <w:szCs w:val="24"/>
          <w:lang w:eastAsia="pt-BR"/>
        </w:rPr>
      </w:r>
      <w:r>
        <w:rPr>
          <w:rFonts w:cs="Arial"/>
          <w:szCs w:val="24"/>
          <w:lang w:eastAsia="pt-BR"/>
        </w:rPr>
        <w:fldChar w:fldCharType="separate"/>
      </w:r>
      <w:r w:rsidR="001B481B">
        <w:t xml:space="preserve">Quadro </w:t>
      </w:r>
      <w:r w:rsidR="001B481B">
        <w:rPr>
          <w:noProof/>
        </w:rPr>
        <w:t>72</w:t>
      </w:r>
      <w:r>
        <w:rPr>
          <w:rFonts w:cs="Arial"/>
          <w:szCs w:val="24"/>
          <w:lang w:eastAsia="pt-BR"/>
        </w:rPr>
        <w:fldChar w:fldCharType="end"/>
      </w:r>
      <w:r>
        <w:rPr>
          <w:rFonts w:cs="Arial"/>
          <w:szCs w:val="24"/>
          <w:lang w:eastAsia="pt-BR"/>
        </w:rPr>
        <w:t xml:space="preserve"> ao </w:t>
      </w:r>
      <w:r>
        <w:rPr>
          <w:rFonts w:cs="Arial"/>
          <w:szCs w:val="24"/>
          <w:lang w:eastAsia="pt-BR"/>
        </w:rPr>
        <w:fldChar w:fldCharType="begin"/>
      </w:r>
      <w:r>
        <w:rPr>
          <w:rFonts w:cs="Arial"/>
          <w:szCs w:val="24"/>
          <w:lang w:eastAsia="pt-BR"/>
        </w:rPr>
        <w:instrText xml:space="preserve"> REF _Ref491965498 \h </w:instrText>
      </w:r>
      <w:r>
        <w:rPr>
          <w:rFonts w:cs="Arial"/>
          <w:szCs w:val="24"/>
          <w:lang w:eastAsia="pt-BR"/>
        </w:rPr>
      </w:r>
      <w:r>
        <w:rPr>
          <w:rFonts w:cs="Arial"/>
          <w:szCs w:val="24"/>
          <w:lang w:eastAsia="pt-BR"/>
        </w:rPr>
        <w:fldChar w:fldCharType="separate"/>
      </w:r>
      <w:r w:rsidR="001B481B" w:rsidRPr="000D64AC">
        <w:t xml:space="preserve">Quadro </w:t>
      </w:r>
      <w:r w:rsidR="001B481B">
        <w:rPr>
          <w:noProof/>
        </w:rPr>
        <w:t>77</w:t>
      </w:r>
      <w:r>
        <w:rPr>
          <w:rFonts w:cs="Arial"/>
          <w:szCs w:val="24"/>
          <w:lang w:eastAsia="pt-BR"/>
        </w:rPr>
        <w:fldChar w:fldCharType="end"/>
      </w:r>
      <w:r>
        <w:rPr>
          <w:rFonts w:cs="Arial"/>
          <w:szCs w:val="24"/>
          <w:lang w:eastAsia="pt-BR"/>
        </w:rPr>
        <w:t xml:space="preserve">, </w:t>
      </w:r>
      <w:r w:rsidRPr="00601B3C">
        <w:rPr>
          <w:rFonts w:cs="Arial"/>
          <w:szCs w:val="24"/>
          <w:lang w:eastAsia="pt-BR"/>
        </w:rPr>
        <w:t>estão previstas as ações de caráter imediato, curto, médio e longo prazos, visando à implementação de soluções graduais e progressivas de forma a atingir os objetivos e metas propostos, destacando-se: (i) melhorar a qualidade dos serviços prestados; (ii) atingir a universalização do acesso dos moradores do município aos serviços públicos de drenagem urbana e manejo de águas pluviais; e (iii) buscar a manutenção da qualidade dos recursos naturais do município.</w:t>
      </w:r>
    </w:p>
    <w:p w:rsidR="00261C41" w:rsidRPr="00FA0773" w:rsidRDefault="00261C41" w:rsidP="00261C41">
      <w:pPr>
        <w:spacing w:before="120" w:after="120"/>
        <w:ind w:firstLine="709"/>
        <w:contextualSpacing/>
        <w:jc w:val="both"/>
        <w:rPr>
          <w:b/>
          <w:color w:val="000000"/>
          <w:szCs w:val="24"/>
        </w:rPr>
      </w:pPr>
      <w:r w:rsidRPr="008A19C7">
        <w:rPr>
          <w:rFonts w:cs="Arial"/>
          <w:szCs w:val="24"/>
        </w:rPr>
        <w:t>Para a implantação de todas as ações previstas neste setor, ao longo de vinte anos, serão necessários</w:t>
      </w:r>
      <w:r>
        <w:rPr>
          <w:rFonts w:cs="Arial"/>
          <w:szCs w:val="24"/>
        </w:rPr>
        <w:t xml:space="preserve"> </w:t>
      </w:r>
      <w:r>
        <w:rPr>
          <w:b/>
          <w:color w:val="000000"/>
          <w:szCs w:val="24"/>
        </w:rPr>
        <w:t>R$</w:t>
      </w:r>
      <w:r w:rsidRPr="00213D9A">
        <w:rPr>
          <w:b/>
          <w:color w:val="000000"/>
          <w:szCs w:val="24"/>
        </w:rPr>
        <w:t xml:space="preserve"> R$ 10.656.739,11 </w:t>
      </w:r>
      <w:r w:rsidRPr="00FA0773">
        <w:rPr>
          <w:b/>
          <w:color w:val="000000"/>
          <w:szCs w:val="24"/>
        </w:rPr>
        <w:t>(</w:t>
      </w:r>
      <w:r>
        <w:rPr>
          <w:b/>
          <w:color w:val="000000"/>
          <w:szCs w:val="24"/>
        </w:rPr>
        <w:t>dez</w:t>
      </w:r>
      <w:r w:rsidRPr="00FA0773">
        <w:rPr>
          <w:b/>
          <w:color w:val="000000"/>
          <w:szCs w:val="24"/>
        </w:rPr>
        <w:t xml:space="preserve"> milhões, </w:t>
      </w:r>
      <w:r>
        <w:rPr>
          <w:b/>
          <w:color w:val="000000"/>
          <w:szCs w:val="24"/>
        </w:rPr>
        <w:t>seiscentos e cinquenta e seis</w:t>
      </w:r>
      <w:r w:rsidRPr="00FA0773">
        <w:rPr>
          <w:b/>
          <w:color w:val="000000"/>
          <w:szCs w:val="24"/>
        </w:rPr>
        <w:t xml:space="preserve"> mil, </w:t>
      </w:r>
      <w:r>
        <w:rPr>
          <w:b/>
          <w:color w:val="000000"/>
          <w:szCs w:val="24"/>
        </w:rPr>
        <w:t>setecentos e trinta e nove</w:t>
      </w:r>
      <w:r w:rsidRPr="00FA0773">
        <w:rPr>
          <w:b/>
          <w:color w:val="000000"/>
          <w:szCs w:val="24"/>
        </w:rPr>
        <w:t xml:space="preserve"> reais e </w:t>
      </w:r>
      <w:r>
        <w:rPr>
          <w:b/>
          <w:color w:val="000000"/>
          <w:szCs w:val="24"/>
        </w:rPr>
        <w:t>onze</w:t>
      </w:r>
      <w:r w:rsidRPr="00FA0773">
        <w:rPr>
          <w:b/>
          <w:color w:val="000000"/>
          <w:szCs w:val="24"/>
        </w:rPr>
        <w:t xml:space="preserve"> centavos).</w:t>
      </w:r>
    </w:p>
    <w:p w:rsidR="00261C41" w:rsidRDefault="00261C41" w:rsidP="00261C41">
      <w:pPr>
        <w:ind w:firstLine="709"/>
        <w:jc w:val="both"/>
        <w:rPr>
          <w:rFonts w:cs="Arial"/>
          <w:szCs w:val="24"/>
        </w:rPr>
        <w:sectPr w:rsidR="00261C41" w:rsidSect="00261C41">
          <w:footerReference w:type="default" r:id="rId62"/>
          <w:pgSz w:w="11906" w:h="16838"/>
          <w:pgMar w:top="1134" w:right="1134" w:bottom="1134" w:left="1418" w:header="709" w:footer="709" w:gutter="0"/>
          <w:cols w:space="708"/>
          <w:docGrid w:linePitch="360"/>
        </w:sectPr>
      </w:pPr>
    </w:p>
    <w:p w:rsidR="00261C41" w:rsidRDefault="00261C41" w:rsidP="00261C41">
      <w:pPr>
        <w:pStyle w:val="Legenda"/>
      </w:pPr>
      <w:bookmarkStart w:id="889" w:name="_Ref507657052"/>
      <w:bookmarkStart w:id="890" w:name="_Toc440617512"/>
      <w:bookmarkStart w:id="891" w:name="_Toc498609256"/>
      <w:bookmarkStart w:id="892" w:name="_Toc505788346"/>
      <w:bookmarkStart w:id="893" w:name="_Toc509935849"/>
      <w:r>
        <w:lastRenderedPageBreak/>
        <w:t xml:space="preserve">Quadro </w:t>
      </w:r>
      <w:r w:rsidR="000A1C78">
        <w:fldChar w:fldCharType="begin"/>
      </w:r>
      <w:r w:rsidR="000A1C78">
        <w:instrText xml:space="preserve"> SEQ Quadro \* ARABIC </w:instrText>
      </w:r>
      <w:r w:rsidR="000A1C78">
        <w:fldChar w:fldCharType="separate"/>
      </w:r>
      <w:r w:rsidR="001B481B">
        <w:rPr>
          <w:noProof/>
        </w:rPr>
        <w:t>72</w:t>
      </w:r>
      <w:r w:rsidR="000A1C78">
        <w:rPr>
          <w:noProof/>
        </w:rPr>
        <w:fldChar w:fldCharType="end"/>
      </w:r>
      <w:bookmarkEnd w:id="889"/>
      <w:r w:rsidRPr="00B04B98">
        <w:t xml:space="preserve"> - Programas e ações propostos para o setor de drenagem urbana e manejo de águas pluviais - Objetivo 1</w:t>
      </w:r>
      <w:bookmarkEnd w:id="890"/>
      <w:bookmarkEnd w:id="891"/>
      <w:bookmarkEnd w:id="892"/>
      <w:bookmarkEnd w:id="893"/>
    </w:p>
    <w:p w:rsidR="00261C41" w:rsidRPr="00C37994" w:rsidRDefault="00261C41" w:rsidP="00261C41">
      <w:pPr>
        <w:rPr>
          <w:rFonts w:cs="Arial"/>
          <w:sz w:val="2"/>
          <w:szCs w:val="2"/>
          <w:highlight w:val="yellow"/>
        </w:rPr>
      </w:pPr>
    </w:p>
    <w:tbl>
      <w:tblPr>
        <w:tblW w:w="14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46"/>
        <w:gridCol w:w="283"/>
        <w:gridCol w:w="3119"/>
        <w:gridCol w:w="5245"/>
        <w:gridCol w:w="1984"/>
        <w:gridCol w:w="2465"/>
      </w:tblGrid>
      <w:tr w:rsidR="00261C41" w:rsidRPr="001F3ACD" w:rsidTr="00261C41">
        <w:trPr>
          <w:cantSplit/>
          <w:trHeight w:val="20"/>
          <w:jc w:val="center"/>
        </w:trPr>
        <w:tc>
          <w:tcPr>
            <w:tcW w:w="558" w:type="pct"/>
            <w:shd w:val="clear" w:color="000000" w:fill="C0C0C0"/>
            <w:noWrap/>
            <w:vAlign w:val="center"/>
            <w:hideMark/>
          </w:tcPr>
          <w:p w:rsidR="00261C41" w:rsidRPr="001F3ACD" w:rsidRDefault="00261C41" w:rsidP="00261C41">
            <w:pPr>
              <w:spacing w:line="240" w:lineRule="auto"/>
              <w:rPr>
                <w:rFonts w:eastAsia="Times New Roman" w:cs="Arial"/>
                <w:b/>
                <w:bCs/>
                <w:sz w:val="20"/>
                <w:szCs w:val="20"/>
                <w:lang w:eastAsia="pt-BR"/>
              </w:rPr>
            </w:pPr>
            <w:r w:rsidRPr="001F3ACD">
              <w:rPr>
                <w:rFonts w:eastAsia="Times New Roman" w:cs="Arial"/>
                <w:b/>
                <w:bCs/>
                <w:sz w:val="20"/>
                <w:szCs w:val="20"/>
                <w:lang w:eastAsia="pt-BR"/>
              </w:rPr>
              <w:t>SETOR</w:t>
            </w:r>
          </w:p>
        </w:tc>
        <w:tc>
          <w:tcPr>
            <w:tcW w:w="96" w:type="pct"/>
            <w:shd w:val="clear" w:color="auto" w:fill="auto"/>
            <w:noWrap/>
            <w:vAlign w:val="center"/>
            <w:hideMark/>
          </w:tcPr>
          <w:p w:rsidR="00261C41" w:rsidRPr="001F3ACD" w:rsidRDefault="00261C41" w:rsidP="00261C41">
            <w:pPr>
              <w:spacing w:line="240" w:lineRule="auto"/>
              <w:rPr>
                <w:rFonts w:eastAsia="Times New Roman" w:cs="Arial"/>
                <w:sz w:val="20"/>
                <w:szCs w:val="20"/>
                <w:lang w:eastAsia="pt-BR"/>
              </w:rPr>
            </w:pPr>
            <w:r w:rsidRPr="001F3ACD">
              <w:rPr>
                <w:rFonts w:eastAsia="Times New Roman" w:cs="Arial"/>
                <w:sz w:val="20"/>
                <w:szCs w:val="20"/>
                <w:lang w:eastAsia="pt-BR"/>
              </w:rPr>
              <w:t>3</w:t>
            </w:r>
          </w:p>
        </w:tc>
        <w:tc>
          <w:tcPr>
            <w:tcW w:w="4346" w:type="pct"/>
            <w:gridSpan w:val="4"/>
            <w:shd w:val="clear" w:color="auto" w:fill="auto"/>
            <w:noWrap/>
            <w:vAlign w:val="center"/>
            <w:hideMark/>
          </w:tcPr>
          <w:p w:rsidR="00261C41" w:rsidRPr="001F3ACD" w:rsidRDefault="00261C41" w:rsidP="00261C41">
            <w:pPr>
              <w:spacing w:line="240" w:lineRule="auto"/>
              <w:rPr>
                <w:rFonts w:eastAsia="Times New Roman" w:cs="Arial"/>
                <w:sz w:val="20"/>
                <w:szCs w:val="20"/>
                <w:lang w:eastAsia="pt-BR"/>
              </w:rPr>
            </w:pPr>
            <w:r w:rsidRPr="001F3ACD">
              <w:rPr>
                <w:rFonts w:cs="Arial"/>
                <w:sz w:val="20"/>
                <w:szCs w:val="20"/>
              </w:rPr>
              <w:t>Drenagem Urbana e Manejo de Águas Pluviais.</w:t>
            </w:r>
          </w:p>
        </w:tc>
      </w:tr>
      <w:tr w:rsidR="00261C41" w:rsidRPr="001F3ACD" w:rsidTr="00261C41">
        <w:trPr>
          <w:cantSplit/>
          <w:trHeight w:val="20"/>
          <w:jc w:val="center"/>
        </w:trPr>
        <w:tc>
          <w:tcPr>
            <w:tcW w:w="558" w:type="pct"/>
            <w:shd w:val="clear" w:color="000000" w:fill="C0C0C0"/>
            <w:vAlign w:val="center"/>
            <w:hideMark/>
          </w:tcPr>
          <w:p w:rsidR="00261C41" w:rsidRPr="001F3ACD" w:rsidRDefault="00261C41" w:rsidP="00261C41">
            <w:pPr>
              <w:spacing w:line="240" w:lineRule="auto"/>
              <w:rPr>
                <w:rFonts w:eastAsia="Times New Roman" w:cs="Arial"/>
                <w:b/>
                <w:bCs/>
                <w:sz w:val="20"/>
                <w:szCs w:val="20"/>
                <w:lang w:eastAsia="pt-BR"/>
              </w:rPr>
            </w:pPr>
            <w:r w:rsidRPr="001F3ACD">
              <w:rPr>
                <w:rFonts w:eastAsia="Times New Roman" w:cs="Arial"/>
                <w:b/>
                <w:bCs/>
                <w:sz w:val="20"/>
                <w:szCs w:val="20"/>
                <w:lang w:eastAsia="pt-BR"/>
              </w:rPr>
              <w:t>OBJETIVO</w:t>
            </w:r>
          </w:p>
        </w:tc>
        <w:tc>
          <w:tcPr>
            <w:tcW w:w="96" w:type="pct"/>
            <w:shd w:val="clear" w:color="auto" w:fill="auto"/>
            <w:vAlign w:val="center"/>
            <w:hideMark/>
          </w:tcPr>
          <w:p w:rsidR="00261C41" w:rsidRPr="001F3ACD" w:rsidRDefault="00261C41" w:rsidP="00261C41">
            <w:pPr>
              <w:spacing w:line="240" w:lineRule="auto"/>
              <w:rPr>
                <w:rFonts w:eastAsia="Times New Roman" w:cs="Arial"/>
                <w:sz w:val="20"/>
                <w:szCs w:val="20"/>
                <w:lang w:eastAsia="pt-BR"/>
              </w:rPr>
            </w:pPr>
            <w:r w:rsidRPr="001F3ACD">
              <w:rPr>
                <w:rFonts w:eastAsia="Times New Roman" w:cs="Arial"/>
                <w:sz w:val="20"/>
                <w:szCs w:val="20"/>
                <w:lang w:eastAsia="pt-BR"/>
              </w:rPr>
              <w:t>1</w:t>
            </w:r>
          </w:p>
        </w:tc>
        <w:tc>
          <w:tcPr>
            <w:tcW w:w="4346" w:type="pct"/>
            <w:gridSpan w:val="4"/>
            <w:shd w:val="clear" w:color="auto" w:fill="auto"/>
            <w:vAlign w:val="center"/>
            <w:hideMark/>
          </w:tcPr>
          <w:p w:rsidR="00261C41" w:rsidRPr="001F3ACD" w:rsidRDefault="00261C41" w:rsidP="00261C41">
            <w:pPr>
              <w:spacing w:line="240" w:lineRule="auto"/>
              <w:rPr>
                <w:rFonts w:cs="Arial"/>
                <w:sz w:val="20"/>
                <w:szCs w:val="20"/>
              </w:rPr>
            </w:pPr>
            <w:r w:rsidRPr="001F3ACD">
              <w:rPr>
                <w:rFonts w:eastAsia="Times New Roman" w:cs="Arial"/>
                <w:sz w:val="20"/>
                <w:szCs w:val="20"/>
              </w:rPr>
              <w:t>Manter o município livre de inundações e diminuir a frequência de alagamentos causados por insuficiências e deficiências nas galerias e obras de drenagem</w:t>
            </w:r>
            <w:r w:rsidRPr="001F3ACD">
              <w:rPr>
                <w:rFonts w:cs="Arial"/>
                <w:sz w:val="20"/>
                <w:szCs w:val="20"/>
              </w:rPr>
              <w:t>.</w:t>
            </w:r>
          </w:p>
        </w:tc>
      </w:tr>
      <w:tr w:rsidR="00261C41" w:rsidRPr="001F3ACD" w:rsidTr="00261C41">
        <w:trPr>
          <w:cantSplit/>
          <w:trHeight w:val="20"/>
          <w:jc w:val="center"/>
        </w:trPr>
        <w:tc>
          <w:tcPr>
            <w:tcW w:w="558" w:type="pct"/>
            <w:shd w:val="clear" w:color="000000" w:fill="C0C0C0"/>
            <w:vAlign w:val="center"/>
          </w:tcPr>
          <w:p w:rsidR="00261C41" w:rsidRPr="001F3ACD" w:rsidRDefault="00261C41" w:rsidP="00261C41">
            <w:pPr>
              <w:spacing w:line="240" w:lineRule="auto"/>
              <w:rPr>
                <w:rFonts w:eastAsia="Times New Roman" w:cs="Arial"/>
                <w:b/>
                <w:bCs/>
                <w:sz w:val="20"/>
                <w:szCs w:val="20"/>
                <w:lang w:eastAsia="pt-BR"/>
              </w:rPr>
            </w:pPr>
            <w:r>
              <w:rPr>
                <w:rFonts w:eastAsia="Times New Roman" w:cs="Arial"/>
                <w:b/>
                <w:bCs/>
                <w:sz w:val="20"/>
                <w:szCs w:val="20"/>
                <w:lang w:eastAsia="pt-BR"/>
              </w:rPr>
              <w:t>INDICADORES</w:t>
            </w:r>
          </w:p>
        </w:tc>
        <w:tc>
          <w:tcPr>
            <w:tcW w:w="4442" w:type="pct"/>
            <w:gridSpan w:val="5"/>
            <w:shd w:val="clear" w:color="auto" w:fill="auto"/>
            <w:vAlign w:val="center"/>
          </w:tcPr>
          <w:p w:rsidR="00261C41" w:rsidRDefault="00261C41" w:rsidP="00261C41">
            <w:pPr>
              <w:spacing w:line="240" w:lineRule="auto"/>
              <w:ind w:left="157"/>
              <w:rPr>
                <w:rFonts w:eastAsia="Times New Roman" w:cs="Arial"/>
                <w:sz w:val="20"/>
                <w:szCs w:val="20"/>
              </w:rPr>
            </w:pPr>
            <w:r w:rsidRPr="00061F25">
              <w:rPr>
                <w:rFonts w:eastAsia="Times New Roman" w:cs="Arial"/>
                <w:sz w:val="20"/>
                <w:szCs w:val="20"/>
                <w:lang w:val="x-none"/>
              </w:rPr>
              <w:t>Índice de pontos atingidos por alagamentos por ano</w:t>
            </w:r>
            <w:r>
              <w:rPr>
                <w:rFonts w:eastAsia="Times New Roman" w:cs="Arial"/>
                <w:sz w:val="20"/>
                <w:szCs w:val="20"/>
              </w:rPr>
              <w:t>.</w:t>
            </w:r>
          </w:p>
          <w:p w:rsidR="00261C41" w:rsidRDefault="00261C41" w:rsidP="00261C41">
            <w:pPr>
              <w:spacing w:line="240" w:lineRule="auto"/>
              <w:ind w:left="157"/>
              <w:rPr>
                <w:rFonts w:eastAsia="Times New Roman" w:cs="Arial"/>
                <w:sz w:val="20"/>
                <w:szCs w:val="20"/>
              </w:rPr>
            </w:pPr>
            <w:r w:rsidRPr="00061F25">
              <w:rPr>
                <w:rFonts w:eastAsia="Times New Roman" w:cs="Arial"/>
                <w:sz w:val="20"/>
                <w:szCs w:val="20"/>
                <w:lang w:val="x-none"/>
              </w:rPr>
              <w:t>Taxa de Cobertura do Sistema de Macrodrenagem na Área Urbana do Município</w:t>
            </w:r>
            <w:r>
              <w:rPr>
                <w:rFonts w:eastAsia="Times New Roman" w:cs="Arial"/>
                <w:sz w:val="20"/>
                <w:szCs w:val="20"/>
              </w:rPr>
              <w:t>.</w:t>
            </w:r>
          </w:p>
          <w:p w:rsidR="00261C41" w:rsidRDefault="00261C41" w:rsidP="00261C41">
            <w:pPr>
              <w:spacing w:line="240" w:lineRule="auto"/>
              <w:ind w:left="157"/>
              <w:rPr>
                <w:rFonts w:eastAsia="Times New Roman" w:cs="Arial"/>
                <w:sz w:val="20"/>
                <w:szCs w:val="20"/>
              </w:rPr>
            </w:pPr>
            <w:r w:rsidRPr="00061F25">
              <w:rPr>
                <w:rFonts w:eastAsia="Times New Roman" w:cs="Arial"/>
                <w:sz w:val="20"/>
                <w:szCs w:val="20"/>
              </w:rPr>
              <w:t>Parcela de Domicílios em Situação de Risco de Inundação</w:t>
            </w:r>
            <w:r>
              <w:rPr>
                <w:rFonts w:eastAsia="Times New Roman" w:cs="Arial"/>
                <w:sz w:val="20"/>
                <w:szCs w:val="20"/>
              </w:rPr>
              <w:t>.</w:t>
            </w:r>
          </w:p>
          <w:p w:rsidR="00261C41" w:rsidRPr="00061F25" w:rsidRDefault="00261C41" w:rsidP="00261C41">
            <w:pPr>
              <w:spacing w:line="240" w:lineRule="auto"/>
              <w:ind w:left="157"/>
              <w:rPr>
                <w:rFonts w:eastAsia="Times New Roman" w:cs="Arial"/>
                <w:sz w:val="20"/>
                <w:szCs w:val="20"/>
              </w:rPr>
            </w:pPr>
            <w:r w:rsidRPr="00061F25">
              <w:rPr>
                <w:rFonts w:eastAsia="Times New Roman" w:cs="Arial"/>
                <w:sz w:val="20"/>
                <w:szCs w:val="20"/>
              </w:rPr>
              <w:t>Parcela da População Impactada por inundações</w:t>
            </w:r>
            <w:r>
              <w:rPr>
                <w:rFonts w:eastAsia="Times New Roman" w:cs="Arial"/>
                <w:sz w:val="20"/>
                <w:szCs w:val="20"/>
              </w:rPr>
              <w:t>.</w:t>
            </w:r>
          </w:p>
        </w:tc>
      </w:tr>
      <w:tr w:rsidR="00261C41" w:rsidRPr="001F3ACD" w:rsidTr="00261C41">
        <w:trPr>
          <w:cantSplit/>
          <w:trHeight w:val="20"/>
          <w:jc w:val="center"/>
        </w:trPr>
        <w:tc>
          <w:tcPr>
            <w:tcW w:w="5000" w:type="pct"/>
            <w:gridSpan w:val="6"/>
            <w:shd w:val="clear" w:color="000000" w:fill="C0C0C0"/>
            <w:noWrap/>
            <w:vAlign w:val="center"/>
            <w:hideMark/>
          </w:tcPr>
          <w:p w:rsidR="00261C41" w:rsidRPr="001F3ACD" w:rsidRDefault="00261C41" w:rsidP="00261C41">
            <w:pPr>
              <w:spacing w:line="240" w:lineRule="auto"/>
              <w:jc w:val="center"/>
              <w:rPr>
                <w:rFonts w:eastAsia="Times New Roman" w:cs="Arial"/>
                <w:b/>
                <w:bCs/>
                <w:sz w:val="20"/>
                <w:szCs w:val="20"/>
                <w:lang w:eastAsia="pt-BR"/>
              </w:rPr>
            </w:pPr>
            <w:r w:rsidRPr="001F3ACD">
              <w:rPr>
                <w:rFonts w:eastAsia="Times New Roman" w:cs="Arial"/>
                <w:b/>
                <w:bCs/>
                <w:sz w:val="20"/>
                <w:szCs w:val="20"/>
                <w:lang w:eastAsia="pt-BR"/>
              </w:rPr>
              <w:t>PRAZO DE ENTREGA DA META (ANOS)</w:t>
            </w:r>
          </w:p>
        </w:tc>
      </w:tr>
      <w:tr w:rsidR="00261C41" w:rsidRPr="001F3ACD" w:rsidTr="00261C41">
        <w:trPr>
          <w:cantSplit/>
          <w:trHeight w:val="20"/>
          <w:jc w:val="center"/>
        </w:trPr>
        <w:tc>
          <w:tcPr>
            <w:tcW w:w="1712" w:type="pct"/>
            <w:gridSpan w:val="3"/>
            <w:shd w:val="clear" w:color="000000" w:fill="C0C0C0"/>
            <w:noWrap/>
            <w:vAlign w:val="center"/>
            <w:hideMark/>
          </w:tcPr>
          <w:p w:rsidR="00261C41" w:rsidRPr="001F3ACD" w:rsidRDefault="00261C41" w:rsidP="00261C41">
            <w:pPr>
              <w:spacing w:line="240" w:lineRule="auto"/>
              <w:jc w:val="center"/>
              <w:rPr>
                <w:rFonts w:eastAsia="Times New Roman" w:cs="Arial"/>
                <w:b/>
                <w:bCs/>
                <w:sz w:val="20"/>
                <w:szCs w:val="20"/>
                <w:lang w:eastAsia="pt-BR"/>
              </w:rPr>
            </w:pPr>
            <w:r w:rsidRPr="001F3ACD">
              <w:rPr>
                <w:rFonts w:eastAsia="Times New Roman" w:cs="Arial"/>
                <w:b/>
                <w:bCs/>
                <w:sz w:val="20"/>
                <w:szCs w:val="20"/>
                <w:lang w:eastAsia="pt-BR"/>
              </w:rPr>
              <w:t>IMEDIATO (0 a 3)</w:t>
            </w:r>
          </w:p>
        </w:tc>
        <w:tc>
          <w:tcPr>
            <w:tcW w:w="1779" w:type="pct"/>
            <w:shd w:val="clear" w:color="000000" w:fill="C0C0C0"/>
            <w:noWrap/>
            <w:vAlign w:val="center"/>
            <w:hideMark/>
          </w:tcPr>
          <w:p w:rsidR="00261C41" w:rsidRPr="001F3ACD" w:rsidRDefault="00261C41" w:rsidP="00261C41">
            <w:pPr>
              <w:spacing w:line="240" w:lineRule="auto"/>
              <w:jc w:val="center"/>
              <w:rPr>
                <w:rFonts w:eastAsia="Times New Roman" w:cs="Arial"/>
                <w:b/>
                <w:bCs/>
                <w:sz w:val="20"/>
                <w:szCs w:val="20"/>
                <w:lang w:eastAsia="pt-BR"/>
              </w:rPr>
            </w:pPr>
            <w:r w:rsidRPr="001F3ACD">
              <w:rPr>
                <w:rFonts w:eastAsia="Times New Roman" w:cs="Arial"/>
                <w:b/>
                <w:bCs/>
                <w:sz w:val="20"/>
                <w:szCs w:val="20"/>
                <w:lang w:eastAsia="pt-BR"/>
              </w:rPr>
              <w:t>CURTO (4 a 8)</w:t>
            </w:r>
          </w:p>
        </w:tc>
        <w:tc>
          <w:tcPr>
            <w:tcW w:w="673" w:type="pct"/>
            <w:shd w:val="clear" w:color="000000" w:fill="C0C0C0"/>
            <w:noWrap/>
            <w:vAlign w:val="center"/>
            <w:hideMark/>
          </w:tcPr>
          <w:p w:rsidR="00261C41" w:rsidRPr="001F3ACD" w:rsidRDefault="00261C41" w:rsidP="00261C41">
            <w:pPr>
              <w:spacing w:line="240" w:lineRule="auto"/>
              <w:jc w:val="center"/>
              <w:rPr>
                <w:rFonts w:eastAsia="Times New Roman" w:cs="Arial"/>
                <w:b/>
                <w:bCs/>
                <w:sz w:val="20"/>
                <w:szCs w:val="20"/>
                <w:lang w:eastAsia="pt-BR"/>
              </w:rPr>
            </w:pPr>
            <w:r w:rsidRPr="001F3ACD">
              <w:rPr>
                <w:rFonts w:eastAsia="Times New Roman" w:cs="Arial"/>
                <w:b/>
                <w:bCs/>
                <w:sz w:val="20"/>
                <w:szCs w:val="20"/>
                <w:lang w:eastAsia="pt-BR"/>
              </w:rPr>
              <w:t>MÉDIO (9 a 12)</w:t>
            </w:r>
          </w:p>
        </w:tc>
        <w:tc>
          <w:tcPr>
            <w:tcW w:w="836" w:type="pct"/>
            <w:shd w:val="clear" w:color="000000" w:fill="C0C0C0"/>
            <w:noWrap/>
            <w:vAlign w:val="center"/>
            <w:hideMark/>
          </w:tcPr>
          <w:p w:rsidR="00261C41" w:rsidRPr="001F3ACD" w:rsidRDefault="00261C41" w:rsidP="00261C41">
            <w:pPr>
              <w:spacing w:line="240" w:lineRule="auto"/>
              <w:jc w:val="center"/>
              <w:rPr>
                <w:rFonts w:eastAsia="Times New Roman" w:cs="Arial"/>
                <w:b/>
                <w:bCs/>
                <w:sz w:val="20"/>
                <w:szCs w:val="20"/>
                <w:lang w:eastAsia="pt-BR"/>
              </w:rPr>
            </w:pPr>
            <w:r w:rsidRPr="001F3ACD">
              <w:rPr>
                <w:rFonts w:eastAsia="Times New Roman" w:cs="Arial"/>
                <w:b/>
                <w:bCs/>
                <w:sz w:val="20"/>
                <w:szCs w:val="20"/>
                <w:lang w:eastAsia="pt-BR"/>
              </w:rPr>
              <w:t>LONGO (13 a 20)</w:t>
            </w:r>
          </w:p>
        </w:tc>
      </w:tr>
      <w:tr w:rsidR="00261C41" w:rsidRPr="001F3ACD" w:rsidTr="00261C41">
        <w:trPr>
          <w:cantSplit/>
          <w:trHeight w:val="20"/>
          <w:jc w:val="center"/>
        </w:trPr>
        <w:tc>
          <w:tcPr>
            <w:tcW w:w="1712" w:type="pct"/>
            <w:gridSpan w:val="3"/>
            <w:shd w:val="clear" w:color="auto" w:fill="auto"/>
            <w:noWrap/>
            <w:vAlign w:val="center"/>
          </w:tcPr>
          <w:p w:rsidR="00261C41" w:rsidRPr="001F3ACD" w:rsidRDefault="00261C41" w:rsidP="00261C41">
            <w:pPr>
              <w:spacing w:before="20" w:after="20" w:line="240" w:lineRule="auto"/>
              <w:jc w:val="both"/>
              <w:rPr>
                <w:rFonts w:eastAsia="Times New Roman" w:cs="Arial"/>
                <w:sz w:val="20"/>
                <w:szCs w:val="20"/>
              </w:rPr>
            </w:pPr>
            <w:r w:rsidRPr="001F3ACD">
              <w:rPr>
                <w:rFonts w:eastAsia="Times New Roman" w:cs="Arial"/>
                <w:sz w:val="20"/>
                <w:szCs w:val="20"/>
              </w:rPr>
              <w:t xml:space="preserve">1.2 Possuir um plano de limpeza sistemática das calhas, poços de visita (PVs) e bocas de lobo do município de </w:t>
            </w:r>
            <w:r>
              <w:rPr>
                <w:rFonts w:eastAsia="Times New Roman" w:cs="Arial"/>
                <w:sz w:val="20"/>
                <w:szCs w:val="20"/>
              </w:rPr>
              <w:t>Córrego Novo</w:t>
            </w:r>
            <w:r w:rsidRPr="001F3ACD">
              <w:rPr>
                <w:rFonts w:eastAsia="Times New Roman" w:cs="Arial"/>
                <w:sz w:val="20"/>
                <w:szCs w:val="20"/>
              </w:rPr>
              <w:t xml:space="preserve">. </w:t>
            </w:r>
          </w:p>
          <w:p w:rsidR="00261C41" w:rsidRPr="001F3ACD" w:rsidRDefault="00261C41" w:rsidP="00261C41">
            <w:pPr>
              <w:spacing w:before="20" w:after="20" w:line="240" w:lineRule="auto"/>
              <w:jc w:val="both"/>
              <w:rPr>
                <w:rFonts w:eastAsia="Times New Roman" w:cs="Arial"/>
                <w:sz w:val="20"/>
                <w:szCs w:val="20"/>
              </w:rPr>
            </w:pPr>
            <w:r w:rsidRPr="001F3ACD">
              <w:rPr>
                <w:rFonts w:eastAsia="Times New Roman" w:cs="Arial"/>
                <w:sz w:val="20"/>
                <w:szCs w:val="20"/>
              </w:rPr>
              <w:t>1.4 Dobrar (em relação a 2017) o número de eventos anuais do município voltados à conscientização acerca do correto manejo dos resíduos sólidos.</w:t>
            </w:r>
          </w:p>
        </w:tc>
        <w:tc>
          <w:tcPr>
            <w:tcW w:w="1779" w:type="pct"/>
            <w:shd w:val="clear" w:color="auto" w:fill="auto"/>
            <w:noWrap/>
            <w:vAlign w:val="center"/>
            <w:hideMark/>
          </w:tcPr>
          <w:p w:rsidR="00261C41" w:rsidRPr="001F3ACD" w:rsidRDefault="00261C41" w:rsidP="00261C41">
            <w:pPr>
              <w:spacing w:before="20" w:after="20" w:line="240" w:lineRule="auto"/>
              <w:jc w:val="both"/>
              <w:rPr>
                <w:rFonts w:eastAsia="Times New Roman" w:cs="Arial"/>
                <w:sz w:val="20"/>
                <w:szCs w:val="20"/>
              </w:rPr>
            </w:pPr>
            <w:r w:rsidRPr="001F3ACD">
              <w:rPr>
                <w:rFonts w:eastAsia="Times New Roman" w:cs="Arial"/>
                <w:sz w:val="20"/>
                <w:szCs w:val="20"/>
              </w:rPr>
              <w:t xml:space="preserve">1.1 Ter garantido o mapeamento e cadastramento (banco de dados) dos sistemas de drenagem urbana do município e de suas áreas críticas. </w:t>
            </w:r>
          </w:p>
          <w:p w:rsidR="00261C41" w:rsidRPr="001F3ACD" w:rsidRDefault="00261C41" w:rsidP="00261C41">
            <w:pPr>
              <w:spacing w:before="20" w:after="20" w:line="240" w:lineRule="auto"/>
              <w:jc w:val="both"/>
              <w:rPr>
                <w:rFonts w:eastAsia="Times New Roman" w:cs="Arial"/>
                <w:sz w:val="20"/>
                <w:szCs w:val="20"/>
              </w:rPr>
            </w:pPr>
            <w:r w:rsidRPr="001F3ACD">
              <w:rPr>
                <w:rFonts w:eastAsia="Times New Roman" w:cs="Arial"/>
                <w:sz w:val="20"/>
                <w:szCs w:val="20"/>
              </w:rPr>
              <w:t>1.3 Redução de 75% na quantidade de pontos de alagamentos no município e redução de 70% na quantidade de pontos de inundações.</w:t>
            </w:r>
          </w:p>
          <w:p w:rsidR="00261C41" w:rsidRPr="001F3ACD" w:rsidRDefault="00261C41" w:rsidP="00261C41">
            <w:pPr>
              <w:spacing w:before="20" w:after="20" w:line="240" w:lineRule="auto"/>
              <w:jc w:val="both"/>
              <w:rPr>
                <w:rFonts w:eastAsia="Times New Roman" w:cs="Arial"/>
                <w:sz w:val="20"/>
                <w:szCs w:val="20"/>
              </w:rPr>
            </w:pPr>
            <w:r w:rsidRPr="001F3ACD">
              <w:rPr>
                <w:rFonts w:eastAsia="Times New Roman" w:cs="Arial"/>
                <w:sz w:val="20"/>
                <w:szCs w:val="20"/>
              </w:rPr>
              <w:t xml:space="preserve">1.5 </w:t>
            </w:r>
            <w:r w:rsidRPr="001F3ACD">
              <w:rPr>
                <w:rFonts w:eastAsia="Times New Roman" w:cs="Arial"/>
                <w:bCs/>
                <w:sz w:val="20"/>
                <w:szCs w:val="20"/>
                <w:lang w:eastAsia="pt-BR"/>
              </w:rPr>
              <w:t>Reduzir em 70% a quantidade de resíduos sólidos depositados nas margens dos rios do município.</w:t>
            </w:r>
          </w:p>
        </w:tc>
        <w:tc>
          <w:tcPr>
            <w:tcW w:w="673" w:type="pct"/>
            <w:shd w:val="clear" w:color="auto" w:fill="auto"/>
            <w:noWrap/>
            <w:vAlign w:val="center"/>
          </w:tcPr>
          <w:p w:rsidR="00261C41" w:rsidRPr="001F3ACD" w:rsidRDefault="00261C41" w:rsidP="00261C41">
            <w:pPr>
              <w:spacing w:before="20" w:after="20" w:line="240" w:lineRule="auto"/>
              <w:jc w:val="both"/>
              <w:rPr>
                <w:rFonts w:cs="Arial"/>
                <w:bCs/>
                <w:sz w:val="20"/>
                <w:szCs w:val="20"/>
              </w:rPr>
            </w:pPr>
          </w:p>
        </w:tc>
        <w:tc>
          <w:tcPr>
            <w:tcW w:w="836" w:type="pct"/>
            <w:shd w:val="clear" w:color="auto" w:fill="auto"/>
            <w:noWrap/>
            <w:vAlign w:val="center"/>
          </w:tcPr>
          <w:p w:rsidR="00261C41" w:rsidRPr="001F3ACD" w:rsidRDefault="00261C41" w:rsidP="00261C41">
            <w:pPr>
              <w:spacing w:before="20" w:after="20" w:line="240" w:lineRule="auto"/>
              <w:jc w:val="both"/>
              <w:rPr>
                <w:rFonts w:cs="Arial"/>
                <w:bCs/>
                <w:sz w:val="20"/>
                <w:szCs w:val="20"/>
              </w:rPr>
            </w:pPr>
            <w:r w:rsidRPr="001F3ACD">
              <w:rPr>
                <w:rFonts w:eastAsia="Times New Roman" w:cs="Arial"/>
                <w:sz w:val="20"/>
                <w:szCs w:val="20"/>
              </w:rPr>
              <w:t>1.6 Regulamentar sobre o percentual de impermeabilização dos lotes urbanos e garantir a fiscalização.</w:t>
            </w:r>
          </w:p>
        </w:tc>
      </w:tr>
    </w:tbl>
    <w:p w:rsidR="00261C41" w:rsidRPr="00680B12" w:rsidRDefault="00261C41" w:rsidP="00261C41">
      <w:pPr>
        <w:spacing w:line="240" w:lineRule="auto"/>
        <w:contextualSpacing/>
        <w:rPr>
          <w:rFonts w:cs="Arial"/>
          <w:sz w:val="10"/>
          <w:szCs w:val="10"/>
          <w:highlight w:val="yellow"/>
        </w:rPr>
      </w:pPr>
    </w:p>
    <w:tbl>
      <w:tblPr>
        <w:tblW w:w="14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1"/>
        <w:gridCol w:w="8565"/>
        <w:gridCol w:w="1831"/>
        <w:gridCol w:w="1549"/>
        <w:gridCol w:w="1731"/>
      </w:tblGrid>
      <w:tr w:rsidR="00261C41" w:rsidRPr="001157F4" w:rsidTr="00261C41">
        <w:trPr>
          <w:cantSplit/>
          <w:trHeight w:val="983"/>
          <w:tblHeader/>
          <w:jc w:val="center"/>
        </w:trPr>
        <w:tc>
          <w:tcPr>
            <w:tcW w:w="338" w:type="pct"/>
            <w:shd w:val="clear" w:color="000000" w:fill="C0C0C0"/>
            <w:vAlign w:val="center"/>
          </w:tcPr>
          <w:p w:rsidR="00261C41" w:rsidRPr="001157F4" w:rsidRDefault="00261C41" w:rsidP="00261C41">
            <w:pPr>
              <w:spacing w:line="240" w:lineRule="auto"/>
              <w:jc w:val="center"/>
              <w:rPr>
                <w:rFonts w:eastAsia="Times New Roman" w:cs="Arial"/>
                <w:b/>
                <w:bCs/>
                <w:sz w:val="20"/>
                <w:szCs w:val="20"/>
                <w:lang w:eastAsia="pt-BR"/>
              </w:rPr>
            </w:pPr>
            <w:r w:rsidRPr="001157F4">
              <w:rPr>
                <w:rFonts w:eastAsia="Times New Roman" w:cs="Arial"/>
                <w:b/>
                <w:bCs/>
                <w:sz w:val="20"/>
                <w:szCs w:val="20"/>
                <w:lang w:eastAsia="pt-BR"/>
              </w:rPr>
              <w:t>CÓDIGO</w:t>
            </w:r>
          </w:p>
          <w:p w:rsidR="00261C41" w:rsidRPr="001157F4" w:rsidRDefault="00261C41" w:rsidP="00261C41">
            <w:pPr>
              <w:spacing w:line="240" w:lineRule="auto"/>
              <w:jc w:val="center"/>
              <w:rPr>
                <w:rFonts w:eastAsia="Times New Roman" w:cs="Arial"/>
                <w:b/>
                <w:bCs/>
                <w:sz w:val="20"/>
                <w:szCs w:val="20"/>
                <w:lang w:eastAsia="pt-BR"/>
              </w:rPr>
            </w:pPr>
            <w:r w:rsidRPr="001157F4">
              <w:rPr>
                <w:rFonts w:eastAsia="Times New Roman" w:cs="Arial"/>
                <w:b/>
                <w:bCs/>
                <w:sz w:val="20"/>
                <w:szCs w:val="20"/>
                <w:lang w:eastAsia="pt-BR"/>
              </w:rPr>
              <w:t>(s/o/m/a)*</w:t>
            </w:r>
          </w:p>
        </w:tc>
        <w:tc>
          <w:tcPr>
            <w:tcW w:w="2914" w:type="pct"/>
            <w:shd w:val="clear" w:color="000000" w:fill="C0C0C0"/>
            <w:vAlign w:val="center"/>
          </w:tcPr>
          <w:p w:rsidR="00261C41" w:rsidRPr="001157F4" w:rsidRDefault="00261C41" w:rsidP="00261C41">
            <w:pPr>
              <w:spacing w:line="240" w:lineRule="auto"/>
              <w:jc w:val="center"/>
              <w:rPr>
                <w:rFonts w:eastAsia="Times New Roman" w:cs="Arial"/>
                <w:b/>
                <w:bCs/>
                <w:sz w:val="20"/>
                <w:szCs w:val="20"/>
                <w:lang w:eastAsia="pt-BR"/>
              </w:rPr>
            </w:pPr>
            <w:r w:rsidRPr="001157F4">
              <w:rPr>
                <w:rFonts w:eastAsia="Times New Roman" w:cs="Arial"/>
                <w:b/>
                <w:bCs/>
                <w:sz w:val="20"/>
                <w:szCs w:val="20"/>
                <w:lang w:eastAsia="pt-BR"/>
              </w:rPr>
              <w:t>DESCRIÇÃO</w:t>
            </w:r>
          </w:p>
        </w:tc>
        <w:tc>
          <w:tcPr>
            <w:tcW w:w="626" w:type="pct"/>
            <w:shd w:val="clear" w:color="000000" w:fill="C0C0C0"/>
          </w:tcPr>
          <w:p w:rsidR="00261C41" w:rsidRPr="001157F4" w:rsidRDefault="00261C41" w:rsidP="00261C41">
            <w:pPr>
              <w:spacing w:line="240" w:lineRule="auto"/>
              <w:ind w:firstLine="72"/>
              <w:jc w:val="center"/>
              <w:rPr>
                <w:rFonts w:eastAsia="Times New Roman" w:cs="Arial"/>
                <w:b/>
                <w:bCs/>
                <w:sz w:val="20"/>
                <w:szCs w:val="20"/>
                <w:lang w:eastAsia="pt-BR"/>
              </w:rPr>
            </w:pPr>
            <w:r w:rsidRPr="001157F4">
              <w:rPr>
                <w:rFonts w:eastAsia="Times New Roman" w:cs="Arial"/>
                <w:b/>
                <w:bCs/>
                <w:sz w:val="20"/>
                <w:szCs w:val="20"/>
                <w:lang w:eastAsia="pt-BR"/>
              </w:rPr>
              <w:t>Período de desenvolvimento da ação</w:t>
            </w:r>
          </w:p>
          <w:p w:rsidR="00261C41" w:rsidRPr="001157F4" w:rsidRDefault="00261C41" w:rsidP="00261C41">
            <w:pPr>
              <w:spacing w:before="20" w:after="20" w:line="240" w:lineRule="auto"/>
              <w:contextualSpacing/>
              <w:jc w:val="center"/>
              <w:rPr>
                <w:rFonts w:eastAsia="Times New Roman" w:cs="Arial"/>
                <w:b/>
                <w:bCs/>
                <w:sz w:val="20"/>
                <w:szCs w:val="20"/>
                <w:lang w:eastAsia="pt-BR"/>
              </w:rPr>
            </w:pPr>
            <w:r w:rsidRPr="001157F4">
              <w:rPr>
                <w:rFonts w:eastAsia="Times New Roman" w:cs="Arial"/>
                <w:b/>
                <w:bCs/>
                <w:sz w:val="20"/>
                <w:szCs w:val="20"/>
                <w:lang w:eastAsia="pt-BR"/>
              </w:rPr>
              <w:t>(ano)</w:t>
            </w:r>
          </w:p>
        </w:tc>
        <w:tc>
          <w:tcPr>
            <w:tcW w:w="530" w:type="pct"/>
            <w:shd w:val="clear" w:color="000000" w:fill="C0C0C0"/>
          </w:tcPr>
          <w:p w:rsidR="00261C41" w:rsidRPr="001157F4" w:rsidRDefault="00261C41" w:rsidP="00261C41">
            <w:pPr>
              <w:spacing w:line="240" w:lineRule="auto"/>
              <w:ind w:left="64" w:firstLine="8"/>
              <w:jc w:val="center"/>
              <w:rPr>
                <w:rFonts w:eastAsia="Times New Roman" w:cs="Arial"/>
                <w:b/>
                <w:bCs/>
                <w:sz w:val="20"/>
                <w:szCs w:val="20"/>
                <w:lang w:eastAsia="pt-BR"/>
              </w:rPr>
            </w:pPr>
            <w:r w:rsidRPr="001157F4">
              <w:rPr>
                <w:rFonts w:eastAsia="Times New Roman" w:cs="Arial"/>
                <w:b/>
                <w:bCs/>
                <w:sz w:val="20"/>
                <w:szCs w:val="20"/>
                <w:lang w:eastAsia="pt-BR"/>
              </w:rPr>
              <w:t>Custo total na moeda de 2017</w:t>
            </w:r>
          </w:p>
          <w:p w:rsidR="00261C41" w:rsidRPr="001157F4" w:rsidRDefault="00261C41" w:rsidP="00261C41">
            <w:pPr>
              <w:spacing w:before="20" w:after="20" w:line="240" w:lineRule="auto"/>
              <w:contextualSpacing/>
              <w:jc w:val="center"/>
              <w:rPr>
                <w:rFonts w:eastAsia="Times New Roman" w:cs="Arial"/>
                <w:b/>
                <w:bCs/>
                <w:sz w:val="20"/>
                <w:szCs w:val="20"/>
                <w:lang w:eastAsia="pt-BR"/>
              </w:rPr>
            </w:pPr>
            <w:r w:rsidRPr="001157F4">
              <w:rPr>
                <w:rFonts w:eastAsia="Times New Roman" w:cs="Arial"/>
                <w:b/>
                <w:bCs/>
                <w:sz w:val="20"/>
                <w:szCs w:val="20"/>
                <w:lang w:eastAsia="pt-BR"/>
              </w:rPr>
              <w:t>(R$)</w:t>
            </w:r>
          </w:p>
        </w:tc>
        <w:tc>
          <w:tcPr>
            <w:tcW w:w="592" w:type="pct"/>
            <w:shd w:val="clear" w:color="000000" w:fill="C0C0C0"/>
          </w:tcPr>
          <w:p w:rsidR="00261C41" w:rsidRPr="001157F4" w:rsidRDefault="00261C41" w:rsidP="00261C41">
            <w:pPr>
              <w:spacing w:line="240" w:lineRule="auto"/>
              <w:ind w:left="64" w:firstLine="8"/>
              <w:jc w:val="center"/>
              <w:rPr>
                <w:rFonts w:eastAsia="Times New Roman" w:cs="Arial"/>
                <w:b/>
                <w:bCs/>
                <w:sz w:val="20"/>
                <w:szCs w:val="20"/>
                <w:lang w:eastAsia="pt-BR"/>
              </w:rPr>
            </w:pPr>
            <w:r w:rsidRPr="001157F4">
              <w:rPr>
                <w:rFonts w:eastAsia="Times New Roman" w:cs="Arial"/>
                <w:b/>
                <w:bCs/>
                <w:sz w:val="20"/>
                <w:szCs w:val="20"/>
                <w:lang w:eastAsia="pt-BR"/>
              </w:rPr>
              <w:t>Responsável pela ação</w:t>
            </w:r>
          </w:p>
          <w:p w:rsidR="00261C41" w:rsidRPr="001157F4" w:rsidRDefault="00261C41" w:rsidP="00261C41">
            <w:pPr>
              <w:spacing w:line="240" w:lineRule="auto"/>
              <w:rPr>
                <w:rFonts w:eastAsia="Times New Roman" w:cs="Arial"/>
                <w:b/>
                <w:bCs/>
                <w:sz w:val="20"/>
                <w:szCs w:val="20"/>
                <w:lang w:eastAsia="pt-BR"/>
              </w:rPr>
            </w:pPr>
          </w:p>
        </w:tc>
      </w:tr>
      <w:tr w:rsidR="00261C41" w:rsidRPr="001157F4" w:rsidTr="00261C41">
        <w:trPr>
          <w:cantSplit/>
          <w:trHeight w:val="20"/>
          <w:jc w:val="center"/>
        </w:trPr>
        <w:tc>
          <w:tcPr>
            <w:tcW w:w="338" w:type="pct"/>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3.1.1.01</w:t>
            </w:r>
          </w:p>
        </w:tc>
        <w:tc>
          <w:tcPr>
            <w:tcW w:w="2914" w:type="pct"/>
            <w:shd w:val="clear" w:color="auto" w:fill="auto"/>
            <w:vAlign w:val="center"/>
          </w:tcPr>
          <w:p w:rsidR="00261C41" w:rsidRPr="001157F4" w:rsidRDefault="00261C41" w:rsidP="00810C89">
            <w:pPr>
              <w:pStyle w:val="Estilo1"/>
              <w:numPr>
                <w:ilvl w:val="0"/>
                <w:numId w:val="116"/>
              </w:numPr>
              <w:tabs>
                <w:tab w:val="clear" w:pos="891"/>
              </w:tabs>
              <w:spacing w:before="0" w:after="0"/>
              <w:ind w:left="777" w:hanging="425"/>
              <w:contextualSpacing w:val="0"/>
            </w:pPr>
            <w:r w:rsidRPr="001157F4">
              <w:t xml:space="preserve">Realizar cadastro da rede de drenagem urbana no município e disponibilizar o cadastro no Sistema de Informação de Saneamento Básico, dando prioridade ao cadastramento das zonas críticas; quando necessário, realizar o cadastro topobatimétrico. </w:t>
            </w:r>
          </w:p>
        </w:tc>
        <w:tc>
          <w:tcPr>
            <w:tcW w:w="626"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1º-8º</w:t>
            </w:r>
          </w:p>
        </w:tc>
        <w:tc>
          <w:tcPr>
            <w:tcW w:w="530" w:type="pct"/>
            <w:shd w:val="clear" w:color="auto" w:fill="auto"/>
            <w:vAlign w:val="center"/>
          </w:tcPr>
          <w:p w:rsidR="00261C41" w:rsidRPr="001157F4" w:rsidRDefault="00261C41" w:rsidP="00261C41">
            <w:pPr>
              <w:jc w:val="right"/>
              <w:rPr>
                <w:rFonts w:cs="Arial"/>
                <w:color w:val="000000"/>
                <w:sz w:val="20"/>
                <w:szCs w:val="20"/>
              </w:rPr>
            </w:pPr>
            <w:r w:rsidRPr="001157F4">
              <w:rPr>
                <w:rFonts w:cs="Arial"/>
                <w:color w:val="000000"/>
                <w:sz w:val="20"/>
                <w:szCs w:val="20"/>
              </w:rPr>
              <w:t>6.678,00</w:t>
            </w:r>
          </w:p>
        </w:tc>
        <w:tc>
          <w:tcPr>
            <w:tcW w:w="592" w:type="pct"/>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cantSplit/>
          <w:trHeight w:val="20"/>
          <w:jc w:val="center"/>
        </w:trPr>
        <w:tc>
          <w:tcPr>
            <w:tcW w:w="338" w:type="pct"/>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3.1.2.02</w:t>
            </w:r>
          </w:p>
        </w:tc>
        <w:tc>
          <w:tcPr>
            <w:tcW w:w="2914" w:type="pct"/>
            <w:shd w:val="clear" w:color="auto" w:fill="auto"/>
            <w:vAlign w:val="center"/>
          </w:tcPr>
          <w:p w:rsidR="00261C41" w:rsidRPr="001157F4" w:rsidRDefault="00261C41" w:rsidP="00261C41">
            <w:pPr>
              <w:pStyle w:val="Estilo1"/>
              <w:tabs>
                <w:tab w:val="clear" w:pos="891"/>
                <w:tab w:val="left" w:pos="45"/>
                <w:tab w:val="left" w:pos="781"/>
              </w:tabs>
              <w:spacing w:before="0" w:after="0"/>
              <w:ind w:left="794" w:hanging="425"/>
              <w:contextualSpacing w:val="0"/>
            </w:pPr>
            <w:r w:rsidRPr="001157F4">
              <w:t>Elaborar um Plano de Manutenção sistemática das redes de micro e macrodrenagem do município, incluindo procedimentos de averiguação quanto ao estado de manutenção dos trechos ou setores, que serão previamente identificados e numerados. Incluir no plano de manutenção um calendário anual com a ordem dos setores a serem averiguados. Manter uma periodicidade mínima de doze meses para a averiguação de cada setor predeterminado. Aumentar a frequência de averiguação nos setores ou trechos críticos.</w:t>
            </w:r>
          </w:p>
        </w:tc>
        <w:tc>
          <w:tcPr>
            <w:tcW w:w="626"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2º-8º</w:t>
            </w:r>
          </w:p>
        </w:tc>
        <w:tc>
          <w:tcPr>
            <w:tcW w:w="530" w:type="pct"/>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p w:rsidR="00261C41" w:rsidRPr="001157F4" w:rsidRDefault="00261C41" w:rsidP="00261C41">
            <w:pPr>
              <w:spacing w:line="240" w:lineRule="auto"/>
              <w:jc w:val="right"/>
              <w:rPr>
                <w:rFonts w:eastAsia="Times New Roman" w:cs="Arial"/>
                <w:sz w:val="20"/>
                <w:szCs w:val="20"/>
                <w:lang w:eastAsia="pt-BR"/>
              </w:rPr>
            </w:pPr>
          </w:p>
        </w:tc>
        <w:tc>
          <w:tcPr>
            <w:tcW w:w="592"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cantSplit/>
          <w:trHeight w:val="20"/>
          <w:jc w:val="center"/>
        </w:trPr>
        <w:tc>
          <w:tcPr>
            <w:tcW w:w="338" w:type="pct"/>
            <w:shd w:val="clear" w:color="auto" w:fill="auto"/>
            <w:vAlign w:val="center"/>
          </w:tcPr>
          <w:p w:rsidR="00261C41" w:rsidRPr="001157F4" w:rsidRDefault="00261C41" w:rsidP="00261C41">
            <w:pPr>
              <w:spacing w:line="240" w:lineRule="auto"/>
              <w:jc w:val="center"/>
              <w:rPr>
                <w:rFonts w:cs="Arial"/>
                <w:sz w:val="20"/>
                <w:szCs w:val="20"/>
                <w:lang w:eastAsia="pt-BR"/>
              </w:rPr>
            </w:pPr>
            <w:r w:rsidRPr="001157F4">
              <w:rPr>
                <w:rFonts w:eastAsia="Times New Roman" w:cs="Arial"/>
                <w:sz w:val="20"/>
                <w:szCs w:val="20"/>
                <w:lang w:eastAsia="pt-BR"/>
              </w:rPr>
              <w:lastRenderedPageBreak/>
              <w:t>3.1.2.03</w:t>
            </w:r>
          </w:p>
        </w:tc>
        <w:tc>
          <w:tcPr>
            <w:tcW w:w="2914" w:type="pct"/>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 xml:space="preserve"> Colocar o Plano de Manutenção em prática, empreendendo a averiguação do estado de manutenção (limpeza de calhas, poços de visita e bocas de lobo) de todos os setores do município, obedecendo à ordem de numeração dos setores, que pode ser modificada, em casos extraordinários. Manter registro das ações realizadas através de relatórios de manutenção contendo descrições e fotografias indicando a localização do trecho, os problemas encontrados e as soluções dispendidas.</w:t>
            </w:r>
          </w:p>
        </w:tc>
        <w:tc>
          <w:tcPr>
            <w:tcW w:w="626"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3º-20º</w:t>
            </w:r>
          </w:p>
        </w:tc>
        <w:tc>
          <w:tcPr>
            <w:tcW w:w="530" w:type="pct"/>
            <w:vAlign w:val="center"/>
          </w:tcPr>
          <w:p w:rsidR="00261C41" w:rsidRPr="001157F4" w:rsidRDefault="00261C41" w:rsidP="00261C41">
            <w:pPr>
              <w:jc w:val="right"/>
              <w:rPr>
                <w:rFonts w:cs="Arial"/>
                <w:color w:val="000000"/>
                <w:sz w:val="20"/>
                <w:szCs w:val="20"/>
              </w:rPr>
            </w:pPr>
            <w:r>
              <w:rPr>
                <w:rFonts w:cs="Arial"/>
                <w:color w:val="000000"/>
                <w:sz w:val="20"/>
                <w:szCs w:val="20"/>
              </w:rPr>
              <w:t>0,00</w:t>
            </w:r>
          </w:p>
        </w:tc>
        <w:tc>
          <w:tcPr>
            <w:tcW w:w="592"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cantSplit/>
          <w:trHeight w:val="397"/>
          <w:jc w:val="center"/>
        </w:trPr>
        <w:tc>
          <w:tcPr>
            <w:tcW w:w="338" w:type="pct"/>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3.1.2.04</w:t>
            </w:r>
          </w:p>
        </w:tc>
        <w:tc>
          <w:tcPr>
            <w:tcW w:w="2914" w:type="pct"/>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 xml:space="preserve"> Criar mecanismo de fiscalização da manutenção do SDU.</w:t>
            </w:r>
          </w:p>
        </w:tc>
        <w:tc>
          <w:tcPr>
            <w:tcW w:w="626"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2º-3º</w:t>
            </w:r>
          </w:p>
        </w:tc>
        <w:tc>
          <w:tcPr>
            <w:tcW w:w="530" w:type="pct"/>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592"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cantSplit/>
          <w:trHeight w:val="397"/>
          <w:jc w:val="center"/>
        </w:trPr>
        <w:tc>
          <w:tcPr>
            <w:tcW w:w="338" w:type="pct"/>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3.1.2.05</w:t>
            </w:r>
          </w:p>
        </w:tc>
        <w:tc>
          <w:tcPr>
            <w:tcW w:w="2914" w:type="pct"/>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 xml:space="preserve"> Fiscalizar a manutenção do SDU segundo procedimento criado.</w:t>
            </w:r>
          </w:p>
        </w:tc>
        <w:tc>
          <w:tcPr>
            <w:tcW w:w="626"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3º-20º</w:t>
            </w:r>
          </w:p>
        </w:tc>
        <w:tc>
          <w:tcPr>
            <w:tcW w:w="530" w:type="pct"/>
            <w:vAlign w:val="center"/>
          </w:tcPr>
          <w:p w:rsidR="00261C41" w:rsidRPr="001157F4" w:rsidRDefault="00261C41" w:rsidP="00261C41">
            <w:pPr>
              <w:jc w:val="right"/>
              <w:rPr>
                <w:rFonts w:cs="Arial"/>
                <w:color w:val="000000"/>
                <w:sz w:val="20"/>
                <w:szCs w:val="20"/>
              </w:rPr>
            </w:pPr>
            <w:r w:rsidRPr="001157F4">
              <w:rPr>
                <w:rFonts w:cs="Arial"/>
                <w:color w:val="000000"/>
                <w:sz w:val="20"/>
                <w:szCs w:val="20"/>
              </w:rPr>
              <w:t>151.725,60</w:t>
            </w:r>
          </w:p>
        </w:tc>
        <w:tc>
          <w:tcPr>
            <w:tcW w:w="592"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cantSplit/>
          <w:trHeight w:val="397"/>
          <w:jc w:val="center"/>
        </w:trPr>
        <w:tc>
          <w:tcPr>
            <w:tcW w:w="338" w:type="pct"/>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3.1.3.06</w:t>
            </w:r>
          </w:p>
        </w:tc>
        <w:tc>
          <w:tcPr>
            <w:tcW w:w="2914" w:type="pct"/>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 xml:space="preserve"> Elaborar projetos e construir reforço de galerias nos pontos com problemas de subdimensionamento da rede já identificados no diagnóstico, levando-se em consideração as prioridades apontadas no documento e utilizando, sempre que possível, técnicas menos agressivas para o meio ambiente.</w:t>
            </w:r>
          </w:p>
        </w:tc>
        <w:tc>
          <w:tcPr>
            <w:tcW w:w="626"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3º-8º</w:t>
            </w:r>
          </w:p>
        </w:tc>
        <w:tc>
          <w:tcPr>
            <w:tcW w:w="530" w:type="pct"/>
            <w:vAlign w:val="center"/>
          </w:tcPr>
          <w:p w:rsidR="00261C41" w:rsidRPr="001157F4" w:rsidRDefault="00261C41" w:rsidP="00261C41">
            <w:pPr>
              <w:jc w:val="right"/>
              <w:rPr>
                <w:rFonts w:cs="Arial"/>
                <w:color w:val="000000"/>
                <w:sz w:val="20"/>
                <w:szCs w:val="20"/>
              </w:rPr>
            </w:pPr>
            <w:r w:rsidRPr="001157F4">
              <w:rPr>
                <w:rFonts w:cs="Arial"/>
                <w:color w:val="000000"/>
                <w:sz w:val="20"/>
                <w:szCs w:val="20"/>
              </w:rPr>
              <w:t>132.986,28</w:t>
            </w:r>
          </w:p>
        </w:tc>
        <w:tc>
          <w:tcPr>
            <w:tcW w:w="592"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cantSplit/>
          <w:trHeight w:val="397"/>
          <w:jc w:val="center"/>
        </w:trPr>
        <w:tc>
          <w:tcPr>
            <w:tcW w:w="338" w:type="pct"/>
            <w:shd w:val="clear" w:color="auto" w:fill="auto"/>
            <w:vAlign w:val="center"/>
          </w:tcPr>
          <w:p w:rsidR="00261C41" w:rsidRPr="001157F4" w:rsidRDefault="00261C41" w:rsidP="00261C41">
            <w:pPr>
              <w:spacing w:line="240" w:lineRule="auto"/>
              <w:jc w:val="center"/>
              <w:rPr>
                <w:rFonts w:cs="Arial"/>
                <w:sz w:val="20"/>
                <w:szCs w:val="20"/>
                <w:lang w:eastAsia="pt-BR"/>
              </w:rPr>
            </w:pPr>
            <w:r w:rsidRPr="001157F4">
              <w:rPr>
                <w:rFonts w:eastAsia="Times New Roman" w:cs="Arial"/>
                <w:sz w:val="20"/>
                <w:szCs w:val="20"/>
                <w:lang w:eastAsia="pt-BR"/>
              </w:rPr>
              <w:t>3.1.3.07</w:t>
            </w:r>
          </w:p>
        </w:tc>
        <w:tc>
          <w:tcPr>
            <w:tcW w:w="2914" w:type="pct"/>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Expandir rede de drenagem de forma completa (galeria, sarjeta, boca de lobo e dissipador de energia) para os pontos em que esses dispositivos são insuficientes, conforme detalhado no diagnóstico, e também para outros pontos que forem diagnosticados futuramente após o cadastro.</w:t>
            </w:r>
          </w:p>
        </w:tc>
        <w:tc>
          <w:tcPr>
            <w:tcW w:w="626"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3º-12º</w:t>
            </w:r>
          </w:p>
        </w:tc>
        <w:tc>
          <w:tcPr>
            <w:tcW w:w="530" w:type="pct"/>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2.000.000,00</w:t>
            </w:r>
          </w:p>
        </w:tc>
        <w:tc>
          <w:tcPr>
            <w:tcW w:w="592"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cantSplit/>
          <w:trHeight w:val="397"/>
          <w:jc w:val="center"/>
        </w:trPr>
        <w:tc>
          <w:tcPr>
            <w:tcW w:w="338" w:type="pct"/>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3.1.3.08</w:t>
            </w:r>
          </w:p>
        </w:tc>
        <w:tc>
          <w:tcPr>
            <w:tcW w:w="2914" w:type="pct"/>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 xml:space="preserve"> Expandir/adequar rede de macrodrenagem de forma completa (galerias/canais, pontes, fundos de vale) para os pontos em que esses dispositivos são insuficientes, conforme detalhado no diagnóstico, e também para outros pontos que forem diagnosticados futuramente após o cadastro.</w:t>
            </w:r>
          </w:p>
        </w:tc>
        <w:tc>
          <w:tcPr>
            <w:tcW w:w="626"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3º-20º</w:t>
            </w:r>
          </w:p>
        </w:tc>
        <w:tc>
          <w:tcPr>
            <w:tcW w:w="530" w:type="pct"/>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4.000.000,00</w:t>
            </w:r>
          </w:p>
        </w:tc>
        <w:tc>
          <w:tcPr>
            <w:tcW w:w="592"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cantSplit/>
          <w:trHeight w:val="397"/>
          <w:jc w:val="center"/>
        </w:trPr>
        <w:tc>
          <w:tcPr>
            <w:tcW w:w="338" w:type="pct"/>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3.1.3.09</w:t>
            </w:r>
          </w:p>
        </w:tc>
        <w:tc>
          <w:tcPr>
            <w:tcW w:w="2914" w:type="pct"/>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Realizar as ações de controle de enchentes nas localidades rurais do município.</w:t>
            </w:r>
          </w:p>
        </w:tc>
        <w:tc>
          <w:tcPr>
            <w:tcW w:w="626"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3º-20º</w:t>
            </w:r>
          </w:p>
        </w:tc>
        <w:tc>
          <w:tcPr>
            <w:tcW w:w="530" w:type="pct"/>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592"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cantSplit/>
          <w:trHeight w:val="397"/>
          <w:jc w:val="center"/>
        </w:trPr>
        <w:tc>
          <w:tcPr>
            <w:tcW w:w="338" w:type="pct"/>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3.1.3.10</w:t>
            </w:r>
          </w:p>
        </w:tc>
        <w:tc>
          <w:tcPr>
            <w:tcW w:w="2914" w:type="pct"/>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Elaborar e implementar programa de construção de caixas secas na zona rural.</w:t>
            </w:r>
          </w:p>
        </w:tc>
        <w:tc>
          <w:tcPr>
            <w:tcW w:w="626"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3º-20º</w:t>
            </w:r>
          </w:p>
        </w:tc>
        <w:tc>
          <w:tcPr>
            <w:tcW w:w="530" w:type="pct"/>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11.004,80</w:t>
            </w:r>
          </w:p>
        </w:tc>
        <w:tc>
          <w:tcPr>
            <w:tcW w:w="592"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cantSplit/>
          <w:trHeight w:val="397"/>
          <w:jc w:val="center"/>
        </w:trPr>
        <w:tc>
          <w:tcPr>
            <w:tcW w:w="338" w:type="pct"/>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3.1.3.11</w:t>
            </w:r>
          </w:p>
        </w:tc>
        <w:tc>
          <w:tcPr>
            <w:tcW w:w="2914" w:type="pct"/>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Elaborar e implementar programa de captação da água da chuva.</w:t>
            </w:r>
          </w:p>
        </w:tc>
        <w:tc>
          <w:tcPr>
            <w:tcW w:w="626"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3º-20º</w:t>
            </w:r>
          </w:p>
        </w:tc>
        <w:tc>
          <w:tcPr>
            <w:tcW w:w="530" w:type="pct"/>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633,20</w:t>
            </w:r>
          </w:p>
        </w:tc>
        <w:tc>
          <w:tcPr>
            <w:tcW w:w="592"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cantSplit/>
          <w:trHeight w:val="397"/>
          <w:jc w:val="center"/>
        </w:trPr>
        <w:tc>
          <w:tcPr>
            <w:tcW w:w="338" w:type="pct"/>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3.1.3.12</w:t>
            </w:r>
          </w:p>
        </w:tc>
        <w:tc>
          <w:tcPr>
            <w:tcW w:w="2914" w:type="pct"/>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Pavimentar as vias urbanas, com projeto de microdrenagem incluso.</w:t>
            </w:r>
          </w:p>
        </w:tc>
        <w:tc>
          <w:tcPr>
            <w:tcW w:w="626"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3º-20º</w:t>
            </w:r>
          </w:p>
        </w:tc>
        <w:tc>
          <w:tcPr>
            <w:tcW w:w="530" w:type="pct"/>
            <w:vAlign w:val="center"/>
          </w:tcPr>
          <w:p w:rsidR="00261C41" w:rsidRPr="001157F4" w:rsidRDefault="00261C41" w:rsidP="00261C41">
            <w:pPr>
              <w:jc w:val="right"/>
              <w:rPr>
                <w:rFonts w:cs="Arial"/>
                <w:color w:val="000000"/>
                <w:sz w:val="20"/>
                <w:szCs w:val="20"/>
              </w:rPr>
            </w:pPr>
            <w:r w:rsidRPr="001157F4">
              <w:rPr>
                <w:rFonts w:cs="Arial"/>
                <w:color w:val="000000"/>
                <w:sz w:val="20"/>
                <w:szCs w:val="20"/>
              </w:rPr>
              <w:t>531.702,00</w:t>
            </w:r>
          </w:p>
        </w:tc>
        <w:tc>
          <w:tcPr>
            <w:tcW w:w="592"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cantSplit/>
          <w:trHeight w:val="397"/>
          <w:jc w:val="center"/>
        </w:trPr>
        <w:tc>
          <w:tcPr>
            <w:tcW w:w="338" w:type="pct"/>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lastRenderedPageBreak/>
              <w:t>3.1.4.13</w:t>
            </w:r>
          </w:p>
        </w:tc>
        <w:tc>
          <w:tcPr>
            <w:tcW w:w="2914" w:type="pct"/>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Planejar calendário de eventos municipais acerca do correto manejo dos resíduos sólidos.</w:t>
            </w:r>
          </w:p>
        </w:tc>
        <w:tc>
          <w:tcPr>
            <w:tcW w:w="626"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3º-8º</w:t>
            </w:r>
          </w:p>
        </w:tc>
        <w:tc>
          <w:tcPr>
            <w:tcW w:w="530" w:type="pct"/>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665,09</w:t>
            </w:r>
          </w:p>
        </w:tc>
        <w:tc>
          <w:tcPr>
            <w:tcW w:w="592"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cantSplit/>
          <w:trHeight w:val="397"/>
          <w:jc w:val="center"/>
        </w:trPr>
        <w:tc>
          <w:tcPr>
            <w:tcW w:w="338" w:type="pct"/>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3.1.4.14</w:t>
            </w:r>
          </w:p>
        </w:tc>
        <w:tc>
          <w:tcPr>
            <w:tcW w:w="2914" w:type="pct"/>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Realizar eventos sobre o correto manejo dos resíduos sólidos.</w:t>
            </w:r>
          </w:p>
        </w:tc>
        <w:tc>
          <w:tcPr>
            <w:tcW w:w="626"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1º-20º</w:t>
            </w:r>
          </w:p>
        </w:tc>
        <w:tc>
          <w:tcPr>
            <w:tcW w:w="530" w:type="pct"/>
            <w:shd w:val="clear" w:color="auto" w:fill="auto"/>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592" w:type="pct"/>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cantSplit/>
          <w:trHeight w:val="397"/>
          <w:jc w:val="center"/>
        </w:trPr>
        <w:tc>
          <w:tcPr>
            <w:tcW w:w="338" w:type="pct"/>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3.1.5.15</w:t>
            </w:r>
          </w:p>
        </w:tc>
        <w:tc>
          <w:tcPr>
            <w:tcW w:w="2914" w:type="pct"/>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 xml:space="preserve">Fiscalizar o lançamento de resíduos sólidos urbanos nas adjacências das APPs dos cursos hídricos. </w:t>
            </w:r>
          </w:p>
        </w:tc>
        <w:tc>
          <w:tcPr>
            <w:tcW w:w="626"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3º-20º</w:t>
            </w:r>
          </w:p>
        </w:tc>
        <w:tc>
          <w:tcPr>
            <w:tcW w:w="530" w:type="pct"/>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168.584,00</w:t>
            </w:r>
          </w:p>
        </w:tc>
        <w:tc>
          <w:tcPr>
            <w:tcW w:w="592"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cantSplit/>
          <w:trHeight w:val="397"/>
          <w:jc w:val="center"/>
        </w:trPr>
        <w:tc>
          <w:tcPr>
            <w:tcW w:w="338" w:type="pct"/>
            <w:shd w:val="clear" w:color="auto" w:fill="auto"/>
            <w:vAlign w:val="center"/>
          </w:tcPr>
          <w:p w:rsidR="00261C41" w:rsidRPr="001157F4" w:rsidRDefault="00261C41" w:rsidP="00261C41">
            <w:pPr>
              <w:spacing w:line="240" w:lineRule="auto"/>
              <w:ind w:right="50"/>
              <w:jc w:val="center"/>
              <w:rPr>
                <w:rFonts w:eastAsia="Times New Roman" w:cs="Arial"/>
                <w:sz w:val="20"/>
                <w:szCs w:val="20"/>
                <w:lang w:eastAsia="pt-BR"/>
              </w:rPr>
            </w:pPr>
            <w:r w:rsidRPr="001157F4">
              <w:rPr>
                <w:rFonts w:eastAsia="Times New Roman" w:cs="Arial"/>
                <w:sz w:val="20"/>
                <w:szCs w:val="20"/>
                <w:lang w:eastAsia="pt-BR"/>
              </w:rPr>
              <w:t>3.1.6.16</w:t>
            </w:r>
          </w:p>
        </w:tc>
        <w:tc>
          <w:tcPr>
            <w:tcW w:w="2914" w:type="pct"/>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Definir/acatar um índice mínimo de permeabilidade do solo nos lotes urbanos, regulamentando essa medida por força de lei e fiscalizando seu efetivo cumprimento.</w:t>
            </w:r>
          </w:p>
        </w:tc>
        <w:tc>
          <w:tcPr>
            <w:tcW w:w="626"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3º-20º</w:t>
            </w:r>
          </w:p>
        </w:tc>
        <w:tc>
          <w:tcPr>
            <w:tcW w:w="530" w:type="pct"/>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28.014,76</w:t>
            </w:r>
          </w:p>
        </w:tc>
        <w:tc>
          <w:tcPr>
            <w:tcW w:w="592" w:type="pct"/>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bl>
    <w:p w:rsidR="00261C41" w:rsidRDefault="00261C41" w:rsidP="00261C41">
      <w:pPr>
        <w:pStyle w:val="Fonte"/>
      </w:pPr>
      <w:r w:rsidRPr="00680B12">
        <w:t>*(s/o/m/a) = nº do setor / nº do objetivo / nº da meta / nº da ação.</w:t>
      </w:r>
    </w:p>
    <w:p w:rsidR="00810C89" w:rsidRDefault="00810C89" w:rsidP="00261C41">
      <w:pPr>
        <w:pStyle w:val="Fonte"/>
      </w:pPr>
      <w:r>
        <w:br w:type="page"/>
      </w:r>
    </w:p>
    <w:p w:rsidR="00261C41" w:rsidRPr="000D64AC" w:rsidRDefault="00261C41" w:rsidP="00261C41">
      <w:pPr>
        <w:pStyle w:val="Legenda"/>
      </w:pPr>
      <w:bookmarkStart w:id="894" w:name="_Toc491704045"/>
      <w:bookmarkStart w:id="895" w:name="_Toc498609257"/>
      <w:bookmarkStart w:id="896" w:name="_Toc505788347"/>
      <w:bookmarkStart w:id="897" w:name="_Toc509935850"/>
      <w:r w:rsidRPr="000D64AC">
        <w:lastRenderedPageBreak/>
        <w:t xml:space="preserve">Quadro </w:t>
      </w:r>
      <w:r w:rsidR="000A1C78">
        <w:fldChar w:fldCharType="begin"/>
      </w:r>
      <w:r w:rsidR="000A1C78">
        <w:instrText xml:space="preserve"> SEQ Quadro \* ARABIC </w:instrText>
      </w:r>
      <w:r w:rsidR="000A1C78">
        <w:fldChar w:fldCharType="separate"/>
      </w:r>
      <w:r w:rsidR="001B481B">
        <w:rPr>
          <w:noProof/>
        </w:rPr>
        <w:t>73</w:t>
      </w:r>
      <w:r w:rsidR="000A1C78">
        <w:rPr>
          <w:noProof/>
        </w:rPr>
        <w:fldChar w:fldCharType="end"/>
      </w:r>
      <w:r w:rsidRPr="000D64AC">
        <w:t xml:space="preserve"> - </w:t>
      </w:r>
      <w:r w:rsidRPr="00B04B98">
        <w:t>Programas e ações propostos para o setor de drenagem urbana e manejo de águas pluviais</w:t>
      </w:r>
      <w:r w:rsidRPr="000D64AC">
        <w:t xml:space="preserve"> - Objetivo 2</w:t>
      </w:r>
      <w:bookmarkEnd w:id="894"/>
      <w:bookmarkEnd w:id="895"/>
      <w:bookmarkEnd w:id="896"/>
      <w:bookmarkEnd w:id="897"/>
    </w:p>
    <w:p w:rsidR="00261C41" w:rsidRPr="00C37994" w:rsidRDefault="00261C41" w:rsidP="00261C41">
      <w:pPr>
        <w:rPr>
          <w:rFonts w:cs="Arial"/>
          <w:sz w:val="2"/>
          <w:szCs w:val="2"/>
          <w:highlight w:val="yellow"/>
        </w:rPr>
      </w:pPr>
    </w:p>
    <w:tbl>
      <w:tblPr>
        <w:tblW w:w="14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03"/>
        <w:gridCol w:w="711"/>
        <w:gridCol w:w="1557"/>
        <w:gridCol w:w="6239"/>
        <w:gridCol w:w="2126"/>
        <w:gridCol w:w="2606"/>
      </w:tblGrid>
      <w:tr w:rsidR="00261C41" w:rsidRPr="0047138B" w:rsidTr="00261C41">
        <w:trPr>
          <w:trHeight w:val="20"/>
          <w:jc w:val="center"/>
        </w:trPr>
        <w:tc>
          <w:tcPr>
            <w:tcW w:w="510" w:type="pct"/>
            <w:shd w:val="clear" w:color="000000" w:fill="C0C0C0"/>
            <w:noWrap/>
            <w:vAlign w:val="center"/>
            <w:hideMark/>
          </w:tcPr>
          <w:p w:rsidR="00261C41" w:rsidRPr="0047138B" w:rsidRDefault="00261C41" w:rsidP="00261C41">
            <w:pPr>
              <w:spacing w:line="240" w:lineRule="auto"/>
              <w:rPr>
                <w:rFonts w:eastAsia="Times New Roman" w:cs="Arial"/>
                <w:b/>
                <w:bCs/>
                <w:sz w:val="20"/>
                <w:szCs w:val="20"/>
                <w:lang w:eastAsia="pt-BR"/>
              </w:rPr>
            </w:pPr>
            <w:r w:rsidRPr="0047138B">
              <w:rPr>
                <w:rFonts w:eastAsia="Times New Roman" w:cs="Arial"/>
                <w:b/>
                <w:bCs/>
                <w:sz w:val="20"/>
                <w:szCs w:val="20"/>
                <w:lang w:eastAsia="pt-BR"/>
              </w:rPr>
              <w:t>SETOR</w:t>
            </w:r>
          </w:p>
        </w:tc>
        <w:tc>
          <w:tcPr>
            <w:tcW w:w="241" w:type="pct"/>
            <w:shd w:val="clear" w:color="auto" w:fill="auto"/>
            <w:noWrap/>
            <w:vAlign w:val="center"/>
            <w:hideMark/>
          </w:tcPr>
          <w:p w:rsidR="00261C41" w:rsidRPr="0047138B" w:rsidRDefault="00261C41" w:rsidP="00261C41">
            <w:pPr>
              <w:spacing w:line="240" w:lineRule="auto"/>
              <w:rPr>
                <w:rFonts w:eastAsia="Times New Roman" w:cs="Arial"/>
                <w:sz w:val="20"/>
                <w:szCs w:val="20"/>
                <w:lang w:eastAsia="pt-BR"/>
              </w:rPr>
            </w:pPr>
            <w:r w:rsidRPr="0047138B">
              <w:rPr>
                <w:rFonts w:eastAsia="Times New Roman" w:cs="Arial"/>
                <w:sz w:val="20"/>
                <w:szCs w:val="20"/>
                <w:lang w:eastAsia="pt-BR"/>
              </w:rPr>
              <w:t>3</w:t>
            </w:r>
          </w:p>
        </w:tc>
        <w:tc>
          <w:tcPr>
            <w:tcW w:w="4249" w:type="pct"/>
            <w:gridSpan w:val="4"/>
            <w:shd w:val="clear" w:color="auto" w:fill="auto"/>
            <w:noWrap/>
            <w:vAlign w:val="center"/>
            <w:hideMark/>
          </w:tcPr>
          <w:p w:rsidR="00261C41" w:rsidRPr="0047138B" w:rsidRDefault="00261C41" w:rsidP="00261C41">
            <w:pPr>
              <w:spacing w:line="240" w:lineRule="auto"/>
              <w:rPr>
                <w:rFonts w:cs="Arial"/>
                <w:sz w:val="20"/>
                <w:szCs w:val="20"/>
              </w:rPr>
            </w:pPr>
            <w:r w:rsidRPr="0047138B">
              <w:rPr>
                <w:rFonts w:cs="Arial"/>
                <w:sz w:val="20"/>
                <w:szCs w:val="20"/>
              </w:rPr>
              <w:t>Drenagem Urbana e Manejo  de Águas Pluviais.</w:t>
            </w:r>
          </w:p>
        </w:tc>
      </w:tr>
      <w:tr w:rsidR="00261C41" w:rsidRPr="0047138B" w:rsidTr="00261C41">
        <w:trPr>
          <w:trHeight w:val="20"/>
          <w:jc w:val="center"/>
        </w:trPr>
        <w:tc>
          <w:tcPr>
            <w:tcW w:w="510" w:type="pct"/>
            <w:shd w:val="clear" w:color="000000" w:fill="C0C0C0"/>
            <w:vAlign w:val="center"/>
            <w:hideMark/>
          </w:tcPr>
          <w:p w:rsidR="00261C41" w:rsidRPr="0047138B" w:rsidRDefault="00261C41" w:rsidP="00261C41">
            <w:pPr>
              <w:spacing w:line="240" w:lineRule="auto"/>
              <w:rPr>
                <w:rFonts w:eastAsia="Times New Roman" w:cs="Arial"/>
                <w:b/>
                <w:bCs/>
                <w:sz w:val="20"/>
                <w:szCs w:val="20"/>
                <w:lang w:eastAsia="pt-BR"/>
              </w:rPr>
            </w:pPr>
            <w:r w:rsidRPr="0047138B">
              <w:rPr>
                <w:rFonts w:eastAsia="Times New Roman" w:cs="Arial"/>
                <w:b/>
                <w:bCs/>
                <w:sz w:val="20"/>
                <w:szCs w:val="20"/>
                <w:lang w:eastAsia="pt-BR"/>
              </w:rPr>
              <w:t>OBJETIVO</w:t>
            </w:r>
          </w:p>
        </w:tc>
        <w:tc>
          <w:tcPr>
            <w:tcW w:w="241" w:type="pct"/>
            <w:shd w:val="clear" w:color="auto" w:fill="auto"/>
            <w:vAlign w:val="center"/>
            <w:hideMark/>
          </w:tcPr>
          <w:p w:rsidR="00261C41" w:rsidRPr="0047138B" w:rsidRDefault="00261C41" w:rsidP="00261C41">
            <w:pPr>
              <w:spacing w:line="240" w:lineRule="auto"/>
              <w:rPr>
                <w:rFonts w:eastAsia="Times New Roman" w:cs="Arial"/>
                <w:sz w:val="20"/>
                <w:szCs w:val="20"/>
                <w:lang w:eastAsia="pt-BR"/>
              </w:rPr>
            </w:pPr>
            <w:r w:rsidRPr="0047138B">
              <w:rPr>
                <w:rFonts w:eastAsia="Times New Roman" w:cs="Arial"/>
                <w:sz w:val="20"/>
                <w:szCs w:val="20"/>
                <w:lang w:eastAsia="pt-BR"/>
              </w:rPr>
              <w:t>2</w:t>
            </w:r>
          </w:p>
        </w:tc>
        <w:tc>
          <w:tcPr>
            <w:tcW w:w="4249" w:type="pct"/>
            <w:gridSpan w:val="4"/>
            <w:shd w:val="clear" w:color="auto" w:fill="auto"/>
            <w:vAlign w:val="center"/>
            <w:hideMark/>
          </w:tcPr>
          <w:p w:rsidR="00261C41" w:rsidRPr="0047138B" w:rsidRDefault="00261C41" w:rsidP="00261C41">
            <w:pPr>
              <w:spacing w:line="240" w:lineRule="auto"/>
              <w:rPr>
                <w:rFonts w:cs="Arial"/>
                <w:sz w:val="20"/>
                <w:szCs w:val="20"/>
              </w:rPr>
            </w:pPr>
            <w:r w:rsidRPr="0047138B">
              <w:rPr>
                <w:rFonts w:cs="Arial"/>
                <w:sz w:val="20"/>
                <w:szCs w:val="20"/>
              </w:rPr>
              <w:t>Desestimular a ocupação de áreas suscetíveis a processos erosivos e promover a desocupação em áreas de risco.</w:t>
            </w:r>
          </w:p>
        </w:tc>
      </w:tr>
      <w:tr w:rsidR="00261C41" w:rsidRPr="0047138B" w:rsidTr="00261C41">
        <w:trPr>
          <w:trHeight w:val="20"/>
          <w:jc w:val="center"/>
        </w:trPr>
        <w:tc>
          <w:tcPr>
            <w:tcW w:w="510" w:type="pct"/>
            <w:shd w:val="clear" w:color="000000" w:fill="C0C0C0"/>
            <w:vAlign w:val="center"/>
          </w:tcPr>
          <w:p w:rsidR="00261C41" w:rsidRPr="0047138B" w:rsidRDefault="00261C41" w:rsidP="00261C41">
            <w:pPr>
              <w:spacing w:line="240" w:lineRule="auto"/>
              <w:rPr>
                <w:rFonts w:eastAsia="Times New Roman" w:cs="Arial"/>
                <w:b/>
                <w:bCs/>
                <w:sz w:val="20"/>
                <w:szCs w:val="20"/>
                <w:lang w:eastAsia="pt-BR"/>
              </w:rPr>
            </w:pPr>
            <w:r>
              <w:rPr>
                <w:rFonts w:eastAsia="Times New Roman" w:cs="Arial"/>
                <w:b/>
                <w:bCs/>
                <w:sz w:val="20"/>
                <w:szCs w:val="20"/>
                <w:lang w:eastAsia="pt-BR"/>
              </w:rPr>
              <w:t>INDICADOR</w:t>
            </w:r>
          </w:p>
        </w:tc>
        <w:tc>
          <w:tcPr>
            <w:tcW w:w="4490" w:type="pct"/>
            <w:gridSpan w:val="5"/>
            <w:shd w:val="clear" w:color="auto" w:fill="auto"/>
            <w:vAlign w:val="center"/>
          </w:tcPr>
          <w:p w:rsidR="00261C41" w:rsidRPr="0047138B" w:rsidRDefault="00261C41" w:rsidP="00261C41">
            <w:pPr>
              <w:spacing w:line="240" w:lineRule="auto"/>
              <w:rPr>
                <w:rFonts w:cs="Arial"/>
                <w:sz w:val="20"/>
                <w:szCs w:val="20"/>
              </w:rPr>
            </w:pPr>
            <w:r>
              <w:rPr>
                <w:rFonts w:cs="Arial"/>
                <w:sz w:val="20"/>
                <w:szCs w:val="20"/>
              </w:rPr>
              <w:t xml:space="preserve"> </w:t>
            </w:r>
            <w:r w:rsidRPr="00EB4B12">
              <w:rPr>
                <w:rFonts w:cs="Arial"/>
                <w:sz w:val="20"/>
                <w:szCs w:val="20"/>
              </w:rPr>
              <w:t>Parcela da População Impactada por Escorregamento</w:t>
            </w:r>
            <w:r>
              <w:rPr>
                <w:rFonts w:cs="Arial"/>
                <w:sz w:val="20"/>
                <w:szCs w:val="20"/>
              </w:rPr>
              <w:t>.</w:t>
            </w:r>
          </w:p>
        </w:tc>
      </w:tr>
      <w:tr w:rsidR="00261C41" w:rsidRPr="0047138B" w:rsidTr="00261C41">
        <w:trPr>
          <w:trHeight w:val="20"/>
          <w:jc w:val="center"/>
        </w:trPr>
        <w:tc>
          <w:tcPr>
            <w:tcW w:w="5000" w:type="pct"/>
            <w:gridSpan w:val="6"/>
            <w:shd w:val="clear" w:color="000000" w:fill="C0C0C0"/>
            <w:noWrap/>
            <w:vAlign w:val="center"/>
            <w:hideMark/>
          </w:tcPr>
          <w:p w:rsidR="00261C41" w:rsidRPr="0047138B" w:rsidRDefault="00261C41" w:rsidP="00261C41">
            <w:pPr>
              <w:spacing w:line="240" w:lineRule="auto"/>
              <w:jc w:val="center"/>
              <w:rPr>
                <w:rFonts w:eastAsia="Times New Roman" w:cs="Arial"/>
                <w:b/>
                <w:bCs/>
                <w:sz w:val="20"/>
                <w:szCs w:val="20"/>
                <w:lang w:eastAsia="pt-BR"/>
              </w:rPr>
            </w:pPr>
            <w:r w:rsidRPr="0047138B">
              <w:rPr>
                <w:rFonts w:eastAsia="Times New Roman" w:cs="Arial"/>
                <w:b/>
                <w:bCs/>
                <w:sz w:val="20"/>
                <w:szCs w:val="20"/>
                <w:lang w:eastAsia="pt-BR"/>
              </w:rPr>
              <w:t>PRAZO DE ENTREGA DA META (ANOS)</w:t>
            </w:r>
          </w:p>
        </w:tc>
      </w:tr>
      <w:tr w:rsidR="00261C41" w:rsidRPr="0047138B" w:rsidTr="00261C41">
        <w:trPr>
          <w:trHeight w:val="20"/>
          <w:jc w:val="center"/>
        </w:trPr>
        <w:tc>
          <w:tcPr>
            <w:tcW w:w="1279" w:type="pct"/>
            <w:gridSpan w:val="3"/>
            <w:shd w:val="clear" w:color="000000" w:fill="C0C0C0"/>
            <w:noWrap/>
            <w:vAlign w:val="center"/>
            <w:hideMark/>
          </w:tcPr>
          <w:p w:rsidR="00261C41" w:rsidRPr="0047138B" w:rsidRDefault="00261C41" w:rsidP="00261C41">
            <w:pPr>
              <w:spacing w:line="240" w:lineRule="auto"/>
              <w:jc w:val="center"/>
              <w:rPr>
                <w:rFonts w:eastAsia="Times New Roman" w:cs="Arial"/>
                <w:b/>
                <w:bCs/>
                <w:sz w:val="20"/>
                <w:szCs w:val="20"/>
                <w:lang w:eastAsia="pt-BR"/>
              </w:rPr>
            </w:pPr>
            <w:r w:rsidRPr="0047138B">
              <w:rPr>
                <w:rFonts w:eastAsia="Times New Roman" w:cs="Arial"/>
                <w:b/>
                <w:bCs/>
                <w:sz w:val="20"/>
                <w:szCs w:val="20"/>
                <w:lang w:eastAsia="pt-BR"/>
              </w:rPr>
              <w:t>IMEDIATO (0 a 3)</w:t>
            </w:r>
          </w:p>
        </w:tc>
        <w:tc>
          <w:tcPr>
            <w:tcW w:w="2116" w:type="pct"/>
            <w:shd w:val="clear" w:color="000000" w:fill="C0C0C0"/>
            <w:noWrap/>
            <w:vAlign w:val="center"/>
            <w:hideMark/>
          </w:tcPr>
          <w:p w:rsidR="00261C41" w:rsidRPr="0047138B" w:rsidRDefault="00261C41" w:rsidP="00261C41">
            <w:pPr>
              <w:spacing w:line="240" w:lineRule="auto"/>
              <w:jc w:val="center"/>
              <w:rPr>
                <w:rFonts w:eastAsia="Times New Roman" w:cs="Arial"/>
                <w:b/>
                <w:bCs/>
                <w:sz w:val="20"/>
                <w:szCs w:val="20"/>
                <w:lang w:eastAsia="pt-BR"/>
              </w:rPr>
            </w:pPr>
            <w:r w:rsidRPr="0047138B">
              <w:rPr>
                <w:rFonts w:eastAsia="Times New Roman" w:cs="Arial"/>
                <w:b/>
                <w:bCs/>
                <w:sz w:val="20"/>
                <w:szCs w:val="20"/>
                <w:lang w:eastAsia="pt-BR"/>
              </w:rPr>
              <w:t>CURTO (4 a 8)</w:t>
            </w:r>
          </w:p>
        </w:tc>
        <w:tc>
          <w:tcPr>
            <w:tcW w:w="721" w:type="pct"/>
            <w:shd w:val="clear" w:color="000000" w:fill="C0C0C0"/>
            <w:noWrap/>
            <w:vAlign w:val="center"/>
            <w:hideMark/>
          </w:tcPr>
          <w:p w:rsidR="00261C41" w:rsidRPr="0047138B" w:rsidRDefault="00261C41" w:rsidP="00261C41">
            <w:pPr>
              <w:spacing w:line="240" w:lineRule="auto"/>
              <w:jc w:val="center"/>
              <w:rPr>
                <w:rFonts w:eastAsia="Times New Roman" w:cs="Arial"/>
                <w:b/>
                <w:bCs/>
                <w:sz w:val="20"/>
                <w:szCs w:val="20"/>
                <w:lang w:eastAsia="pt-BR"/>
              </w:rPr>
            </w:pPr>
            <w:r w:rsidRPr="0047138B">
              <w:rPr>
                <w:rFonts w:eastAsia="Times New Roman" w:cs="Arial"/>
                <w:b/>
                <w:bCs/>
                <w:sz w:val="20"/>
                <w:szCs w:val="20"/>
                <w:lang w:eastAsia="pt-BR"/>
              </w:rPr>
              <w:t>MÉDIO (9 a 12)</w:t>
            </w:r>
          </w:p>
        </w:tc>
        <w:tc>
          <w:tcPr>
            <w:tcW w:w="884" w:type="pct"/>
            <w:shd w:val="clear" w:color="000000" w:fill="C0C0C0"/>
            <w:noWrap/>
            <w:vAlign w:val="center"/>
            <w:hideMark/>
          </w:tcPr>
          <w:p w:rsidR="00261C41" w:rsidRPr="0047138B" w:rsidRDefault="00261C41" w:rsidP="00261C41">
            <w:pPr>
              <w:spacing w:line="240" w:lineRule="auto"/>
              <w:jc w:val="center"/>
              <w:rPr>
                <w:rFonts w:eastAsia="Times New Roman" w:cs="Arial"/>
                <w:b/>
                <w:bCs/>
                <w:sz w:val="20"/>
                <w:szCs w:val="20"/>
                <w:lang w:eastAsia="pt-BR"/>
              </w:rPr>
            </w:pPr>
            <w:r w:rsidRPr="0047138B">
              <w:rPr>
                <w:rFonts w:eastAsia="Times New Roman" w:cs="Arial"/>
                <w:b/>
                <w:bCs/>
                <w:sz w:val="20"/>
                <w:szCs w:val="20"/>
                <w:lang w:eastAsia="pt-BR"/>
              </w:rPr>
              <w:t>LONGO (13 a 20)</w:t>
            </w:r>
          </w:p>
        </w:tc>
      </w:tr>
      <w:tr w:rsidR="00261C41" w:rsidRPr="0047138B" w:rsidTr="00261C41">
        <w:trPr>
          <w:trHeight w:val="20"/>
          <w:jc w:val="center"/>
        </w:trPr>
        <w:tc>
          <w:tcPr>
            <w:tcW w:w="1279" w:type="pct"/>
            <w:gridSpan w:val="3"/>
            <w:shd w:val="clear" w:color="auto" w:fill="auto"/>
            <w:noWrap/>
            <w:vAlign w:val="center"/>
          </w:tcPr>
          <w:p w:rsidR="00261C41" w:rsidRPr="00F92EFE" w:rsidRDefault="00261C41" w:rsidP="00261C41">
            <w:pPr>
              <w:spacing w:before="20" w:after="20" w:line="240" w:lineRule="auto"/>
              <w:jc w:val="both"/>
              <w:rPr>
                <w:rFonts w:cs="Arial"/>
                <w:bCs/>
                <w:sz w:val="20"/>
                <w:szCs w:val="20"/>
              </w:rPr>
            </w:pPr>
            <w:r w:rsidRPr="00F92EFE">
              <w:rPr>
                <w:rFonts w:cs="Arial"/>
                <w:bCs/>
                <w:sz w:val="20"/>
                <w:szCs w:val="20"/>
              </w:rPr>
              <w:t>2.1 Garantir o mapeamento das ocupações em áreas de risco de movimentação de massa, em conjunto com a Defesa Civil.</w:t>
            </w:r>
          </w:p>
          <w:p w:rsidR="00261C41" w:rsidRPr="0047138B" w:rsidRDefault="00261C41" w:rsidP="00261C41">
            <w:pPr>
              <w:spacing w:before="20" w:after="20" w:line="240" w:lineRule="auto"/>
              <w:jc w:val="both"/>
              <w:rPr>
                <w:rFonts w:cs="Arial"/>
                <w:bCs/>
                <w:sz w:val="20"/>
                <w:szCs w:val="20"/>
              </w:rPr>
            </w:pPr>
            <w:r w:rsidRPr="0047138B">
              <w:rPr>
                <w:rFonts w:cs="Arial"/>
                <w:bCs/>
                <w:sz w:val="20"/>
                <w:szCs w:val="20"/>
              </w:rPr>
              <w:t>2.7 Garantir a existência do Plano de Contingência e Emergência para áreas de riscos.</w:t>
            </w:r>
          </w:p>
        </w:tc>
        <w:tc>
          <w:tcPr>
            <w:tcW w:w="2116" w:type="pct"/>
            <w:shd w:val="clear" w:color="auto" w:fill="auto"/>
            <w:noWrap/>
            <w:vAlign w:val="center"/>
          </w:tcPr>
          <w:p w:rsidR="00261C41" w:rsidRPr="00F92EFE" w:rsidRDefault="00261C41" w:rsidP="00261C41">
            <w:pPr>
              <w:spacing w:before="20" w:after="20" w:line="240" w:lineRule="auto"/>
              <w:jc w:val="both"/>
              <w:rPr>
                <w:rFonts w:cs="Arial"/>
                <w:bCs/>
                <w:sz w:val="20"/>
                <w:szCs w:val="20"/>
              </w:rPr>
            </w:pPr>
            <w:r w:rsidRPr="00F92EFE">
              <w:rPr>
                <w:rFonts w:cs="Arial"/>
                <w:bCs/>
                <w:sz w:val="20"/>
                <w:szCs w:val="20"/>
              </w:rPr>
              <w:t>2.2 Elaborar um plano de desocupação em áreas com risco de movimentação de massa.</w:t>
            </w:r>
          </w:p>
          <w:p w:rsidR="00261C41" w:rsidRPr="00F92EFE" w:rsidRDefault="00261C41" w:rsidP="00261C41">
            <w:pPr>
              <w:spacing w:before="20" w:after="20" w:line="240" w:lineRule="auto"/>
              <w:jc w:val="both"/>
              <w:rPr>
                <w:rFonts w:cs="Arial"/>
                <w:bCs/>
                <w:sz w:val="20"/>
                <w:szCs w:val="20"/>
              </w:rPr>
            </w:pPr>
            <w:r w:rsidRPr="00F92EFE">
              <w:rPr>
                <w:rFonts w:cs="Arial"/>
                <w:bCs/>
                <w:sz w:val="20"/>
                <w:szCs w:val="20"/>
              </w:rPr>
              <w:t>2.3 Impedir legalmente a ocupação de áreas de risco e garantir a fiscalização.</w:t>
            </w:r>
          </w:p>
          <w:p w:rsidR="00261C41" w:rsidRPr="00F92EFE" w:rsidRDefault="00261C41" w:rsidP="00261C41">
            <w:pPr>
              <w:spacing w:before="20" w:after="20" w:line="240" w:lineRule="auto"/>
              <w:jc w:val="both"/>
              <w:rPr>
                <w:rFonts w:cs="Arial"/>
                <w:bCs/>
                <w:sz w:val="20"/>
                <w:szCs w:val="20"/>
              </w:rPr>
            </w:pPr>
            <w:r w:rsidRPr="00F92EFE">
              <w:rPr>
                <w:rFonts w:cs="Arial"/>
                <w:bCs/>
                <w:sz w:val="20"/>
                <w:szCs w:val="20"/>
              </w:rPr>
              <w:t>2.4 Executar plano de desocupação em áreas com risco de movimentação de massa.</w:t>
            </w:r>
          </w:p>
          <w:p w:rsidR="00261C41" w:rsidRPr="00F92EFE" w:rsidRDefault="00261C41" w:rsidP="00261C41">
            <w:pPr>
              <w:spacing w:before="20" w:after="20" w:line="240" w:lineRule="auto"/>
              <w:jc w:val="both"/>
              <w:rPr>
                <w:rFonts w:cs="Arial"/>
                <w:bCs/>
                <w:sz w:val="20"/>
                <w:szCs w:val="20"/>
              </w:rPr>
            </w:pPr>
            <w:r w:rsidRPr="00F92EFE">
              <w:rPr>
                <w:rFonts w:cs="Arial"/>
                <w:bCs/>
                <w:sz w:val="20"/>
                <w:szCs w:val="20"/>
              </w:rPr>
              <w:t>2.5 Recuperar 40% de áreas sujeitas a acidentes decorrentes de processos erosivos.</w:t>
            </w:r>
          </w:p>
        </w:tc>
        <w:tc>
          <w:tcPr>
            <w:tcW w:w="721" w:type="pct"/>
            <w:shd w:val="clear" w:color="auto" w:fill="auto"/>
            <w:noWrap/>
            <w:vAlign w:val="center"/>
          </w:tcPr>
          <w:p w:rsidR="00261C41" w:rsidRPr="00F92EFE" w:rsidRDefault="00261C41" w:rsidP="00261C41">
            <w:pPr>
              <w:spacing w:before="20" w:after="20" w:line="240" w:lineRule="auto"/>
              <w:jc w:val="both"/>
              <w:rPr>
                <w:rFonts w:cs="Arial"/>
                <w:bCs/>
                <w:sz w:val="20"/>
                <w:szCs w:val="20"/>
              </w:rPr>
            </w:pPr>
          </w:p>
        </w:tc>
        <w:tc>
          <w:tcPr>
            <w:tcW w:w="884" w:type="pct"/>
            <w:shd w:val="clear" w:color="auto" w:fill="auto"/>
            <w:noWrap/>
            <w:vAlign w:val="center"/>
          </w:tcPr>
          <w:p w:rsidR="00261C41" w:rsidRPr="00F92EFE" w:rsidRDefault="00261C41" w:rsidP="00261C41">
            <w:pPr>
              <w:spacing w:before="20" w:after="20" w:line="240" w:lineRule="auto"/>
              <w:rPr>
                <w:rFonts w:cs="Arial"/>
                <w:bCs/>
                <w:sz w:val="20"/>
                <w:szCs w:val="20"/>
              </w:rPr>
            </w:pPr>
            <w:r w:rsidRPr="00F92EFE">
              <w:rPr>
                <w:rFonts w:cs="Arial"/>
                <w:bCs/>
                <w:sz w:val="20"/>
                <w:szCs w:val="20"/>
              </w:rPr>
              <w:t>2.6 Recuperar 100% das áreas de risco depois de desocupadas.</w:t>
            </w:r>
          </w:p>
        </w:tc>
      </w:tr>
    </w:tbl>
    <w:p w:rsidR="00261C41" w:rsidRPr="00680B12" w:rsidRDefault="00261C41" w:rsidP="00261C41">
      <w:pPr>
        <w:rPr>
          <w:rFonts w:cs="Arial"/>
          <w:sz w:val="10"/>
          <w:szCs w:val="10"/>
          <w:highlight w:val="yello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46"/>
        <w:gridCol w:w="8704"/>
        <w:gridCol w:w="1843"/>
        <w:gridCol w:w="1417"/>
        <w:gridCol w:w="1600"/>
      </w:tblGrid>
      <w:tr w:rsidR="00261C41" w:rsidRPr="001157F4" w:rsidTr="00261C41">
        <w:trPr>
          <w:trHeight w:val="20"/>
          <w:tblHeader/>
          <w:jc w:val="center"/>
        </w:trPr>
        <w:tc>
          <w:tcPr>
            <w:tcW w:w="1146" w:type="dxa"/>
            <w:shd w:val="clear" w:color="000000" w:fill="C0C0C0"/>
            <w:vAlign w:val="center"/>
          </w:tcPr>
          <w:p w:rsidR="00261C41" w:rsidRPr="001157F4" w:rsidRDefault="00261C41" w:rsidP="00261C41">
            <w:pPr>
              <w:spacing w:line="240" w:lineRule="auto"/>
              <w:jc w:val="center"/>
              <w:rPr>
                <w:rFonts w:eastAsia="Times New Roman" w:cs="Arial"/>
                <w:b/>
                <w:bCs/>
                <w:sz w:val="20"/>
                <w:szCs w:val="20"/>
                <w:lang w:eastAsia="pt-BR"/>
              </w:rPr>
            </w:pPr>
            <w:r w:rsidRPr="001157F4">
              <w:rPr>
                <w:rFonts w:eastAsia="Times New Roman" w:cs="Arial"/>
                <w:b/>
                <w:bCs/>
                <w:sz w:val="20"/>
                <w:szCs w:val="20"/>
                <w:lang w:eastAsia="pt-BR"/>
              </w:rPr>
              <w:t>CÓDIGO</w:t>
            </w:r>
          </w:p>
          <w:p w:rsidR="00261C41" w:rsidRPr="001157F4" w:rsidRDefault="00261C41" w:rsidP="00261C41">
            <w:pPr>
              <w:spacing w:line="240" w:lineRule="auto"/>
              <w:jc w:val="center"/>
              <w:rPr>
                <w:rFonts w:eastAsia="Times New Roman" w:cs="Arial"/>
                <w:b/>
                <w:bCs/>
                <w:sz w:val="20"/>
                <w:szCs w:val="20"/>
                <w:lang w:eastAsia="pt-BR"/>
              </w:rPr>
            </w:pPr>
            <w:r w:rsidRPr="001157F4">
              <w:rPr>
                <w:rFonts w:eastAsia="Times New Roman" w:cs="Arial"/>
                <w:b/>
                <w:bCs/>
                <w:sz w:val="20"/>
                <w:szCs w:val="20"/>
                <w:lang w:eastAsia="pt-BR"/>
              </w:rPr>
              <w:t>(s/o/m/a)*</w:t>
            </w:r>
          </w:p>
        </w:tc>
        <w:tc>
          <w:tcPr>
            <w:tcW w:w="8707" w:type="dxa"/>
            <w:shd w:val="clear" w:color="000000" w:fill="C0C0C0"/>
            <w:vAlign w:val="center"/>
          </w:tcPr>
          <w:p w:rsidR="00261C41" w:rsidRPr="001157F4" w:rsidRDefault="00261C41" w:rsidP="00261C41">
            <w:pPr>
              <w:spacing w:line="240" w:lineRule="auto"/>
              <w:jc w:val="center"/>
              <w:rPr>
                <w:rFonts w:eastAsia="Times New Roman" w:cs="Arial"/>
                <w:b/>
                <w:bCs/>
                <w:sz w:val="20"/>
                <w:szCs w:val="20"/>
                <w:lang w:eastAsia="pt-BR"/>
              </w:rPr>
            </w:pPr>
            <w:r w:rsidRPr="001157F4">
              <w:rPr>
                <w:rFonts w:eastAsia="Times New Roman" w:cs="Arial"/>
                <w:b/>
                <w:bCs/>
                <w:sz w:val="20"/>
                <w:szCs w:val="20"/>
                <w:lang w:eastAsia="pt-BR"/>
              </w:rPr>
              <w:t>DESCRIÇÃO</w:t>
            </w:r>
          </w:p>
        </w:tc>
        <w:tc>
          <w:tcPr>
            <w:tcW w:w="1843" w:type="dxa"/>
            <w:shd w:val="clear" w:color="000000" w:fill="C0C0C0"/>
          </w:tcPr>
          <w:p w:rsidR="00261C41" w:rsidRPr="001157F4" w:rsidRDefault="00261C41" w:rsidP="00261C41">
            <w:pPr>
              <w:spacing w:line="240" w:lineRule="auto"/>
              <w:ind w:firstLine="72"/>
              <w:jc w:val="center"/>
              <w:rPr>
                <w:rFonts w:eastAsia="Times New Roman" w:cs="Arial"/>
                <w:b/>
                <w:bCs/>
                <w:sz w:val="20"/>
                <w:szCs w:val="20"/>
                <w:lang w:eastAsia="pt-BR"/>
              </w:rPr>
            </w:pPr>
            <w:r w:rsidRPr="001157F4">
              <w:rPr>
                <w:rFonts w:eastAsia="Times New Roman" w:cs="Arial"/>
                <w:b/>
                <w:bCs/>
                <w:sz w:val="20"/>
                <w:szCs w:val="20"/>
                <w:lang w:eastAsia="pt-BR"/>
              </w:rPr>
              <w:t>Período de desenvolvimento da ação</w:t>
            </w:r>
          </w:p>
          <w:p w:rsidR="00261C41" w:rsidRPr="001157F4" w:rsidRDefault="00261C41" w:rsidP="00261C41">
            <w:pPr>
              <w:spacing w:before="20" w:after="20" w:line="240" w:lineRule="auto"/>
              <w:contextualSpacing/>
              <w:jc w:val="center"/>
              <w:rPr>
                <w:rFonts w:eastAsia="Times New Roman" w:cs="Arial"/>
                <w:b/>
                <w:bCs/>
                <w:sz w:val="20"/>
                <w:szCs w:val="20"/>
                <w:lang w:eastAsia="pt-BR"/>
              </w:rPr>
            </w:pPr>
            <w:r w:rsidRPr="001157F4">
              <w:rPr>
                <w:rFonts w:eastAsia="Times New Roman" w:cs="Arial"/>
                <w:b/>
                <w:bCs/>
                <w:sz w:val="20"/>
                <w:szCs w:val="20"/>
                <w:lang w:eastAsia="pt-BR"/>
              </w:rPr>
              <w:t>(ano)</w:t>
            </w:r>
          </w:p>
        </w:tc>
        <w:tc>
          <w:tcPr>
            <w:tcW w:w="1417" w:type="dxa"/>
            <w:shd w:val="clear" w:color="000000" w:fill="C0C0C0"/>
          </w:tcPr>
          <w:p w:rsidR="00261C41" w:rsidRPr="001157F4" w:rsidRDefault="00261C41" w:rsidP="00261C41">
            <w:pPr>
              <w:spacing w:line="240" w:lineRule="auto"/>
              <w:ind w:left="64" w:firstLine="8"/>
              <w:jc w:val="center"/>
              <w:rPr>
                <w:rFonts w:eastAsia="Times New Roman" w:cs="Arial"/>
                <w:b/>
                <w:bCs/>
                <w:sz w:val="20"/>
                <w:szCs w:val="20"/>
                <w:lang w:eastAsia="pt-BR"/>
              </w:rPr>
            </w:pPr>
            <w:r w:rsidRPr="001157F4">
              <w:rPr>
                <w:rFonts w:eastAsia="Times New Roman" w:cs="Arial"/>
                <w:b/>
                <w:bCs/>
                <w:sz w:val="20"/>
                <w:szCs w:val="20"/>
                <w:lang w:eastAsia="pt-BR"/>
              </w:rPr>
              <w:t>Custo total na moeda de 2017</w:t>
            </w:r>
          </w:p>
          <w:p w:rsidR="00261C41" w:rsidRPr="001157F4" w:rsidRDefault="00261C41" w:rsidP="00261C41">
            <w:pPr>
              <w:spacing w:before="20" w:after="20" w:line="240" w:lineRule="auto"/>
              <w:contextualSpacing/>
              <w:jc w:val="center"/>
              <w:rPr>
                <w:rFonts w:eastAsia="Times New Roman" w:cs="Arial"/>
                <w:b/>
                <w:bCs/>
                <w:sz w:val="20"/>
                <w:szCs w:val="20"/>
                <w:lang w:eastAsia="pt-BR"/>
              </w:rPr>
            </w:pPr>
            <w:r w:rsidRPr="001157F4">
              <w:rPr>
                <w:rFonts w:eastAsia="Times New Roman" w:cs="Arial"/>
                <w:b/>
                <w:bCs/>
                <w:sz w:val="20"/>
                <w:szCs w:val="20"/>
                <w:lang w:eastAsia="pt-BR"/>
              </w:rPr>
              <w:t>(R$)</w:t>
            </w:r>
          </w:p>
        </w:tc>
        <w:tc>
          <w:tcPr>
            <w:tcW w:w="1600" w:type="dxa"/>
            <w:shd w:val="clear" w:color="000000" w:fill="C0C0C0"/>
          </w:tcPr>
          <w:p w:rsidR="00261C41" w:rsidRPr="001157F4" w:rsidRDefault="00261C41" w:rsidP="00261C41">
            <w:pPr>
              <w:spacing w:line="240" w:lineRule="auto"/>
              <w:ind w:left="64" w:firstLine="8"/>
              <w:jc w:val="center"/>
              <w:rPr>
                <w:rFonts w:eastAsia="Times New Roman" w:cs="Arial"/>
                <w:b/>
                <w:bCs/>
                <w:sz w:val="20"/>
                <w:szCs w:val="20"/>
                <w:lang w:eastAsia="pt-BR"/>
              </w:rPr>
            </w:pPr>
            <w:r w:rsidRPr="001157F4">
              <w:rPr>
                <w:rFonts w:eastAsia="Times New Roman" w:cs="Arial"/>
                <w:b/>
                <w:bCs/>
                <w:sz w:val="20"/>
                <w:szCs w:val="20"/>
                <w:lang w:eastAsia="pt-BR"/>
              </w:rPr>
              <w:t>Responsável pela ação</w:t>
            </w:r>
          </w:p>
          <w:p w:rsidR="00261C41" w:rsidRPr="001157F4" w:rsidRDefault="00261C41" w:rsidP="00261C41">
            <w:pPr>
              <w:spacing w:line="240" w:lineRule="auto"/>
              <w:rPr>
                <w:rFonts w:eastAsia="Times New Roman" w:cs="Arial"/>
                <w:b/>
                <w:bCs/>
                <w:sz w:val="20"/>
                <w:szCs w:val="20"/>
                <w:lang w:eastAsia="pt-BR"/>
              </w:rPr>
            </w:pPr>
          </w:p>
        </w:tc>
      </w:tr>
      <w:tr w:rsidR="00261C41" w:rsidRPr="001157F4" w:rsidTr="00261C41">
        <w:trPr>
          <w:trHeight w:val="680"/>
          <w:jc w:val="center"/>
        </w:trPr>
        <w:tc>
          <w:tcPr>
            <w:tcW w:w="1146" w:type="dxa"/>
            <w:shd w:val="clear" w:color="auto" w:fill="auto"/>
            <w:vAlign w:val="center"/>
          </w:tcPr>
          <w:p w:rsidR="00261C41" w:rsidRPr="001157F4" w:rsidRDefault="00261C41" w:rsidP="00261C41">
            <w:pPr>
              <w:spacing w:line="240" w:lineRule="auto"/>
              <w:jc w:val="center"/>
              <w:rPr>
                <w:rFonts w:cs="Arial"/>
                <w:sz w:val="20"/>
                <w:szCs w:val="20"/>
                <w:lang w:eastAsia="pt-BR"/>
              </w:rPr>
            </w:pPr>
            <w:r w:rsidRPr="001157F4">
              <w:rPr>
                <w:rFonts w:eastAsia="Times New Roman" w:cs="Arial"/>
                <w:sz w:val="20"/>
                <w:szCs w:val="20"/>
                <w:lang w:eastAsia="pt-BR"/>
              </w:rPr>
              <w:t>3.2.1.17</w:t>
            </w:r>
          </w:p>
        </w:tc>
        <w:tc>
          <w:tcPr>
            <w:tcW w:w="8707" w:type="dxa"/>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Realizar levantamento e mapeamento específico das áreas suscetíveis a processos erosivos no município, discriminando as características geomorfológicas, pedológicas, geotécnicas e o grau de ocupação de cada área.</w:t>
            </w:r>
          </w:p>
        </w:tc>
        <w:tc>
          <w:tcPr>
            <w:tcW w:w="1843"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1º-3º</w:t>
            </w:r>
          </w:p>
        </w:tc>
        <w:tc>
          <w:tcPr>
            <w:tcW w:w="1417" w:type="dxa"/>
            <w:vAlign w:val="center"/>
          </w:tcPr>
          <w:p w:rsidR="00261C41" w:rsidRPr="001157F4" w:rsidRDefault="00261C41" w:rsidP="00261C41">
            <w:pPr>
              <w:jc w:val="right"/>
              <w:rPr>
                <w:rFonts w:cs="Arial"/>
                <w:color w:val="000000"/>
                <w:sz w:val="20"/>
                <w:szCs w:val="20"/>
              </w:rPr>
            </w:pPr>
            <w:r w:rsidRPr="001157F4">
              <w:rPr>
                <w:rFonts w:cs="Arial"/>
                <w:color w:val="000000"/>
                <w:sz w:val="20"/>
                <w:szCs w:val="20"/>
              </w:rPr>
              <w:t>4.050,00</w:t>
            </w:r>
          </w:p>
        </w:tc>
        <w:tc>
          <w:tcPr>
            <w:tcW w:w="1600"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680"/>
          <w:jc w:val="center"/>
        </w:trPr>
        <w:tc>
          <w:tcPr>
            <w:tcW w:w="114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3.2.2.18</w:t>
            </w:r>
          </w:p>
        </w:tc>
        <w:tc>
          <w:tcPr>
            <w:tcW w:w="8707" w:type="dxa"/>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 xml:space="preserve">  Elaborar Plano de Desocupação em áreas com risco de movimentação de massa.</w:t>
            </w:r>
          </w:p>
        </w:tc>
        <w:tc>
          <w:tcPr>
            <w:tcW w:w="1843"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2º-3º</w:t>
            </w:r>
          </w:p>
        </w:tc>
        <w:tc>
          <w:tcPr>
            <w:tcW w:w="1417" w:type="dxa"/>
            <w:vAlign w:val="center"/>
          </w:tcPr>
          <w:p w:rsidR="00261C41" w:rsidRPr="001157F4" w:rsidRDefault="00261C41" w:rsidP="00261C41">
            <w:pPr>
              <w:jc w:val="right"/>
              <w:rPr>
                <w:rFonts w:cs="Arial"/>
                <w:color w:val="000000"/>
                <w:sz w:val="20"/>
                <w:szCs w:val="20"/>
              </w:rPr>
            </w:pPr>
            <w:r w:rsidRPr="001157F4">
              <w:rPr>
                <w:rFonts w:cs="Arial"/>
                <w:color w:val="000000"/>
                <w:sz w:val="20"/>
                <w:szCs w:val="20"/>
              </w:rPr>
              <w:t>7.474,47</w:t>
            </w:r>
          </w:p>
        </w:tc>
        <w:tc>
          <w:tcPr>
            <w:tcW w:w="1600"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680"/>
          <w:jc w:val="center"/>
        </w:trPr>
        <w:tc>
          <w:tcPr>
            <w:tcW w:w="114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3.2.2.19</w:t>
            </w:r>
          </w:p>
        </w:tc>
        <w:tc>
          <w:tcPr>
            <w:tcW w:w="8707" w:type="dxa"/>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Realizar campanhas que promovam a conscientização da população acerca dos riscos associados à ocupação de áreas suscetíveis aos processos erosivos.</w:t>
            </w:r>
          </w:p>
        </w:tc>
        <w:tc>
          <w:tcPr>
            <w:tcW w:w="1843"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1º-20º</w:t>
            </w:r>
          </w:p>
        </w:tc>
        <w:tc>
          <w:tcPr>
            <w:tcW w:w="1417"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600"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680"/>
          <w:jc w:val="center"/>
        </w:trPr>
        <w:tc>
          <w:tcPr>
            <w:tcW w:w="114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3.2.2.20</w:t>
            </w:r>
          </w:p>
        </w:tc>
        <w:tc>
          <w:tcPr>
            <w:tcW w:w="8707" w:type="dxa"/>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Instalar sistemas provisórios de drenagem nas áreas suscetíveis de deslizamentos, que estejam ocupadas, garantindo uma transição/execução do plano de desocupação em segurança.</w:t>
            </w:r>
          </w:p>
        </w:tc>
        <w:tc>
          <w:tcPr>
            <w:tcW w:w="1843"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1º-8º</w:t>
            </w:r>
          </w:p>
        </w:tc>
        <w:tc>
          <w:tcPr>
            <w:tcW w:w="1417"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45.858,00</w:t>
            </w:r>
          </w:p>
        </w:tc>
        <w:tc>
          <w:tcPr>
            <w:tcW w:w="1600"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907"/>
          <w:jc w:val="center"/>
        </w:trPr>
        <w:tc>
          <w:tcPr>
            <w:tcW w:w="114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lastRenderedPageBreak/>
              <w:t>3.2.3.21</w:t>
            </w:r>
          </w:p>
        </w:tc>
        <w:tc>
          <w:tcPr>
            <w:tcW w:w="8707" w:type="dxa"/>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Criar lei de uso e ocupação dos solos como instrumento de regulação da ocupação do solo urbano. Essa lei deverá definir as diretrizes de ocupação a serem atendidas no município, bem como instrumentos de fiscalização e controle, além de definir as penalidades nos casos de ocupações que não atenderem às diretrizes legalmente definidas.</w:t>
            </w:r>
          </w:p>
        </w:tc>
        <w:tc>
          <w:tcPr>
            <w:tcW w:w="1843"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3º-8º</w:t>
            </w:r>
          </w:p>
        </w:tc>
        <w:tc>
          <w:tcPr>
            <w:tcW w:w="1417" w:type="dxa"/>
            <w:vAlign w:val="center"/>
          </w:tcPr>
          <w:p w:rsidR="00261C41" w:rsidRPr="001157F4" w:rsidRDefault="00261C41" w:rsidP="00261C41">
            <w:pPr>
              <w:jc w:val="right"/>
              <w:rPr>
                <w:rFonts w:cs="Arial"/>
                <w:color w:val="000000"/>
                <w:sz w:val="20"/>
                <w:szCs w:val="20"/>
              </w:rPr>
            </w:pPr>
            <w:r w:rsidRPr="001157F4">
              <w:rPr>
                <w:rFonts w:cs="Arial"/>
                <w:color w:val="000000"/>
                <w:sz w:val="20"/>
                <w:szCs w:val="20"/>
              </w:rPr>
              <w:t>16.029,00</w:t>
            </w:r>
          </w:p>
        </w:tc>
        <w:tc>
          <w:tcPr>
            <w:tcW w:w="1600"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680"/>
          <w:jc w:val="center"/>
        </w:trPr>
        <w:tc>
          <w:tcPr>
            <w:tcW w:w="114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3.2.3.22</w:t>
            </w:r>
          </w:p>
        </w:tc>
        <w:tc>
          <w:tcPr>
            <w:tcW w:w="8707" w:type="dxa"/>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 xml:space="preserve">  Fiscalizar e desestimular a ocupação de áreas de risco no município.</w:t>
            </w:r>
          </w:p>
        </w:tc>
        <w:tc>
          <w:tcPr>
            <w:tcW w:w="1843"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3º-20º</w:t>
            </w:r>
          </w:p>
        </w:tc>
        <w:tc>
          <w:tcPr>
            <w:tcW w:w="1417"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151.725,60</w:t>
            </w:r>
          </w:p>
        </w:tc>
        <w:tc>
          <w:tcPr>
            <w:tcW w:w="1600"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680"/>
          <w:jc w:val="center"/>
        </w:trPr>
        <w:tc>
          <w:tcPr>
            <w:tcW w:w="114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3.2.4.23</w:t>
            </w:r>
          </w:p>
        </w:tc>
        <w:tc>
          <w:tcPr>
            <w:tcW w:w="8707" w:type="dxa"/>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Desapropriar todas as residências em áreas de risco, conforme Plano de Desocupação elaborado.</w:t>
            </w:r>
          </w:p>
        </w:tc>
        <w:tc>
          <w:tcPr>
            <w:tcW w:w="1843"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3º-8º</w:t>
            </w:r>
          </w:p>
        </w:tc>
        <w:tc>
          <w:tcPr>
            <w:tcW w:w="1417"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600"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680"/>
          <w:jc w:val="center"/>
        </w:trPr>
        <w:tc>
          <w:tcPr>
            <w:tcW w:w="114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3.2.5.24</w:t>
            </w:r>
          </w:p>
        </w:tc>
        <w:tc>
          <w:tcPr>
            <w:tcW w:w="8707" w:type="dxa"/>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Contratar empresa especializada em recuperação de encostas e áreas sujeitas à ocorrência de erosão para elaboração do Plano de recuperação destas áreas desapropriadas e com risco.</w:t>
            </w:r>
          </w:p>
        </w:tc>
        <w:tc>
          <w:tcPr>
            <w:tcW w:w="1843"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3º-3º</w:t>
            </w:r>
          </w:p>
        </w:tc>
        <w:tc>
          <w:tcPr>
            <w:tcW w:w="1417"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7.388,13</w:t>
            </w:r>
          </w:p>
        </w:tc>
        <w:tc>
          <w:tcPr>
            <w:tcW w:w="1600"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680"/>
          <w:jc w:val="center"/>
        </w:trPr>
        <w:tc>
          <w:tcPr>
            <w:tcW w:w="114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3.2.5.25</w:t>
            </w:r>
          </w:p>
        </w:tc>
        <w:tc>
          <w:tcPr>
            <w:tcW w:w="8707" w:type="dxa"/>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Contratar empresa especializada para executar plano de recuperação das áreas desapropriadas.</w:t>
            </w:r>
          </w:p>
        </w:tc>
        <w:tc>
          <w:tcPr>
            <w:tcW w:w="1843"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4º-20º</w:t>
            </w:r>
          </w:p>
        </w:tc>
        <w:tc>
          <w:tcPr>
            <w:tcW w:w="1417"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61.144,00</w:t>
            </w:r>
          </w:p>
        </w:tc>
        <w:tc>
          <w:tcPr>
            <w:tcW w:w="1600"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680"/>
          <w:jc w:val="center"/>
        </w:trPr>
        <w:tc>
          <w:tcPr>
            <w:tcW w:w="114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3.2.6.26</w:t>
            </w:r>
          </w:p>
        </w:tc>
        <w:tc>
          <w:tcPr>
            <w:tcW w:w="8707" w:type="dxa"/>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Realizar as ações de controle de erosões nas localidades rurais do município.</w:t>
            </w:r>
          </w:p>
        </w:tc>
        <w:tc>
          <w:tcPr>
            <w:tcW w:w="1843"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4º-20º</w:t>
            </w:r>
          </w:p>
        </w:tc>
        <w:tc>
          <w:tcPr>
            <w:tcW w:w="1417"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4.850,29</w:t>
            </w:r>
          </w:p>
        </w:tc>
        <w:tc>
          <w:tcPr>
            <w:tcW w:w="1600"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680"/>
          <w:jc w:val="center"/>
        </w:trPr>
        <w:tc>
          <w:tcPr>
            <w:tcW w:w="114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3.2.7.27</w:t>
            </w:r>
          </w:p>
        </w:tc>
        <w:tc>
          <w:tcPr>
            <w:tcW w:w="8707" w:type="dxa"/>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Elaborar Plano de Contingência e Emergência para áreas de riscos, em parceria com o SINPDEC municipal (COMPDEC), em conformidade com a PNPDEC.</w:t>
            </w:r>
          </w:p>
        </w:tc>
        <w:tc>
          <w:tcPr>
            <w:tcW w:w="1843"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1º-3º</w:t>
            </w:r>
          </w:p>
        </w:tc>
        <w:tc>
          <w:tcPr>
            <w:tcW w:w="1417"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1.669,79</w:t>
            </w:r>
          </w:p>
        </w:tc>
        <w:tc>
          <w:tcPr>
            <w:tcW w:w="1600"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bl>
    <w:p w:rsidR="00261C41" w:rsidRPr="00680B12" w:rsidRDefault="00261C41" w:rsidP="00261C41">
      <w:pPr>
        <w:pStyle w:val="Fonte"/>
      </w:pPr>
      <w:r>
        <w:t>*</w:t>
      </w:r>
      <w:r w:rsidRPr="00680B12">
        <w:t>(s/o/m/a) = nº do setor / nº do objetivo / nº da meta / nº da ação.</w:t>
      </w:r>
    </w:p>
    <w:p w:rsidR="00261C41" w:rsidRPr="001A2647" w:rsidRDefault="00261C41" w:rsidP="00261C41">
      <w:pPr>
        <w:pStyle w:val="Legenda"/>
      </w:pPr>
      <w:r>
        <w:br w:type="page"/>
      </w:r>
      <w:bookmarkStart w:id="898" w:name="_Toc491704046"/>
      <w:bookmarkStart w:id="899" w:name="_Toc498609258"/>
      <w:bookmarkStart w:id="900" w:name="_Toc505788348"/>
      <w:bookmarkStart w:id="901" w:name="_Toc509935851"/>
      <w:r w:rsidRPr="001A2647">
        <w:lastRenderedPageBreak/>
        <w:t xml:space="preserve">Quadro </w:t>
      </w:r>
      <w:r w:rsidR="000A1C78">
        <w:fldChar w:fldCharType="begin"/>
      </w:r>
      <w:r w:rsidR="000A1C78">
        <w:instrText xml:space="preserve"> SEQ Quadro \* ARABIC </w:instrText>
      </w:r>
      <w:r w:rsidR="000A1C78">
        <w:fldChar w:fldCharType="separate"/>
      </w:r>
      <w:r w:rsidR="001B481B">
        <w:rPr>
          <w:noProof/>
        </w:rPr>
        <w:t>74</w:t>
      </w:r>
      <w:r w:rsidR="000A1C78">
        <w:rPr>
          <w:noProof/>
        </w:rPr>
        <w:fldChar w:fldCharType="end"/>
      </w:r>
      <w:r w:rsidRPr="001A2647">
        <w:t xml:space="preserve"> - Programas e ações propostos para o setor de drenagem urbana e manejo de águas pluviais - Objetivo 3</w:t>
      </w:r>
      <w:bookmarkEnd w:id="898"/>
      <w:bookmarkEnd w:id="899"/>
      <w:bookmarkEnd w:id="900"/>
      <w:bookmarkEnd w:id="901"/>
    </w:p>
    <w:p w:rsidR="00261C41" w:rsidRPr="00C37994" w:rsidRDefault="00261C41" w:rsidP="00261C41">
      <w:pPr>
        <w:rPr>
          <w:rFonts w:cs="Arial"/>
          <w:sz w:val="2"/>
          <w:szCs w:val="2"/>
          <w:highlight w:val="yellow"/>
        </w:rPr>
      </w:pPr>
    </w:p>
    <w:tbl>
      <w:tblPr>
        <w:tblW w:w="14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44"/>
        <w:gridCol w:w="142"/>
        <w:gridCol w:w="142"/>
        <w:gridCol w:w="5390"/>
        <w:gridCol w:w="1840"/>
        <w:gridCol w:w="5584"/>
      </w:tblGrid>
      <w:tr w:rsidR="00261C41" w:rsidRPr="0047138B" w:rsidTr="00261C41">
        <w:trPr>
          <w:trHeight w:val="20"/>
          <w:jc w:val="center"/>
        </w:trPr>
        <w:tc>
          <w:tcPr>
            <w:tcW w:w="558" w:type="pct"/>
            <w:shd w:val="clear" w:color="000000" w:fill="C0C0C0"/>
            <w:noWrap/>
            <w:vAlign w:val="center"/>
            <w:hideMark/>
          </w:tcPr>
          <w:p w:rsidR="00261C41" w:rsidRPr="0047138B" w:rsidRDefault="00261C41" w:rsidP="00261C41">
            <w:pPr>
              <w:spacing w:line="240" w:lineRule="auto"/>
              <w:rPr>
                <w:rFonts w:eastAsia="Times New Roman" w:cs="Arial"/>
                <w:b/>
                <w:bCs/>
                <w:sz w:val="20"/>
                <w:szCs w:val="20"/>
                <w:lang w:eastAsia="pt-BR"/>
              </w:rPr>
            </w:pPr>
            <w:r w:rsidRPr="0047138B">
              <w:rPr>
                <w:rFonts w:eastAsia="Times New Roman" w:cs="Arial"/>
                <w:b/>
                <w:bCs/>
                <w:sz w:val="20"/>
                <w:szCs w:val="20"/>
                <w:lang w:eastAsia="pt-BR"/>
              </w:rPr>
              <w:t>SETOR</w:t>
            </w:r>
          </w:p>
        </w:tc>
        <w:tc>
          <w:tcPr>
            <w:tcW w:w="96" w:type="pct"/>
            <w:gridSpan w:val="2"/>
            <w:shd w:val="clear" w:color="auto" w:fill="auto"/>
            <w:noWrap/>
            <w:vAlign w:val="center"/>
            <w:hideMark/>
          </w:tcPr>
          <w:p w:rsidR="00261C41" w:rsidRPr="0047138B" w:rsidRDefault="00261C41" w:rsidP="00261C41">
            <w:pPr>
              <w:spacing w:line="240" w:lineRule="auto"/>
              <w:rPr>
                <w:rFonts w:eastAsia="Times New Roman" w:cs="Arial"/>
                <w:sz w:val="20"/>
                <w:szCs w:val="20"/>
                <w:lang w:eastAsia="pt-BR"/>
              </w:rPr>
            </w:pPr>
            <w:r w:rsidRPr="0047138B">
              <w:rPr>
                <w:rFonts w:eastAsia="Times New Roman" w:cs="Arial"/>
                <w:sz w:val="20"/>
                <w:szCs w:val="20"/>
                <w:lang w:eastAsia="pt-BR"/>
              </w:rPr>
              <w:t>3</w:t>
            </w:r>
          </w:p>
        </w:tc>
        <w:tc>
          <w:tcPr>
            <w:tcW w:w="4346" w:type="pct"/>
            <w:gridSpan w:val="3"/>
            <w:shd w:val="clear" w:color="auto" w:fill="auto"/>
            <w:noWrap/>
            <w:vAlign w:val="center"/>
            <w:hideMark/>
          </w:tcPr>
          <w:p w:rsidR="00261C41" w:rsidRPr="0047138B" w:rsidRDefault="00261C41" w:rsidP="00261C41">
            <w:pPr>
              <w:spacing w:line="240" w:lineRule="auto"/>
              <w:rPr>
                <w:rFonts w:eastAsia="Times New Roman" w:cs="Arial"/>
                <w:sz w:val="20"/>
                <w:szCs w:val="20"/>
                <w:lang w:eastAsia="pt-BR"/>
              </w:rPr>
            </w:pPr>
            <w:r w:rsidRPr="0047138B">
              <w:rPr>
                <w:rFonts w:cs="Arial"/>
                <w:sz w:val="20"/>
                <w:szCs w:val="20"/>
              </w:rPr>
              <w:t>Drenagem Urbana e Manejo  de  Águas Pluviais.</w:t>
            </w:r>
          </w:p>
        </w:tc>
      </w:tr>
      <w:tr w:rsidR="00261C41" w:rsidRPr="0047138B" w:rsidTr="00261C41">
        <w:trPr>
          <w:trHeight w:val="20"/>
          <w:jc w:val="center"/>
        </w:trPr>
        <w:tc>
          <w:tcPr>
            <w:tcW w:w="558" w:type="pct"/>
            <w:shd w:val="clear" w:color="000000" w:fill="C0C0C0"/>
            <w:vAlign w:val="center"/>
            <w:hideMark/>
          </w:tcPr>
          <w:p w:rsidR="00261C41" w:rsidRPr="0047138B" w:rsidRDefault="00261C41" w:rsidP="00261C41">
            <w:pPr>
              <w:spacing w:line="240" w:lineRule="auto"/>
              <w:rPr>
                <w:rFonts w:eastAsia="Times New Roman" w:cs="Arial"/>
                <w:b/>
                <w:bCs/>
                <w:sz w:val="20"/>
                <w:szCs w:val="20"/>
                <w:lang w:eastAsia="pt-BR"/>
              </w:rPr>
            </w:pPr>
            <w:r w:rsidRPr="0047138B">
              <w:rPr>
                <w:rFonts w:eastAsia="Times New Roman" w:cs="Arial"/>
                <w:b/>
                <w:bCs/>
                <w:sz w:val="20"/>
                <w:szCs w:val="20"/>
                <w:lang w:eastAsia="pt-BR"/>
              </w:rPr>
              <w:t>OBJETIVO</w:t>
            </w:r>
          </w:p>
        </w:tc>
        <w:tc>
          <w:tcPr>
            <w:tcW w:w="96" w:type="pct"/>
            <w:gridSpan w:val="2"/>
            <w:shd w:val="clear" w:color="auto" w:fill="auto"/>
            <w:vAlign w:val="center"/>
            <w:hideMark/>
          </w:tcPr>
          <w:p w:rsidR="00261C41" w:rsidRPr="0047138B" w:rsidRDefault="00261C41" w:rsidP="00261C41">
            <w:pPr>
              <w:spacing w:line="240" w:lineRule="auto"/>
              <w:rPr>
                <w:rFonts w:eastAsia="Times New Roman" w:cs="Arial"/>
                <w:sz w:val="20"/>
                <w:szCs w:val="20"/>
                <w:lang w:eastAsia="pt-BR"/>
              </w:rPr>
            </w:pPr>
            <w:r w:rsidRPr="0047138B">
              <w:rPr>
                <w:rFonts w:eastAsia="Times New Roman" w:cs="Arial"/>
                <w:sz w:val="20"/>
                <w:szCs w:val="20"/>
                <w:lang w:eastAsia="pt-BR"/>
              </w:rPr>
              <w:t>3</w:t>
            </w:r>
          </w:p>
        </w:tc>
        <w:tc>
          <w:tcPr>
            <w:tcW w:w="4346" w:type="pct"/>
            <w:gridSpan w:val="3"/>
            <w:shd w:val="clear" w:color="auto" w:fill="auto"/>
            <w:vAlign w:val="center"/>
            <w:hideMark/>
          </w:tcPr>
          <w:p w:rsidR="00261C41" w:rsidRPr="0047138B" w:rsidRDefault="00261C41" w:rsidP="00261C41">
            <w:pPr>
              <w:spacing w:line="240" w:lineRule="auto"/>
              <w:rPr>
                <w:rFonts w:cs="Arial"/>
                <w:sz w:val="20"/>
                <w:szCs w:val="20"/>
              </w:rPr>
            </w:pPr>
            <w:r w:rsidRPr="0047138B">
              <w:rPr>
                <w:bCs/>
                <w:sz w:val="20"/>
                <w:szCs w:val="20"/>
              </w:rPr>
              <w:t>Planejar o uso e ocupação da bacia de forma adequada e promover a recuperação e revitalização de APPs e áreas verdes.</w:t>
            </w:r>
          </w:p>
        </w:tc>
      </w:tr>
      <w:tr w:rsidR="00261C41" w:rsidRPr="0047138B" w:rsidTr="00261C41">
        <w:trPr>
          <w:trHeight w:val="20"/>
          <w:jc w:val="center"/>
        </w:trPr>
        <w:tc>
          <w:tcPr>
            <w:tcW w:w="558" w:type="pct"/>
            <w:shd w:val="clear" w:color="000000" w:fill="C0C0C0"/>
            <w:vAlign w:val="center"/>
          </w:tcPr>
          <w:p w:rsidR="00261C41" w:rsidRPr="0047138B" w:rsidRDefault="00261C41" w:rsidP="00261C41">
            <w:pPr>
              <w:spacing w:line="240" w:lineRule="auto"/>
              <w:rPr>
                <w:rFonts w:eastAsia="Times New Roman" w:cs="Arial"/>
                <w:b/>
                <w:bCs/>
                <w:sz w:val="20"/>
                <w:szCs w:val="20"/>
                <w:lang w:eastAsia="pt-BR"/>
              </w:rPr>
            </w:pPr>
            <w:r>
              <w:rPr>
                <w:rFonts w:eastAsia="Times New Roman" w:cs="Arial"/>
                <w:b/>
                <w:bCs/>
                <w:sz w:val="20"/>
                <w:szCs w:val="20"/>
                <w:lang w:eastAsia="pt-BR"/>
              </w:rPr>
              <w:t>INDICADORES</w:t>
            </w:r>
          </w:p>
        </w:tc>
        <w:tc>
          <w:tcPr>
            <w:tcW w:w="4442" w:type="pct"/>
            <w:gridSpan w:val="5"/>
            <w:shd w:val="clear" w:color="auto" w:fill="auto"/>
            <w:vAlign w:val="center"/>
          </w:tcPr>
          <w:p w:rsidR="00261C41" w:rsidRDefault="00261C41" w:rsidP="00261C41">
            <w:pPr>
              <w:spacing w:line="240" w:lineRule="auto"/>
              <w:rPr>
                <w:bCs/>
                <w:sz w:val="20"/>
                <w:szCs w:val="20"/>
              </w:rPr>
            </w:pPr>
            <w:r>
              <w:rPr>
                <w:bCs/>
                <w:sz w:val="20"/>
                <w:szCs w:val="20"/>
              </w:rPr>
              <w:t xml:space="preserve">   </w:t>
            </w:r>
            <w:r w:rsidRPr="00EB4B12">
              <w:rPr>
                <w:bCs/>
                <w:sz w:val="20"/>
                <w:szCs w:val="20"/>
              </w:rPr>
              <w:t>Percentual de APPs de margens de cursos d’água preservadas</w:t>
            </w:r>
            <w:r>
              <w:rPr>
                <w:bCs/>
                <w:sz w:val="20"/>
                <w:szCs w:val="20"/>
              </w:rPr>
              <w:t>.</w:t>
            </w:r>
          </w:p>
          <w:p w:rsidR="00261C41" w:rsidRDefault="00261C41" w:rsidP="00261C41">
            <w:pPr>
              <w:spacing w:line="240" w:lineRule="auto"/>
              <w:rPr>
                <w:bCs/>
                <w:sz w:val="20"/>
                <w:szCs w:val="20"/>
              </w:rPr>
            </w:pPr>
            <w:r>
              <w:rPr>
                <w:bCs/>
                <w:sz w:val="20"/>
                <w:szCs w:val="20"/>
              </w:rPr>
              <w:t xml:space="preserve">   </w:t>
            </w:r>
            <w:r w:rsidRPr="00EB4B12">
              <w:rPr>
                <w:bCs/>
                <w:sz w:val="20"/>
                <w:szCs w:val="20"/>
              </w:rPr>
              <w:t>Percentual de áreas impermeabilizadas</w:t>
            </w:r>
            <w:r>
              <w:rPr>
                <w:bCs/>
                <w:sz w:val="20"/>
                <w:szCs w:val="20"/>
              </w:rPr>
              <w:t>.</w:t>
            </w:r>
          </w:p>
          <w:p w:rsidR="00261C41" w:rsidRPr="0047138B" w:rsidRDefault="00261C41" w:rsidP="00261C41">
            <w:pPr>
              <w:spacing w:line="240" w:lineRule="auto"/>
              <w:rPr>
                <w:bCs/>
                <w:sz w:val="20"/>
                <w:szCs w:val="20"/>
              </w:rPr>
            </w:pPr>
            <w:r>
              <w:rPr>
                <w:bCs/>
                <w:sz w:val="20"/>
                <w:szCs w:val="20"/>
              </w:rPr>
              <w:t xml:space="preserve">   </w:t>
            </w:r>
            <w:r w:rsidRPr="00EB4B12">
              <w:rPr>
                <w:bCs/>
                <w:sz w:val="20"/>
                <w:szCs w:val="20"/>
              </w:rPr>
              <w:t>Área verde por habitante</w:t>
            </w:r>
            <w:r>
              <w:rPr>
                <w:bCs/>
                <w:sz w:val="20"/>
                <w:szCs w:val="20"/>
              </w:rPr>
              <w:t>.</w:t>
            </w:r>
          </w:p>
        </w:tc>
      </w:tr>
      <w:tr w:rsidR="00261C41" w:rsidRPr="0047138B" w:rsidTr="00261C41">
        <w:trPr>
          <w:trHeight w:val="20"/>
          <w:jc w:val="center"/>
        </w:trPr>
        <w:tc>
          <w:tcPr>
            <w:tcW w:w="5000" w:type="pct"/>
            <w:gridSpan w:val="6"/>
            <w:shd w:val="clear" w:color="000000" w:fill="C0C0C0"/>
            <w:noWrap/>
            <w:vAlign w:val="center"/>
            <w:hideMark/>
          </w:tcPr>
          <w:p w:rsidR="00261C41" w:rsidRPr="0047138B" w:rsidRDefault="00261C41" w:rsidP="00261C41">
            <w:pPr>
              <w:spacing w:line="240" w:lineRule="auto"/>
              <w:jc w:val="center"/>
              <w:rPr>
                <w:rFonts w:eastAsia="Times New Roman" w:cs="Arial"/>
                <w:b/>
                <w:bCs/>
                <w:sz w:val="20"/>
                <w:szCs w:val="20"/>
                <w:lang w:eastAsia="pt-BR"/>
              </w:rPr>
            </w:pPr>
            <w:r w:rsidRPr="0047138B">
              <w:rPr>
                <w:rFonts w:eastAsia="Times New Roman" w:cs="Arial"/>
                <w:b/>
                <w:bCs/>
                <w:sz w:val="20"/>
                <w:szCs w:val="20"/>
                <w:lang w:eastAsia="pt-BR"/>
              </w:rPr>
              <w:t>PRAZO DE ENTREGA DA META (ANOS)</w:t>
            </w:r>
          </w:p>
        </w:tc>
      </w:tr>
      <w:tr w:rsidR="00261C41" w:rsidRPr="0047138B" w:rsidTr="00261C41">
        <w:trPr>
          <w:trHeight w:val="20"/>
          <w:jc w:val="center"/>
        </w:trPr>
        <w:tc>
          <w:tcPr>
            <w:tcW w:w="606" w:type="pct"/>
            <w:gridSpan w:val="2"/>
            <w:shd w:val="clear" w:color="000000" w:fill="C0C0C0"/>
            <w:noWrap/>
            <w:vAlign w:val="center"/>
          </w:tcPr>
          <w:p w:rsidR="00261C41" w:rsidRPr="0047138B" w:rsidRDefault="00261C41" w:rsidP="00261C41">
            <w:pPr>
              <w:spacing w:line="240" w:lineRule="auto"/>
              <w:jc w:val="center"/>
              <w:rPr>
                <w:rFonts w:eastAsia="Times New Roman" w:cs="Arial"/>
                <w:b/>
                <w:bCs/>
                <w:sz w:val="20"/>
                <w:szCs w:val="20"/>
                <w:lang w:eastAsia="pt-BR"/>
              </w:rPr>
            </w:pPr>
            <w:r w:rsidRPr="0047138B">
              <w:rPr>
                <w:rFonts w:eastAsia="Times New Roman" w:cs="Arial"/>
                <w:b/>
                <w:bCs/>
                <w:sz w:val="20"/>
                <w:szCs w:val="20"/>
                <w:lang w:eastAsia="pt-BR"/>
              </w:rPr>
              <w:t>IMEDIATO (0 a 3)</w:t>
            </w:r>
          </w:p>
        </w:tc>
        <w:tc>
          <w:tcPr>
            <w:tcW w:w="1876" w:type="pct"/>
            <w:gridSpan w:val="2"/>
            <w:shd w:val="clear" w:color="000000" w:fill="C0C0C0"/>
            <w:noWrap/>
            <w:vAlign w:val="center"/>
          </w:tcPr>
          <w:p w:rsidR="00261C41" w:rsidRPr="0047138B" w:rsidRDefault="00261C41" w:rsidP="00261C41">
            <w:pPr>
              <w:spacing w:line="240" w:lineRule="auto"/>
              <w:jc w:val="center"/>
              <w:rPr>
                <w:rFonts w:eastAsia="Times New Roman" w:cs="Arial"/>
                <w:b/>
                <w:bCs/>
                <w:sz w:val="20"/>
                <w:szCs w:val="20"/>
                <w:lang w:eastAsia="pt-BR"/>
              </w:rPr>
            </w:pPr>
            <w:r w:rsidRPr="0047138B">
              <w:rPr>
                <w:rFonts w:eastAsia="Times New Roman" w:cs="Arial"/>
                <w:b/>
                <w:bCs/>
                <w:sz w:val="20"/>
                <w:szCs w:val="20"/>
                <w:lang w:eastAsia="pt-BR"/>
              </w:rPr>
              <w:t>CURTO (4 a 8)</w:t>
            </w:r>
          </w:p>
        </w:tc>
        <w:tc>
          <w:tcPr>
            <w:tcW w:w="624" w:type="pct"/>
            <w:shd w:val="clear" w:color="000000" w:fill="C0C0C0"/>
            <w:noWrap/>
            <w:vAlign w:val="center"/>
          </w:tcPr>
          <w:p w:rsidR="00261C41" w:rsidRPr="0047138B" w:rsidRDefault="00261C41" w:rsidP="00261C41">
            <w:pPr>
              <w:spacing w:line="240" w:lineRule="auto"/>
              <w:jc w:val="center"/>
              <w:rPr>
                <w:rFonts w:eastAsia="Times New Roman" w:cs="Arial"/>
                <w:b/>
                <w:bCs/>
                <w:sz w:val="20"/>
                <w:szCs w:val="20"/>
                <w:lang w:eastAsia="pt-BR"/>
              </w:rPr>
            </w:pPr>
            <w:r w:rsidRPr="0047138B">
              <w:rPr>
                <w:rFonts w:eastAsia="Times New Roman" w:cs="Arial"/>
                <w:b/>
                <w:bCs/>
                <w:sz w:val="20"/>
                <w:szCs w:val="20"/>
                <w:lang w:eastAsia="pt-BR"/>
              </w:rPr>
              <w:t>MÉDIO (9 a 12)</w:t>
            </w:r>
          </w:p>
        </w:tc>
        <w:tc>
          <w:tcPr>
            <w:tcW w:w="1894" w:type="pct"/>
            <w:shd w:val="clear" w:color="000000" w:fill="C0C0C0"/>
            <w:noWrap/>
            <w:vAlign w:val="center"/>
          </w:tcPr>
          <w:p w:rsidR="00261C41" w:rsidRPr="0047138B" w:rsidRDefault="00261C41" w:rsidP="00261C41">
            <w:pPr>
              <w:spacing w:line="240" w:lineRule="auto"/>
              <w:jc w:val="center"/>
              <w:rPr>
                <w:rFonts w:eastAsia="Times New Roman" w:cs="Arial"/>
                <w:b/>
                <w:bCs/>
                <w:sz w:val="20"/>
                <w:szCs w:val="20"/>
                <w:lang w:eastAsia="pt-BR"/>
              </w:rPr>
            </w:pPr>
            <w:r w:rsidRPr="0047138B">
              <w:rPr>
                <w:rFonts w:eastAsia="Times New Roman" w:cs="Arial"/>
                <w:b/>
                <w:bCs/>
                <w:sz w:val="20"/>
                <w:szCs w:val="20"/>
                <w:lang w:eastAsia="pt-BR"/>
              </w:rPr>
              <w:t>LONGO (13 a 20)</w:t>
            </w:r>
          </w:p>
        </w:tc>
      </w:tr>
      <w:tr w:rsidR="00261C41" w:rsidRPr="0047138B" w:rsidTr="00261C41">
        <w:trPr>
          <w:trHeight w:val="20"/>
          <w:jc w:val="center"/>
        </w:trPr>
        <w:tc>
          <w:tcPr>
            <w:tcW w:w="606" w:type="pct"/>
            <w:gridSpan w:val="2"/>
            <w:shd w:val="clear" w:color="auto" w:fill="auto"/>
            <w:noWrap/>
            <w:vAlign w:val="center"/>
          </w:tcPr>
          <w:p w:rsidR="00261C41" w:rsidRPr="0047138B" w:rsidRDefault="00261C41" w:rsidP="00261C41">
            <w:pPr>
              <w:spacing w:before="20" w:after="20" w:line="240" w:lineRule="auto"/>
              <w:jc w:val="both"/>
              <w:rPr>
                <w:rFonts w:cs="Arial"/>
                <w:bCs/>
                <w:sz w:val="20"/>
                <w:szCs w:val="20"/>
              </w:rPr>
            </w:pPr>
          </w:p>
        </w:tc>
        <w:tc>
          <w:tcPr>
            <w:tcW w:w="1876" w:type="pct"/>
            <w:gridSpan w:val="2"/>
            <w:shd w:val="clear" w:color="auto" w:fill="auto"/>
            <w:noWrap/>
            <w:vAlign w:val="center"/>
            <w:hideMark/>
          </w:tcPr>
          <w:p w:rsidR="00261C41" w:rsidRPr="0047138B" w:rsidRDefault="00261C41" w:rsidP="00261C41">
            <w:pPr>
              <w:spacing w:before="20" w:after="20" w:line="240" w:lineRule="auto"/>
              <w:jc w:val="both"/>
              <w:rPr>
                <w:rFonts w:cs="Arial"/>
                <w:bCs/>
                <w:sz w:val="20"/>
                <w:szCs w:val="20"/>
              </w:rPr>
            </w:pPr>
            <w:r w:rsidRPr="0047138B">
              <w:rPr>
                <w:rFonts w:cs="Arial"/>
                <w:bCs/>
                <w:sz w:val="20"/>
                <w:szCs w:val="20"/>
              </w:rPr>
              <w:t>3.1 Elaborar plano de recuperação de APPs e áreas verdes, considerando o mapeamento de áreas críticas de drenagem.</w:t>
            </w:r>
          </w:p>
          <w:p w:rsidR="00261C41" w:rsidRPr="0047138B" w:rsidRDefault="00261C41" w:rsidP="00261C41">
            <w:pPr>
              <w:spacing w:before="20" w:after="20" w:line="240" w:lineRule="auto"/>
              <w:jc w:val="both"/>
              <w:rPr>
                <w:rFonts w:cs="Arial"/>
                <w:bCs/>
                <w:sz w:val="20"/>
                <w:szCs w:val="20"/>
              </w:rPr>
            </w:pPr>
            <w:r w:rsidRPr="0047138B">
              <w:rPr>
                <w:rFonts w:cs="Arial"/>
                <w:bCs/>
                <w:sz w:val="20"/>
                <w:szCs w:val="20"/>
              </w:rPr>
              <w:t>3.3 Evitar ocupações em fundos de vale e diminuir incidência de assoreamento.</w:t>
            </w:r>
          </w:p>
        </w:tc>
        <w:tc>
          <w:tcPr>
            <w:tcW w:w="624" w:type="pct"/>
            <w:shd w:val="clear" w:color="auto" w:fill="auto"/>
            <w:noWrap/>
            <w:vAlign w:val="center"/>
            <w:hideMark/>
          </w:tcPr>
          <w:p w:rsidR="00261C41" w:rsidRPr="0047138B" w:rsidRDefault="00261C41" w:rsidP="00261C41">
            <w:pPr>
              <w:spacing w:before="20" w:after="20" w:line="240" w:lineRule="auto"/>
              <w:jc w:val="both"/>
              <w:rPr>
                <w:rFonts w:cs="Arial"/>
                <w:bCs/>
                <w:sz w:val="20"/>
                <w:szCs w:val="20"/>
              </w:rPr>
            </w:pPr>
            <w:r w:rsidRPr="0047138B">
              <w:rPr>
                <w:rFonts w:cs="Arial"/>
                <w:bCs/>
                <w:sz w:val="20"/>
                <w:szCs w:val="20"/>
              </w:rPr>
              <w:t>3.2 Recuperar 100% das APPs do município.</w:t>
            </w:r>
          </w:p>
          <w:p w:rsidR="00261C41" w:rsidRPr="0047138B" w:rsidRDefault="00261C41" w:rsidP="00261C41">
            <w:pPr>
              <w:spacing w:before="20" w:after="20" w:line="240" w:lineRule="auto"/>
              <w:jc w:val="both"/>
              <w:rPr>
                <w:rFonts w:cs="Arial"/>
                <w:bCs/>
                <w:sz w:val="20"/>
                <w:szCs w:val="20"/>
              </w:rPr>
            </w:pPr>
          </w:p>
        </w:tc>
        <w:tc>
          <w:tcPr>
            <w:tcW w:w="1894" w:type="pct"/>
            <w:shd w:val="clear" w:color="auto" w:fill="auto"/>
            <w:noWrap/>
            <w:vAlign w:val="center"/>
            <w:hideMark/>
          </w:tcPr>
          <w:p w:rsidR="00261C41" w:rsidRPr="0047138B" w:rsidRDefault="00261C41" w:rsidP="00261C41">
            <w:pPr>
              <w:spacing w:before="20" w:after="20" w:line="240" w:lineRule="auto"/>
              <w:jc w:val="both"/>
              <w:rPr>
                <w:rFonts w:cs="Arial"/>
                <w:bCs/>
                <w:sz w:val="20"/>
                <w:szCs w:val="20"/>
              </w:rPr>
            </w:pPr>
            <w:r w:rsidRPr="0047138B">
              <w:rPr>
                <w:rFonts w:cs="Arial"/>
                <w:bCs/>
                <w:sz w:val="20"/>
                <w:szCs w:val="20"/>
              </w:rPr>
              <w:t>3.4 Favorecer a infiltração da água no solo, especialmente utilizando a cobertura natural.</w:t>
            </w:r>
          </w:p>
          <w:p w:rsidR="00261C41" w:rsidRPr="0047138B" w:rsidRDefault="00261C41" w:rsidP="00261C41">
            <w:pPr>
              <w:spacing w:before="20" w:after="20" w:line="240" w:lineRule="auto"/>
              <w:jc w:val="both"/>
              <w:rPr>
                <w:rFonts w:cs="Arial"/>
                <w:bCs/>
                <w:sz w:val="20"/>
                <w:szCs w:val="20"/>
              </w:rPr>
            </w:pPr>
            <w:r w:rsidRPr="0047138B">
              <w:rPr>
                <w:rFonts w:cs="Arial"/>
                <w:bCs/>
                <w:sz w:val="20"/>
                <w:szCs w:val="20"/>
              </w:rPr>
              <w:t>3.5 Promover o ordenamento territorial na escala da bacia hidrográfica.</w:t>
            </w:r>
          </w:p>
        </w:tc>
      </w:tr>
    </w:tbl>
    <w:p w:rsidR="00261C41" w:rsidRPr="009840DA" w:rsidRDefault="00261C41" w:rsidP="00261C41">
      <w:pPr>
        <w:rPr>
          <w:rFonts w:cs="Arial"/>
          <w:sz w:val="2"/>
          <w:szCs w:val="2"/>
          <w:highlight w:val="yello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1"/>
        <w:gridCol w:w="8095"/>
        <w:gridCol w:w="2266"/>
        <w:gridCol w:w="1840"/>
        <w:gridCol w:w="1468"/>
      </w:tblGrid>
      <w:tr w:rsidR="00261C41" w:rsidRPr="001157F4" w:rsidTr="00261C41">
        <w:trPr>
          <w:trHeight w:val="20"/>
          <w:tblHeader/>
          <w:jc w:val="center"/>
        </w:trPr>
        <w:tc>
          <w:tcPr>
            <w:tcW w:w="1029" w:type="dxa"/>
            <w:shd w:val="clear" w:color="000000" w:fill="C0C0C0"/>
            <w:vAlign w:val="center"/>
          </w:tcPr>
          <w:p w:rsidR="00261C41" w:rsidRPr="001157F4" w:rsidRDefault="00261C41" w:rsidP="00261C41">
            <w:pPr>
              <w:spacing w:line="240" w:lineRule="auto"/>
              <w:jc w:val="center"/>
              <w:rPr>
                <w:rFonts w:eastAsia="Times New Roman" w:cs="Arial"/>
                <w:b/>
                <w:bCs/>
                <w:sz w:val="20"/>
                <w:szCs w:val="20"/>
                <w:lang w:eastAsia="pt-BR"/>
              </w:rPr>
            </w:pPr>
            <w:r w:rsidRPr="001157F4">
              <w:rPr>
                <w:rFonts w:eastAsia="Times New Roman" w:cs="Arial"/>
                <w:b/>
                <w:bCs/>
                <w:sz w:val="20"/>
                <w:szCs w:val="20"/>
                <w:lang w:eastAsia="pt-BR"/>
              </w:rPr>
              <w:t>CÓDIGO</w:t>
            </w:r>
          </w:p>
          <w:p w:rsidR="00261C41" w:rsidRPr="001157F4" w:rsidRDefault="00261C41" w:rsidP="00261C41">
            <w:pPr>
              <w:spacing w:line="240" w:lineRule="auto"/>
              <w:jc w:val="center"/>
              <w:rPr>
                <w:rFonts w:eastAsia="Times New Roman" w:cs="Arial"/>
                <w:b/>
                <w:bCs/>
                <w:sz w:val="20"/>
                <w:szCs w:val="20"/>
                <w:lang w:eastAsia="pt-BR"/>
              </w:rPr>
            </w:pPr>
            <w:r w:rsidRPr="001157F4">
              <w:rPr>
                <w:rFonts w:eastAsia="Times New Roman" w:cs="Arial"/>
                <w:b/>
                <w:bCs/>
                <w:sz w:val="20"/>
                <w:szCs w:val="20"/>
                <w:lang w:eastAsia="pt-BR"/>
              </w:rPr>
              <w:t>(s/o/m/a)*</w:t>
            </w:r>
          </w:p>
        </w:tc>
        <w:tc>
          <w:tcPr>
            <w:tcW w:w="8125" w:type="dxa"/>
            <w:shd w:val="clear" w:color="000000" w:fill="C0C0C0"/>
            <w:vAlign w:val="center"/>
          </w:tcPr>
          <w:p w:rsidR="00261C41" w:rsidRPr="001157F4" w:rsidRDefault="00261C41" w:rsidP="00261C41">
            <w:pPr>
              <w:spacing w:line="240" w:lineRule="auto"/>
              <w:jc w:val="center"/>
              <w:rPr>
                <w:rFonts w:eastAsia="Times New Roman" w:cs="Arial"/>
                <w:b/>
                <w:bCs/>
                <w:sz w:val="20"/>
                <w:szCs w:val="20"/>
                <w:lang w:eastAsia="pt-BR"/>
              </w:rPr>
            </w:pPr>
            <w:r w:rsidRPr="001157F4">
              <w:rPr>
                <w:rFonts w:eastAsia="Times New Roman" w:cs="Arial"/>
                <w:b/>
                <w:bCs/>
                <w:sz w:val="20"/>
                <w:szCs w:val="20"/>
                <w:lang w:eastAsia="pt-BR"/>
              </w:rPr>
              <w:t>DESCRIÇÃO</w:t>
            </w:r>
          </w:p>
        </w:tc>
        <w:tc>
          <w:tcPr>
            <w:tcW w:w="2268" w:type="dxa"/>
            <w:shd w:val="clear" w:color="000000" w:fill="C0C0C0"/>
          </w:tcPr>
          <w:p w:rsidR="00261C41" w:rsidRPr="001157F4" w:rsidRDefault="00261C41" w:rsidP="00261C41">
            <w:pPr>
              <w:spacing w:line="240" w:lineRule="auto"/>
              <w:ind w:firstLine="72"/>
              <w:jc w:val="center"/>
              <w:rPr>
                <w:rFonts w:eastAsia="Times New Roman" w:cs="Arial"/>
                <w:b/>
                <w:bCs/>
                <w:sz w:val="20"/>
                <w:szCs w:val="20"/>
                <w:lang w:eastAsia="pt-BR"/>
              </w:rPr>
            </w:pPr>
            <w:r w:rsidRPr="001157F4">
              <w:rPr>
                <w:rFonts w:eastAsia="Times New Roman" w:cs="Arial"/>
                <w:b/>
                <w:bCs/>
                <w:sz w:val="20"/>
                <w:szCs w:val="20"/>
                <w:lang w:eastAsia="pt-BR"/>
              </w:rPr>
              <w:t>Período de desenvolvimento da ação</w:t>
            </w:r>
          </w:p>
          <w:p w:rsidR="00261C41" w:rsidRPr="001157F4" w:rsidRDefault="00261C41" w:rsidP="00261C41">
            <w:pPr>
              <w:spacing w:before="20" w:after="20" w:line="240" w:lineRule="auto"/>
              <w:contextualSpacing/>
              <w:jc w:val="center"/>
              <w:rPr>
                <w:rFonts w:eastAsia="Times New Roman" w:cs="Arial"/>
                <w:b/>
                <w:bCs/>
                <w:sz w:val="20"/>
                <w:szCs w:val="20"/>
                <w:lang w:eastAsia="pt-BR"/>
              </w:rPr>
            </w:pPr>
            <w:r w:rsidRPr="001157F4">
              <w:rPr>
                <w:rFonts w:eastAsia="Times New Roman" w:cs="Arial"/>
                <w:b/>
                <w:bCs/>
                <w:sz w:val="20"/>
                <w:szCs w:val="20"/>
                <w:lang w:eastAsia="pt-BR"/>
              </w:rPr>
              <w:t>(ano)</w:t>
            </w:r>
          </w:p>
        </w:tc>
        <w:tc>
          <w:tcPr>
            <w:tcW w:w="1843" w:type="dxa"/>
            <w:shd w:val="clear" w:color="000000" w:fill="C0C0C0"/>
          </w:tcPr>
          <w:p w:rsidR="00261C41" w:rsidRPr="001157F4" w:rsidRDefault="00261C41" w:rsidP="00261C41">
            <w:pPr>
              <w:spacing w:line="240" w:lineRule="auto"/>
              <w:ind w:left="64" w:firstLine="8"/>
              <w:jc w:val="center"/>
              <w:rPr>
                <w:rFonts w:eastAsia="Times New Roman" w:cs="Arial"/>
                <w:b/>
                <w:bCs/>
                <w:sz w:val="20"/>
                <w:szCs w:val="20"/>
                <w:lang w:eastAsia="pt-BR"/>
              </w:rPr>
            </w:pPr>
            <w:r w:rsidRPr="001157F4">
              <w:rPr>
                <w:rFonts w:eastAsia="Times New Roman" w:cs="Arial"/>
                <w:b/>
                <w:bCs/>
                <w:sz w:val="20"/>
                <w:szCs w:val="20"/>
                <w:lang w:eastAsia="pt-BR"/>
              </w:rPr>
              <w:t>Custo total na moeda de 2017</w:t>
            </w:r>
          </w:p>
          <w:p w:rsidR="00261C41" w:rsidRPr="001157F4" w:rsidRDefault="00261C41" w:rsidP="00261C41">
            <w:pPr>
              <w:spacing w:before="20" w:after="20" w:line="240" w:lineRule="auto"/>
              <w:contextualSpacing/>
              <w:jc w:val="center"/>
              <w:rPr>
                <w:rFonts w:eastAsia="Times New Roman" w:cs="Arial"/>
                <w:b/>
                <w:bCs/>
                <w:sz w:val="20"/>
                <w:szCs w:val="20"/>
                <w:lang w:eastAsia="pt-BR"/>
              </w:rPr>
            </w:pPr>
            <w:r w:rsidRPr="001157F4">
              <w:rPr>
                <w:rFonts w:eastAsia="Times New Roman" w:cs="Arial"/>
                <w:b/>
                <w:bCs/>
                <w:sz w:val="20"/>
                <w:szCs w:val="20"/>
                <w:lang w:eastAsia="pt-BR"/>
              </w:rPr>
              <w:t>(R$)</w:t>
            </w:r>
          </w:p>
        </w:tc>
        <w:tc>
          <w:tcPr>
            <w:tcW w:w="1468" w:type="dxa"/>
            <w:shd w:val="clear" w:color="000000" w:fill="C0C0C0"/>
          </w:tcPr>
          <w:p w:rsidR="00261C41" w:rsidRPr="001157F4" w:rsidRDefault="00261C41" w:rsidP="00261C41">
            <w:pPr>
              <w:spacing w:line="240" w:lineRule="auto"/>
              <w:ind w:left="64" w:firstLine="8"/>
              <w:jc w:val="center"/>
              <w:rPr>
                <w:rFonts w:eastAsia="Times New Roman" w:cs="Arial"/>
                <w:b/>
                <w:bCs/>
                <w:sz w:val="20"/>
                <w:szCs w:val="20"/>
                <w:lang w:eastAsia="pt-BR"/>
              </w:rPr>
            </w:pPr>
            <w:r w:rsidRPr="001157F4">
              <w:rPr>
                <w:rFonts w:eastAsia="Times New Roman" w:cs="Arial"/>
                <w:b/>
                <w:bCs/>
                <w:sz w:val="20"/>
                <w:szCs w:val="20"/>
                <w:lang w:eastAsia="pt-BR"/>
              </w:rPr>
              <w:t>Responsável pela ação</w:t>
            </w:r>
          </w:p>
          <w:p w:rsidR="00261C41" w:rsidRPr="001157F4" w:rsidRDefault="00261C41" w:rsidP="00261C41">
            <w:pPr>
              <w:spacing w:line="240" w:lineRule="auto"/>
              <w:rPr>
                <w:rFonts w:eastAsia="Times New Roman" w:cs="Arial"/>
                <w:b/>
                <w:bCs/>
                <w:sz w:val="20"/>
                <w:szCs w:val="20"/>
                <w:lang w:eastAsia="pt-BR"/>
              </w:rPr>
            </w:pPr>
          </w:p>
        </w:tc>
      </w:tr>
      <w:tr w:rsidR="00261C41" w:rsidRPr="001157F4" w:rsidTr="00261C41">
        <w:trPr>
          <w:trHeight w:val="20"/>
          <w:jc w:val="center"/>
        </w:trPr>
        <w:tc>
          <w:tcPr>
            <w:tcW w:w="1029" w:type="dxa"/>
            <w:shd w:val="clear" w:color="auto" w:fill="auto"/>
            <w:vAlign w:val="center"/>
          </w:tcPr>
          <w:p w:rsidR="00261C41" w:rsidRPr="001157F4" w:rsidRDefault="00261C41" w:rsidP="00261C41">
            <w:pPr>
              <w:spacing w:line="240" w:lineRule="auto"/>
              <w:jc w:val="center"/>
              <w:rPr>
                <w:rFonts w:cs="Arial"/>
                <w:sz w:val="20"/>
                <w:szCs w:val="20"/>
                <w:lang w:eastAsia="pt-BR"/>
              </w:rPr>
            </w:pPr>
            <w:r w:rsidRPr="001157F4">
              <w:rPr>
                <w:rFonts w:eastAsia="Times New Roman" w:cs="Arial"/>
                <w:sz w:val="20"/>
                <w:szCs w:val="20"/>
                <w:lang w:eastAsia="pt-BR"/>
              </w:rPr>
              <w:t>3.3.1.28</w:t>
            </w:r>
          </w:p>
        </w:tc>
        <w:tc>
          <w:tcPr>
            <w:tcW w:w="8125" w:type="dxa"/>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Realizar um estudo detalhado de áreas verdes, diagnosticando problemas e potencialidades, além de realizar levantamento de possíveis áreas para criação de novos equipamentos e áreas que necessitem de recomposição.</w:t>
            </w:r>
          </w:p>
        </w:tc>
        <w:tc>
          <w:tcPr>
            <w:tcW w:w="2268"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3º-3º</w:t>
            </w:r>
          </w:p>
        </w:tc>
        <w:tc>
          <w:tcPr>
            <w:tcW w:w="1843"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468"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20"/>
          <w:jc w:val="center"/>
        </w:trPr>
        <w:tc>
          <w:tcPr>
            <w:tcW w:w="1029"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3.3.1.29</w:t>
            </w:r>
          </w:p>
        </w:tc>
        <w:tc>
          <w:tcPr>
            <w:tcW w:w="8125" w:type="dxa"/>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Realizar mapeamento e cadastramento das nascentes municipais.</w:t>
            </w:r>
          </w:p>
        </w:tc>
        <w:tc>
          <w:tcPr>
            <w:tcW w:w="2268"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1º-3º</w:t>
            </w:r>
          </w:p>
        </w:tc>
        <w:tc>
          <w:tcPr>
            <w:tcW w:w="1843"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468"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20"/>
          <w:jc w:val="center"/>
        </w:trPr>
        <w:tc>
          <w:tcPr>
            <w:tcW w:w="1029"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3.3.1.30</w:t>
            </w:r>
          </w:p>
        </w:tc>
        <w:tc>
          <w:tcPr>
            <w:tcW w:w="8125" w:type="dxa"/>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Elaborar um Plano de recuperação das APPS e áreas verdes municipais considerando o mapeamento das áreas críticas de drenagem. Esse Plano deve conter a delimitação das áreas que precisam ser desapropriadas, assim como o planejamento da execução dessa desapropriação.</w:t>
            </w:r>
          </w:p>
        </w:tc>
        <w:tc>
          <w:tcPr>
            <w:tcW w:w="2268"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2º-8º</w:t>
            </w:r>
          </w:p>
        </w:tc>
        <w:tc>
          <w:tcPr>
            <w:tcW w:w="1843"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468"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794"/>
          <w:jc w:val="center"/>
        </w:trPr>
        <w:tc>
          <w:tcPr>
            <w:tcW w:w="1029"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3.3.2.31</w:t>
            </w:r>
          </w:p>
        </w:tc>
        <w:tc>
          <w:tcPr>
            <w:tcW w:w="8125" w:type="dxa"/>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Executar o Plano de recuperação de Áreas de Preservação Permanente (APPs) e áreas verdes através da desapropriação das áreas ocupadas e recomposição da mata ciliar. Instalar lixeiras nos parques e praças do município. Utilizar esses procedimentos de recuperação como atividades de educação e sensibilização ambiental da população.</w:t>
            </w:r>
          </w:p>
        </w:tc>
        <w:tc>
          <w:tcPr>
            <w:tcW w:w="2268"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3º-12º</w:t>
            </w:r>
          </w:p>
        </w:tc>
        <w:tc>
          <w:tcPr>
            <w:tcW w:w="1843"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70.000,00</w:t>
            </w:r>
          </w:p>
        </w:tc>
        <w:tc>
          <w:tcPr>
            <w:tcW w:w="1468"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794"/>
          <w:jc w:val="center"/>
        </w:trPr>
        <w:tc>
          <w:tcPr>
            <w:tcW w:w="1029"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lastRenderedPageBreak/>
              <w:t>3.3.3.32</w:t>
            </w:r>
          </w:p>
        </w:tc>
        <w:tc>
          <w:tcPr>
            <w:tcW w:w="8125" w:type="dxa"/>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Cercar APPs e fundos de vale para coibir a ocupação e proteger as restaurações.</w:t>
            </w:r>
          </w:p>
        </w:tc>
        <w:tc>
          <w:tcPr>
            <w:tcW w:w="2268"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1º-20º</w:t>
            </w:r>
          </w:p>
        </w:tc>
        <w:tc>
          <w:tcPr>
            <w:tcW w:w="1843"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70.000,00</w:t>
            </w:r>
          </w:p>
        </w:tc>
        <w:tc>
          <w:tcPr>
            <w:tcW w:w="1468"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794"/>
          <w:jc w:val="center"/>
        </w:trPr>
        <w:tc>
          <w:tcPr>
            <w:tcW w:w="1029"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3.3.3.33</w:t>
            </w:r>
          </w:p>
        </w:tc>
        <w:tc>
          <w:tcPr>
            <w:tcW w:w="8125" w:type="dxa"/>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Fiscalizar e coibir ocupação de fundos de vale.</w:t>
            </w:r>
          </w:p>
        </w:tc>
        <w:tc>
          <w:tcPr>
            <w:tcW w:w="2268"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1º-20º</w:t>
            </w:r>
          </w:p>
        </w:tc>
        <w:tc>
          <w:tcPr>
            <w:tcW w:w="1843"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168.584,00</w:t>
            </w:r>
          </w:p>
        </w:tc>
        <w:tc>
          <w:tcPr>
            <w:tcW w:w="1468"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20"/>
          <w:jc w:val="center"/>
        </w:trPr>
        <w:tc>
          <w:tcPr>
            <w:tcW w:w="1029"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3.3.4.34</w:t>
            </w:r>
          </w:p>
        </w:tc>
        <w:tc>
          <w:tcPr>
            <w:tcW w:w="8125" w:type="dxa"/>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Dar prioridade a cobertura natural em regiões de contribuições às áreas criticas para drenagem.</w:t>
            </w:r>
          </w:p>
        </w:tc>
        <w:tc>
          <w:tcPr>
            <w:tcW w:w="2268"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3º-20º</w:t>
            </w:r>
          </w:p>
        </w:tc>
        <w:tc>
          <w:tcPr>
            <w:tcW w:w="1843"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468"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20"/>
          <w:jc w:val="center"/>
        </w:trPr>
        <w:tc>
          <w:tcPr>
            <w:tcW w:w="1029"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3.3.5.35</w:t>
            </w:r>
          </w:p>
        </w:tc>
        <w:tc>
          <w:tcPr>
            <w:tcW w:w="8125" w:type="dxa"/>
            <w:shd w:val="clear" w:color="auto" w:fill="auto"/>
            <w:vAlign w:val="center"/>
          </w:tcPr>
          <w:p w:rsidR="00261C41" w:rsidRPr="001157F4" w:rsidRDefault="00261C41" w:rsidP="00261C41">
            <w:pPr>
              <w:pStyle w:val="Estilo1"/>
              <w:tabs>
                <w:tab w:val="clear" w:pos="891"/>
              </w:tabs>
              <w:spacing w:before="0" w:after="0"/>
              <w:ind w:left="781" w:hanging="425"/>
              <w:contextualSpacing w:val="0"/>
            </w:pPr>
            <w:r w:rsidRPr="001157F4">
              <w:t>Realizar zoneamento ambiental da bacia hidrográfica predominante no município, a fim de gerir de forma sustentável o território da bacia hidrográfica, planejando o uso e ocupação, limitando-os em função de regiões a jusante com graves problemas de inundação.</w:t>
            </w:r>
          </w:p>
        </w:tc>
        <w:tc>
          <w:tcPr>
            <w:tcW w:w="2268"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3º-20º</w:t>
            </w:r>
          </w:p>
        </w:tc>
        <w:tc>
          <w:tcPr>
            <w:tcW w:w="1843"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12.059,02</w:t>
            </w:r>
          </w:p>
        </w:tc>
        <w:tc>
          <w:tcPr>
            <w:tcW w:w="1468"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bl>
    <w:p w:rsidR="00261C41" w:rsidRDefault="00261C41" w:rsidP="00AA5146">
      <w:pPr>
        <w:pStyle w:val="Fonte"/>
      </w:pPr>
      <w:r>
        <w:t>*</w:t>
      </w:r>
      <w:r w:rsidRPr="00680B12">
        <w:t>(s/o/m/a) = nº do setor / nº do objetivo / nº da meta / nº da ação.</w:t>
      </w:r>
    </w:p>
    <w:p w:rsidR="00810C89" w:rsidRDefault="00810C89" w:rsidP="00AA5146">
      <w:pPr>
        <w:pStyle w:val="Fonte"/>
      </w:pPr>
      <w:r>
        <w:br w:type="page"/>
      </w:r>
    </w:p>
    <w:p w:rsidR="00261C41" w:rsidRPr="000D64AC" w:rsidRDefault="00261C41" w:rsidP="00261C41">
      <w:pPr>
        <w:pStyle w:val="Legenda"/>
      </w:pPr>
      <w:bookmarkStart w:id="902" w:name="_Toc491704047"/>
      <w:bookmarkStart w:id="903" w:name="_Toc498609259"/>
      <w:bookmarkStart w:id="904" w:name="_Toc505788349"/>
      <w:bookmarkStart w:id="905" w:name="_Toc509935852"/>
      <w:r w:rsidRPr="000D64AC">
        <w:lastRenderedPageBreak/>
        <w:t xml:space="preserve">Quadro </w:t>
      </w:r>
      <w:r w:rsidR="000A1C78">
        <w:fldChar w:fldCharType="begin"/>
      </w:r>
      <w:r w:rsidR="000A1C78">
        <w:instrText xml:space="preserve"> SEQ Quadro \* ARABIC </w:instrText>
      </w:r>
      <w:r w:rsidR="000A1C78">
        <w:fldChar w:fldCharType="separate"/>
      </w:r>
      <w:r w:rsidR="001B481B">
        <w:rPr>
          <w:noProof/>
        </w:rPr>
        <w:t>75</w:t>
      </w:r>
      <w:r w:rsidR="000A1C78">
        <w:rPr>
          <w:noProof/>
        </w:rPr>
        <w:fldChar w:fldCharType="end"/>
      </w:r>
      <w:r w:rsidRPr="000D64AC">
        <w:t xml:space="preserve"> - </w:t>
      </w:r>
      <w:r w:rsidRPr="00B04B98">
        <w:t>Programas e ações propostos para o setor de drenagem urbana e manejo de águas pluviais</w:t>
      </w:r>
      <w:r w:rsidRPr="000D64AC">
        <w:t xml:space="preserve"> - Objetivo 4</w:t>
      </w:r>
      <w:bookmarkEnd w:id="902"/>
      <w:bookmarkEnd w:id="903"/>
      <w:bookmarkEnd w:id="904"/>
      <w:bookmarkEnd w:id="905"/>
    </w:p>
    <w:tbl>
      <w:tblPr>
        <w:tblW w:w="14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46"/>
        <w:gridCol w:w="283"/>
        <w:gridCol w:w="569"/>
        <w:gridCol w:w="6949"/>
        <w:gridCol w:w="3405"/>
        <w:gridCol w:w="1890"/>
      </w:tblGrid>
      <w:tr w:rsidR="00261C41" w:rsidRPr="0047138B" w:rsidTr="00261C41">
        <w:trPr>
          <w:trHeight w:val="283"/>
          <w:jc w:val="center"/>
        </w:trPr>
        <w:tc>
          <w:tcPr>
            <w:tcW w:w="558" w:type="pct"/>
            <w:shd w:val="clear" w:color="000000" w:fill="C0C0C0"/>
            <w:noWrap/>
            <w:vAlign w:val="center"/>
            <w:hideMark/>
          </w:tcPr>
          <w:p w:rsidR="00261C41" w:rsidRPr="0047138B" w:rsidRDefault="00261C41" w:rsidP="00261C41">
            <w:pPr>
              <w:spacing w:line="240" w:lineRule="auto"/>
              <w:rPr>
                <w:rFonts w:eastAsia="Times New Roman" w:cs="Arial"/>
                <w:b/>
                <w:bCs/>
                <w:sz w:val="20"/>
                <w:szCs w:val="20"/>
                <w:lang w:eastAsia="pt-BR"/>
              </w:rPr>
            </w:pPr>
            <w:r w:rsidRPr="0047138B">
              <w:rPr>
                <w:rFonts w:eastAsia="Times New Roman" w:cs="Arial"/>
                <w:b/>
                <w:bCs/>
                <w:sz w:val="20"/>
                <w:szCs w:val="20"/>
                <w:lang w:eastAsia="pt-BR"/>
              </w:rPr>
              <w:t>SETOR</w:t>
            </w:r>
          </w:p>
        </w:tc>
        <w:tc>
          <w:tcPr>
            <w:tcW w:w="96" w:type="pct"/>
            <w:shd w:val="clear" w:color="auto" w:fill="auto"/>
            <w:noWrap/>
            <w:vAlign w:val="center"/>
            <w:hideMark/>
          </w:tcPr>
          <w:p w:rsidR="00261C41" w:rsidRPr="0047138B" w:rsidRDefault="00261C41" w:rsidP="00261C41">
            <w:pPr>
              <w:spacing w:line="240" w:lineRule="auto"/>
              <w:rPr>
                <w:rFonts w:eastAsia="Times New Roman" w:cs="Arial"/>
                <w:sz w:val="20"/>
                <w:szCs w:val="20"/>
                <w:lang w:eastAsia="pt-BR"/>
              </w:rPr>
            </w:pPr>
            <w:r w:rsidRPr="0047138B">
              <w:rPr>
                <w:rFonts w:eastAsia="Times New Roman" w:cs="Arial"/>
                <w:sz w:val="20"/>
                <w:szCs w:val="20"/>
                <w:lang w:eastAsia="pt-BR"/>
              </w:rPr>
              <w:t>3</w:t>
            </w:r>
          </w:p>
        </w:tc>
        <w:tc>
          <w:tcPr>
            <w:tcW w:w="4346" w:type="pct"/>
            <w:gridSpan w:val="4"/>
            <w:shd w:val="clear" w:color="auto" w:fill="auto"/>
            <w:noWrap/>
            <w:vAlign w:val="center"/>
            <w:hideMark/>
          </w:tcPr>
          <w:p w:rsidR="00261C41" w:rsidRPr="0047138B" w:rsidRDefault="00261C41" w:rsidP="00261C41">
            <w:pPr>
              <w:spacing w:line="240" w:lineRule="auto"/>
              <w:jc w:val="both"/>
              <w:rPr>
                <w:rFonts w:eastAsia="Times New Roman" w:cs="Arial"/>
                <w:sz w:val="20"/>
                <w:szCs w:val="20"/>
                <w:lang w:eastAsia="pt-BR"/>
              </w:rPr>
            </w:pPr>
            <w:r w:rsidRPr="0047138B">
              <w:rPr>
                <w:rFonts w:cs="Arial"/>
                <w:sz w:val="20"/>
                <w:szCs w:val="20"/>
              </w:rPr>
              <w:t>Drenagem Urbana e Manejo de Águas Pluviais.</w:t>
            </w:r>
          </w:p>
        </w:tc>
      </w:tr>
      <w:tr w:rsidR="00261C41" w:rsidRPr="0047138B" w:rsidTr="00261C41">
        <w:trPr>
          <w:trHeight w:val="283"/>
          <w:jc w:val="center"/>
        </w:trPr>
        <w:tc>
          <w:tcPr>
            <w:tcW w:w="558" w:type="pct"/>
            <w:shd w:val="clear" w:color="000000" w:fill="C0C0C0"/>
            <w:vAlign w:val="center"/>
            <w:hideMark/>
          </w:tcPr>
          <w:p w:rsidR="00261C41" w:rsidRPr="0047138B" w:rsidRDefault="00261C41" w:rsidP="00261C41">
            <w:pPr>
              <w:spacing w:line="240" w:lineRule="auto"/>
              <w:rPr>
                <w:rFonts w:eastAsia="Times New Roman" w:cs="Arial"/>
                <w:b/>
                <w:bCs/>
                <w:sz w:val="20"/>
                <w:szCs w:val="20"/>
                <w:lang w:eastAsia="pt-BR"/>
              </w:rPr>
            </w:pPr>
            <w:r w:rsidRPr="0047138B">
              <w:rPr>
                <w:rFonts w:eastAsia="Times New Roman" w:cs="Arial"/>
                <w:b/>
                <w:bCs/>
                <w:sz w:val="20"/>
                <w:szCs w:val="20"/>
                <w:lang w:eastAsia="pt-BR"/>
              </w:rPr>
              <w:t>OBJETIVO</w:t>
            </w:r>
          </w:p>
        </w:tc>
        <w:tc>
          <w:tcPr>
            <w:tcW w:w="96" w:type="pct"/>
            <w:shd w:val="clear" w:color="auto" w:fill="auto"/>
            <w:vAlign w:val="center"/>
            <w:hideMark/>
          </w:tcPr>
          <w:p w:rsidR="00261C41" w:rsidRPr="0047138B" w:rsidRDefault="00261C41" w:rsidP="00261C41">
            <w:pPr>
              <w:spacing w:line="240" w:lineRule="auto"/>
              <w:rPr>
                <w:rFonts w:eastAsia="Times New Roman" w:cs="Arial"/>
                <w:sz w:val="20"/>
                <w:szCs w:val="20"/>
                <w:lang w:eastAsia="pt-BR"/>
              </w:rPr>
            </w:pPr>
            <w:r w:rsidRPr="0047138B">
              <w:rPr>
                <w:rFonts w:eastAsia="Times New Roman" w:cs="Arial"/>
                <w:sz w:val="20"/>
                <w:szCs w:val="20"/>
                <w:lang w:eastAsia="pt-BR"/>
              </w:rPr>
              <w:t>4</w:t>
            </w:r>
          </w:p>
        </w:tc>
        <w:tc>
          <w:tcPr>
            <w:tcW w:w="4346" w:type="pct"/>
            <w:gridSpan w:val="4"/>
            <w:shd w:val="clear" w:color="auto" w:fill="auto"/>
            <w:vAlign w:val="center"/>
            <w:hideMark/>
          </w:tcPr>
          <w:p w:rsidR="00261C41" w:rsidRPr="0047138B" w:rsidRDefault="00261C41" w:rsidP="00261C41">
            <w:pPr>
              <w:spacing w:line="240" w:lineRule="auto"/>
              <w:jc w:val="both"/>
              <w:rPr>
                <w:rFonts w:cs="Arial"/>
                <w:sz w:val="20"/>
                <w:szCs w:val="20"/>
              </w:rPr>
            </w:pPr>
            <w:r w:rsidRPr="0047138B">
              <w:rPr>
                <w:bCs/>
                <w:sz w:val="20"/>
              </w:rPr>
              <w:t>Implementar para o SDU uma gestão eficiente no que concerne os aspectos administrativos, operacionais, financeiros, de planejamento estratégico e de sustentabilidade.</w:t>
            </w:r>
          </w:p>
        </w:tc>
      </w:tr>
      <w:tr w:rsidR="00261C41" w:rsidRPr="0047138B" w:rsidTr="00261C41">
        <w:trPr>
          <w:trHeight w:val="283"/>
          <w:jc w:val="center"/>
        </w:trPr>
        <w:tc>
          <w:tcPr>
            <w:tcW w:w="558" w:type="pct"/>
            <w:shd w:val="clear" w:color="000000" w:fill="C0C0C0"/>
            <w:vAlign w:val="center"/>
          </w:tcPr>
          <w:p w:rsidR="00261C41" w:rsidRPr="0047138B" w:rsidRDefault="00261C41" w:rsidP="00261C41">
            <w:pPr>
              <w:spacing w:line="240" w:lineRule="auto"/>
              <w:rPr>
                <w:rFonts w:eastAsia="Times New Roman" w:cs="Arial"/>
                <w:b/>
                <w:bCs/>
                <w:sz w:val="20"/>
                <w:szCs w:val="20"/>
                <w:lang w:eastAsia="pt-BR"/>
              </w:rPr>
            </w:pPr>
            <w:r>
              <w:rPr>
                <w:rFonts w:eastAsia="Times New Roman" w:cs="Arial"/>
                <w:b/>
                <w:bCs/>
                <w:sz w:val="20"/>
                <w:szCs w:val="20"/>
                <w:lang w:eastAsia="pt-BR"/>
              </w:rPr>
              <w:t>INDICADORES</w:t>
            </w:r>
          </w:p>
        </w:tc>
        <w:tc>
          <w:tcPr>
            <w:tcW w:w="4442" w:type="pct"/>
            <w:gridSpan w:val="5"/>
            <w:shd w:val="clear" w:color="auto" w:fill="auto"/>
            <w:vAlign w:val="center"/>
          </w:tcPr>
          <w:p w:rsidR="00261C41" w:rsidRDefault="00261C41" w:rsidP="00261C41">
            <w:pPr>
              <w:spacing w:line="240" w:lineRule="auto"/>
              <w:ind w:left="213"/>
              <w:jc w:val="both"/>
              <w:rPr>
                <w:bCs/>
                <w:sz w:val="20"/>
              </w:rPr>
            </w:pPr>
            <w:r w:rsidRPr="00534E33">
              <w:rPr>
                <w:bCs/>
                <w:sz w:val="20"/>
                <w:lang w:val="x-none"/>
              </w:rPr>
              <w:t>Índice de atendimento às ações propostas para o SDU</w:t>
            </w:r>
            <w:r>
              <w:rPr>
                <w:bCs/>
                <w:sz w:val="20"/>
              </w:rPr>
              <w:t>.</w:t>
            </w:r>
          </w:p>
          <w:p w:rsidR="00261C41" w:rsidRDefault="00261C41" w:rsidP="00261C41">
            <w:pPr>
              <w:spacing w:line="240" w:lineRule="auto"/>
              <w:ind w:left="213"/>
              <w:jc w:val="both"/>
              <w:rPr>
                <w:bCs/>
                <w:sz w:val="20"/>
              </w:rPr>
            </w:pPr>
            <w:r w:rsidRPr="00534E33">
              <w:rPr>
                <w:bCs/>
                <w:sz w:val="20"/>
              </w:rPr>
              <w:t>Índice de cadastro do sistema de drenagem urbana</w:t>
            </w:r>
            <w:r>
              <w:rPr>
                <w:bCs/>
                <w:sz w:val="20"/>
              </w:rPr>
              <w:t>.</w:t>
            </w:r>
          </w:p>
          <w:p w:rsidR="00261C41" w:rsidRDefault="00261C41" w:rsidP="00261C41">
            <w:pPr>
              <w:spacing w:line="240" w:lineRule="auto"/>
              <w:ind w:left="213"/>
              <w:jc w:val="both"/>
              <w:rPr>
                <w:bCs/>
                <w:sz w:val="20"/>
              </w:rPr>
            </w:pPr>
            <w:r w:rsidRPr="0045745B">
              <w:rPr>
                <w:bCs/>
                <w:sz w:val="20"/>
              </w:rPr>
              <w:t>Duração média dos reparos na rede de microdrenagem desde a solicitação do usuário</w:t>
            </w:r>
            <w:r>
              <w:rPr>
                <w:bCs/>
                <w:sz w:val="20"/>
              </w:rPr>
              <w:t>.</w:t>
            </w:r>
          </w:p>
          <w:p w:rsidR="00261C41" w:rsidRDefault="00261C41" w:rsidP="00261C41">
            <w:pPr>
              <w:spacing w:line="240" w:lineRule="auto"/>
              <w:ind w:left="213"/>
              <w:jc w:val="both"/>
              <w:rPr>
                <w:bCs/>
                <w:sz w:val="20"/>
              </w:rPr>
            </w:pPr>
            <w:r w:rsidRPr="0045745B">
              <w:rPr>
                <w:bCs/>
                <w:sz w:val="20"/>
              </w:rPr>
              <w:t>Índice de Monitoramento Pluviométrico</w:t>
            </w:r>
            <w:r>
              <w:rPr>
                <w:bCs/>
                <w:sz w:val="20"/>
              </w:rPr>
              <w:t>.</w:t>
            </w:r>
          </w:p>
          <w:p w:rsidR="00261C41" w:rsidRPr="00534E33" w:rsidRDefault="00261C41" w:rsidP="00261C41">
            <w:pPr>
              <w:spacing w:line="240" w:lineRule="auto"/>
              <w:ind w:left="213"/>
              <w:jc w:val="both"/>
              <w:rPr>
                <w:bCs/>
                <w:sz w:val="20"/>
              </w:rPr>
            </w:pPr>
            <w:r w:rsidRPr="0045745B">
              <w:rPr>
                <w:bCs/>
                <w:sz w:val="20"/>
              </w:rPr>
              <w:t>Índice de Monitoramento Fluviométrico</w:t>
            </w:r>
            <w:r>
              <w:rPr>
                <w:bCs/>
                <w:sz w:val="20"/>
              </w:rPr>
              <w:t>.</w:t>
            </w:r>
          </w:p>
        </w:tc>
      </w:tr>
      <w:tr w:rsidR="00261C41" w:rsidRPr="0047138B" w:rsidTr="00261C41">
        <w:trPr>
          <w:trHeight w:val="283"/>
          <w:jc w:val="center"/>
        </w:trPr>
        <w:tc>
          <w:tcPr>
            <w:tcW w:w="5000" w:type="pct"/>
            <w:gridSpan w:val="6"/>
            <w:shd w:val="clear" w:color="000000" w:fill="C0C0C0"/>
            <w:noWrap/>
            <w:vAlign w:val="center"/>
            <w:hideMark/>
          </w:tcPr>
          <w:p w:rsidR="00261C41" w:rsidRPr="0047138B" w:rsidRDefault="00261C41" w:rsidP="00261C41">
            <w:pPr>
              <w:spacing w:line="240" w:lineRule="auto"/>
              <w:jc w:val="center"/>
              <w:rPr>
                <w:rFonts w:eastAsia="Times New Roman" w:cs="Arial"/>
                <w:b/>
                <w:bCs/>
                <w:sz w:val="20"/>
                <w:szCs w:val="20"/>
                <w:lang w:eastAsia="pt-BR"/>
              </w:rPr>
            </w:pPr>
            <w:r w:rsidRPr="0047138B">
              <w:rPr>
                <w:rFonts w:eastAsia="Times New Roman" w:cs="Arial"/>
                <w:b/>
                <w:bCs/>
                <w:sz w:val="20"/>
                <w:szCs w:val="20"/>
                <w:lang w:eastAsia="pt-BR"/>
              </w:rPr>
              <w:t>PRAZO DE ENTREGA DA META (ANOS)</w:t>
            </w:r>
          </w:p>
        </w:tc>
      </w:tr>
      <w:tr w:rsidR="00261C41" w:rsidRPr="0047138B" w:rsidTr="00261C41">
        <w:trPr>
          <w:trHeight w:val="283"/>
          <w:jc w:val="center"/>
        </w:trPr>
        <w:tc>
          <w:tcPr>
            <w:tcW w:w="847" w:type="pct"/>
            <w:gridSpan w:val="3"/>
            <w:shd w:val="clear" w:color="000000" w:fill="C0C0C0"/>
            <w:noWrap/>
            <w:vAlign w:val="center"/>
            <w:hideMark/>
          </w:tcPr>
          <w:p w:rsidR="00261C41" w:rsidRPr="0047138B" w:rsidRDefault="00261C41" w:rsidP="00261C41">
            <w:pPr>
              <w:spacing w:line="240" w:lineRule="auto"/>
              <w:jc w:val="center"/>
              <w:rPr>
                <w:rFonts w:eastAsia="Times New Roman" w:cs="Arial"/>
                <w:b/>
                <w:bCs/>
                <w:sz w:val="20"/>
                <w:szCs w:val="20"/>
                <w:lang w:eastAsia="pt-BR"/>
              </w:rPr>
            </w:pPr>
            <w:r w:rsidRPr="0047138B">
              <w:rPr>
                <w:rFonts w:eastAsia="Times New Roman" w:cs="Arial"/>
                <w:b/>
                <w:bCs/>
                <w:sz w:val="20"/>
                <w:szCs w:val="20"/>
                <w:lang w:eastAsia="pt-BR"/>
              </w:rPr>
              <w:t>IMEDIATO (0 a 3)</w:t>
            </w:r>
          </w:p>
        </w:tc>
        <w:tc>
          <w:tcPr>
            <w:tcW w:w="2357" w:type="pct"/>
            <w:shd w:val="clear" w:color="000000" w:fill="C0C0C0"/>
            <w:noWrap/>
            <w:vAlign w:val="center"/>
            <w:hideMark/>
          </w:tcPr>
          <w:p w:rsidR="00261C41" w:rsidRPr="0047138B" w:rsidRDefault="00261C41" w:rsidP="00261C41">
            <w:pPr>
              <w:spacing w:line="240" w:lineRule="auto"/>
              <w:jc w:val="center"/>
              <w:rPr>
                <w:rFonts w:eastAsia="Times New Roman" w:cs="Arial"/>
                <w:b/>
                <w:bCs/>
                <w:sz w:val="20"/>
                <w:szCs w:val="20"/>
                <w:lang w:eastAsia="pt-BR"/>
              </w:rPr>
            </w:pPr>
            <w:r w:rsidRPr="0047138B">
              <w:rPr>
                <w:rFonts w:eastAsia="Times New Roman" w:cs="Arial"/>
                <w:b/>
                <w:bCs/>
                <w:sz w:val="20"/>
                <w:szCs w:val="20"/>
                <w:lang w:eastAsia="pt-BR"/>
              </w:rPr>
              <w:t>CURTO (4 a 8)</w:t>
            </w:r>
          </w:p>
        </w:tc>
        <w:tc>
          <w:tcPr>
            <w:tcW w:w="1155" w:type="pct"/>
            <w:shd w:val="clear" w:color="000000" w:fill="C0C0C0"/>
            <w:noWrap/>
            <w:vAlign w:val="center"/>
            <w:hideMark/>
          </w:tcPr>
          <w:p w:rsidR="00261C41" w:rsidRPr="0047138B" w:rsidRDefault="00261C41" w:rsidP="00261C41">
            <w:pPr>
              <w:spacing w:line="240" w:lineRule="auto"/>
              <w:jc w:val="center"/>
              <w:rPr>
                <w:rFonts w:eastAsia="Times New Roman" w:cs="Arial"/>
                <w:b/>
                <w:bCs/>
                <w:sz w:val="20"/>
                <w:szCs w:val="20"/>
                <w:lang w:eastAsia="pt-BR"/>
              </w:rPr>
            </w:pPr>
            <w:r w:rsidRPr="0047138B">
              <w:rPr>
                <w:rFonts w:eastAsia="Times New Roman" w:cs="Arial"/>
                <w:b/>
                <w:bCs/>
                <w:sz w:val="20"/>
                <w:szCs w:val="20"/>
                <w:lang w:eastAsia="pt-BR"/>
              </w:rPr>
              <w:t>MÉDIO (9 a 12)</w:t>
            </w:r>
          </w:p>
        </w:tc>
        <w:tc>
          <w:tcPr>
            <w:tcW w:w="641" w:type="pct"/>
            <w:shd w:val="clear" w:color="000000" w:fill="C0C0C0"/>
            <w:noWrap/>
            <w:vAlign w:val="center"/>
            <w:hideMark/>
          </w:tcPr>
          <w:p w:rsidR="00261C41" w:rsidRPr="0047138B" w:rsidRDefault="00261C41" w:rsidP="00261C41">
            <w:pPr>
              <w:spacing w:line="240" w:lineRule="auto"/>
              <w:jc w:val="center"/>
              <w:rPr>
                <w:rFonts w:eastAsia="Times New Roman" w:cs="Arial"/>
                <w:b/>
                <w:bCs/>
                <w:sz w:val="20"/>
                <w:szCs w:val="20"/>
                <w:lang w:eastAsia="pt-BR"/>
              </w:rPr>
            </w:pPr>
            <w:r w:rsidRPr="0047138B">
              <w:rPr>
                <w:rFonts w:eastAsia="Times New Roman" w:cs="Arial"/>
                <w:b/>
                <w:bCs/>
                <w:sz w:val="20"/>
                <w:szCs w:val="20"/>
                <w:lang w:eastAsia="pt-BR"/>
              </w:rPr>
              <w:t>LONGO (13 a 20)</w:t>
            </w:r>
          </w:p>
        </w:tc>
      </w:tr>
      <w:tr w:rsidR="00261C41" w:rsidRPr="0047138B" w:rsidTr="00261C41">
        <w:trPr>
          <w:trHeight w:val="283"/>
          <w:jc w:val="center"/>
        </w:trPr>
        <w:tc>
          <w:tcPr>
            <w:tcW w:w="847" w:type="pct"/>
            <w:gridSpan w:val="3"/>
            <w:shd w:val="clear" w:color="auto" w:fill="auto"/>
            <w:noWrap/>
            <w:vAlign w:val="center"/>
          </w:tcPr>
          <w:p w:rsidR="00261C41" w:rsidRPr="0047138B" w:rsidRDefault="00261C41" w:rsidP="00261C41">
            <w:pPr>
              <w:spacing w:before="20" w:after="20" w:line="240" w:lineRule="auto"/>
              <w:jc w:val="both"/>
              <w:rPr>
                <w:rFonts w:eastAsia="Times New Roman" w:cs="Arial"/>
                <w:sz w:val="20"/>
                <w:szCs w:val="20"/>
              </w:rPr>
            </w:pPr>
            <w:r w:rsidRPr="00877D11">
              <w:rPr>
                <w:rFonts w:eastAsia="Times New Roman" w:cs="Arial"/>
                <w:sz w:val="20"/>
                <w:szCs w:val="20"/>
              </w:rPr>
              <w:t>4.5 Uso e Ocupação e macrozoneamento urbano devidamente regulamentados no município.</w:t>
            </w:r>
          </w:p>
        </w:tc>
        <w:tc>
          <w:tcPr>
            <w:tcW w:w="2357" w:type="pct"/>
            <w:shd w:val="clear" w:color="auto" w:fill="auto"/>
            <w:noWrap/>
            <w:vAlign w:val="center"/>
            <w:hideMark/>
          </w:tcPr>
          <w:p w:rsidR="00261C41" w:rsidRPr="0070452A" w:rsidRDefault="00261C41" w:rsidP="00261C41">
            <w:pPr>
              <w:spacing w:before="20" w:after="20" w:line="240" w:lineRule="auto"/>
              <w:jc w:val="both"/>
              <w:rPr>
                <w:rFonts w:eastAsia="Times New Roman" w:cs="Arial"/>
                <w:bCs/>
                <w:sz w:val="20"/>
                <w:szCs w:val="20"/>
                <w:lang w:eastAsia="pt-BR"/>
              </w:rPr>
            </w:pPr>
            <w:r w:rsidRPr="0070452A">
              <w:rPr>
                <w:rFonts w:eastAsia="Times New Roman" w:cs="Arial"/>
                <w:bCs/>
                <w:sz w:val="20"/>
                <w:szCs w:val="20"/>
                <w:lang w:eastAsia="pt-BR"/>
              </w:rPr>
              <w:t>4.1 Mapeamento e cadastramento (banco de dados) de pelo menos 50% dos sistemas de drenagem urbana de Córrego Novo.</w:t>
            </w:r>
          </w:p>
          <w:p w:rsidR="00261C41" w:rsidRPr="0070452A" w:rsidRDefault="00261C41" w:rsidP="00261C41">
            <w:pPr>
              <w:spacing w:before="20" w:after="20" w:line="240" w:lineRule="auto"/>
              <w:jc w:val="both"/>
              <w:rPr>
                <w:rFonts w:eastAsia="Times New Roman" w:cs="Arial"/>
                <w:bCs/>
                <w:sz w:val="20"/>
                <w:szCs w:val="20"/>
                <w:lang w:eastAsia="pt-BR"/>
              </w:rPr>
            </w:pPr>
            <w:r w:rsidRPr="0070452A">
              <w:rPr>
                <w:rFonts w:eastAsia="Times New Roman" w:cs="Arial"/>
                <w:bCs/>
                <w:sz w:val="20"/>
                <w:szCs w:val="20"/>
                <w:lang w:eastAsia="pt-BR"/>
              </w:rPr>
              <w:t>4.3 Manter o sistema de informações sobre o SDU atualizado.</w:t>
            </w:r>
          </w:p>
          <w:p w:rsidR="00261C41" w:rsidRPr="0047138B" w:rsidRDefault="00261C41" w:rsidP="00261C41">
            <w:pPr>
              <w:spacing w:before="20" w:after="20" w:line="240" w:lineRule="auto"/>
              <w:jc w:val="both"/>
              <w:rPr>
                <w:rFonts w:cs="Arial"/>
                <w:bCs/>
                <w:sz w:val="20"/>
                <w:szCs w:val="20"/>
              </w:rPr>
            </w:pPr>
            <w:r w:rsidRPr="0070452A">
              <w:rPr>
                <w:rFonts w:eastAsia="Times New Roman" w:cs="Arial"/>
                <w:sz w:val="20"/>
                <w:szCs w:val="20"/>
              </w:rPr>
              <w:t>4.4 Corpo técnico capacitado e em número suficiente para atuar em questões específicas de drenagem urbana.</w:t>
            </w:r>
          </w:p>
        </w:tc>
        <w:tc>
          <w:tcPr>
            <w:tcW w:w="1155" w:type="pct"/>
            <w:shd w:val="clear" w:color="auto" w:fill="auto"/>
            <w:noWrap/>
            <w:vAlign w:val="center"/>
          </w:tcPr>
          <w:p w:rsidR="00261C41" w:rsidRPr="0047138B" w:rsidRDefault="00261C41" w:rsidP="00261C41">
            <w:pPr>
              <w:spacing w:before="20" w:after="20" w:line="240" w:lineRule="auto"/>
              <w:jc w:val="both"/>
              <w:rPr>
                <w:rFonts w:cs="Arial"/>
                <w:bCs/>
                <w:sz w:val="20"/>
                <w:szCs w:val="20"/>
              </w:rPr>
            </w:pPr>
            <w:r w:rsidRPr="0070452A">
              <w:rPr>
                <w:rFonts w:eastAsia="Times New Roman" w:cs="Arial"/>
                <w:bCs/>
                <w:sz w:val="20"/>
                <w:szCs w:val="20"/>
                <w:lang w:eastAsia="pt-BR"/>
              </w:rPr>
              <w:t>4.2 Mapeamento e cadastramento (banco de dados) de 100% dos sistemas de drenagem urbana de Córrego Novo.</w:t>
            </w:r>
          </w:p>
        </w:tc>
        <w:tc>
          <w:tcPr>
            <w:tcW w:w="641" w:type="pct"/>
            <w:shd w:val="clear" w:color="auto" w:fill="auto"/>
            <w:noWrap/>
            <w:vAlign w:val="center"/>
          </w:tcPr>
          <w:p w:rsidR="00261C41" w:rsidRPr="0047138B" w:rsidRDefault="00261C41" w:rsidP="00261C41">
            <w:pPr>
              <w:spacing w:before="20" w:after="20" w:line="240" w:lineRule="auto"/>
              <w:jc w:val="both"/>
              <w:rPr>
                <w:rFonts w:cs="Arial"/>
                <w:bCs/>
                <w:sz w:val="20"/>
                <w:szCs w:val="20"/>
              </w:rPr>
            </w:pPr>
          </w:p>
        </w:tc>
      </w:tr>
    </w:tbl>
    <w:p w:rsidR="00261C41" w:rsidRPr="00680B12" w:rsidRDefault="00261C41" w:rsidP="00261C41">
      <w:pPr>
        <w:rPr>
          <w:rFonts w:cs="Arial"/>
          <w:sz w:val="10"/>
          <w:szCs w:val="10"/>
          <w:highlight w:val="yellow"/>
        </w:rPr>
      </w:pPr>
    </w:p>
    <w:tbl>
      <w:tblPr>
        <w:tblW w:w="14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86"/>
        <w:gridCol w:w="8646"/>
        <w:gridCol w:w="1985"/>
        <w:gridCol w:w="1559"/>
        <w:gridCol w:w="1479"/>
      </w:tblGrid>
      <w:tr w:rsidR="00261C41" w:rsidRPr="001157F4" w:rsidTr="00261C41">
        <w:trPr>
          <w:trHeight w:val="281"/>
          <w:tblHeader/>
          <w:jc w:val="center"/>
        </w:trPr>
        <w:tc>
          <w:tcPr>
            <w:tcW w:w="1086" w:type="dxa"/>
            <w:shd w:val="clear" w:color="000000" w:fill="C0C0C0"/>
            <w:vAlign w:val="center"/>
          </w:tcPr>
          <w:p w:rsidR="00261C41" w:rsidRPr="001157F4" w:rsidRDefault="00261C41" w:rsidP="00261C41">
            <w:pPr>
              <w:spacing w:line="240" w:lineRule="auto"/>
              <w:jc w:val="center"/>
              <w:rPr>
                <w:rFonts w:eastAsia="Times New Roman" w:cs="Arial"/>
                <w:b/>
                <w:bCs/>
                <w:sz w:val="20"/>
                <w:szCs w:val="20"/>
                <w:lang w:eastAsia="pt-BR"/>
              </w:rPr>
            </w:pPr>
            <w:r w:rsidRPr="001157F4">
              <w:rPr>
                <w:rFonts w:eastAsia="Times New Roman" w:cs="Arial"/>
                <w:b/>
                <w:bCs/>
                <w:sz w:val="20"/>
                <w:szCs w:val="20"/>
                <w:lang w:eastAsia="pt-BR"/>
              </w:rPr>
              <w:t>CÓDIGO</w:t>
            </w:r>
          </w:p>
          <w:p w:rsidR="00261C41" w:rsidRPr="001157F4" w:rsidRDefault="00261C41" w:rsidP="00261C41">
            <w:pPr>
              <w:spacing w:line="240" w:lineRule="auto"/>
              <w:jc w:val="center"/>
              <w:rPr>
                <w:rFonts w:eastAsia="Times New Roman" w:cs="Arial"/>
                <w:b/>
                <w:bCs/>
                <w:sz w:val="20"/>
                <w:szCs w:val="20"/>
                <w:lang w:eastAsia="pt-BR"/>
              </w:rPr>
            </w:pPr>
            <w:r w:rsidRPr="001157F4">
              <w:rPr>
                <w:rFonts w:eastAsia="Times New Roman" w:cs="Arial"/>
                <w:b/>
                <w:bCs/>
                <w:sz w:val="20"/>
                <w:szCs w:val="20"/>
                <w:lang w:eastAsia="pt-BR"/>
              </w:rPr>
              <w:t>(s/o/m/a)*</w:t>
            </w:r>
          </w:p>
        </w:tc>
        <w:tc>
          <w:tcPr>
            <w:tcW w:w="8646" w:type="dxa"/>
            <w:shd w:val="clear" w:color="000000" w:fill="C0C0C0"/>
            <w:vAlign w:val="center"/>
          </w:tcPr>
          <w:p w:rsidR="00261C41" w:rsidRPr="001157F4" w:rsidRDefault="00261C41" w:rsidP="00261C41">
            <w:pPr>
              <w:spacing w:line="240" w:lineRule="auto"/>
              <w:jc w:val="center"/>
              <w:rPr>
                <w:rFonts w:eastAsia="Times New Roman" w:cs="Arial"/>
                <w:b/>
                <w:bCs/>
                <w:sz w:val="20"/>
                <w:szCs w:val="20"/>
                <w:lang w:eastAsia="pt-BR"/>
              </w:rPr>
            </w:pPr>
            <w:r w:rsidRPr="001157F4">
              <w:rPr>
                <w:rFonts w:eastAsia="Times New Roman" w:cs="Arial"/>
                <w:b/>
                <w:bCs/>
                <w:sz w:val="20"/>
                <w:szCs w:val="20"/>
                <w:lang w:eastAsia="pt-BR"/>
              </w:rPr>
              <w:t>DESCRIÇÃO</w:t>
            </w:r>
          </w:p>
        </w:tc>
        <w:tc>
          <w:tcPr>
            <w:tcW w:w="1985" w:type="dxa"/>
            <w:shd w:val="clear" w:color="000000" w:fill="C0C0C0"/>
          </w:tcPr>
          <w:p w:rsidR="00261C41" w:rsidRPr="001157F4" w:rsidRDefault="00261C41" w:rsidP="00261C41">
            <w:pPr>
              <w:spacing w:line="240" w:lineRule="auto"/>
              <w:ind w:firstLine="72"/>
              <w:jc w:val="center"/>
              <w:rPr>
                <w:rFonts w:eastAsia="Times New Roman" w:cs="Arial"/>
                <w:b/>
                <w:bCs/>
                <w:sz w:val="20"/>
                <w:szCs w:val="20"/>
                <w:lang w:eastAsia="pt-BR"/>
              </w:rPr>
            </w:pPr>
            <w:r w:rsidRPr="001157F4">
              <w:rPr>
                <w:rFonts w:eastAsia="Times New Roman" w:cs="Arial"/>
                <w:b/>
                <w:bCs/>
                <w:sz w:val="20"/>
                <w:szCs w:val="20"/>
                <w:lang w:eastAsia="pt-BR"/>
              </w:rPr>
              <w:t>Período de desenvolvimento da ação</w:t>
            </w:r>
          </w:p>
          <w:p w:rsidR="00261C41" w:rsidRPr="001157F4" w:rsidRDefault="00261C41" w:rsidP="00261C41">
            <w:pPr>
              <w:spacing w:before="20" w:after="20" w:line="240" w:lineRule="auto"/>
              <w:contextualSpacing/>
              <w:jc w:val="center"/>
              <w:rPr>
                <w:rFonts w:eastAsia="Times New Roman" w:cs="Arial"/>
                <w:b/>
                <w:bCs/>
                <w:sz w:val="20"/>
                <w:szCs w:val="20"/>
                <w:lang w:eastAsia="pt-BR"/>
              </w:rPr>
            </w:pPr>
            <w:r w:rsidRPr="001157F4">
              <w:rPr>
                <w:rFonts w:eastAsia="Times New Roman" w:cs="Arial"/>
                <w:b/>
                <w:bCs/>
                <w:sz w:val="20"/>
                <w:szCs w:val="20"/>
                <w:lang w:eastAsia="pt-BR"/>
              </w:rPr>
              <w:t>(ano)</w:t>
            </w:r>
          </w:p>
        </w:tc>
        <w:tc>
          <w:tcPr>
            <w:tcW w:w="1559" w:type="dxa"/>
            <w:shd w:val="clear" w:color="000000" w:fill="C0C0C0"/>
          </w:tcPr>
          <w:p w:rsidR="00261C41" w:rsidRPr="001157F4" w:rsidRDefault="00261C41" w:rsidP="00261C41">
            <w:pPr>
              <w:spacing w:line="240" w:lineRule="auto"/>
              <w:ind w:left="64" w:firstLine="8"/>
              <w:jc w:val="center"/>
              <w:rPr>
                <w:rFonts w:eastAsia="Times New Roman" w:cs="Arial"/>
                <w:b/>
                <w:bCs/>
                <w:sz w:val="20"/>
                <w:szCs w:val="20"/>
                <w:lang w:eastAsia="pt-BR"/>
              </w:rPr>
            </w:pPr>
            <w:r w:rsidRPr="001157F4">
              <w:rPr>
                <w:rFonts w:eastAsia="Times New Roman" w:cs="Arial"/>
                <w:b/>
                <w:bCs/>
                <w:sz w:val="20"/>
                <w:szCs w:val="20"/>
                <w:lang w:eastAsia="pt-BR"/>
              </w:rPr>
              <w:t>Custo total na moeda de 2017</w:t>
            </w:r>
          </w:p>
          <w:p w:rsidR="00261C41" w:rsidRPr="001157F4" w:rsidRDefault="00261C41" w:rsidP="00261C41">
            <w:pPr>
              <w:spacing w:before="20" w:after="20" w:line="240" w:lineRule="auto"/>
              <w:contextualSpacing/>
              <w:jc w:val="center"/>
              <w:rPr>
                <w:rFonts w:eastAsia="Times New Roman" w:cs="Arial"/>
                <w:b/>
                <w:bCs/>
                <w:sz w:val="20"/>
                <w:szCs w:val="20"/>
                <w:lang w:eastAsia="pt-BR"/>
              </w:rPr>
            </w:pPr>
            <w:r w:rsidRPr="001157F4">
              <w:rPr>
                <w:rFonts w:eastAsia="Times New Roman" w:cs="Arial"/>
                <w:b/>
                <w:bCs/>
                <w:sz w:val="20"/>
                <w:szCs w:val="20"/>
                <w:lang w:eastAsia="pt-BR"/>
              </w:rPr>
              <w:t>(R$)</w:t>
            </w:r>
          </w:p>
        </w:tc>
        <w:tc>
          <w:tcPr>
            <w:tcW w:w="1479" w:type="dxa"/>
            <w:shd w:val="clear" w:color="000000" w:fill="C0C0C0"/>
          </w:tcPr>
          <w:p w:rsidR="00261C41" w:rsidRPr="001157F4" w:rsidRDefault="00261C41" w:rsidP="00261C41">
            <w:pPr>
              <w:spacing w:line="240" w:lineRule="auto"/>
              <w:ind w:left="64" w:firstLine="8"/>
              <w:jc w:val="center"/>
              <w:rPr>
                <w:rFonts w:eastAsia="Times New Roman" w:cs="Arial"/>
                <w:b/>
                <w:bCs/>
                <w:sz w:val="20"/>
                <w:szCs w:val="20"/>
                <w:lang w:eastAsia="pt-BR"/>
              </w:rPr>
            </w:pPr>
            <w:r w:rsidRPr="001157F4">
              <w:rPr>
                <w:rFonts w:eastAsia="Times New Roman" w:cs="Arial"/>
                <w:b/>
                <w:bCs/>
                <w:sz w:val="20"/>
                <w:szCs w:val="20"/>
                <w:lang w:eastAsia="pt-BR"/>
              </w:rPr>
              <w:t>Responsável pela ação</w:t>
            </w:r>
          </w:p>
          <w:p w:rsidR="00261C41" w:rsidRPr="001157F4" w:rsidRDefault="00261C41" w:rsidP="00261C41">
            <w:pPr>
              <w:spacing w:line="240" w:lineRule="auto"/>
              <w:rPr>
                <w:rFonts w:eastAsia="Times New Roman" w:cs="Arial"/>
                <w:b/>
                <w:bCs/>
                <w:sz w:val="20"/>
                <w:szCs w:val="20"/>
                <w:lang w:eastAsia="pt-BR"/>
              </w:rPr>
            </w:pPr>
          </w:p>
        </w:tc>
      </w:tr>
      <w:tr w:rsidR="00261C41" w:rsidRPr="001157F4" w:rsidTr="00261C41">
        <w:trPr>
          <w:trHeight w:val="20"/>
          <w:jc w:val="center"/>
        </w:trPr>
        <w:tc>
          <w:tcPr>
            <w:tcW w:w="1086" w:type="dxa"/>
            <w:shd w:val="clear" w:color="auto" w:fill="auto"/>
            <w:vAlign w:val="center"/>
          </w:tcPr>
          <w:p w:rsidR="00261C41" w:rsidRPr="001157F4" w:rsidRDefault="00261C41" w:rsidP="00261C41">
            <w:pPr>
              <w:spacing w:line="240" w:lineRule="auto"/>
              <w:jc w:val="center"/>
              <w:rPr>
                <w:rFonts w:cs="Arial"/>
                <w:sz w:val="20"/>
                <w:szCs w:val="20"/>
              </w:rPr>
            </w:pPr>
            <w:r w:rsidRPr="001157F4">
              <w:rPr>
                <w:rFonts w:eastAsia="Times New Roman" w:cs="Arial"/>
                <w:sz w:val="20"/>
                <w:szCs w:val="20"/>
                <w:lang w:eastAsia="pt-BR"/>
              </w:rPr>
              <w:t>3.4.1.36</w:t>
            </w:r>
          </w:p>
        </w:tc>
        <w:tc>
          <w:tcPr>
            <w:tcW w:w="8646" w:type="dxa"/>
            <w:shd w:val="clear" w:color="auto" w:fill="auto"/>
            <w:vAlign w:val="center"/>
          </w:tcPr>
          <w:p w:rsidR="00261C41" w:rsidRPr="001157F4" w:rsidRDefault="00261C41" w:rsidP="00261C41">
            <w:pPr>
              <w:pStyle w:val="Estilo1"/>
              <w:tabs>
                <w:tab w:val="clear" w:pos="891"/>
              </w:tabs>
              <w:spacing w:before="0" w:after="0"/>
              <w:ind w:left="922" w:hanging="567"/>
              <w:contextualSpacing w:val="0"/>
            </w:pPr>
            <w:r w:rsidRPr="001157F4">
              <w:t>Com base nos resultados dos procedimentos de manutenção, contratar, caso necessário, empresa especializada para atualização do levantamento cadastral e topobatimétrico no principal curso hídrico (incluindo mapeamento georreferenciado do Sistema de Drenagem Urbana).</w:t>
            </w:r>
          </w:p>
        </w:tc>
        <w:tc>
          <w:tcPr>
            <w:tcW w:w="1985"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4º-8º</w:t>
            </w:r>
          </w:p>
        </w:tc>
        <w:tc>
          <w:tcPr>
            <w:tcW w:w="1559"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2.364,60</w:t>
            </w:r>
          </w:p>
        </w:tc>
        <w:tc>
          <w:tcPr>
            <w:tcW w:w="1479"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20"/>
          <w:jc w:val="center"/>
        </w:trPr>
        <w:tc>
          <w:tcPr>
            <w:tcW w:w="108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3.4.1.37</w:t>
            </w:r>
          </w:p>
        </w:tc>
        <w:tc>
          <w:tcPr>
            <w:tcW w:w="8646"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 xml:space="preserve">Elaborar levantamento topobatimétrico cadastral do sistema de drenagem com o auxílio de </w:t>
            </w:r>
            <w:r w:rsidRPr="001157F4">
              <w:rPr>
                <w:rFonts w:eastAsia="Times New Roman" w:cs="Arial"/>
                <w:i/>
                <w:sz w:val="20"/>
                <w:szCs w:val="20"/>
                <w:lang w:eastAsia="pt-BR"/>
              </w:rPr>
              <w:t>softwares</w:t>
            </w:r>
            <w:r w:rsidRPr="001157F4">
              <w:rPr>
                <w:rFonts w:eastAsia="Times New Roman" w:cs="Arial"/>
                <w:sz w:val="20"/>
                <w:szCs w:val="20"/>
                <w:lang w:eastAsia="pt-BR"/>
              </w:rPr>
              <w:t xml:space="preserve"> de Sistemas de Informações Geográficas (SIGs), com o objetivo de produzir um instrumento de caracterização do SDU, que também deverá ser utilizado para subsidiar o planejamento e as tomadas de decisão no âmbito desse setor.</w:t>
            </w:r>
          </w:p>
        </w:tc>
        <w:tc>
          <w:tcPr>
            <w:tcW w:w="1985"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4º-8º</w:t>
            </w:r>
          </w:p>
        </w:tc>
        <w:tc>
          <w:tcPr>
            <w:tcW w:w="1559"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16.000,00</w:t>
            </w:r>
          </w:p>
        </w:tc>
        <w:tc>
          <w:tcPr>
            <w:tcW w:w="1479"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1191"/>
          <w:jc w:val="center"/>
        </w:trPr>
        <w:tc>
          <w:tcPr>
            <w:tcW w:w="108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lastRenderedPageBreak/>
              <w:t>3.4.2.38</w:t>
            </w:r>
          </w:p>
        </w:tc>
        <w:tc>
          <w:tcPr>
            <w:tcW w:w="8646"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Atualizar o levantamento cadastral, o mapeamento georreferenciado e as informações administrativas, técnico-operacionais e de manutenção, de almoxarifado, financeiras, comerciais e legais sobre o SDU e disponibilizar os dados para o para o Sistema Municipal de Informações (SMIS), que, por sua vez, alimentará o SNIS.</w:t>
            </w:r>
          </w:p>
        </w:tc>
        <w:tc>
          <w:tcPr>
            <w:tcW w:w="1985"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4º-20º</w:t>
            </w:r>
          </w:p>
        </w:tc>
        <w:tc>
          <w:tcPr>
            <w:tcW w:w="1559"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479"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20"/>
          <w:jc w:val="center"/>
        </w:trPr>
        <w:tc>
          <w:tcPr>
            <w:tcW w:w="108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3.4.3.39</w:t>
            </w:r>
          </w:p>
        </w:tc>
        <w:tc>
          <w:tcPr>
            <w:tcW w:w="8646"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Manter atualizado o banco de dados sobre drenagem urbana e alimentar, com indicadores atualizados, o Sistema Municipal de Informações em Saneamento Básico, com periodicidade planejada.</w:t>
            </w:r>
          </w:p>
        </w:tc>
        <w:tc>
          <w:tcPr>
            <w:tcW w:w="1985"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4º-20º</w:t>
            </w:r>
          </w:p>
        </w:tc>
        <w:tc>
          <w:tcPr>
            <w:tcW w:w="1559"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479"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20"/>
          <w:jc w:val="center"/>
        </w:trPr>
        <w:tc>
          <w:tcPr>
            <w:tcW w:w="108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3.4.3.40</w:t>
            </w:r>
          </w:p>
        </w:tc>
        <w:tc>
          <w:tcPr>
            <w:tcW w:w="8646"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Atualizar a cada cinco anos os coeficientes de escoamento superficial, de acordo com levantamentos detalhados e atualizados de uso do solo.</w:t>
            </w:r>
          </w:p>
        </w:tc>
        <w:tc>
          <w:tcPr>
            <w:tcW w:w="1985"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3º-20º</w:t>
            </w:r>
          </w:p>
        </w:tc>
        <w:tc>
          <w:tcPr>
            <w:tcW w:w="1559"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479"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20"/>
          <w:jc w:val="center"/>
        </w:trPr>
        <w:tc>
          <w:tcPr>
            <w:tcW w:w="108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3.4.3.41</w:t>
            </w:r>
          </w:p>
        </w:tc>
        <w:tc>
          <w:tcPr>
            <w:tcW w:w="8646"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Atualizar levantamento topográfico detalhado da área urbana.</w:t>
            </w:r>
          </w:p>
        </w:tc>
        <w:tc>
          <w:tcPr>
            <w:tcW w:w="1985"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3º-20º</w:t>
            </w:r>
          </w:p>
        </w:tc>
        <w:tc>
          <w:tcPr>
            <w:tcW w:w="1559"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479"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20"/>
          <w:jc w:val="center"/>
        </w:trPr>
        <w:tc>
          <w:tcPr>
            <w:tcW w:w="108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3.4.4.42</w:t>
            </w:r>
          </w:p>
        </w:tc>
        <w:tc>
          <w:tcPr>
            <w:tcW w:w="8646"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Pr>
                <w:rFonts w:eastAsia="Times New Roman" w:cs="Arial"/>
                <w:sz w:val="20"/>
                <w:szCs w:val="20"/>
                <w:lang w:eastAsia="pt-BR"/>
              </w:rPr>
              <w:t>Realizar concurso público e contratação de equipe permanente para o setor do Sistema de Drenagem Urbana.</w:t>
            </w:r>
          </w:p>
        </w:tc>
        <w:tc>
          <w:tcPr>
            <w:tcW w:w="1985" w:type="dxa"/>
            <w:vAlign w:val="center"/>
          </w:tcPr>
          <w:p w:rsidR="00261C41" w:rsidRPr="001157F4" w:rsidRDefault="00261C41" w:rsidP="00261C41">
            <w:pPr>
              <w:spacing w:line="240" w:lineRule="auto"/>
              <w:jc w:val="center"/>
              <w:rPr>
                <w:rFonts w:eastAsia="Times New Roman" w:cs="Arial"/>
                <w:sz w:val="20"/>
                <w:szCs w:val="20"/>
                <w:lang w:eastAsia="pt-BR"/>
              </w:rPr>
            </w:pPr>
            <w:r>
              <w:rPr>
                <w:rFonts w:eastAsia="Times New Roman" w:cs="Arial"/>
                <w:sz w:val="20"/>
                <w:szCs w:val="20"/>
                <w:lang w:eastAsia="pt-BR"/>
              </w:rPr>
              <w:t>1</w:t>
            </w:r>
            <w:r w:rsidRPr="001157F4">
              <w:rPr>
                <w:rFonts w:eastAsia="Times New Roman" w:cs="Arial"/>
                <w:sz w:val="20"/>
                <w:szCs w:val="20"/>
                <w:lang w:eastAsia="pt-BR"/>
              </w:rPr>
              <w:t>º-</w:t>
            </w:r>
            <w:r>
              <w:rPr>
                <w:rFonts w:eastAsia="Times New Roman" w:cs="Arial"/>
                <w:sz w:val="20"/>
                <w:szCs w:val="20"/>
                <w:lang w:eastAsia="pt-BR"/>
              </w:rPr>
              <w:t>20</w:t>
            </w:r>
            <w:r w:rsidRPr="001157F4">
              <w:rPr>
                <w:rFonts w:eastAsia="Times New Roman" w:cs="Arial"/>
                <w:sz w:val="20"/>
                <w:szCs w:val="20"/>
                <w:lang w:eastAsia="pt-BR"/>
              </w:rPr>
              <w:t>º</w:t>
            </w:r>
          </w:p>
        </w:tc>
        <w:tc>
          <w:tcPr>
            <w:tcW w:w="1559" w:type="dxa"/>
            <w:vAlign w:val="center"/>
          </w:tcPr>
          <w:p w:rsidR="00261C41" w:rsidRPr="001157F4" w:rsidRDefault="00261C41" w:rsidP="00261C41">
            <w:pPr>
              <w:jc w:val="right"/>
              <w:rPr>
                <w:rFonts w:cs="Arial"/>
                <w:color w:val="000000"/>
                <w:sz w:val="20"/>
                <w:szCs w:val="20"/>
              </w:rPr>
            </w:pPr>
            <w:r w:rsidRPr="00A01910">
              <w:rPr>
                <w:rFonts w:cs="Arial"/>
                <w:color w:val="000000"/>
                <w:sz w:val="20"/>
                <w:szCs w:val="20"/>
              </w:rPr>
              <w:t>2.923.725,60</w:t>
            </w:r>
          </w:p>
        </w:tc>
        <w:tc>
          <w:tcPr>
            <w:tcW w:w="1479"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20"/>
          <w:jc w:val="center"/>
        </w:trPr>
        <w:tc>
          <w:tcPr>
            <w:tcW w:w="108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3.4.4.43</w:t>
            </w:r>
          </w:p>
        </w:tc>
        <w:tc>
          <w:tcPr>
            <w:tcW w:w="8646"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Renovar os equipamentos de informática.</w:t>
            </w:r>
          </w:p>
        </w:tc>
        <w:tc>
          <w:tcPr>
            <w:tcW w:w="1985"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1º-8º</w:t>
            </w:r>
          </w:p>
        </w:tc>
        <w:tc>
          <w:tcPr>
            <w:tcW w:w="1559"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7.851,99</w:t>
            </w:r>
          </w:p>
        </w:tc>
        <w:tc>
          <w:tcPr>
            <w:tcW w:w="1479"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20"/>
          <w:jc w:val="center"/>
        </w:trPr>
        <w:tc>
          <w:tcPr>
            <w:tcW w:w="108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3.4.4.44</w:t>
            </w:r>
          </w:p>
        </w:tc>
        <w:tc>
          <w:tcPr>
            <w:tcW w:w="8646"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Realizar capacitação de funcionários.</w:t>
            </w:r>
          </w:p>
        </w:tc>
        <w:tc>
          <w:tcPr>
            <w:tcW w:w="1985"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1º-20º</w:t>
            </w:r>
          </w:p>
        </w:tc>
        <w:tc>
          <w:tcPr>
            <w:tcW w:w="1559"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6.332,00</w:t>
            </w:r>
          </w:p>
        </w:tc>
        <w:tc>
          <w:tcPr>
            <w:tcW w:w="1479"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20"/>
          <w:jc w:val="center"/>
        </w:trPr>
        <w:tc>
          <w:tcPr>
            <w:tcW w:w="108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3.4.4.45</w:t>
            </w:r>
          </w:p>
        </w:tc>
        <w:tc>
          <w:tcPr>
            <w:tcW w:w="8646"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Renovar frota de veículos e criar procedimentos para gestão da frota.</w:t>
            </w:r>
          </w:p>
        </w:tc>
        <w:tc>
          <w:tcPr>
            <w:tcW w:w="1985"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1º-8º</w:t>
            </w:r>
          </w:p>
        </w:tc>
        <w:tc>
          <w:tcPr>
            <w:tcW w:w="1559"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44.465,00</w:t>
            </w:r>
          </w:p>
        </w:tc>
        <w:tc>
          <w:tcPr>
            <w:tcW w:w="1479"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20"/>
          <w:jc w:val="center"/>
        </w:trPr>
        <w:tc>
          <w:tcPr>
            <w:tcW w:w="108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3.4.4.46</w:t>
            </w:r>
          </w:p>
        </w:tc>
        <w:tc>
          <w:tcPr>
            <w:tcW w:w="8646"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Abrir processo licitatório com a finalidade de se elaborar Plano de Macrodrenagem para o município.</w:t>
            </w:r>
          </w:p>
        </w:tc>
        <w:tc>
          <w:tcPr>
            <w:tcW w:w="1985"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3º-8º</w:t>
            </w:r>
          </w:p>
        </w:tc>
        <w:tc>
          <w:tcPr>
            <w:tcW w:w="1559"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3.152,79</w:t>
            </w:r>
          </w:p>
        </w:tc>
        <w:tc>
          <w:tcPr>
            <w:tcW w:w="1479"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20"/>
          <w:jc w:val="center"/>
        </w:trPr>
        <w:tc>
          <w:tcPr>
            <w:tcW w:w="108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3.4.4.47</w:t>
            </w:r>
          </w:p>
        </w:tc>
        <w:tc>
          <w:tcPr>
            <w:tcW w:w="8646"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Realizar estudos e debates para a definição da implantação da taxa de drenagem urbana.</w:t>
            </w:r>
          </w:p>
        </w:tc>
        <w:tc>
          <w:tcPr>
            <w:tcW w:w="1985"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4º-8º</w:t>
            </w:r>
          </w:p>
        </w:tc>
        <w:tc>
          <w:tcPr>
            <w:tcW w:w="1559"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479"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20"/>
          <w:jc w:val="center"/>
        </w:trPr>
        <w:tc>
          <w:tcPr>
            <w:tcW w:w="108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3.4.4.48</w:t>
            </w:r>
          </w:p>
        </w:tc>
        <w:tc>
          <w:tcPr>
            <w:tcW w:w="8646"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Incorporar ao PPA (Plano Plurianual) e à LDO (Lei de Diretrizes Orçamentárias) todas as necessidades para a gestão do sistema de drenagem urbana do município</w:t>
            </w:r>
          </w:p>
        </w:tc>
        <w:tc>
          <w:tcPr>
            <w:tcW w:w="1985"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1º-20º</w:t>
            </w:r>
          </w:p>
        </w:tc>
        <w:tc>
          <w:tcPr>
            <w:tcW w:w="1559"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479"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20"/>
          <w:jc w:val="center"/>
        </w:trPr>
        <w:tc>
          <w:tcPr>
            <w:tcW w:w="108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3.4.4.49</w:t>
            </w:r>
          </w:p>
        </w:tc>
        <w:tc>
          <w:tcPr>
            <w:tcW w:w="8646"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Criar mecanismos que garantam a participação dos gestores que lidam com drenagem urbana em todas as reuniões onde serão empreendidas tomadas de decisão sobre o desenvolvimento urbano do município.</w:t>
            </w:r>
          </w:p>
        </w:tc>
        <w:tc>
          <w:tcPr>
            <w:tcW w:w="1985"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1º-8º</w:t>
            </w:r>
          </w:p>
        </w:tc>
        <w:tc>
          <w:tcPr>
            <w:tcW w:w="1559"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479"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567"/>
          <w:jc w:val="center"/>
        </w:trPr>
        <w:tc>
          <w:tcPr>
            <w:tcW w:w="108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lastRenderedPageBreak/>
              <w:t>3.4.5.50</w:t>
            </w:r>
          </w:p>
        </w:tc>
        <w:tc>
          <w:tcPr>
            <w:tcW w:w="8646"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Criar mecanismos de articulação entre os procedimentos de manutenção do sistema de drenagem e os serviços de limpeza urbana, com o intuito de corrigir e prevenir o acúmulo de lixo nos dispositivos de micro e macrodrenagem presentes na área urbana municipal.</w:t>
            </w:r>
          </w:p>
        </w:tc>
        <w:tc>
          <w:tcPr>
            <w:tcW w:w="1985"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2º-8º</w:t>
            </w:r>
          </w:p>
        </w:tc>
        <w:tc>
          <w:tcPr>
            <w:tcW w:w="1559"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479"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20"/>
          <w:jc w:val="center"/>
        </w:trPr>
        <w:tc>
          <w:tcPr>
            <w:tcW w:w="108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3.4.4.51</w:t>
            </w:r>
          </w:p>
        </w:tc>
        <w:tc>
          <w:tcPr>
            <w:tcW w:w="8646"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Realizar reuniões multissetoriais semestrais para a definição das prioridades e do planejamento orçamentário para obras de drenagem urbana no município e para acompanhamento do andamento dos investimentos já realizados.</w:t>
            </w:r>
          </w:p>
        </w:tc>
        <w:tc>
          <w:tcPr>
            <w:tcW w:w="1985"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1º-20º</w:t>
            </w:r>
          </w:p>
        </w:tc>
        <w:tc>
          <w:tcPr>
            <w:tcW w:w="1559"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479"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20"/>
          <w:jc w:val="center"/>
        </w:trPr>
        <w:tc>
          <w:tcPr>
            <w:tcW w:w="108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3.4.3.52</w:t>
            </w:r>
          </w:p>
        </w:tc>
        <w:tc>
          <w:tcPr>
            <w:tcW w:w="8646"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Manter registro de dados financeiros do sistema de drenagem urbana do município.</w:t>
            </w:r>
          </w:p>
        </w:tc>
        <w:tc>
          <w:tcPr>
            <w:tcW w:w="1985"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1º-20º</w:t>
            </w:r>
          </w:p>
        </w:tc>
        <w:tc>
          <w:tcPr>
            <w:tcW w:w="1559"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479"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20"/>
          <w:jc w:val="center"/>
        </w:trPr>
        <w:tc>
          <w:tcPr>
            <w:tcW w:w="108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3.4.5.53</w:t>
            </w:r>
          </w:p>
        </w:tc>
        <w:tc>
          <w:tcPr>
            <w:tcW w:w="8646"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Criar mecanismos de interlocução com o setor de habitação para deliberação sobre limites de impermeabilização das sub-bacias urbanas.</w:t>
            </w:r>
          </w:p>
        </w:tc>
        <w:tc>
          <w:tcPr>
            <w:tcW w:w="1985"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1º-3º</w:t>
            </w:r>
          </w:p>
        </w:tc>
        <w:tc>
          <w:tcPr>
            <w:tcW w:w="1559"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479"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20"/>
          <w:jc w:val="center"/>
        </w:trPr>
        <w:tc>
          <w:tcPr>
            <w:tcW w:w="108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3.4.5.54</w:t>
            </w:r>
          </w:p>
        </w:tc>
        <w:tc>
          <w:tcPr>
            <w:tcW w:w="8646"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Aprovar legislação de regulamentação de uso e ocupação do solo urbano.</w:t>
            </w:r>
          </w:p>
        </w:tc>
        <w:tc>
          <w:tcPr>
            <w:tcW w:w="1985"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1º-3º</w:t>
            </w:r>
          </w:p>
        </w:tc>
        <w:tc>
          <w:tcPr>
            <w:tcW w:w="1559"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479"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bl>
    <w:p w:rsidR="00261C41" w:rsidRDefault="00261C41" w:rsidP="00810C89">
      <w:pPr>
        <w:pStyle w:val="Fonte"/>
      </w:pPr>
      <w:r>
        <w:t>*</w:t>
      </w:r>
      <w:r w:rsidRPr="00680B12">
        <w:t>(s/o/m/a) = nº do setor / nº do objetivo / nº da meta / nº da ação</w:t>
      </w:r>
      <w:r>
        <w:t>.</w:t>
      </w:r>
    </w:p>
    <w:p w:rsidR="00810C89" w:rsidRDefault="00810C89" w:rsidP="00810C89">
      <w:pPr>
        <w:pStyle w:val="Fonte"/>
      </w:pPr>
      <w:r>
        <w:br w:type="page"/>
      </w:r>
    </w:p>
    <w:p w:rsidR="00261C41" w:rsidRPr="000D64AC" w:rsidRDefault="00261C41" w:rsidP="00261C41">
      <w:pPr>
        <w:pStyle w:val="Legenda"/>
      </w:pPr>
      <w:bookmarkStart w:id="906" w:name="_Toc491704048"/>
      <w:bookmarkStart w:id="907" w:name="_Toc498609260"/>
      <w:bookmarkStart w:id="908" w:name="_Toc505788350"/>
      <w:bookmarkStart w:id="909" w:name="_Toc509935853"/>
      <w:r w:rsidRPr="000D64AC">
        <w:lastRenderedPageBreak/>
        <w:t xml:space="preserve">Quadro </w:t>
      </w:r>
      <w:r w:rsidR="000A1C78">
        <w:fldChar w:fldCharType="begin"/>
      </w:r>
      <w:r w:rsidR="000A1C78">
        <w:instrText xml:space="preserve"> SEQ Quadro \* ARABIC </w:instrText>
      </w:r>
      <w:r w:rsidR="000A1C78">
        <w:fldChar w:fldCharType="separate"/>
      </w:r>
      <w:r w:rsidR="001B481B">
        <w:rPr>
          <w:noProof/>
        </w:rPr>
        <w:t>76</w:t>
      </w:r>
      <w:r w:rsidR="000A1C78">
        <w:rPr>
          <w:noProof/>
        </w:rPr>
        <w:fldChar w:fldCharType="end"/>
      </w:r>
      <w:r w:rsidRPr="000D64AC">
        <w:t xml:space="preserve"> - </w:t>
      </w:r>
      <w:r w:rsidRPr="00B04B98">
        <w:t>Programas e ações propostos para o setor de drenagem urbana e manejo de águas pluviais</w:t>
      </w:r>
      <w:r w:rsidRPr="000D64AC">
        <w:t xml:space="preserve"> - Objetivo 5</w:t>
      </w:r>
      <w:bookmarkEnd w:id="906"/>
      <w:bookmarkEnd w:id="907"/>
      <w:bookmarkEnd w:id="908"/>
      <w:bookmarkEnd w:id="909"/>
    </w:p>
    <w:tbl>
      <w:tblPr>
        <w:tblW w:w="14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46"/>
        <w:gridCol w:w="283"/>
        <w:gridCol w:w="1766"/>
        <w:gridCol w:w="3765"/>
        <w:gridCol w:w="2833"/>
        <w:gridCol w:w="4449"/>
      </w:tblGrid>
      <w:tr w:rsidR="00261C41" w:rsidRPr="0047138B" w:rsidTr="00261C41">
        <w:trPr>
          <w:trHeight w:val="283"/>
          <w:jc w:val="center"/>
        </w:trPr>
        <w:tc>
          <w:tcPr>
            <w:tcW w:w="558" w:type="pct"/>
            <w:shd w:val="clear" w:color="000000" w:fill="C0C0C0"/>
            <w:noWrap/>
            <w:vAlign w:val="center"/>
            <w:hideMark/>
          </w:tcPr>
          <w:p w:rsidR="00261C41" w:rsidRPr="0047138B" w:rsidRDefault="00261C41" w:rsidP="00261C41">
            <w:pPr>
              <w:spacing w:line="240" w:lineRule="auto"/>
              <w:rPr>
                <w:rFonts w:eastAsia="Times New Roman" w:cs="Arial"/>
                <w:b/>
                <w:bCs/>
                <w:sz w:val="20"/>
                <w:szCs w:val="20"/>
                <w:lang w:eastAsia="pt-BR"/>
              </w:rPr>
            </w:pPr>
            <w:r w:rsidRPr="0047138B">
              <w:rPr>
                <w:rFonts w:eastAsia="Times New Roman" w:cs="Arial"/>
                <w:b/>
                <w:bCs/>
                <w:sz w:val="20"/>
                <w:szCs w:val="20"/>
                <w:lang w:eastAsia="pt-BR"/>
              </w:rPr>
              <w:t>SETOR</w:t>
            </w:r>
          </w:p>
        </w:tc>
        <w:tc>
          <w:tcPr>
            <w:tcW w:w="96" w:type="pct"/>
            <w:shd w:val="clear" w:color="auto" w:fill="auto"/>
            <w:noWrap/>
            <w:vAlign w:val="center"/>
            <w:hideMark/>
          </w:tcPr>
          <w:p w:rsidR="00261C41" w:rsidRPr="0047138B" w:rsidRDefault="00261C41" w:rsidP="00261C41">
            <w:pPr>
              <w:spacing w:line="240" w:lineRule="auto"/>
              <w:rPr>
                <w:rFonts w:eastAsia="Times New Roman" w:cs="Arial"/>
                <w:sz w:val="20"/>
                <w:szCs w:val="20"/>
                <w:lang w:eastAsia="pt-BR"/>
              </w:rPr>
            </w:pPr>
            <w:r w:rsidRPr="0047138B">
              <w:rPr>
                <w:rFonts w:eastAsia="Times New Roman" w:cs="Arial"/>
                <w:sz w:val="20"/>
                <w:szCs w:val="20"/>
                <w:lang w:eastAsia="pt-BR"/>
              </w:rPr>
              <w:t>3</w:t>
            </w:r>
          </w:p>
        </w:tc>
        <w:tc>
          <w:tcPr>
            <w:tcW w:w="4346" w:type="pct"/>
            <w:gridSpan w:val="4"/>
            <w:shd w:val="clear" w:color="auto" w:fill="auto"/>
            <w:noWrap/>
            <w:vAlign w:val="center"/>
            <w:hideMark/>
          </w:tcPr>
          <w:p w:rsidR="00261C41" w:rsidRPr="0047138B" w:rsidRDefault="00261C41" w:rsidP="00261C41">
            <w:pPr>
              <w:spacing w:line="240" w:lineRule="auto"/>
              <w:rPr>
                <w:rFonts w:eastAsia="Times New Roman" w:cs="Arial"/>
                <w:sz w:val="20"/>
                <w:szCs w:val="20"/>
                <w:lang w:eastAsia="pt-BR"/>
              </w:rPr>
            </w:pPr>
            <w:r w:rsidRPr="0047138B">
              <w:rPr>
                <w:rFonts w:cs="Arial"/>
                <w:sz w:val="20"/>
                <w:szCs w:val="20"/>
              </w:rPr>
              <w:t>Drenagem Urbana e Manejo  de Águas Pluviais.</w:t>
            </w:r>
          </w:p>
        </w:tc>
      </w:tr>
      <w:tr w:rsidR="00261C41" w:rsidRPr="0047138B" w:rsidTr="00261C41">
        <w:trPr>
          <w:trHeight w:val="283"/>
          <w:jc w:val="center"/>
        </w:trPr>
        <w:tc>
          <w:tcPr>
            <w:tcW w:w="558" w:type="pct"/>
            <w:shd w:val="clear" w:color="000000" w:fill="C0C0C0"/>
            <w:vAlign w:val="center"/>
            <w:hideMark/>
          </w:tcPr>
          <w:p w:rsidR="00261C41" w:rsidRPr="0047138B" w:rsidRDefault="00261C41" w:rsidP="00261C41">
            <w:pPr>
              <w:spacing w:line="240" w:lineRule="auto"/>
              <w:rPr>
                <w:rFonts w:eastAsia="Times New Roman" w:cs="Arial"/>
                <w:b/>
                <w:bCs/>
                <w:sz w:val="20"/>
                <w:szCs w:val="20"/>
                <w:lang w:eastAsia="pt-BR"/>
              </w:rPr>
            </w:pPr>
            <w:r w:rsidRPr="0047138B">
              <w:rPr>
                <w:rFonts w:eastAsia="Times New Roman" w:cs="Arial"/>
                <w:b/>
                <w:bCs/>
                <w:sz w:val="20"/>
                <w:szCs w:val="20"/>
                <w:lang w:eastAsia="pt-BR"/>
              </w:rPr>
              <w:t>OBJETIVO</w:t>
            </w:r>
          </w:p>
        </w:tc>
        <w:tc>
          <w:tcPr>
            <w:tcW w:w="96" w:type="pct"/>
            <w:shd w:val="clear" w:color="auto" w:fill="auto"/>
            <w:vAlign w:val="center"/>
            <w:hideMark/>
          </w:tcPr>
          <w:p w:rsidR="00261C41" w:rsidRPr="0047138B" w:rsidRDefault="00261C41" w:rsidP="00261C41">
            <w:pPr>
              <w:spacing w:line="240" w:lineRule="auto"/>
              <w:rPr>
                <w:rFonts w:eastAsia="Times New Roman" w:cs="Arial"/>
                <w:sz w:val="20"/>
                <w:szCs w:val="20"/>
                <w:lang w:eastAsia="pt-BR"/>
              </w:rPr>
            </w:pPr>
            <w:r w:rsidRPr="0047138B">
              <w:rPr>
                <w:rFonts w:eastAsia="Times New Roman" w:cs="Arial"/>
                <w:sz w:val="20"/>
                <w:szCs w:val="20"/>
                <w:lang w:eastAsia="pt-BR"/>
              </w:rPr>
              <w:t>5</w:t>
            </w:r>
          </w:p>
        </w:tc>
        <w:tc>
          <w:tcPr>
            <w:tcW w:w="4346" w:type="pct"/>
            <w:gridSpan w:val="4"/>
            <w:shd w:val="clear" w:color="auto" w:fill="auto"/>
            <w:vAlign w:val="center"/>
            <w:hideMark/>
          </w:tcPr>
          <w:p w:rsidR="00261C41" w:rsidRPr="0047138B" w:rsidRDefault="00261C41" w:rsidP="00261C41">
            <w:pPr>
              <w:spacing w:line="240" w:lineRule="auto"/>
              <w:rPr>
                <w:rFonts w:cs="Arial"/>
                <w:sz w:val="20"/>
                <w:szCs w:val="20"/>
              </w:rPr>
            </w:pPr>
            <w:r w:rsidRPr="0047138B">
              <w:rPr>
                <w:rFonts w:eastAsia="Times New Roman" w:cs="Arial"/>
                <w:bCs/>
                <w:sz w:val="20"/>
                <w:szCs w:val="20"/>
              </w:rPr>
              <w:t>Alcançar o pleno atendimento à legislação ambiental aplicável em todos os subprocessos integrantes do Sistema de Drenagem Urbana.</w:t>
            </w:r>
          </w:p>
        </w:tc>
      </w:tr>
      <w:tr w:rsidR="00261C41" w:rsidRPr="0047138B" w:rsidTr="00261C41">
        <w:trPr>
          <w:trHeight w:val="283"/>
          <w:jc w:val="center"/>
        </w:trPr>
        <w:tc>
          <w:tcPr>
            <w:tcW w:w="558" w:type="pct"/>
            <w:shd w:val="clear" w:color="000000" w:fill="C0C0C0"/>
            <w:vAlign w:val="center"/>
          </w:tcPr>
          <w:p w:rsidR="00261C41" w:rsidRPr="0047138B" w:rsidRDefault="00261C41" w:rsidP="00261C41">
            <w:pPr>
              <w:spacing w:line="240" w:lineRule="auto"/>
              <w:rPr>
                <w:rFonts w:eastAsia="Times New Roman" w:cs="Arial"/>
                <w:b/>
                <w:bCs/>
                <w:sz w:val="20"/>
                <w:szCs w:val="20"/>
                <w:lang w:eastAsia="pt-BR"/>
              </w:rPr>
            </w:pPr>
            <w:r>
              <w:rPr>
                <w:rFonts w:eastAsia="Times New Roman" w:cs="Arial"/>
                <w:b/>
                <w:bCs/>
                <w:sz w:val="20"/>
                <w:szCs w:val="20"/>
                <w:lang w:eastAsia="pt-BR"/>
              </w:rPr>
              <w:t>INDICADOR</w:t>
            </w:r>
          </w:p>
        </w:tc>
        <w:tc>
          <w:tcPr>
            <w:tcW w:w="4442" w:type="pct"/>
            <w:gridSpan w:val="5"/>
            <w:shd w:val="clear" w:color="auto" w:fill="auto"/>
            <w:vAlign w:val="center"/>
          </w:tcPr>
          <w:p w:rsidR="00261C41" w:rsidRPr="0045745B" w:rsidRDefault="00261C41" w:rsidP="00261C41">
            <w:pPr>
              <w:spacing w:line="240" w:lineRule="auto"/>
              <w:ind w:left="214"/>
              <w:rPr>
                <w:rFonts w:eastAsia="Times New Roman" w:cs="Arial"/>
                <w:bCs/>
                <w:sz w:val="20"/>
                <w:szCs w:val="20"/>
              </w:rPr>
            </w:pPr>
            <w:r w:rsidRPr="0045745B">
              <w:rPr>
                <w:rFonts w:eastAsia="Times New Roman" w:cs="Arial"/>
                <w:bCs/>
                <w:sz w:val="20"/>
                <w:szCs w:val="20"/>
                <w:lang w:val="x-none"/>
              </w:rPr>
              <w:t>Nível de regulamentação ambiental do setor</w:t>
            </w:r>
            <w:r>
              <w:rPr>
                <w:rFonts w:eastAsia="Times New Roman" w:cs="Arial"/>
                <w:bCs/>
                <w:sz w:val="20"/>
                <w:szCs w:val="20"/>
              </w:rPr>
              <w:t>.</w:t>
            </w:r>
          </w:p>
        </w:tc>
      </w:tr>
      <w:tr w:rsidR="00261C41" w:rsidRPr="0047138B" w:rsidTr="00261C41">
        <w:trPr>
          <w:trHeight w:val="283"/>
          <w:jc w:val="center"/>
        </w:trPr>
        <w:tc>
          <w:tcPr>
            <w:tcW w:w="5000" w:type="pct"/>
            <w:gridSpan w:val="6"/>
            <w:shd w:val="clear" w:color="000000" w:fill="C0C0C0"/>
            <w:noWrap/>
            <w:vAlign w:val="center"/>
            <w:hideMark/>
          </w:tcPr>
          <w:p w:rsidR="00261C41" w:rsidRPr="0047138B" w:rsidRDefault="00261C41" w:rsidP="00261C41">
            <w:pPr>
              <w:spacing w:line="240" w:lineRule="auto"/>
              <w:jc w:val="center"/>
              <w:rPr>
                <w:rFonts w:eastAsia="Times New Roman" w:cs="Arial"/>
                <w:b/>
                <w:bCs/>
                <w:sz w:val="20"/>
                <w:szCs w:val="20"/>
                <w:lang w:eastAsia="pt-BR"/>
              </w:rPr>
            </w:pPr>
            <w:r w:rsidRPr="0047138B">
              <w:rPr>
                <w:rFonts w:eastAsia="Times New Roman" w:cs="Arial"/>
                <w:b/>
                <w:bCs/>
                <w:sz w:val="20"/>
                <w:szCs w:val="20"/>
                <w:lang w:eastAsia="pt-BR"/>
              </w:rPr>
              <w:t>PRAZO DE ENTREGA DA META (ANOS)</w:t>
            </w:r>
          </w:p>
        </w:tc>
      </w:tr>
      <w:tr w:rsidR="00261C41" w:rsidRPr="0047138B" w:rsidTr="00261C41">
        <w:trPr>
          <w:trHeight w:val="283"/>
          <w:jc w:val="center"/>
        </w:trPr>
        <w:tc>
          <w:tcPr>
            <w:tcW w:w="1253" w:type="pct"/>
            <w:gridSpan w:val="3"/>
            <w:shd w:val="clear" w:color="000000" w:fill="C0C0C0"/>
            <w:noWrap/>
            <w:vAlign w:val="center"/>
            <w:hideMark/>
          </w:tcPr>
          <w:p w:rsidR="00261C41" w:rsidRPr="0047138B" w:rsidRDefault="00261C41" w:rsidP="00261C41">
            <w:pPr>
              <w:spacing w:line="240" w:lineRule="auto"/>
              <w:jc w:val="center"/>
              <w:rPr>
                <w:rFonts w:eastAsia="Times New Roman" w:cs="Arial"/>
                <w:b/>
                <w:bCs/>
                <w:sz w:val="20"/>
                <w:szCs w:val="20"/>
                <w:lang w:eastAsia="pt-BR"/>
              </w:rPr>
            </w:pPr>
            <w:r w:rsidRPr="0047138B">
              <w:rPr>
                <w:rFonts w:eastAsia="Times New Roman" w:cs="Arial"/>
                <w:b/>
                <w:bCs/>
                <w:sz w:val="20"/>
                <w:szCs w:val="20"/>
                <w:lang w:eastAsia="pt-BR"/>
              </w:rPr>
              <w:t>IMEDIATO (0 a 3)</w:t>
            </w:r>
          </w:p>
        </w:tc>
        <w:tc>
          <w:tcPr>
            <w:tcW w:w="1277" w:type="pct"/>
            <w:shd w:val="clear" w:color="000000" w:fill="C0C0C0"/>
            <w:noWrap/>
            <w:vAlign w:val="center"/>
            <w:hideMark/>
          </w:tcPr>
          <w:p w:rsidR="00261C41" w:rsidRPr="0047138B" w:rsidRDefault="00261C41" w:rsidP="00261C41">
            <w:pPr>
              <w:spacing w:line="240" w:lineRule="auto"/>
              <w:jc w:val="center"/>
              <w:rPr>
                <w:rFonts w:eastAsia="Times New Roman" w:cs="Arial"/>
                <w:b/>
                <w:bCs/>
                <w:sz w:val="20"/>
                <w:szCs w:val="20"/>
                <w:lang w:eastAsia="pt-BR"/>
              </w:rPr>
            </w:pPr>
            <w:r w:rsidRPr="0047138B">
              <w:rPr>
                <w:rFonts w:eastAsia="Times New Roman" w:cs="Arial"/>
                <w:b/>
                <w:bCs/>
                <w:sz w:val="20"/>
                <w:szCs w:val="20"/>
                <w:lang w:eastAsia="pt-BR"/>
              </w:rPr>
              <w:t>CURTO (4 a 8)</w:t>
            </w:r>
          </w:p>
        </w:tc>
        <w:tc>
          <w:tcPr>
            <w:tcW w:w="961" w:type="pct"/>
            <w:shd w:val="clear" w:color="000000" w:fill="C0C0C0"/>
            <w:noWrap/>
            <w:vAlign w:val="center"/>
            <w:hideMark/>
          </w:tcPr>
          <w:p w:rsidR="00261C41" w:rsidRPr="0047138B" w:rsidRDefault="00261C41" w:rsidP="00261C41">
            <w:pPr>
              <w:spacing w:line="240" w:lineRule="auto"/>
              <w:jc w:val="center"/>
              <w:rPr>
                <w:rFonts w:eastAsia="Times New Roman" w:cs="Arial"/>
                <w:b/>
                <w:bCs/>
                <w:sz w:val="20"/>
                <w:szCs w:val="20"/>
                <w:lang w:eastAsia="pt-BR"/>
              </w:rPr>
            </w:pPr>
            <w:r w:rsidRPr="0047138B">
              <w:rPr>
                <w:rFonts w:eastAsia="Times New Roman" w:cs="Arial"/>
                <w:b/>
                <w:bCs/>
                <w:sz w:val="20"/>
                <w:szCs w:val="20"/>
                <w:lang w:eastAsia="pt-BR"/>
              </w:rPr>
              <w:t>MÉDIO (9 a 12)</w:t>
            </w:r>
          </w:p>
        </w:tc>
        <w:tc>
          <w:tcPr>
            <w:tcW w:w="1509" w:type="pct"/>
            <w:shd w:val="clear" w:color="000000" w:fill="C0C0C0"/>
            <w:noWrap/>
            <w:vAlign w:val="center"/>
            <w:hideMark/>
          </w:tcPr>
          <w:p w:rsidR="00261C41" w:rsidRPr="0047138B" w:rsidRDefault="00261C41" w:rsidP="00261C41">
            <w:pPr>
              <w:spacing w:line="240" w:lineRule="auto"/>
              <w:jc w:val="center"/>
              <w:rPr>
                <w:rFonts w:eastAsia="Times New Roman" w:cs="Arial"/>
                <w:b/>
                <w:bCs/>
                <w:sz w:val="20"/>
                <w:szCs w:val="20"/>
                <w:lang w:eastAsia="pt-BR"/>
              </w:rPr>
            </w:pPr>
            <w:r w:rsidRPr="0047138B">
              <w:rPr>
                <w:rFonts w:eastAsia="Times New Roman" w:cs="Arial"/>
                <w:b/>
                <w:bCs/>
                <w:sz w:val="20"/>
                <w:szCs w:val="20"/>
                <w:lang w:eastAsia="pt-BR"/>
              </w:rPr>
              <w:t>LONGO (13 a 20)</w:t>
            </w:r>
          </w:p>
        </w:tc>
      </w:tr>
      <w:tr w:rsidR="00261C41" w:rsidRPr="0047138B" w:rsidTr="00261C41">
        <w:trPr>
          <w:trHeight w:val="283"/>
          <w:jc w:val="center"/>
        </w:trPr>
        <w:tc>
          <w:tcPr>
            <w:tcW w:w="1253" w:type="pct"/>
            <w:gridSpan w:val="3"/>
            <w:shd w:val="clear" w:color="auto" w:fill="auto"/>
            <w:noWrap/>
            <w:vAlign w:val="center"/>
          </w:tcPr>
          <w:p w:rsidR="00261C41" w:rsidRPr="0047138B" w:rsidRDefault="00261C41" w:rsidP="00261C41">
            <w:pPr>
              <w:spacing w:before="20" w:after="20" w:line="240" w:lineRule="auto"/>
              <w:jc w:val="both"/>
              <w:rPr>
                <w:rFonts w:cs="Arial"/>
                <w:bCs/>
                <w:sz w:val="20"/>
                <w:szCs w:val="20"/>
              </w:rPr>
            </w:pPr>
          </w:p>
        </w:tc>
        <w:tc>
          <w:tcPr>
            <w:tcW w:w="1277" w:type="pct"/>
            <w:shd w:val="clear" w:color="auto" w:fill="auto"/>
            <w:noWrap/>
            <w:vAlign w:val="center"/>
            <w:hideMark/>
          </w:tcPr>
          <w:p w:rsidR="00261C41" w:rsidRPr="0047138B" w:rsidRDefault="00261C41" w:rsidP="00261C41">
            <w:pPr>
              <w:spacing w:before="20" w:after="20" w:line="240" w:lineRule="auto"/>
              <w:jc w:val="both"/>
              <w:rPr>
                <w:rFonts w:cs="Arial"/>
                <w:bCs/>
                <w:sz w:val="20"/>
                <w:szCs w:val="20"/>
              </w:rPr>
            </w:pPr>
            <w:r w:rsidRPr="0047138B">
              <w:rPr>
                <w:rFonts w:eastAsia="Times New Roman" w:cs="Arial"/>
                <w:bCs/>
                <w:sz w:val="20"/>
                <w:szCs w:val="20"/>
              </w:rPr>
              <w:t>5.1 Regularizar todas as licenças ambientais da infraestrutura existente relacionada ao SDU.</w:t>
            </w:r>
          </w:p>
        </w:tc>
        <w:tc>
          <w:tcPr>
            <w:tcW w:w="961" w:type="pct"/>
            <w:shd w:val="clear" w:color="auto" w:fill="auto"/>
            <w:noWrap/>
            <w:vAlign w:val="center"/>
          </w:tcPr>
          <w:p w:rsidR="00261C41" w:rsidRPr="0047138B" w:rsidRDefault="00261C41" w:rsidP="00261C41">
            <w:pPr>
              <w:spacing w:before="20" w:after="20" w:line="240" w:lineRule="auto"/>
              <w:jc w:val="both"/>
              <w:rPr>
                <w:rFonts w:cs="Arial"/>
                <w:bCs/>
                <w:sz w:val="20"/>
                <w:szCs w:val="20"/>
              </w:rPr>
            </w:pPr>
          </w:p>
        </w:tc>
        <w:tc>
          <w:tcPr>
            <w:tcW w:w="1509" w:type="pct"/>
            <w:shd w:val="clear" w:color="auto" w:fill="auto"/>
            <w:noWrap/>
            <w:vAlign w:val="center"/>
          </w:tcPr>
          <w:p w:rsidR="00261C41" w:rsidRPr="0047138B" w:rsidRDefault="00261C41" w:rsidP="00261C41">
            <w:pPr>
              <w:spacing w:before="20" w:after="20" w:line="240" w:lineRule="auto"/>
              <w:jc w:val="both"/>
              <w:rPr>
                <w:rFonts w:cs="Arial"/>
                <w:bCs/>
                <w:sz w:val="20"/>
                <w:szCs w:val="20"/>
              </w:rPr>
            </w:pPr>
            <w:r w:rsidRPr="0047138B">
              <w:rPr>
                <w:rFonts w:cs="Arial"/>
                <w:bCs/>
                <w:sz w:val="20"/>
                <w:szCs w:val="20"/>
              </w:rPr>
              <w:t xml:space="preserve">5.2 </w:t>
            </w:r>
            <w:r w:rsidRPr="0047138B">
              <w:rPr>
                <w:rFonts w:eastAsia="Times New Roman" w:cs="Arial"/>
                <w:sz w:val="20"/>
                <w:szCs w:val="20"/>
                <w:lang w:eastAsia="pt-BR"/>
              </w:rPr>
              <w:t>Possuir método de acompanhamento da validade das licenças ambientais do SDU, segundo procedimento pré-estabelecido.</w:t>
            </w:r>
          </w:p>
        </w:tc>
      </w:tr>
    </w:tbl>
    <w:p w:rsidR="00261C41" w:rsidRPr="00680B12" w:rsidRDefault="00261C41" w:rsidP="00261C41">
      <w:pPr>
        <w:rPr>
          <w:rFonts w:cs="Arial"/>
          <w:sz w:val="10"/>
          <w:szCs w:val="10"/>
        </w:rPr>
      </w:pPr>
    </w:p>
    <w:tbl>
      <w:tblPr>
        <w:tblW w:w="14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1"/>
        <w:gridCol w:w="8399"/>
        <w:gridCol w:w="2121"/>
        <w:gridCol w:w="1691"/>
        <w:gridCol w:w="1456"/>
      </w:tblGrid>
      <w:tr w:rsidR="00261C41" w:rsidRPr="001157F4" w:rsidTr="00261C41">
        <w:trPr>
          <w:trHeight w:val="20"/>
          <w:tblHeader/>
          <w:jc w:val="center"/>
        </w:trPr>
        <w:tc>
          <w:tcPr>
            <w:tcW w:w="951" w:type="dxa"/>
            <w:shd w:val="clear" w:color="000000" w:fill="C0C0C0"/>
            <w:vAlign w:val="center"/>
          </w:tcPr>
          <w:p w:rsidR="00261C41" w:rsidRPr="001157F4" w:rsidRDefault="00261C41" w:rsidP="00261C41">
            <w:pPr>
              <w:spacing w:line="240" w:lineRule="auto"/>
              <w:jc w:val="center"/>
              <w:rPr>
                <w:rFonts w:eastAsia="Times New Roman" w:cs="Arial"/>
                <w:b/>
                <w:bCs/>
                <w:sz w:val="20"/>
                <w:szCs w:val="20"/>
                <w:lang w:eastAsia="pt-BR"/>
              </w:rPr>
            </w:pPr>
            <w:r w:rsidRPr="001157F4">
              <w:rPr>
                <w:rFonts w:eastAsia="Times New Roman" w:cs="Arial"/>
                <w:b/>
                <w:bCs/>
                <w:sz w:val="20"/>
                <w:szCs w:val="20"/>
                <w:lang w:eastAsia="pt-BR"/>
              </w:rPr>
              <w:t>CÓDIGO</w:t>
            </w:r>
          </w:p>
          <w:p w:rsidR="00261C41" w:rsidRPr="001157F4" w:rsidRDefault="00261C41" w:rsidP="00261C41">
            <w:pPr>
              <w:spacing w:line="240" w:lineRule="auto"/>
              <w:jc w:val="center"/>
              <w:rPr>
                <w:rFonts w:eastAsia="Times New Roman" w:cs="Arial"/>
                <w:b/>
                <w:bCs/>
                <w:sz w:val="20"/>
                <w:szCs w:val="20"/>
                <w:lang w:eastAsia="pt-BR"/>
              </w:rPr>
            </w:pPr>
            <w:r w:rsidRPr="001157F4">
              <w:rPr>
                <w:rFonts w:eastAsia="Times New Roman" w:cs="Arial"/>
                <w:b/>
                <w:bCs/>
                <w:sz w:val="20"/>
                <w:szCs w:val="20"/>
                <w:lang w:eastAsia="pt-BR"/>
              </w:rPr>
              <w:t>(s/o/m/a)*</w:t>
            </w:r>
          </w:p>
        </w:tc>
        <w:tc>
          <w:tcPr>
            <w:tcW w:w="8474" w:type="dxa"/>
            <w:shd w:val="clear" w:color="000000" w:fill="C0C0C0"/>
            <w:vAlign w:val="center"/>
          </w:tcPr>
          <w:p w:rsidR="00261C41" w:rsidRPr="001157F4" w:rsidRDefault="00261C41" w:rsidP="00261C41">
            <w:pPr>
              <w:spacing w:line="240" w:lineRule="auto"/>
              <w:jc w:val="center"/>
              <w:rPr>
                <w:rFonts w:eastAsia="Times New Roman" w:cs="Arial"/>
                <w:b/>
                <w:bCs/>
                <w:sz w:val="20"/>
                <w:szCs w:val="20"/>
                <w:lang w:eastAsia="pt-BR"/>
              </w:rPr>
            </w:pPr>
            <w:r w:rsidRPr="001157F4">
              <w:rPr>
                <w:rFonts w:eastAsia="Times New Roman" w:cs="Arial"/>
                <w:b/>
                <w:bCs/>
                <w:sz w:val="20"/>
                <w:szCs w:val="20"/>
                <w:lang w:eastAsia="pt-BR"/>
              </w:rPr>
              <w:t>DESCRIÇÃO</w:t>
            </w:r>
          </w:p>
        </w:tc>
        <w:tc>
          <w:tcPr>
            <w:tcW w:w="2126" w:type="dxa"/>
            <w:shd w:val="clear" w:color="000000" w:fill="C0C0C0"/>
          </w:tcPr>
          <w:p w:rsidR="00261C41" w:rsidRPr="001157F4" w:rsidRDefault="00261C41" w:rsidP="00261C41">
            <w:pPr>
              <w:spacing w:line="240" w:lineRule="auto"/>
              <w:ind w:firstLine="72"/>
              <w:jc w:val="center"/>
              <w:rPr>
                <w:rFonts w:eastAsia="Times New Roman" w:cs="Arial"/>
                <w:b/>
                <w:bCs/>
                <w:sz w:val="20"/>
                <w:szCs w:val="20"/>
                <w:lang w:eastAsia="pt-BR"/>
              </w:rPr>
            </w:pPr>
            <w:r w:rsidRPr="001157F4">
              <w:rPr>
                <w:rFonts w:eastAsia="Times New Roman" w:cs="Arial"/>
                <w:b/>
                <w:bCs/>
                <w:sz w:val="20"/>
                <w:szCs w:val="20"/>
                <w:lang w:eastAsia="pt-BR"/>
              </w:rPr>
              <w:t>Período de desenvolvimento da ação</w:t>
            </w:r>
          </w:p>
          <w:p w:rsidR="00261C41" w:rsidRPr="001157F4" w:rsidRDefault="00261C41" w:rsidP="00261C41">
            <w:pPr>
              <w:spacing w:before="20" w:after="20" w:line="240" w:lineRule="auto"/>
              <w:contextualSpacing/>
              <w:jc w:val="center"/>
              <w:rPr>
                <w:rFonts w:eastAsia="Times New Roman" w:cs="Arial"/>
                <w:b/>
                <w:bCs/>
                <w:sz w:val="20"/>
                <w:szCs w:val="20"/>
                <w:lang w:eastAsia="pt-BR"/>
              </w:rPr>
            </w:pPr>
            <w:r w:rsidRPr="001157F4">
              <w:rPr>
                <w:rFonts w:eastAsia="Times New Roman" w:cs="Arial"/>
                <w:b/>
                <w:bCs/>
                <w:sz w:val="20"/>
                <w:szCs w:val="20"/>
                <w:lang w:eastAsia="pt-BR"/>
              </w:rPr>
              <w:t>(ano)</w:t>
            </w:r>
          </w:p>
        </w:tc>
        <w:tc>
          <w:tcPr>
            <w:tcW w:w="1701" w:type="dxa"/>
            <w:shd w:val="clear" w:color="000000" w:fill="C0C0C0"/>
          </w:tcPr>
          <w:p w:rsidR="00261C41" w:rsidRPr="001157F4" w:rsidRDefault="00261C41" w:rsidP="00261C41">
            <w:pPr>
              <w:spacing w:line="240" w:lineRule="auto"/>
              <w:ind w:left="64" w:firstLine="8"/>
              <w:jc w:val="center"/>
              <w:rPr>
                <w:rFonts w:eastAsia="Times New Roman" w:cs="Arial"/>
                <w:b/>
                <w:bCs/>
                <w:sz w:val="20"/>
                <w:szCs w:val="20"/>
                <w:lang w:eastAsia="pt-BR"/>
              </w:rPr>
            </w:pPr>
            <w:r w:rsidRPr="001157F4">
              <w:rPr>
                <w:rFonts w:eastAsia="Times New Roman" w:cs="Arial"/>
                <w:b/>
                <w:bCs/>
                <w:sz w:val="20"/>
                <w:szCs w:val="20"/>
                <w:lang w:eastAsia="pt-BR"/>
              </w:rPr>
              <w:t>Custo total na moeda de 2017</w:t>
            </w:r>
          </w:p>
          <w:p w:rsidR="00261C41" w:rsidRPr="001157F4" w:rsidRDefault="00261C41" w:rsidP="00261C41">
            <w:pPr>
              <w:spacing w:before="20" w:after="20" w:line="240" w:lineRule="auto"/>
              <w:contextualSpacing/>
              <w:jc w:val="center"/>
              <w:rPr>
                <w:rFonts w:eastAsia="Times New Roman" w:cs="Arial"/>
                <w:b/>
                <w:bCs/>
                <w:sz w:val="20"/>
                <w:szCs w:val="20"/>
                <w:lang w:eastAsia="pt-BR"/>
              </w:rPr>
            </w:pPr>
            <w:r w:rsidRPr="001157F4">
              <w:rPr>
                <w:rFonts w:eastAsia="Times New Roman" w:cs="Arial"/>
                <w:b/>
                <w:bCs/>
                <w:sz w:val="20"/>
                <w:szCs w:val="20"/>
                <w:lang w:eastAsia="pt-BR"/>
              </w:rPr>
              <w:t>(R$)</w:t>
            </w:r>
          </w:p>
        </w:tc>
        <w:tc>
          <w:tcPr>
            <w:tcW w:w="1456" w:type="dxa"/>
            <w:shd w:val="clear" w:color="000000" w:fill="C0C0C0"/>
          </w:tcPr>
          <w:p w:rsidR="00261C41" w:rsidRPr="001157F4" w:rsidRDefault="00261C41" w:rsidP="00261C41">
            <w:pPr>
              <w:spacing w:line="240" w:lineRule="auto"/>
              <w:ind w:left="64" w:firstLine="8"/>
              <w:jc w:val="center"/>
              <w:rPr>
                <w:rFonts w:eastAsia="Times New Roman" w:cs="Arial"/>
                <w:b/>
                <w:bCs/>
                <w:sz w:val="20"/>
                <w:szCs w:val="20"/>
                <w:lang w:eastAsia="pt-BR"/>
              </w:rPr>
            </w:pPr>
            <w:r w:rsidRPr="001157F4">
              <w:rPr>
                <w:rFonts w:eastAsia="Times New Roman" w:cs="Arial"/>
                <w:b/>
                <w:bCs/>
                <w:sz w:val="20"/>
                <w:szCs w:val="20"/>
                <w:lang w:eastAsia="pt-BR"/>
              </w:rPr>
              <w:t>Responsável pela ação</w:t>
            </w:r>
          </w:p>
          <w:p w:rsidR="00261C41" w:rsidRPr="001157F4" w:rsidRDefault="00261C41" w:rsidP="00261C41">
            <w:pPr>
              <w:spacing w:line="240" w:lineRule="auto"/>
              <w:rPr>
                <w:rFonts w:eastAsia="Times New Roman" w:cs="Arial"/>
                <w:b/>
                <w:bCs/>
                <w:sz w:val="20"/>
                <w:szCs w:val="20"/>
                <w:lang w:eastAsia="pt-BR"/>
              </w:rPr>
            </w:pPr>
          </w:p>
        </w:tc>
      </w:tr>
      <w:tr w:rsidR="00261C41" w:rsidRPr="001157F4" w:rsidTr="00261C41">
        <w:trPr>
          <w:trHeight w:val="510"/>
          <w:jc w:val="center"/>
        </w:trPr>
        <w:tc>
          <w:tcPr>
            <w:tcW w:w="951" w:type="dxa"/>
            <w:shd w:val="clear" w:color="auto" w:fill="auto"/>
            <w:vAlign w:val="center"/>
          </w:tcPr>
          <w:p w:rsidR="00261C41" w:rsidRPr="001157F4" w:rsidRDefault="00261C41" w:rsidP="00261C41">
            <w:pPr>
              <w:spacing w:line="240" w:lineRule="auto"/>
              <w:jc w:val="center"/>
              <w:rPr>
                <w:rFonts w:cs="Arial"/>
                <w:sz w:val="20"/>
                <w:szCs w:val="20"/>
                <w:lang w:eastAsia="pt-BR"/>
              </w:rPr>
            </w:pPr>
            <w:r w:rsidRPr="001157F4">
              <w:rPr>
                <w:rFonts w:eastAsia="Times New Roman" w:cs="Arial"/>
                <w:sz w:val="20"/>
                <w:szCs w:val="20"/>
                <w:lang w:eastAsia="pt-BR"/>
              </w:rPr>
              <w:t>3.5.1.55</w:t>
            </w:r>
          </w:p>
        </w:tc>
        <w:tc>
          <w:tcPr>
            <w:tcW w:w="8474"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Elaborar estudo para avaliação da legislação ambiental municipal, estadual e federal que se aplique ou que influencie direta ou indiretamente no manejo de águas de chuvas do município, com o propósito de regulamentar a gestão do setor.</w:t>
            </w:r>
          </w:p>
        </w:tc>
        <w:tc>
          <w:tcPr>
            <w:tcW w:w="2126"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3º-8º</w:t>
            </w:r>
          </w:p>
        </w:tc>
        <w:tc>
          <w:tcPr>
            <w:tcW w:w="1701"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456"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525"/>
          <w:jc w:val="center"/>
        </w:trPr>
        <w:tc>
          <w:tcPr>
            <w:tcW w:w="951"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3.5.1.56</w:t>
            </w:r>
          </w:p>
        </w:tc>
        <w:tc>
          <w:tcPr>
            <w:tcW w:w="8474"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Fazer um levantamento de todas as atividades passíveis de licenciamento ambiental ou autorização de órgão ambiental e elaborar um calendário para a regularização.</w:t>
            </w:r>
          </w:p>
        </w:tc>
        <w:tc>
          <w:tcPr>
            <w:tcW w:w="2126"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1º-8º</w:t>
            </w:r>
          </w:p>
        </w:tc>
        <w:tc>
          <w:tcPr>
            <w:tcW w:w="1701" w:type="dxa"/>
            <w:shd w:val="clear" w:color="auto" w:fill="auto"/>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45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265"/>
          <w:jc w:val="center"/>
        </w:trPr>
        <w:tc>
          <w:tcPr>
            <w:tcW w:w="951"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3.5.1.57</w:t>
            </w:r>
          </w:p>
        </w:tc>
        <w:tc>
          <w:tcPr>
            <w:tcW w:w="8474"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Solicitar e acompanhar os processos de solicitação de licenças e certificados ambientais.</w:t>
            </w:r>
          </w:p>
        </w:tc>
        <w:tc>
          <w:tcPr>
            <w:tcW w:w="2126"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1º-20º</w:t>
            </w:r>
          </w:p>
        </w:tc>
        <w:tc>
          <w:tcPr>
            <w:tcW w:w="1701" w:type="dxa"/>
            <w:shd w:val="clear" w:color="auto" w:fill="auto"/>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45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315"/>
          <w:jc w:val="center"/>
        </w:trPr>
        <w:tc>
          <w:tcPr>
            <w:tcW w:w="951"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3.5.1.58</w:t>
            </w:r>
          </w:p>
        </w:tc>
        <w:tc>
          <w:tcPr>
            <w:tcW w:w="8474"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Acompanhar a evolução dos índices de permeabilidade dos lotes urbanos e fiscalizar o atendimento à legislação aplicável.</w:t>
            </w:r>
          </w:p>
        </w:tc>
        <w:tc>
          <w:tcPr>
            <w:tcW w:w="2126"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2º-20º</w:t>
            </w:r>
          </w:p>
        </w:tc>
        <w:tc>
          <w:tcPr>
            <w:tcW w:w="1701" w:type="dxa"/>
            <w:shd w:val="clear" w:color="auto" w:fill="auto"/>
            <w:vAlign w:val="center"/>
          </w:tcPr>
          <w:p w:rsidR="00261C41" w:rsidRPr="001157F4" w:rsidRDefault="00261C41" w:rsidP="00261C41">
            <w:pPr>
              <w:jc w:val="right"/>
              <w:rPr>
                <w:rFonts w:cs="Arial"/>
                <w:color w:val="000000"/>
                <w:sz w:val="20"/>
                <w:szCs w:val="20"/>
              </w:rPr>
            </w:pPr>
            <w:r w:rsidRPr="001157F4">
              <w:rPr>
                <w:rFonts w:cs="Arial"/>
                <w:color w:val="000000"/>
                <w:sz w:val="20"/>
                <w:szCs w:val="20"/>
              </w:rPr>
              <w:t>8.429,20</w:t>
            </w:r>
          </w:p>
        </w:tc>
        <w:tc>
          <w:tcPr>
            <w:tcW w:w="145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351"/>
          <w:jc w:val="center"/>
        </w:trPr>
        <w:tc>
          <w:tcPr>
            <w:tcW w:w="951"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3.5.1.59</w:t>
            </w:r>
          </w:p>
        </w:tc>
        <w:tc>
          <w:tcPr>
            <w:tcW w:w="8474"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 xml:space="preserve">Elaborar legislação que regulamente a manutenção do escoamento superficial dos lotes urbanos. </w:t>
            </w:r>
          </w:p>
        </w:tc>
        <w:tc>
          <w:tcPr>
            <w:tcW w:w="2126"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1º-3º</w:t>
            </w:r>
          </w:p>
        </w:tc>
        <w:tc>
          <w:tcPr>
            <w:tcW w:w="1701" w:type="dxa"/>
            <w:shd w:val="clear" w:color="auto" w:fill="auto"/>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7.500,00</w:t>
            </w:r>
          </w:p>
        </w:tc>
        <w:tc>
          <w:tcPr>
            <w:tcW w:w="145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302"/>
          <w:jc w:val="center"/>
        </w:trPr>
        <w:tc>
          <w:tcPr>
            <w:tcW w:w="951"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3.5.1.60</w:t>
            </w:r>
          </w:p>
        </w:tc>
        <w:tc>
          <w:tcPr>
            <w:tcW w:w="8474"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Criar procedimento de acompanhamento da validade das licenças ambientais do SDU.</w:t>
            </w:r>
          </w:p>
        </w:tc>
        <w:tc>
          <w:tcPr>
            <w:tcW w:w="2126"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1º-3º</w:t>
            </w:r>
          </w:p>
        </w:tc>
        <w:tc>
          <w:tcPr>
            <w:tcW w:w="1701" w:type="dxa"/>
            <w:shd w:val="clear" w:color="auto" w:fill="auto"/>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45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266"/>
          <w:jc w:val="center"/>
        </w:trPr>
        <w:tc>
          <w:tcPr>
            <w:tcW w:w="951"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3.5.2.61</w:t>
            </w:r>
          </w:p>
        </w:tc>
        <w:tc>
          <w:tcPr>
            <w:tcW w:w="8474"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cs="Arial"/>
                <w:sz w:val="20"/>
                <w:szCs w:val="20"/>
              </w:rPr>
              <w:t>Possuir indicadores cadastrados no SMIS para acompanhamento das licenças ambientais e outorgas.</w:t>
            </w:r>
          </w:p>
        </w:tc>
        <w:tc>
          <w:tcPr>
            <w:tcW w:w="2126"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3º-20º</w:t>
            </w:r>
          </w:p>
        </w:tc>
        <w:tc>
          <w:tcPr>
            <w:tcW w:w="1701" w:type="dxa"/>
            <w:shd w:val="clear" w:color="auto" w:fill="auto"/>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456"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bl>
    <w:p w:rsidR="00261C41" w:rsidRDefault="00261C41" w:rsidP="00261C41">
      <w:pPr>
        <w:pStyle w:val="Fonte"/>
      </w:pPr>
      <w:r>
        <w:t>*</w:t>
      </w:r>
      <w:r w:rsidRPr="00680B12">
        <w:t>(s/o/m/a) = nº do setor / nº do objetivo / nº da meta / nº da ação.</w:t>
      </w:r>
    </w:p>
    <w:p w:rsidR="00261C41" w:rsidRPr="000D64AC" w:rsidRDefault="00261C41" w:rsidP="00261C41">
      <w:pPr>
        <w:pStyle w:val="Legenda"/>
      </w:pPr>
      <w:bookmarkStart w:id="910" w:name="_Ref491965498"/>
      <w:bookmarkStart w:id="911" w:name="_Toc491704049"/>
      <w:bookmarkStart w:id="912" w:name="_Toc498609261"/>
      <w:bookmarkStart w:id="913" w:name="_Toc505788351"/>
      <w:bookmarkStart w:id="914" w:name="_Toc509935854"/>
      <w:r w:rsidRPr="000D64AC">
        <w:lastRenderedPageBreak/>
        <w:t xml:space="preserve">Quadro </w:t>
      </w:r>
      <w:r w:rsidR="000A1C78">
        <w:fldChar w:fldCharType="begin"/>
      </w:r>
      <w:r w:rsidR="000A1C78">
        <w:instrText xml:space="preserve"> SEQ Quadro \* ARABIC </w:instrText>
      </w:r>
      <w:r w:rsidR="000A1C78">
        <w:fldChar w:fldCharType="separate"/>
      </w:r>
      <w:r w:rsidR="001B481B">
        <w:rPr>
          <w:noProof/>
        </w:rPr>
        <w:t>77</w:t>
      </w:r>
      <w:r w:rsidR="000A1C78">
        <w:rPr>
          <w:noProof/>
        </w:rPr>
        <w:fldChar w:fldCharType="end"/>
      </w:r>
      <w:bookmarkEnd w:id="910"/>
      <w:r w:rsidRPr="000D64AC">
        <w:t xml:space="preserve"> - </w:t>
      </w:r>
      <w:r w:rsidRPr="00B04B98">
        <w:t>Programas e ações propostos para o setor de drenagem urbana e manejo de águas pluviais</w:t>
      </w:r>
      <w:r w:rsidRPr="000D64AC">
        <w:t xml:space="preserve"> - Objetivo 6</w:t>
      </w:r>
      <w:bookmarkEnd w:id="911"/>
      <w:bookmarkEnd w:id="912"/>
      <w:bookmarkEnd w:id="913"/>
      <w:bookmarkEnd w:id="914"/>
    </w:p>
    <w:tbl>
      <w:tblPr>
        <w:tblW w:w="14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44"/>
        <w:gridCol w:w="425"/>
        <w:gridCol w:w="283"/>
        <w:gridCol w:w="8362"/>
        <w:gridCol w:w="2126"/>
        <w:gridCol w:w="1902"/>
      </w:tblGrid>
      <w:tr w:rsidR="00261C41" w:rsidRPr="00510732" w:rsidTr="00261C41">
        <w:trPr>
          <w:trHeight w:val="20"/>
          <w:jc w:val="center"/>
        </w:trPr>
        <w:tc>
          <w:tcPr>
            <w:tcW w:w="558" w:type="pct"/>
            <w:shd w:val="clear" w:color="000000" w:fill="C0C0C0"/>
            <w:noWrap/>
            <w:vAlign w:val="center"/>
            <w:hideMark/>
          </w:tcPr>
          <w:p w:rsidR="00261C41" w:rsidRPr="00510732" w:rsidRDefault="00261C41" w:rsidP="00261C41">
            <w:pPr>
              <w:spacing w:line="240" w:lineRule="auto"/>
              <w:rPr>
                <w:rFonts w:eastAsia="Times New Roman" w:cs="Arial"/>
                <w:b/>
                <w:bCs/>
                <w:sz w:val="20"/>
                <w:szCs w:val="20"/>
                <w:lang w:eastAsia="pt-BR"/>
              </w:rPr>
            </w:pPr>
            <w:r w:rsidRPr="00510732">
              <w:rPr>
                <w:rFonts w:eastAsia="Times New Roman" w:cs="Arial"/>
                <w:b/>
                <w:bCs/>
                <w:sz w:val="20"/>
                <w:szCs w:val="20"/>
                <w:lang w:eastAsia="pt-BR"/>
              </w:rPr>
              <w:t>SETOR</w:t>
            </w:r>
          </w:p>
        </w:tc>
        <w:tc>
          <w:tcPr>
            <w:tcW w:w="144" w:type="pct"/>
            <w:shd w:val="clear" w:color="auto" w:fill="auto"/>
            <w:noWrap/>
            <w:vAlign w:val="center"/>
            <w:hideMark/>
          </w:tcPr>
          <w:p w:rsidR="00261C41" w:rsidRPr="00510732" w:rsidRDefault="00261C41" w:rsidP="00261C41">
            <w:pPr>
              <w:spacing w:line="240" w:lineRule="auto"/>
              <w:rPr>
                <w:rFonts w:eastAsia="Times New Roman" w:cs="Arial"/>
                <w:sz w:val="20"/>
                <w:szCs w:val="20"/>
                <w:lang w:eastAsia="pt-BR"/>
              </w:rPr>
            </w:pPr>
            <w:r w:rsidRPr="00510732">
              <w:rPr>
                <w:rFonts w:eastAsia="Times New Roman" w:cs="Arial"/>
                <w:sz w:val="20"/>
                <w:szCs w:val="20"/>
                <w:lang w:eastAsia="pt-BR"/>
              </w:rPr>
              <w:t>3</w:t>
            </w:r>
          </w:p>
        </w:tc>
        <w:tc>
          <w:tcPr>
            <w:tcW w:w="4298" w:type="pct"/>
            <w:gridSpan w:val="4"/>
            <w:shd w:val="clear" w:color="auto" w:fill="auto"/>
            <w:noWrap/>
            <w:vAlign w:val="center"/>
            <w:hideMark/>
          </w:tcPr>
          <w:p w:rsidR="00261C41" w:rsidRPr="00510732" w:rsidRDefault="00261C41" w:rsidP="00261C41">
            <w:pPr>
              <w:spacing w:line="240" w:lineRule="auto"/>
              <w:jc w:val="both"/>
              <w:rPr>
                <w:rFonts w:eastAsia="Times New Roman" w:cs="Arial"/>
                <w:sz w:val="20"/>
                <w:szCs w:val="20"/>
                <w:lang w:eastAsia="pt-BR"/>
              </w:rPr>
            </w:pPr>
            <w:r w:rsidRPr="00510732">
              <w:rPr>
                <w:rFonts w:cs="Arial"/>
                <w:sz w:val="20"/>
                <w:szCs w:val="20"/>
              </w:rPr>
              <w:t>Drenagem Urbana e Manejo de Águas Pluviais.</w:t>
            </w:r>
          </w:p>
        </w:tc>
      </w:tr>
      <w:tr w:rsidR="00261C41" w:rsidRPr="00510732" w:rsidTr="00261C41">
        <w:trPr>
          <w:trHeight w:val="20"/>
          <w:jc w:val="center"/>
        </w:trPr>
        <w:tc>
          <w:tcPr>
            <w:tcW w:w="558" w:type="pct"/>
            <w:shd w:val="clear" w:color="000000" w:fill="C0C0C0"/>
            <w:vAlign w:val="center"/>
            <w:hideMark/>
          </w:tcPr>
          <w:p w:rsidR="00261C41" w:rsidRPr="00510732" w:rsidRDefault="00261C41" w:rsidP="00261C41">
            <w:pPr>
              <w:spacing w:line="240" w:lineRule="auto"/>
              <w:rPr>
                <w:rFonts w:eastAsia="Times New Roman" w:cs="Arial"/>
                <w:b/>
                <w:bCs/>
                <w:sz w:val="20"/>
                <w:szCs w:val="20"/>
                <w:lang w:eastAsia="pt-BR"/>
              </w:rPr>
            </w:pPr>
            <w:r w:rsidRPr="00510732">
              <w:rPr>
                <w:rFonts w:eastAsia="Times New Roman" w:cs="Arial"/>
                <w:b/>
                <w:bCs/>
                <w:sz w:val="20"/>
                <w:szCs w:val="20"/>
                <w:lang w:eastAsia="pt-BR"/>
              </w:rPr>
              <w:t>OBJETIVO</w:t>
            </w:r>
          </w:p>
        </w:tc>
        <w:tc>
          <w:tcPr>
            <w:tcW w:w="144" w:type="pct"/>
            <w:shd w:val="clear" w:color="auto" w:fill="auto"/>
            <w:vAlign w:val="center"/>
            <w:hideMark/>
          </w:tcPr>
          <w:p w:rsidR="00261C41" w:rsidRPr="00510732" w:rsidRDefault="00261C41" w:rsidP="00261C41">
            <w:pPr>
              <w:spacing w:line="240" w:lineRule="auto"/>
              <w:rPr>
                <w:rFonts w:eastAsia="Times New Roman" w:cs="Arial"/>
                <w:sz w:val="20"/>
                <w:szCs w:val="20"/>
                <w:lang w:eastAsia="pt-BR"/>
              </w:rPr>
            </w:pPr>
            <w:r w:rsidRPr="00510732">
              <w:rPr>
                <w:rFonts w:eastAsia="Times New Roman" w:cs="Arial"/>
                <w:sz w:val="20"/>
                <w:szCs w:val="20"/>
                <w:lang w:eastAsia="pt-BR"/>
              </w:rPr>
              <w:t>6</w:t>
            </w:r>
          </w:p>
        </w:tc>
        <w:tc>
          <w:tcPr>
            <w:tcW w:w="4298" w:type="pct"/>
            <w:gridSpan w:val="4"/>
            <w:shd w:val="clear" w:color="auto" w:fill="auto"/>
            <w:vAlign w:val="center"/>
            <w:hideMark/>
          </w:tcPr>
          <w:p w:rsidR="00261C41" w:rsidRPr="00510732" w:rsidRDefault="00261C41" w:rsidP="00261C41">
            <w:pPr>
              <w:spacing w:line="240" w:lineRule="auto"/>
              <w:jc w:val="both"/>
              <w:rPr>
                <w:rFonts w:cs="Arial"/>
                <w:sz w:val="20"/>
                <w:szCs w:val="20"/>
              </w:rPr>
            </w:pPr>
            <w:r w:rsidRPr="00510732">
              <w:rPr>
                <w:bCs/>
                <w:sz w:val="20"/>
                <w:szCs w:val="20"/>
              </w:rPr>
              <w:t>Garantir a mobilização social e canais de comunicação com a sociedade, além de promover ações continuadas em educação ambiental.</w:t>
            </w:r>
          </w:p>
        </w:tc>
      </w:tr>
      <w:tr w:rsidR="00261C41" w:rsidRPr="00510732" w:rsidTr="00261C41">
        <w:trPr>
          <w:trHeight w:val="20"/>
          <w:jc w:val="center"/>
        </w:trPr>
        <w:tc>
          <w:tcPr>
            <w:tcW w:w="558" w:type="pct"/>
            <w:shd w:val="clear" w:color="000000" w:fill="C0C0C0"/>
            <w:vAlign w:val="center"/>
          </w:tcPr>
          <w:p w:rsidR="00261C41" w:rsidRPr="00510732" w:rsidRDefault="00261C41" w:rsidP="00261C41">
            <w:pPr>
              <w:spacing w:line="240" w:lineRule="auto"/>
              <w:rPr>
                <w:rFonts w:eastAsia="Times New Roman" w:cs="Arial"/>
                <w:b/>
                <w:bCs/>
                <w:sz w:val="20"/>
                <w:szCs w:val="20"/>
                <w:lang w:eastAsia="pt-BR"/>
              </w:rPr>
            </w:pPr>
            <w:r>
              <w:rPr>
                <w:rFonts w:eastAsia="Times New Roman" w:cs="Arial"/>
                <w:b/>
                <w:bCs/>
                <w:sz w:val="20"/>
                <w:szCs w:val="20"/>
                <w:lang w:eastAsia="pt-BR"/>
              </w:rPr>
              <w:t>INDICADORES</w:t>
            </w:r>
          </w:p>
        </w:tc>
        <w:tc>
          <w:tcPr>
            <w:tcW w:w="4442" w:type="pct"/>
            <w:gridSpan w:val="5"/>
            <w:shd w:val="clear" w:color="auto" w:fill="auto"/>
            <w:vAlign w:val="center"/>
          </w:tcPr>
          <w:p w:rsidR="00261C41" w:rsidRDefault="00261C41" w:rsidP="00261C41">
            <w:pPr>
              <w:spacing w:line="240" w:lineRule="auto"/>
              <w:jc w:val="both"/>
              <w:rPr>
                <w:bCs/>
                <w:sz w:val="20"/>
                <w:szCs w:val="20"/>
              </w:rPr>
            </w:pPr>
            <w:r w:rsidRPr="0045745B">
              <w:rPr>
                <w:bCs/>
                <w:sz w:val="20"/>
                <w:szCs w:val="20"/>
              </w:rPr>
              <w:t>Índice de respostas satisfatórias a reclamações</w:t>
            </w:r>
            <w:r>
              <w:rPr>
                <w:bCs/>
                <w:sz w:val="20"/>
                <w:szCs w:val="20"/>
              </w:rPr>
              <w:t>.</w:t>
            </w:r>
          </w:p>
          <w:p w:rsidR="00261C41" w:rsidRPr="0045745B" w:rsidRDefault="00261C41" w:rsidP="00261C41">
            <w:pPr>
              <w:spacing w:line="240" w:lineRule="auto"/>
              <w:jc w:val="both"/>
              <w:rPr>
                <w:bCs/>
                <w:sz w:val="20"/>
                <w:szCs w:val="20"/>
              </w:rPr>
            </w:pPr>
            <w:r w:rsidRPr="0045745B">
              <w:rPr>
                <w:bCs/>
                <w:sz w:val="20"/>
                <w:szCs w:val="20"/>
                <w:lang w:val="x-none"/>
              </w:rPr>
              <w:t>Número de eventos realizados anualmente a respeito da drenagem urbana e proteção dos mananciais</w:t>
            </w:r>
            <w:r>
              <w:rPr>
                <w:bCs/>
                <w:sz w:val="20"/>
                <w:szCs w:val="20"/>
              </w:rPr>
              <w:t>.</w:t>
            </w:r>
          </w:p>
        </w:tc>
      </w:tr>
      <w:tr w:rsidR="00261C41" w:rsidRPr="00510732" w:rsidTr="00261C41">
        <w:trPr>
          <w:trHeight w:val="20"/>
          <w:jc w:val="center"/>
        </w:trPr>
        <w:tc>
          <w:tcPr>
            <w:tcW w:w="5000" w:type="pct"/>
            <w:gridSpan w:val="6"/>
            <w:shd w:val="clear" w:color="000000" w:fill="C0C0C0"/>
            <w:noWrap/>
            <w:vAlign w:val="center"/>
            <w:hideMark/>
          </w:tcPr>
          <w:p w:rsidR="00261C41" w:rsidRPr="00510732" w:rsidRDefault="00261C41" w:rsidP="00261C41">
            <w:pPr>
              <w:spacing w:line="240" w:lineRule="auto"/>
              <w:jc w:val="center"/>
              <w:rPr>
                <w:rFonts w:eastAsia="Times New Roman" w:cs="Arial"/>
                <w:b/>
                <w:bCs/>
                <w:sz w:val="20"/>
                <w:szCs w:val="20"/>
                <w:lang w:eastAsia="pt-BR"/>
              </w:rPr>
            </w:pPr>
            <w:r w:rsidRPr="00510732">
              <w:rPr>
                <w:rFonts w:eastAsia="Times New Roman" w:cs="Arial"/>
                <w:b/>
                <w:bCs/>
                <w:sz w:val="20"/>
                <w:szCs w:val="20"/>
                <w:lang w:eastAsia="pt-BR"/>
              </w:rPr>
              <w:t>PRAZO DE ENTREGA DA META (ANOS)</w:t>
            </w:r>
          </w:p>
        </w:tc>
      </w:tr>
      <w:tr w:rsidR="00261C41" w:rsidRPr="00510732" w:rsidTr="00261C41">
        <w:trPr>
          <w:trHeight w:val="20"/>
          <w:jc w:val="center"/>
        </w:trPr>
        <w:tc>
          <w:tcPr>
            <w:tcW w:w="798" w:type="pct"/>
            <w:gridSpan w:val="3"/>
            <w:shd w:val="clear" w:color="000000" w:fill="C0C0C0"/>
            <w:noWrap/>
            <w:vAlign w:val="center"/>
            <w:hideMark/>
          </w:tcPr>
          <w:p w:rsidR="00261C41" w:rsidRPr="00510732" w:rsidRDefault="00261C41" w:rsidP="00261C41">
            <w:pPr>
              <w:spacing w:line="240" w:lineRule="auto"/>
              <w:jc w:val="center"/>
              <w:rPr>
                <w:rFonts w:eastAsia="Times New Roman" w:cs="Arial"/>
                <w:b/>
                <w:bCs/>
                <w:sz w:val="20"/>
                <w:szCs w:val="20"/>
                <w:lang w:eastAsia="pt-BR"/>
              </w:rPr>
            </w:pPr>
            <w:r w:rsidRPr="00510732">
              <w:rPr>
                <w:rFonts w:eastAsia="Times New Roman" w:cs="Arial"/>
                <w:b/>
                <w:bCs/>
                <w:sz w:val="20"/>
                <w:szCs w:val="20"/>
                <w:lang w:eastAsia="pt-BR"/>
              </w:rPr>
              <w:t>IMEDIATO (0 a 3)</w:t>
            </w:r>
          </w:p>
        </w:tc>
        <w:tc>
          <w:tcPr>
            <w:tcW w:w="2836" w:type="pct"/>
            <w:shd w:val="clear" w:color="000000" w:fill="C0C0C0"/>
            <w:noWrap/>
            <w:vAlign w:val="center"/>
            <w:hideMark/>
          </w:tcPr>
          <w:p w:rsidR="00261C41" w:rsidRPr="00510732" w:rsidRDefault="00261C41" w:rsidP="00261C41">
            <w:pPr>
              <w:spacing w:line="240" w:lineRule="auto"/>
              <w:jc w:val="center"/>
              <w:rPr>
                <w:rFonts w:eastAsia="Times New Roman" w:cs="Arial"/>
                <w:b/>
                <w:bCs/>
                <w:sz w:val="20"/>
                <w:szCs w:val="20"/>
                <w:lang w:eastAsia="pt-BR"/>
              </w:rPr>
            </w:pPr>
            <w:r w:rsidRPr="00510732">
              <w:rPr>
                <w:rFonts w:eastAsia="Times New Roman" w:cs="Arial"/>
                <w:b/>
                <w:bCs/>
                <w:sz w:val="20"/>
                <w:szCs w:val="20"/>
                <w:lang w:eastAsia="pt-BR"/>
              </w:rPr>
              <w:t>CURTO (4 a 8)</w:t>
            </w:r>
          </w:p>
        </w:tc>
        <w:tc>
          <w:tcPr>
            <w:tcW w:w="721" w:type="pct"/>
            <w:shd w:val="clear" w:color="000000" w:fill="C0C0C0"/>
            <w:noWrap/>
            <w:vAlign w:val="center"/>
            <w:hideMark/>
          </w:tcPr>
          <w:p w:rsidR="00261C41" w:rsidRPr="00510732" w:rsidRDefault="00261C41" w:rsidP="00261C41">
            <w:pPr>
              <w:spacing w:line="240" w:lineRule="auto"/>
              <w:jc w:val="center"/>
              <w:rPr>
                <w:rFonts w:eastAsia="Times New Roman" w:cs="Arial"/>
                <w:b/>
                <w:bCs/>
                <w:sz w:val="20"/>
                <w:szCs w:val="20"/>
                <w:lang w:eastAsia="pt-BR"/>
              </w:rPr>
            </w:pPr>
            <w:r w:rsidRPr="00510732">
              <w:rPr>
                <w:rFonts w:eastAsia="Times New Roman" w:cs="Arial"/>
                <w:b/>
                <w:bCs/>
                <w:sz w:val="20"/>
                <w:szCs w:val="20"/>
                <w:lang w:eastAsia="pt-BR"/>
              </w:rPr>
              <w:t>MÉDIO (9 a 12)</w:t>
            </w:r>
          </w:p>
        </w:tc>
        <w:tc>
          <w:tcPr>
            <w:tcW w:w="645" w:type="pct"/>
            <w:shd w:val="clear" w:color="000000" w:fill="C0C0C0"/>
            <w:noWrap/>
            <w:vAlign w:val="center"/>
            <w:hideMark/>
          </w:tcPr>
          <w:p w:rsidR="00261C41" w:rsidRPr="00510732" w:rsidRDefault="00261C41" w:rsidP="00261C41">
            <w:pPr>
              <w:spacing w:line="240" w:lineRule="auto"/>
              <w:jc w:val="center"/>
              <w:rPr>
                <w:rFonts w:eastAsia="Times New Roman" w:cs="Arial"/>
                <w:b/>
                <w:bCs/>
                <w:sz w:val="20"/>
                <w:szCs w:val="20"/>
                <w:lang w:eastAsia="pt-BR"/>
              </w:rPr>
            </w:pPr>
            <w:r w:rsidRPr="00510732">
              <w:rPr>
                <w:rFonts w:eastAsia="Times New Roman" w:cs="Arial"/>
                <w:b/>
                <w:bCs/>
                <w:sz w:val="20"/>
                <w:szCs w:val="20"/>
                <w:lang w:eastAsia="pt-BR"/>
              </w:rPr>
              <w:t>LONGO (13 a 20)</w:t>
            </w:r>
          </w:p>
        </w:tc>
      </w:tr>
      <w:tr w:rsidR="00261C41" w:rsidRPr="00680B12" w:rsidTr="00261C41">
        <w:trPr>
          <w:trHeight w:val="20"/>
          <w:jc w:val="center"/>
        </w:trPr>
        <w:tc>
          <w:tcPr>
            <w:tcW w:w="798" w:type="pct"/>
            <w:gridSpan w:val="3"/>
            <w:shd w:val="clear" w:color="auto" w:fill="auto"/>
            <w:noWrap/>
          </w:tcPr>
          <w:p w:rsidR="00261C41" w:rsidRPr="00510732" w:rsidRDefault="00261C41" w:rsidP="00261C41">
            <w:pPr>
              <w:spacing w:before="20" w:after="20" w:line="240" w:lineRule="auto"/>
              <w:jc w:val="both"/>
              <w:rPr>
                <w:rFonts w:cs="Arial"/>
                <w:bCs/>
                <w:sz w:val="20"/>
                <w:szCs w:val="20"/>
              </w:rPr>
            </w:pPr>
          </w:p>
        </w:tc>
        <w:tc>
          <w:tcPr>
            <w:tcW w:w="2836" w:type="pct"/>
            <w:shd w:val="clear" w:color="auto" w:fill="auto"/>
            <w:noWrap/>
          </w:tcPr>
          <w:p w:rsidR="00261C41" w:rsidRDefault="00261C41" w:rsidP="00261C41">
            <w:pPr>
              <w:spacing w:before="20" w:after="20" w:line="240" w:lineRule="auto"/>
              <w:jc w:val="both"/>
              <w:rPr>
                <w:rFonts w:eastAsia="Times New Roman" w:cs="Arial"/>
                <w:bCs/>
                <w:sz w:val="20"/>
                <w:szCs w:val="20"/>
              </w:rPr>
            </w:pPr>
            <w:r w:rsidRPr="006E3C83">
              <w:rPr>
                <w:rFonts w:eastAsia="Times New Roman" w:cs="Arial"/>
                <w:bCs/>
                <w:sz w:val="20"/>
                <w:szCs w:val="20"/>
              </w:rPr>
              <w:t>6.1 Promover, sistematicamente, eventos que proporcionem a participação de usuários e ampliem o controle social sobre o processo de tomada de decisão do SDU.</w:t>
            </w:r>
          </w:p>
          <w:p w:rsidR="00261C41" w:rsidRDefault="00261C41" w:rsidP="00261C41">
            <w:pPr>
              <w:spacing w:before="20" w:after="20" w:line="240" w:lineRule="auto"/>
              <w:jc w:val="both"/>
              <w:rPr>
                <w:rFonts w:eastAsia="Times New Roman" w:cs="Arial"/>
                <w:bCs/>
                <w:sz w:val="20"/>
                <w:szCs w:val="20"/>
              </w:rPr>
            </w:pPr>
            <w:r w:rsidRPr="006E3C83">
              <w:rPr>
                <w:rFonts w:eastAsia="Times New Roman" w:cs="Arial"/>
                <w:bCs/>
                <w:sz w:val="20"/>
                <w:szCs w:val="20"/>
              </w:rPr>
              <w:t>6.2 Estabelecer canais de comunicação com a população que sejam constantes e bem difundidos em todo o município.</w:t>
            </w:r>
          </w:p>
          <w:p w:rsidR="00261C41" w:rsidRPr="00510732" w:rsidRDefault="00261C41" w:rsidP="00261C41">
            <w:pPr>
              <w:spacing w:before="20" w:after="20" w:line="240" w:lineRule="auto"/>
              <w:jc w:val="both"/>
              <w:rPr>
                <w:rFonts w:cs="Arial"/>
                <w:bCs/>
                <w:sz w:val="20"/>
                <w:szCs w:val="20"/>
              </w:rPr>
            </w:pPr>
            <w:r w:rsidRPr="006E3C83">
              <w:rPr>
                <w:rFonts w:eastAsia="Times New Roman" w:cs="Arial"/>
                <w:bCs/>
                <w:sz w:val="20"/>
                <w:szCs w:val="20"/>
              </w:rPr>
              <w:t>6.3 Realizar, anualmente no município, eventos voltados à conscientização acerca de boas práticas para correto funcionamento do SDU.</w:t>
            </w:r>
          </w:p>
        </w:tc>
        <w:tc>
          <w:tcPr>
            <w:tcW w:w="721" w:type="pct"/>
            <w:shd w:val="clear" w:color="auto" w:fill="auto"/>
            <w:noWrap/>
            <w:hideMark/>
          </w:tcPr>
          <w:p w:rsidR="00261C41" w:rsidRPr="00C13330" w:rsidRDefault="00261C41" w:rsidP="00261C41">
            <w:pPr>
              <w:spacing w:before="20" w:after="20" w:line="240" w:lineRule="auto"/>
              <w:jc w:val="both"/>
              <w:rPr>
                <w:rFonts w:cs="Arial"/>
                <w:bCs/>
                <w:color w:val="FF0000"/>
                <w:sz w:val="20"/>
                <w:szCs w:val="20"/>
              </w:rPr>
            </w:pPr>
            <w:r>
              <w:rPr>
                <w:rFonts w:eastAsia="Times New Roman" w:cs="Arial"/>
                <w:bCs/>
                <w:sz w:val="20"/>
                <w:szCs w:val="20"/>
              </w:rPr>
              <w:t>6</w:t>
            </w:r>
            <w:r w:rsidRPr="006E3C83">
              <w:rPr>
                <w:rFonts w:eastAsia="Times New Roman" w:cs="Arial"/>
                <w:bCs/>
                <w:sz w:val="20"/>
                <w:szCs w:val="20"/>
              </w:rPr>
              <w:t>.4 Promover ações que visem à educação ambiental ligada ao SDU.</w:t>
            </w:r>
          </w:p>
        </w:tc>
        <w:tc>
          <w:tcPr>
            <w:tcW w:w="645" w:type="pct"/>
            <w:shd w:val="clear" w:color="auto" w:fill="auto"/>
            <w:noWrap/>
            <w:hideMark/>
          </w:tcPr>
          <w:p w:rsidR="00261C41" w:rsidRPr="00680B12" w:rsidRDefault="00261C41" w:rsidP="00261C41">
            <w:pPr>
              <w:spacing w:before="20" w:after="20" w:line="240" w:lineRule="auto"/>
              <w:jc w:val="both"/>
              <w:rPr>
                <w:rFonts w:cs="Arial"/>
                <w:bCs/>
                <w:sz w:val="20"/>
                <w:szCs w:val="20"/>
              </w:rPr>
            </w:pPr>
          </w:p>
        </w:tc>
      </w:tr>
    </w:tbl>
    <w:p w:rsidR="00261C41" w:rsidRPr="00680B12" w:rsidRDefault="00261C41" w:rsidP="00261C41">
      <w:pPr>
        <w:rPr>
          <w:rFonts w:cs="Arial"/>
          <w:sz w:val="10"/>
          <w:szCs w:val="10"/>
          <w:highlight w:val="yellow"/>
        </w:rPr>
      </w:pPr>
    </w:p>
    <w:tbl>
      <w:tblPr>
        <w:tblW w:w="14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1"/>
        <w:gridCol w:w="8284"/>
        <w:gridCol w:w="1590"/>
        <w:gridCol w:w="1930"/>
        <w:gridCol w:w="1881"/>
      </w:tblGrid>
      <w:tr w:rsidR="00261C41" w:rsidRPr="001157F4" w:rsidTr="00261C41">
        <w:trPr>
          <w:trHeight w:val="20"/>
          <w:tblHeader/>
          <w:jc w:val="center"/>
        </w:trPr>
        <w:tc>
          <w:tcPr>
            <w:tcW w:w="952" w:type="dxa"/>
            <w:shd w:val="clear" w:color="000000" w:fill="C0C0C0"/>
            <w:vAlign w:val="center"/>
            <w:hideMark/>
          </w:tcPr>
          <w:p w:rsidR="00261C41" w:rsidRPr="001157F4" w:rsidRDefault="00261C41" w:rsidP="00261C41">
            <w:pPr>
              <w:spacing w:line="240" w:lineRule="auto"/>
              <w:jc w:val="center"/>
              <w:rPr>
                <w:rFonts w:eastAsia="Times New Roman" w:cs="Arial"/>
                <w:b/>
                <w:bCs/>
                <w:sz w:val="20"/>
                <w:szCs w:val="20"/>
                <w:lang w:eastAsia="pt-BR"/>
              </w:rPr>
            </w:pPr>
            <w:r w:rsidRPr="001157F4">
              <w:rPr>
                <w:rFonts w:eastAsia="Times New Roman" w:cs="Arial"/>
                <w:b/>
                <w:bCs/>
                <w:sz w:val="20"/>
                <w:szCs w:val="20"/>
                <w:lang w:eastAsia="pt-BR"/>
              </w:rPr>
              <w:t>CÓDIGO</w:t>
            </w:r>
          </w:p>
          <w:p w:rsidR="00261C41" w:rsidRPr="001157F4" w:rsidRDefault="00261C41" w:rsidP="00261C41">
            <w:pPr>
              <w:spacing w:line="240" w:lineRule="auto"/>
              <w:jc w:val="center"/>
              <w:rPr>
                <w:rFonts w:eastAsia="Times New Roman" w:cs="Arial"/>
                <w:b/>
                <w:bCs/>
                <w:sz w:val="20"/>
                <w:szCs w:val="20"/>
                <w:lang w:eastAsia="pt-BR"/>
              </w:rPr>
            </w:pPr>
            <w:r w:rsidRPr="001157F4">
              <w:rPr>
                <w:rFonts w:eastAsia="Times New Roman" w:cs="Arial"/>
                <w:b/>
                <w:bCs/>
                <w:sz w:val="20"/>
                <w:szCs w:val="20"/>
                <w:lang w:eastAsia="pt-BR"/>
              </w:rPr>
              <w:t>(s/o/m/a)*</w:t>
            </w:r>
          </w:p>
        </w:tc>
        <w:tc>
          <w:tcPr>
            <w:tcW w:w="8340" w:type="dxa"/>
            <w:shd w:val="clear" w:color="000000" w:fill="C0C0C0"/>
            <w:vAlign w:val="center"/>
            <w:hideMark/>
          </w:tcPr>
          <w:p w:rsidR="00261C41" w:rsidRPr="001157F4" w:rsidRDefault="00261C41" w:rsidP="00261C41">
            <w:pPr>
              <w:spacing w:line="240" w:lineRule="auto"/>
              <w:jc w:val="center"/>
              <w:rPr>
                <w:rFonts w:eastAsia="Times New Roman" w:cs="Arial"/>
                <w:b/>
                <w:bCs/>
                <w:sz w:val="20"/>
                <w:szCs w:val="20"/>
                <w:lang w:eastAsia="pt-BR"/>
              </w:rPr>
            </w:pPr>
            <w:r w:rsidRPr="001157F4">
              <w:rPr>
                <w:rFonts w:eastAsia="Times New Roman" w:cs="Arial"/>
                <w:b/>
                <w:bCs/>
                <w:sz w:val="20"/>
                <w:szCs w:val="20"/>
                <w:lang w:eastAsia="pt-BR"/>
              </w:rPr>
              <w:t>DESCRIÇÃO</w:t>
            </w:r>
          </w:p>
        </w:tc>
        <w:tc>
          <w:tcPr>
            <w:tcW w:w="1602" w:type="dxa"/>
            <w:shd w:val="clear" w:color="000000" w:fill="C0C0C0"/>
          </w:tcPr>
          <w:p w:rsidR="00261C41" w:rsidRPr="001157F4" w:rsidRDefault="00261C41" w:rsidP="00261C41">
            <w:pPr>
              <w:spacing w:line="240" w:lineRule="auto"/>
              <w:jc w:val="center"/>
              <w:rPr>
                <w:rFonts w:eastAsia="Times New Roman" w:cs="Arial"/>
                <w:b/>
                <w:bCs/>
                <w:sz w:val="20"/>
                <w:szCs w:val="20"/>
                <w:lang w:eastAsia="pt-BR"/>
              </w:rPr>
            </w:pPr>
          </w:p>
        </w:tc>
        <w:tc>
          <w:tcPr>
            <w:tcW w:w="1942" w:type="dxa"/>
            <w:shd w:val="clear" w:color="000000" w:fill="C0C0C0"/>
          </w:tcPr>
          <w:p w:rsidR="00261C41" w:rsidRPr="001157F4" w:rsidRDefault="00261C41" w:rsidP="00261C41">
            <w:pPr>
              <w:spacing w:line="240" w:lineRule="auto"/>
              <w:jc w:val="center"/>
              <w:rPr>
                <w:rFonts w:eastAsia="Times New Roman" w:cs="Arial"/>
                <w:b/>
                <w:bCs/>
                <w:sz w:val="20"/>
                <w:szCs w:val="20"/>
                <w:lang w:eastAsia="pt-BR"/>
              </w:rPr>
            </w:pPr>
          </w:p>
        </w:tc>
        <w:tc>
          <w:tcPr>
            <w:tcW w:w="1890" w:type="dxa"/>
            <w:shd w:val="clear" w:color="000000" w:fill="C0C0C0"/>
          </w:tcPr>
          <w:p w:rsidR="00261C41" w:rsidRPr="001157F4" w:rsidRDefault="00261C41" w:rsidP="00261C41">
            <w:pPr>
              <w:spacing w:line="240" w:lineRule="auto"/>
              <w:jc w:val="center"/>
              <w:rPr>
                <w:rFonts w:eastAsia="Times New Roman" w:cs="Arial"/>
                <w:b/>
                <w:bCs/>
                <w:sz w:val="20"/>
                <w:szCs w:val="20"/>
                <w:lang w:eastAsia="pt-BR"/>
              </w:rPr>
            </w:pPr>
          </w:p>
        </w:tc>
      </w:tr>
      <w:tr w:rsidR="00261C41" w:rsidRPr="001157F4" w:rsidTr="00261C41">
        <w:trPr>
          <w:trHeight w:val="680"/>
          <w:jc w:val="center"/>
        </w:trPr>
        <w:tc>
          <w:tcPr>
            <w:tcW w:w="952"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3.6.1.62</w:t>
            </w:r>
          </w:p>
        </w:tc>
        <w:tc>
          <w:tcPr>
            <w:tcW w:w="8340"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Alimentar a página do site oficial da Prefeitura ou da rede social ou, ainda, da conta de aplicativo de mensagens instantâneas, com informações atualizadas e pertinentes ao eixo de Drenagem Urbana e manejo de águas pluviais.</w:t>
            </w:r>
          </w:p>
        </w:tc>
        <w:tc>
          <w:tcPr>
            <w:tcW w:w="1602"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1º-8º</w:t>
            </w:r>
          </w:p>
        </w:tc>
        <w:tc>
          <w:tcPr>
            <w:tcW w:w="1942"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890"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680"/>
          <w:jc w:val="center"/>
        </w:trPr>
        <w:tc>
          <w:tcPr>
            <w:tcW w:w="952"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3.6.1.63</w:t>
            </w:r>
          </w:p>
        </w:tc>
        <w:tc>
          <w:tcPr>
            <w:tcW w:w="8340"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Criar meios lúdicos e interativos de conscientização ambiental para o público em geral (</w:t>
            </w:r>
            <w:r w:rsidRPr="001157F4">
              <w:rPr>
                <w:rFonts w:eastAsia="Times New Roman" w:cs="Arial"/>
                <w:i/>
                <w:sz w:val="20"/>
                <w:szCs w:val="20"/>
                <w:lang w:eastAsia="pt-BR"/>
              </w:rPr>
              <w:t>jingles</w:t>
            </w:r>
            <w:r w:rsidRPr="001157F4">
              <w:rPr>
                <w:rFonts w:eastAsia="Times New Roman" w:cs="Arial"/>
                <w:sz w:val="20"/>
                <w:szCs w:val="20"/>
                <w:lang w:eastAsia="pt-BR"/>
              </w:rPr>
              <w:t xml:space="preserve">, personagens ligadas à drenagem, frases de efeito, </w:t>
            </w:r>
            <w:r w:rsidRPr="001157F4">
              <w:rPr>
                <w:rFonts w:eastAsia="Times New Roman" w:cs="Arial"/>
                <w:i/>
                <w:sz w:val="20"/>
                <w:szCs w:val="20"/>
                <w:lang w:eastAsia="pt-BR"/>
              </w:rPr>
              <w:t>slogans</w:t>
            </w:r>
            <w:r w:rsidRPr="001157F4">
              <w:rPr>
                <w:rFonts w:eastAsia="Times New Roman" w:cs="Arial"/>
                <w:sz w:val="20"/>
                <w:szCs w:val="20"/>
                <w:lang w:eastAsia="pt-BR"/>
              </w:rPr>
              <w:t>, etc.), relacionando-os à importância do sistema de drenagem para uma cidade e à qualidade de vida da população.</w:t>
            </w:r>
          </w:p>
        </w:tc>
        <w:tc>
          <w:tcPr>
            <w:tcW w:w="1602"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3º-8º</w:t>
            </w:r>
          </w:p>
        </w:tc>
        <w:tc>
          <w:tcPr>
            <w:tcW w:w="1942"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890"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680"/>
          <w:jc w:val="center"/>
        </w:trPr>
        <w:tc>
          <w:tcPr>
            <w:tcW w:w="952"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3.6.1.64</w:t>
            </w:r>
          </w:p>
        </w:tc>
        <w:tc>
          <w:tcPr>
            <w:tcW w:w="8340"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Desenvolver canal para denúncia de descarte irregular de resíduos nos corpos d’água do município e divulgar sobre a existência desse canal de comunicação.</w:t>
            </w:r>
          </w:p>
        </w:tc>
        <w:tc>
          <w:tcPr>
            <w:tcW w:w="1602"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1º-20º</w:t>
            </w:r>
          </w:p>
        </w:tc>
        <w:tc>
          <w:tcPr>
            <w:tcW w:w="1942"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890"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680"/>
          <w:jc w:val="center"/>
        </w:trPr>
        <w:tc>
          <w:tcPr>
            <w:tcW w:w="952"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3.6.1.65</w:t>
            </w:r>
          </w:p>
        </w:tc>
        <w:tc>
          <w:tcPr>
            <w:tcW w:w="8340"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Criar serviço de atendimento aos usuários, com procedimentos que viabilizem o acompanhamento das ações em relação às reclamações realizadas, atendendo às demandas de maneira rápida e eficiente.</w:t>
            </w:r>
          </w:p>
        </w:tc>
        <w:tc>
          <w:tcPr>
            <w:tcW w:w="1602"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1º-3º</w:t>
            </w:r>
          </w:p>
        </w:tc>
        <w:tc>
          <w:tcPr>
            <w:tcW w:w="1942"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890"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680"/>
          <w:jc w:val="center"/>
        </w:trPr>
        <w:tc>
          <w:tcPr>
            <w:tcW w:w="952"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3.6.1.66</w:t>
            </w:r>
          </w:p>
        </w:tc>
        <w:tc>
          <w:tcPr>
            <w:tcW w:w="8340"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Contratar/treinar uma equipe responsável pela manutenção das informações a serem disponibilizadas pelo banco de dados e por demais canais de comunicação.</w:t>
            </w:r>
          </w:p>
        </w:tc>
        <w:tc>
          <w:tcPr>
            <w:tcW w:w="1602"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1º-3º</w:t>
            </w:r>
          </w:p>
        </w:tc>
        <w:tc>
          <w:tcPr>
            <w:tcW w:w="1942"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949,80</w:t>
            </w:r>
          </w:p>
        </w:tc>
        <w:tc>
          <w:tcPr>
            <w:tcW w:w="1890"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794"/>
          <w:jc w:val="center"/>
        </w:trPr>
        <w:tc>
          <w:tcPr>
            <w:tcW w:w="952"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lastRenderedPageBreak/>
              <w:t>3.6.2.67</w:t>
            </w:r>
          </w:p>
        </w:tc>
        <w:tc>
          <w:tcPr>
            <w:tcW w:w="8340" w:type="dxa"/>
            <w:shd w:val="clear" w:color="auto" w:fill="auto"/>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Definir, junto ao calendário oficial do município, reuniões e seminários para o esclarecimento quanto à destinação final adequada dos resíduos sólidos e conscientizar a população sobre a importância de proteger as margens dos rios.</w:t>
            </w:r>
          </w:p>
        </w:tc>
        <w:tc>
          <w:tcPr>
            <w:tcW w:w="1602"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1º-20º</w:t>
            </w:r>
          </w:p>
        </w:tc>
        <w:tc>
          <w:tcPr>
            <w:tcW w:w="1942"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890"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680"/>
          <w:jc w:val="center"/>
        </w:trPr>
        <w:tc>
          <w:tcPr>
            <w:tcW w:w="952"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3.6.2.68</w:t>
            </w:r>
          </w:p>
        </w:tc>
        <w:tc>
          <w:tcPr>
            <w:tcW w:w="8340"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Realizar eventos públicos (como audiências) periodicamente, com o intuito de informar a população sobre a situação do manejo de águas pluviais no município e assumir um papel de canal para recebimento de reclamações e sugestões.</w:t>
            </w:r>
          </w:p>
        </w:tc>
        <w:tc>
          <w:tcPr>
            <w:tcW w:w="1602"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1º-20º</w:t>
            </w:r>
          </w:p>
        </w:tc>
        <w:tc>
          <w:tcPr>
            <w:tcW w:w="1942"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890"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680"/>
          <w:jc w:val="center"/>
        </w:trPr>
        <w:tc>
          <w:tcPr>
            <w:tcW w:w="952"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3.6.2.69</w:t>
            </w:r>
          </w:p>
        </w:tc>
        <w:tc>
          <w:tcPr>
            <w:tcW w:w="8340"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Divulgar, através de cartilhas e em meio digital, todos os direitos e deveres da população referentes aos serviços prestados no âmbito da drenagem urbana.</w:t>
            </w:r>
          </w:p>
        </w:tc>
        <w:tc>
          <w:tcPr>
            <w:tcW w:w="1602"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2º-20º</w:t>
            </w:r>
          </w:p>
        </w:tc>
        <w:tc>
          <w:tcPr>
            <w:tcW w:w="1942"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890"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680"/>
          <w:jc w:val="center"/>
        </w:trPr>
        <w:tc>
          <w:tcPr>
            <w:tcW w:w="952"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3.6.3.70</w:t>
            </w:r>
          </w:p>
        </w:tc>
        <w:tc>
          <w:tcPr>
            <w:tcW w:w="8340"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Realizar, periodicamente, pesquisas de percepção e satisfação com a população para obter feedbacks dos serviços prestados, de maneira a verificar os pontos passíveis de melhorias.</w:t>
            </w:r>
          </w:p>
        </w:tc>
        <w:tc>
          <w:tcPr>
            <w:tcW w:w="1602"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1º-20º</w:t>
            </w:r>
          </w:p>
        </w:tc>
        <w:tc>
          <w:tcPr>
            <w:tcW w:w="1942"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890"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680"/>
          <w:jc w:val="center"/>
        </w:trPr>
        <w:tc>
          <w:tcPr>
            <w:tcW w:w="952"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3.6.3.71</w:t>
            </w:r>
          </w:p>
        </w:tc>
        <w:tc>
          <w:tcPr>
            <w:tcW w:w="8340"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Firmar parcerias com a Defesa Civil e com o titular pelos serviços de drenagem urbana para divulgação conjunta acerca dos riscos da disposição inadequada de resíduos e dos problemas por eles causados (enchentes, degradação de APPs, risco à saúde, etc.).</w:t>
            </w:r>
          </w:p>
        </w:tc>
        <w:tc>
          <w:tcPr>
            <w:tcW w:w="1602"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1º-20º</w:t>
            </w:r>
          </w:p>
        </w:tc>
        <w:tc>
          <w:tcPr>
            <w:tcW w:w="1942"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890"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680"/>
          <w:jc w:val="center"/>
        </w:trPr>
        <w:tc>
          <w:tcPr>
            <w:tcW w:w="952"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3.6.3.72</w:t>
            </w:r>
          </w:p>
        </w:tc>
        <w:tc>
          <w:tcPr>
            <w:tcW w:w="8340"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 xml:space="preserve">Instituir formas de divulgação do Plano Municipal de Saneamento Básico e do futuro Plano Municipal de Macrodrenagem do município a toda a população. </w:t>
            </w:r>
          </w:p>
        </w:tc>
        <w:tc>
          <w:tcPr>
            <w:tcW w:w="1602"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2º-20º</w:t>
            </w:r>
          </w:p>
        </w:tc>
        <w:tc>
          <w:tcPr>
            <w:tcW w:w="1942"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890"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680"/>
          <w:jc w:val="center"/>
        </w:trPr>
        <w:tc>
          <w:tcPr>
            <w:tcW w:w="952"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3.6.3.73</w:t>
            </w:r>
          </w:p>
        </w:tc>
        <w:tc>
          <w:tcPr>
            <w:tcW w:w="8340"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Dotar de maior transparência a questão de investimentos no setor de drenagem urbana, através da criação de portais informativos pela internet com os valores a serem aplicados no mês em questão, com base no PPA e na LDO.</w:t>
            </w:r>
          </w:p>
        </w:tc>
        <w:tc>
          <w:tcPr>
            <w:tcW w:w="1602"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4º-20º</w:t>
            </w:r>
          </w:p>
        </w:tc>
        <w:tc>
          <w:tcPr>
            <w:tcW w:w="1942"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890"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r w:rsidR="00261C41" w:rsidRPr="001157F4" w:rsidTr="00261C41">
        <w:trPr>
          <w:trHeight w:val="680"/>
          <w:jc w:val="center"/>
        </w:trPr>
        <w:tc>
          <w:tcPr>
            <w:tcW w:w="952" w:type="dxa"/>
            <w:shd w:val="clear" w:color="auto" w:fill="auto"/>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3.6.4.74</w:t>
            </w:r>
          </w:p>
        </w:tc>
        <w:tc>
          <w:tcPr>
            <w:tcW w:w="8340" w:type="dxa"/>
            <w:shd w:val="clear" w:color="auto" w:fill="auto"/>
            <w:vAlign w:val="center"/>
          </w:tcPr>
          <w:p w:rsidR="00261C41" w:rsidRPr="001157F4" w:rsidRDefault="00261C41" w:rsidP="00261C41">
            <w:pPr>
              <w:numPr>
                <w:ilvl w:val="0"/>
                <w:numId w:val="2"/>
              </w:numPr>
              <w:spacing w:line="240" w:lineRule="auto"/>
              <w:ind w:left="960" w:hanging="567"/>
              <w:jc w:val="both"/>
              <w:rPr>
                <w:rFonts w:eastAsia="Times New Roman" w:cs="Arial"/>
                <w:sz w:val="20"/>
                <w:szCs w:val="20"/>
                <w:lang w:eastAsia="pt-BR"/>
              </w:rPr>
            </w:pPr>
            <w:r w:rsidRPr="001157F4">
              <w:rPr>
                <w:rFonts w:eastAsia="Times New Roman" w:cs="Arial"/>
                <w:sz w:val="20"/>
                <w:szCs w:val="20"/>
                <w:lang w:eastAsia="pt-BR"/>
              </w:rPr>
              <w:t>Criar mecanismos para apoio de iniciativas em educação ambiental nas escolas, conscientizando sobre os impactos do lançamento de resíduos sólidos nos cursos hídricos, a ocupação de APPs, o funcionamento da rede de drenagem e a divulgação do conceito de gestão dos recursos hídricos por bacia hidrográfica.</w:t>
            </w:r>
          </w:p>
        </w:tc>
        <w:tc>
          <w:tcPr>
            <w:tcW w:w="1602"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1º-20º</w:t>
            </w:r>
          </w:p>
        </w:tc>
        <w:tc>
          <w:tcPr>
            <w:tcW w:w="1942" w:type="dxa"/>
            <w:vAlign w:val="center"/>
          </w:tcPr>
          <w:p w:rsidR="00261C41" w:rsidRPr="001157F4" w:rsidRDefault="00261C41" w:rsidP="00261C41">
            <w:pPr>
              <w:spacing w:line="240" w:lineRule="auto"/>
              <w:jc w:val="right"/>
              <w:rPr>
                <w:rFonts w:eastAsia="Times New Roman" w:cs="Arial"/>
                <w:sz w:val="20"/>
                <w:szCs w:val="20"/>
                <w:lang w:eastAsia="pt-BR"/>
              </w:rPr>
            </w:pPr>
            <w:r w:rsidRPr="001157F4">
              <w:rPr>
                <w:rFonts w:eastAsia="Times New Roman" w:cs="Arial"/>
                <w:sz w:val="20"/>
                <w:szCs w:val="20"/>
                <w:lang w:eastAsia="pt-BR"/>
              </w:rPr>
              <w:t>0,00</w:t>
            </w:r>
          </w:p>
        </w:tc>
        <w:tc>
          <w:tcPr>
            <w:tcW w:w="1890" w:type="dxa"/>
            <w:vAlign w:val="center"/>
          </w:tcPr>
          <w:p w:rsidR="00261C41" w:rsidRPr="001157F4" w:rsidRDefault="00261C41" w:rsidP="00261C41">
            <w:pPr>
              <w:spacing w:line="240" w:lineRule="auto"/>
              <w:jc w:val="center"/>
              <w:rPr>
                <w:rFonts w:eastAsia="Times New Roman" w:cs="Arial"/>
                <w:sz w:val="20"/>
                <w:szCs w:val="20"/>
                <w:lang w:eastAsia="pt-BR"/>
              </w:rPr>
            </w:pPr>
            <w:r w:rsidRPr="001157F4">
              <w:rPr>
                <w:rFonts w:eastAsia="Times New Roman" w:cs="Arial"/>
                <w:sz w:val="20"/>
                <w:szCs w:val="20"/>
                <w:lang w:eastAsia="pt-BR"/>
              </w:rPr>
              <w:t>Prefeitura Municipal</w:t>
            </w:r>
          </w:p>
        </w:tc>
      </w:tr>
    </w:tbl>
    <w:p w:rsidR="00261C41" w:rsidRPr="00601B3C" w:rsidRDefault="00261C41" w:rsidP="00810C89">
      <w:pPr>
        <w:pStyle w:val="Fonte"/>
      </w:pPr>
      <w:r>
        <w:t>*</w:t>
      </w:r>
      <w:r w:rsidRPr="000D64AC">
        <w:t>(s/o/m/a) = nº do setor / nº do obje</w:t>
      </w:r>
      <w:r>
        <w:t>tivo / nº da meta / nº da ação.</w:t>
      </w:r>
    </w:p>
    <w:p w:rsidR="00AA5146" w:rsidRDefault="00AA5146" w:rsidP="00810C89">
      <w:pPr>
        <w:pStyle w:val="Fonte"/>
        <w:rPr>
          <w:b/>
          <w:color w:val="FF0000"/>
        </w:rPr>
        <w:sectPr w:rsidR="00AA5146" w:rsidSect="00AA5146">
          <w:footerReference w:type="default" r:id="rId63"/>
          <w:pgSz w:w="16838" w:h="11906" w:orient="landscape" w:code="9"/>
          <w:pgMar w:top="1134" w:right="1134" w:bottom="1418" w:left="1134" w:header="709" w:footer="709" w:gutter="0"/>
          <w:cols w:space="720"/>
          <w:docGrid w:linePitch="326"/>
        </w:sectPr>
      </w:pPr>
    </w:p>
    <w:p w:rsidR="002609B1" w:rsidRDefault="002609B1" w:rsidP="00BC01B1">
      <w:pPr>
        <w:pStyle w:val="Ttulo3"/>
        <w:rPr>
          <w:color w:val="FF0000"/>
          <w:lang w:val="pt-BR"/>
        </w:rPr>
      </w:pPr>
      <w:bookmarkStart w:id="915" w:name="_Toc434591756"/>
      <w:bookmarkStart w:id="916" w:name="_Toc440617448"/>
      <w:bookmarkStart w:id="917" w:name="_Toc498594057"/>
      <w:bookmarkStart w:id="918" w:name="_Toc509935550"/>
      <w:r w:rsidRPr="002609B1">
        <w:lastRenderedPageBreak/>
        <w:t>Detalhamento de ações</w:t>
      </w:r>
      <w:bookmarkEnd w:id="915"/>
      <w:bookmarkEnd w:id="916"/>
      <w:bookmarkEnd w:id="917"/>
      <w:bookmarkEnd w:id="918"/>
      <w:r w:rsidR="00F121D3">
        <w:rPr>
          <w:lang w:val="pt-BR"/>
        </w:rPr>
        <w:t xml:space="preserve"> </w:t>
      </w:r>
    </w:p>
    <w:p w:rsidR="00AA5146" w:rsidRPr="00AA5146" w:rsidRDefault="00AA5146" w:rsidP="00BC01B1">
      <w:pPr>
        <w:pStyle w:val="Ttulo4"/>
      </w:pPr>
      <w:bookmarkStart w:id="919" w:name="_Toc440617449"/>
      <w:bookmarkStart w:id="920" w:name="_Toc498352159"/>
      <w:bookmarkStart w:id="921" w:name="_Toc509935551"/>
      <w:r w:rsidRPr="00AA5146">
        <w:t>Mapear e cadastrar toda a rede de drenagem urbana</w:t>
      </w:r>
      <w:bookmarkEnd w:id="919"/>
      <w:bookmarkEnd w:id="920"/>
      <w:bookmarkEnd w:id="921"/>
    </w:p>
    <w:p w:rsidR="00AA5146" w:rsidRPr="00AA5146" w:rsidRDefault="00AA5146" w:rsidP="00AA5146">
      <w:pPr>
        <w:spacing w:before="120" w:after="120"/>
        <w:ind w:firstLine="709"/>
        <w:contextualSpacing/>
        <w:jc w:val="both"/>
        <w:rPr>
          <w:rFonts w:cs="Arial"/>
          <w:szCs w:val="24"/>
          <w:lang w:eastAsia="pt-BR"/>
        </w:rPr>
      </w:pPr>
      <w:r w:rsidRPr="00AA5146">
        <w:rPr>
          <w:rFonts w:cs="Arial"/>
          <w:szCs w:val="24"/>
          <w:lang w:eastAsia="pt-BR"/>
        </w:rPr>
        <w:t>O mapeamento, o cadastramento e o nivelamento da rede de drenagem devem ser realizados por empresa especializada contratada por licitação. O mapeamento deve ser entregue em material editável e compatível com o Sistema de Informação sobre Saneamento. O cadastro final deverá apresentar seções transversais suficientes para caracterizar o leito de escoamento do canal ou galeria, devendo incluir todas as singularidades existentes, tais como: curvas, inflexões, transições, estreitamentos bruscos, mudanças de declividades, entradas de afluentes, desemboques, etc. Deverá abranger ainda a caracterização topológica de reservatórios de amortecimento de cheias, lagos e represas que, de alguma forma, interfiram no regime hidráulico-hidrológico do sistema.</w:t>
      </w:r>
    </w:p>
    <w:p w:rsidR="00AA5146" w:rsidRPr="00AA5146" w:rsidRDefault="00AA5146" w:rsidP="00AA5146">
      <w:pPr>
        <w:spacing w:before="120" w:after="120"/>
        <w:ind w:firstLine="709"/>
        <w:contextualSpacing/>
        <w:jc w:val="both"/>
        <w:rPr>
          <w:rFonts w:cs="Arial"/>
          <w:szCs w:val="24"/>
          <w:lang w:eastAsia="pt-BR"/>
        </w:rPr>
      </w:pPr>
      <w:r w:rsidRPr="00AA5146">
        <w:rPr>
          <w:rFonts w:cs="Arial"/>
          <w:szCs w:val="24"/>
          <w:lang w:eastAsia="pt-BR"/>
        </w:rPr>
        <w:t>As áreas prioritárias para o cadastramento são aquelas que apresentam problemas de alagamento e inundações. Os traçados e principais características das redes existentes deverão ser indicados em planta. Todos os cadastros deverão ser georreferenciados no mesmo sistema de referência da base cartográfica adotada.</w:t>
      </w:r>
    </w:p>
    <w:p w:rsidR="00AA5146" w:rsidRPr="00AA5146" w:rsidRDefault="00AA5146" w:rsidP="00BC01B1">
      <w:pPr>
        <w:pStyle w:val="Ttulo4"/>
      </w:pPr>
      <w:bookmarkStart w:id="922" w:name="_Toc440617450"/>
      <w:bookmarkStart w:id="923" w:name="_Toc498352160"/>
      <w:bookmarkStart w:id="924" w:name="_Toc509935552"/>
      <w:r w:rsidRPr="00AA5146">
        <w:t>Programa de captação da água da chuva</w:t>
      </w:r>
      <w:bookmarkEnd w:id="922"/>
      <w:bookmarkEnd w:id="923"/>
      <w:bookmarkEnd w:id="924"/>
    </w:p>
    <w:p w:rsidR="00AA5146" w:rsidRPr="00AA5146" w:rsidRDefault="00AA5146" w:rsidP="00AA5146">
      <w:pPr>
        <w:spacing w:before="120" w:after="120"/>
        <w:ind w:firstLine="709"/>
        <w:contextualSpacing/>
        <w:jc w:val="both"/>
        <w:rPr>
          <w:lang w:eastAsia="pt-BR"/>
        </w:rPr>
      </w:pPr>
      <w:r w:rsidRPr="00AA5146">
        <w:rPr>
          <w:lang w:eastAsia="pt-BR"/>
        </w:rPr>
        <w:t xml:space="preserve">A captação de água de chuva, apesar de estar incluída como ação do SDU por diminuir a probabilidade e a intensidade dos alagamentos, também auxilia o município na gestão e no racionamento de água. Para viabilizar esse programa é necessário realizar um levantamento das residências que têm interesse em utilizar a água da chuva para fins não potáveis, assim como os prédios públicos que apresentam viabilidade de implantação. </w:t>
      </w:r>
    </w:p>
    <w:p w:rsidR="00AA5146" w:rsidRPr="00AA5146" w:rsidRDefault="00AA5146" w:rsidP="00AA5146">
      <w:pPr>
        <w:spacing w:before="120" w:after="120"/>
        <w:ind w:firstLine="709"/>
        <w:contextualSpacing/>
        <w:jc w:val="both"/>
        <w:rPr>
          <w:lang w:eastAsia="pt-BR"/>
        </w:rPr>
      </w:pPr>
      <w:r w:rsidRPr="00AA5146">
        <w:rPr>
          <w:lang w:eastAsia="pt-BR"/>
        </w:rPr>
        <w:t>Tendo esse mapeamento, a Prefeitura Municipal poderá buscar fontes de financiamento para o fornecimento ou facilitação de acesso aos materiais de construção necessários à implantação do sistema de captação da água de chuva. Como incentivo à adoção desse programa a Prefeitura pode adotar política pública de incentivo financeiro ao munícipe que implementar o sistema.</w:t>
      </w:r>
    </w:p>
    <w:p w:rsidR="00AA5146" w:rsidRDefault="00AA5146" w:rsidP="00AA5146">
      <w:pPr>
        <w:spacing w:before="120" w:after="120"/>
        <w:ind w:firstLine="709"/>
        <w:contextualSpacing/>
        <w:jc w:val="both"/>
        <w:rPr>
          <w:rFonts w:cs="Arial"/>
          <w:szCs w:val="24"/>
          <w:lang w:eastAsia="pt-BR"/>
        </w:rPr>
      </w:pPr>
    </w:p>
    <w:p w:rsidR="00810C89" w:rsidRPr="00AA5146" w:rsidRDefault="00810C89" w:rsidP="00AA5146">
      <w:pPr>
        <w:spacing w:before="120" w:after="120"/>
        <w:ind w:firstLine="709"/>
        <w:contextualSpacing/>
        <w:jc w:val="both"/>
        <w:rPr>
          <w:rFonts w:cs="Arial"/>
          <w:szCs w:val="24"/>
          <w:lang w:eastAsia="pt-BR"/>
        </w:rPr>
      </w:pPr>
    </w:p>
    <w:p w:rsidR="00AA5146" w:rsidRPr="00AA5146" w:rsidRDefault="00AA5146" w:rsidP="00BC01B1">
      <w:pPr>
        <w:pStyle w:val="Ttulo4"/>
      </w:pPr>
      <w:bookmarkStart w:id="925" w:name="_Toc440617451"/>
      <w:bookmarkStart w:id="926" w:name="_Toc498352161"/>
      <w:bookmarkStart w:id="927" w:name="_Toc509935553"/>
      <w:r w:rsidRPr="00AA5146">
        <w:lastRenderedPageBreak/>
        <w:t>Programa de recuperação de APP e áreas verdes</w:t>
      </w:r>
      <w:bookmarkEnd w:id="925"/>
      <w:bookmarkEnd w:id="926"/>
      <w:bookmarkEnd w:id="927"/>
    </w:p>
    <w:p w:rsidR="00AA5146" w:rsidRPr="00AA5146" w:rsidRDefault="00AA5146" w:rsidP="00AA5146">
      <w:pPr>
        <w:spacing w:before="120" w:after="120"/>
        <w:ind w:firstLine="504"/>
        <w:contextualSpacing/>
        <w:jc w:val="both"/>
        <w:rPr>
          <w:lang w:eastAsia="pt-BR"/>
        </w:rPr>
      </w:pPr>
      <w:r w:rsidRPr="00AA5146">
        <w:rPr>
          <w:lang w:eastAsia="pt-BR"/>
        </w:rPr>
        <w:t>Entende-se como APPs as nascentes e as margens dos corpos d’água, as áreas íngremes e os topos de morro municipais. Assim, para a recuperação desses locais é necessário que se realize um cadastramento e mapeamento de todas as nascentes municipais, inclusive daquelas que estão secas devido à degradação do solo.</w:t>
      </w:r>
    </w:p>
    <w:p w:rsidR="00AA5146" w:rsidRPr="00AA5146" w:rsidRDefault="00AA5146" w:rsidP="00AA5146">
      <w:pPr>
        <w:spacing w:before="120" w:after="120"/>
        <w:ind w:firstLine="504"/>
        <w:contextualSpacing/>
        <w:jc w:val="both"/>
        <w:rPr>
          <w:lang w:eastAsia="pt-BR"/>
        </w:rPr>
      </w:pPr>
      <w:r w:rsidRPr="00AA5146">
        <w:rPr>
          <w:lang w:eastAsia="pt-BR"/>
        </w:rPr>
        <w:t>Para o cercamento e recuperação das nascentes e revegetação das margens dos rios, áreas íngremes e topos de morro, será necessária a articulação do poder público com os proprietários de terra, com a EMATER e Secretarias Municipais envolvidas para o planejamento e execução das ações do programa. Uma fonte de incentivo que deve ser estudada no município é o Pagamento por Serviços Ambientais como, por exemplo, o Programa “Produtores de Água” da Agência Nacional de Água (ANA), e o financiamento pelo Programa de Recomposição vinculado à Agência de Bacias do Rio Doce (</w:t>
      </w:r>
      <w:r w:rsidRPr="00AA5146">
        <w:t>P 52 - Programa de Recomposição de APPs e nascentes)</w:t>
      </w:r>
      <w:r w:rsidRPr="00AA5146">
        <w:rPr>
          <w:lang w:eastAsia="pt-BR"/>
        </w:rPr>
        <w:t>.</w:t>
      </w:r>
    </w:p>
    <w:p w:rsidR="00AA5146" w:rsidRPr="00AA5146" w:rsidRDefault="00AA5146" w:rsidP="00AA5146">
      <w:pPr>
        <w:spacing w:before="120" w:after="120"/>
        <w:ind w:firstLine="504"/>
        <w:contextualSpacing/>
        <w:jc w:val="both"/>
        <w:rPr>
          <w:lang w:eastAsia="pt-BR"/>
        </w:rPr>
      </w:pPr>
      <w:r w:rsidRPr="00AA5146">
        <w:rPr>
          <w:lang w:eastAsia="pt-BR"/>
        </w:rPr>
        <w:t>Deve fazer parte do planejamento do Programa de Recuperação de Nascentes o Plano de Desocupação das APPs urbanas, com indenização aos moradores que precisarem sair de suas residências, assim como atribuição de novos usos para a área.</w:t>
      </w:r>
    </w:p>
    <w:p w:rsidR="00AA5146" w:rsidRPr="00AA5146" w:rsidRDefault="00AA5146" w:rsidP="00AA5146">
      <w:pPr>
        <w:spacing w:before="120" w:after="120"/>
        <w:ind w:firstLine="504"/>
        <w:contextualSpacing/>
        <w:jc w:val="both"/>
        <w:rPr>
          <w:rFonts w:cs="Arial"/>
          <w:szCs w:val="24"/>
          <w:lang w:eastAsia="pt-BR"/>
        </w:rPr>
      </w:pPr>
      <w:r w:rsidRPr="00AA5146">
        <w:rPr>
          <w:rFonts w:cs="Arial"/>
          <w:szCs w:val="24"/>
          <w:lang w:eastAsia="pt-BR"/>
        </w:rPr>
        <w:t>A recuperação das áreas verdes municipais deve ser precedida de uma análise da condição desses locais e um estudo de possíveis conexões com o SDU como, por exemplo, a utilização desses locais como bacias de retenção.</w:t>
      </w:r>
    </w:p>
    <w:p w:rsidR="00AA5146" w:rsidRPr="00AA5146" w:rsidRDefault="00AA5146" w:rsidP="00BC01B1">
      <w:pPr>
        <w:pStyle w:val="Ttulo4"/>
      </w:pPr>
      <w:bookmarkStart w:id="928" w:name="_Toc498352162"/>
      <w:bookmarkStart w:id="929" w:name="_Toc509935554"/>
      <w:r w:rsidRPr="00AA5146">
        <w:t>Programa de implementação de caixas secas para controle de erosão e infiltração</w:t>
      </w:r>
      <w:bookmarkEnd w:id="928"/>
      <w:bookmarkEnd w:id="929"/>
    </w:p>
    <w:p w:rsidR="00AA5146" w:rsidRPr="00AA5146" w:rsidRDefault="00AA5146" w:rsidP="00AA5146">
      <w:pPr>
        <w:ind w:firstLine="432"/>
        <w:jc w:val="both"/>
        <w:rPr>
          <w:color w:val="000000"/>
          <w:lang w:eastAsia="x-none"/>
        </w:rPr>
      </w:pPr>
      <w:r w:rsidRPr="00AA5146">
        <w:rPr>
          <w:color w:val="000000"/>
        </w:rPr>
        <w:t>Este programa consiste na instalação de um reservatório às margens de estradas rurais para captação das águas de chuva, visando evitar enxurradas, erosões, assoreamento dos rios e depredação das estradas pela chuva, e ainda aumentar o armazenamento de água, o abastecimento do lençol freático, além de favorecer as nascentes e a vazão dos rios (ALBUQUERQUE; DURÃES, 2008).</w:t>
      </w:r>
    </w:p>
    <w:p w:rsidR="00AA5146" w:rsidRPr="00AA5146" w:rsidRDefault="00AA5146" w:rsidP="00AA5146">
      <w:pPr>
        <w:ind w:firstLine="432"/>
        <w:jc w:val="both"/>
        <w:rPr>
          <w:color w:val="000000"/>
        </w:rPr>
      </w:pPr>
      <w:r w:rsidRPr="00AA5146">
        <w:rPr>
          <w:color w:val="000000"/>
        </w:rPr>
        <w:t xml:space="preserve">A execução e manutenção do programa requer parceria com diversas secretarias: Secretaria da Agricultura, Meio ambiente e Obras. O programa é benéfico para os setores citados e deve ser implantado durante toda a vigência do PMSB, primeiramente em locais definidos como críticos e posteriormente nos demais locais, dando atenção à necessidade de manutenção desses equipamentos (caixas secas), que deverão ser mapeados. O </w:t>
      </w:r>
      <w:r w:rsidRPr="00AA5146">
        <w:rPr>
          <w:color w:val="000000"/>
        </w:rPr>
        <w:lastRenderedPageBreak/>
        <w:t>programa está ainda em consonância com os programas desenvolvidos pelo IBIO- AGB Doce: Programa de Controle de Atividades Geradoras de Sedimentos (P 12) e Programa de Convivência com as Cheias (P 31).</w:t>
      </w:r>
    </w:p>
    <w:p w:rsidR="00AA5146" w:rsidRPr="00AA5146" w:rsidRDefault="00AA5146" w:rsidP="00BC01B1">
      <w:pPr>
        <w:pStyle w:val="Ttulo4"/>
      </w:pPr>
      <w:bookmarkStart w:id="930" w:name="_Toc442087985"/>
      <w:bookmarkStart w:id="931" w:name="_Toc498352163"/>
      <w:bookmarkStart w:id="932" w:name="_Toc509935555"/>
      <w:r w:rsidRPr="00AA5146">
        <w:t>Plano de Manutenção</w:t>
      </w:r>
      <w:r w:rsidRPr="00AA5146">
        <w:rPr>
          <w:sz w:val="20"/>
          <w:vertAlign w:val="superscript"/>
        </w:rPr>
        <w:footnoteReference w:id="1"/>
      </w:r>
      <w:bookmarkEnd w:id="930"/>
      <w:bookmarkEnd w:id="931"/>
      <w:bookmarkEnd w:id="932"/>
    </w:p>
    <w:p w:rsidR="00AA5146" w:rsidRPr="00AA5146" w:rsidRDefault="00AA5146" w:rsidP="00AA5146">
      <w:pPr>
        <w:ind w:firstLine="708"/>
        <w:jc w:val="both"/>
        <w:rPr>
          <w:rFonts w:cs="Arial"/>
        </w:rPr>
      </w:pPr>
      <w:r w:rsidRPr="00AA5146">
        <w:rPr>
          <w:rFonts w:cs="Arial"/>
        </w:rPr>
        <w:t>O plano de manutenção deverá ser composto por um conjunto de atividades que visem à preservação do desempenho, da segurança e da confiabilidade dos componentes do sistema de drenagem, de forma a prolongar sua vida útil e reduzir os custos de manutenção.</w:t>
      </w:r>
    </w:p>
    <w:p w:rsidR="00AA5146" w:rsidRPr="00AA5146" w:rsidRDefault="00AA5146" w:rsidP="00AA5146">
      <w:pPr>
        <w:ind w:firstLine="708"/>
        <w:jc w:val="both"/>
        <w:rPr>
          <w:rFonts w:cs="Arial"/>
        </w:rPr>
      </w:pPr>
      <w:r w:rsidRPr="00AA5146">
        <w:rPr>
          <w:rFonts w:cs="Arial"/>
        </w:rPr>
        <w:t xml:space="preserve">O plano de manutenção deve ser configurado pelos seguintes pontos essenciais: </w:t>
      </w:r>
    </w:p>
    <w:p w:rsidR="00AA5146" w:rsidRPr="00AA5146" w:rsidRDefault="00AA5146" w:rsidP="0066661F">
      <w:pPr>
        <w:numPr>
          <w:ilvl w:val="0"/>
          <w:numId w:val="54"/>
        </w:numPr>
        <w:jc w:val="both"/>
        <w:rPr>
          <w:rFonts w:cs="Arial"/>
        </w:rPr>
      </w:pPr>
      <w:r w:rsidRPr="00AA5146">
        <w:rPr>
          <w:rFonts w:cs="Arial"/>
          <w:b/>
        </w:rPr>
        <w:t>Organização da manutenção</w:t>
      </w:r>
      <w:r w:rsidRPr="00AA5146">
        <w:rPr>
          <w:rFonts w:cs="Arial"/>
        </w:rPr>
        <w:t xml:space="preserve"> – planejada de acordo com o porte e complexidade do sistema de drenagem do município.</w:t>
      </w:r>
    </w:p>
    <w:p w:rsidR="00AA5146" w:rsidRPr="00AA5146" w:rsidRDefault="00AA5146" w:rsidP="0066661F">
      <w:pPr>
        <w:numPr>
          <w:ilvl w:val="0"/>
          <w:numId w:val="54"/>
        </w:numPr>
        <w:jc w:val="both"/>
        <w:rPr>
          <w:rFonts w:cs="Arial"/>
        </w:rPr>
      </w:pPr>
      <w:r w:rsidRPr="00AA5146">
        <w:rPr>
          <w:rFonts w:cs="Arial"/>
          <w:b/>
        </w:rPr>
        <w:t>Arquivo técnico do sistema de drenagem</w:t>
      </w:r>
      <w:r w:rsidRPr="00AA5146">
        <w:rPr>
          <w:rFonts w:cs="Arial"/>
        </w:rPr>
        <w:t xml:space="preserve"> – composto por documentos de projeto e construção, incluindo memoriais descritivos, memoriais de cálculo, desenhos e especificações técnicas. Esse arquivo deve ser permanentemente atualizado.</w:t>
      </w:r>
    </w:p>
    <w:p w:rsidR="00AA5146" w:rsidRPr="00AA5146" w:rsidRDefault="00AA5146" w:rsidP="0066661F">
      <w:pPr>
        <w:numPr>
          <w:ilvl w:val="0"/>
          <w:numId w:val="54"/>
        </w:numPr>
        <w:jc w:val="both"/>
        <w:rPr>
          <w:rFonts w:cs="Arial"/>
        </w:rPr>
      </w:pPr>
      <w:r w:rsidRPr="00AA5146">
        <w:rPr>
          <w:rFonts w:cs="Arial"/>
          <w:b/>
        </w:rPr>
        <w:t>Cadastro dos componentes do sistema de águas pluviais</w:t>
      </w:r>
      <w:r w:rsidRPr="00AA5146">
        <w:rPr>
          <w:rFonts w:cs="Arial"/>
        </w:rPr>
        <w:t xml:space="preserve"> – composto pelo levantamento de todos os componentes e sistemas abrangidos pelo plano de manutenção, incluindo identificação, descrição e localização. Esse cadastro deve ser permanentemente atualizado.</w:t>
      </w:r>
    </w:p>
    <w:p w:rsidR="00AA5146" w:rsidRPr="00AA5146" w:rsidRDefault="00AA5146" w:rsidP="00AA5146">
      <w:pPr>
        <w:ind w:firstLine="708"/>
        <w:jc w:val="both"/>
        <w:rPr>
          <w:rFonts w:cs="Arial"/>
        </w:rPr>
      </w:pPr>
      <w:r w:rsidRPr="00AA5146">
        <w:rPr>
          <w:rFonts w:cs="Arial"/>
        </w:rPr>
        <w:t>Para o bom funcionamento e efetivação dos serviços de manutenção, o plano deverá prever uma série de elementos, tais como:</w:t>
      </w:r>
    </w:p>
    <w:p w:rsidR="00AA5146" w:rsidRPr="00AA5146" w:rsidRDefault="00AA5146" w:rsidP="0066661F">
      <w:pPr>
        <w:numPr>
          <w:ilvl w:val="0"/>
          <w:numId w:val="54"/>
        </w:numPr>
        <w:jc w:val="both"/>
        <w:rPr>
          <w:rFonts w:cs="Arial"/>
        </w:rPr>
      </w:pPr>
      <w:r w:rsidRPr="00AA5146">
        <w:rPr>
          <w:rFonts w:cs="Arial"/>
        </w:rPr>
        <w:t>Central de atendimento - visa atender às necessidades de intervenção, mediante solicitação.</w:t>
      </w:r>
    </w:p>
    <w:p w:rsidR="00AA5146" w:rsidRPr="00AA5146" w:rsidRDefault="00AA5146" w:rsidP="0066661F">
      <w:pPr>
        <w:numPr>
          <w:ilvl w:val="0"/>
          <w:numId w:val="54"/>
        </w:numPr>
        <w:jc w:val="both"/>
        <w:rPr>
          <w:rFonts w:cs="Arial"/>
        </w:rPr>
      </w:pPr>
      <w:r w:rsidRPr="00AA5146">
        <w:rPr>
          <w:rFonts w:cs="Arial"/>
        </w:rPr>
        <w:t>Cadastramento do sistema - essencial para a programação e execução da rotina de manutenção.</w:t>
      </w:r>
    </w:p>
    <w:p w:rsidR="00AA5146" w:rsidRPr="00AA5146" w:rsidRDefault="00AA5146" w:rsidP="0066661F">
      <w:pPr>
        <w:numPr>
          <w:ilvl w:val="0"/>
          <w:numId w:val="54"/>
        </w:numPr>
        <w:jc w:val="both"/>
        <w:rPr>
          <w:rFonts w:cs="Arial"/>
        </w:rPr>
      </w:pPr>
      <w:r w:rsidRPr="00AA5146">
        <w:rPr>
          <w:rFonts w:cs="Arial"/>
        </w:rPr>
        <w:t xml:space="preserve">Diagnóstico - essencial para a identificação de pontos críticos </w:t>
      </w:r>
    </w:p>
    <w:p w:rsidR="00AA5146" w:rsidRPr="00AA5146" w:rsidRDefault="00AA5146" w:rsidP="0066661F">
      <w:pPr>
        <w:numPr>
          <w:ilvl w:val="0"/>
          <w:numId w:val="54"/>
        </w:numPr>
        <w:jc w:val="both"/>
        <w:rPr>
          <w:rFonts w:cs="Arial"/>
        </w:rPr>
      </w:pPr>
      <w:r w:rsidRPr="00AA5146">
        <w:rPr>
          <w:rFonts w:cs="Arial"/>
        </w:rPr>
        <w:t>Planejamento operacional - distribuição das atividades ao longo do tempo em função da disponibilidade de recursos.</w:t>
      </w:r>
    </w:p>
    <w:p w:rsidR="00AA5146" w:rsidRPr="00AA5146" w:rsidRDefault="00AA5146" w:rsidP="0066661F">
      <w:pPr>
        <w:numPr>
          <w:ilvl w:val="0"/>
          <w:numId w:val="54"/>
        </w:numPr>
        <w:jc w:val="both"/>
        <w:rPr>
          <w:rFonts w:cs="Arial"/>
        </w:rPr>
      </w:pPr>
      <w:r w:rsidRPr="00AA5146">
        <w:rPr>
          <w:rFonts w:cs="Arial"/>
        </w:rPr>
        <w:lastRenderedPageBreak/>
        <w:t>Programação de serviços - consiste na definição de quem irá fazer, como e quando, mediante as necessidades do sistema.</w:t>
      </w:r>
    </w:p>
    <w:p w:rsidR="00AA5146" w:rsidRPr="00AA5146" w:rsidRDefault="00AA5146" w:rsidP="0066661F">
      <w:pPr>
        <w:numPr>
          <w:ilvl w:val="0"/>
          <w:numId w:val="54"/>
        </w:numPr>
        <w:jc w:val="both"/>
        <w:rPr>
          <w:rFonts w:cs="Arial"/>
        </w:rPr>
      </w:pPr>
      <w:r w:rsidRPr="00AA5146">
        <w:rPr>
          <w:rFonts w:cs="Arial"/>
        </w:rPr>
        <w:t>Execução da manutenção:</w:t>
      </w:r>
    </w:p>
    <w:p w:rsidR="00AA5146" w:rsidRPr="00AA5146" w:rsidRDefault="00AA5146" w:rsidP="0066661F">
      <w:pPr>
        <w:numPr>
          <w:ilvl w:val="1"/>
          <w:numId w:val="54"/>
        </w:numPr>
        <w:jc w:val="both"/>
        <w:rPr>
          <w:rFonts w:cs="Arial"/>
        </w:rPr>
      </w:pPr>
      <w:r w:rsidRPr="00AA5146">
        <w:rPr>
          <w:rFonts w:cs="Arial"/>
        </w:rPr>
        <w:t>Inspeção – trata-se do acompanhamento das condições dos equipamentos do sistema de drenagem permitindo, desta forma, prever as necessidades de ajustes ou reparos.</w:t>
      </w:r>
    </w:p>
    <w:p w:rsidR="00AA5146" w:rsidRPr="00AA5146" w:rsidRDefault="00AA5146" w:rsidP="0066661F">
      <w:pPr>
        <w:numPr>
          <w:ilvl w:val="1"/>
          <w:numId w:val="54"/>
        </w:numPr>
        <w:jc w:val="both"/>
        <w:rPr>
          <w:rFonts w:cs="Arial"/>
        </w:rPr>
      </w:pPr>
      <w:r w:rsidRPr="00AA5146">
        <w:rPr>
          <w:rFonts w:cs="Arial"/>
        </w:rPr>
        <w:t>Manutenção preventiva – a partir dos dados obtidos nas inspeções, serão planejadas as ações com o objetivo de eliminar os defeitos e as irregularidades constatadas.</w:t>
      </w:r>
    </w:p>
    <w:p w:rsidR="00AA5146" w:rsidRPr="00AA5146" w:rsidRDefault="00AA5146" w:rsidP="0066661F">
      <w:pPr>
        <w:numPr>
          <w:ilvl w:val="1"/>
          <w:numId w:val="54"/>
        </w:numPr>
        <w:jc w:val="both"/>
        <w:rPr>
          <w:rFonts w:cs="Arial"/>
        </w:rPr>
      </w:pPr>
      <w:r w:rsidRPr="00AA5146">
        <w:rPr>
          <w:rFonts w:cs="Arial"/>
        </w:rPr>
        <w:t>Manutenção corretiva – visa restabelecer o padrão operacional do sistema de drenagem em virtude de falhas ou necessidades detectadas pela inspeção, manutenção preventiva ou pela própria população.</w:t>
      </w:r>
    </w:p>
    <w:p w:rsidR="00AA5146" w:rsidRPr="00AA5146" w:rsidRDefault="00AA5146" w:rsidP="0066661F">
      <w:pPr>
        <w:numPr>
          <w:ilvl w:val="1"/>
          <w:numId w:val="54"/>
        </w:numPr>
        <w:jc w:val="both"/>
        <w:rPr>
          <w:rFonts w:cs="Arial"/>
        </w:rPr>
      </w:pPr>
      <w:r w:rsidRPr="00AA5146">
        <w:rPr>
          <w:rFonts w:cs="Arial"/>
        </w:rPr>
        <w:t>Operação – consiste nas atividades específicas de funcionamento, acompanhamento, leitura de dados, pequenos ajustes e atividades de conservação nos equipamentos do sistema.</w:t>
      </w:r>
    </w:p>
    <w:p w:rsidR="00AA5146" w:rsidRPr="00AA5146" w:rsidRDefault="00AA5146" w:rsidP="0066661F">
      <w:pPr>
        <w:numPr>
          <w:ilvl w:val="0"/>
          <w:numId w:val="54"/>
        </w:numPr>
        <w:jc w:val="both"/>
        <w:rPr>
          <w:rFonts w:cs="Arial"/>
        </w:rPr>
      </w:pPr>
      <w:r w:rsidRPr="00AA5146">
        <w:rPr>
          <w:rFonts w:cs="Arial"/>
        </w:rPr>
        <w:t>Controle da manutenção - deverá ser realizado através da emissão de relatórios operacionais..</w:t>
      </w:r>
    </w:p>
    <w:p w:rsidR="00AA5146" w:rsidRPr="00AA5146" w:rsidRDefault="00AA5146" w:rsidP="00BC01B1">
      <w:pPr>
        <w:pStyle w:val="Ttulo4"/>
      </w:pPr>
      <w:bookmarkStart w:id="933" w:name="_Toc442087986"/>
      <w:bookmarkStart w:id="934" w:name="_Toc498352164"/>
      <w:bookmarkStart w:id="935" w:name="_Toc509935556"/>
      <w:r w:rsidRPr="00AA5146">
        <w:t>Procedimentos e rotinas</w:t>
      </w:r>
      <w:bookmarkEnd w:id="933"/>
      <w:bookmarkEnd w:id="934"/>
      <w:bookmarkEnd w:id="935"/>
    </w:p>
    <w:p w:rsidR="00AA5146" w:rsidRPr="00AA5146" w:rsidRDefault="00AA5146" w:rsidP="00AA5146">
      <w:pPr>
        <w:ind w:firstLine="708"/>
        <w:jc w:val="both"/>
        <w:rPr>
          <w:rFonts w:cs="Arial"/>
        </w:rPr>
      </w:pPr>
      <w:r w:rsidRPr="00AA5146">
        <w:rPr>
          <w:rFonts w:cs="Arial"/>
        </w:rPr>
        <w:t>Os procedimentos e rotinas têm como objetivo estabelecer as diretrizes gerais para a execução de serviços de conservação e manutenção do sistema de drenagem do município.</w:t>
      </w:r>
    </w:p>
    <w:p w:rsidR="00AA5146" w:rsidRDefault="00AA5146" w:rsidP="00AA5146">
      <w:pPr>
        <w:ind w:firstLine="708"/>
        <w:jc w:val="both"/>
        <w:rPr>
          <w:rFonts w:cs="Arial"/>
        </w:rPr>
      </w:pPr>
      <w:r w:rsidRPr="00AA5146">
        <w:rPr>
          <w:rFonts w:cs="Arial"/>
        </w:rPr>
        <w:t xml:space="preserve">Os serviços de conservação e manutenção correspondem às atividades de </w:t>
      </w:r>
      <w:r w:rsidRPr="00AA5146">
        <w:rPr>
          <w:rFonts w:cs="Arial"/>
          <w:b/>
        </w:rPr>
        <w:t>inspeção</w:t>
      </w:r>
      <w:r w:rsidRPr="00AA5146">
        <w:rPr>
          <w:rFonts w:cs="Arial"/>
        </w:rPr>
        <w:t xml:space="preserve">, </w:t>
      </w:r>
      <w:r w:rsidRPr="00AA5146">
        <w:rPr>
          <w:rFonts w:cs="Arial"/>
          <w:b/>
        </w:rPr>
        <w:t>limpeza</w:t>
      </w:r>
      <w:r w:rsidRPr="00AA5146">
        <w:rPr>
          <w:rFonts w:cs="Arial"/>
        </w:rPr>
        <w:t xml:space="preserve"> e </w:t>
      </w:r>
      <w:r w:rsidRPr="00AA5146">
        <w:rPr>
          <w:rFonts w:cs="Arial"/>
          <w:b/>
        </w:rPr>
        <w:t>reparos</w:t>
      </w:r>
      <w:r w:rsidRPr="00AA5146">
        <w:rPr>
          <w:rFonts w:cs="Arial"/>
        </w:rPr>
        <w:t xml:space="preserve"> dos componentes do sistema de drenagem, que deverão ser executadas de acordo com o plano de manutenção, baseado em rotinas e procedimentos periodicamente aplicados nos equipamentos do sistema. O </w:t>
      </w:r>
      <w:r>
        <w:rPr>
          <w:rFonts w:cs="Arial"/>
        </w:rPr>
        <w:fldChar w:fldCharType="begin"/>
      </w:r>
      <w:r>
        <w:rPr>
          <w:rFonts w:cs="Arial"/>
        </w:rPr>
        <w:instrText xml:space="preserve"> REF _Ref507657275 \h </w:instrText>
      </w:r>
      <w:r>
        <w:rPr>
          <w:rFonts w:cs="Arial"/>
        </w:rPr>
      </w:r>
      <w:r>
        <w:rPr>
          <w:rFonts w:cs="Arial"/>
        </w:rPr>
        <w:fldChar w:fldCharType="separate"/>
      </w:r>
      <w:r w:rsidR="001B481B">
        <w:t xml:space="preserve">Quadro </w:t>
      </w:r>
      <w:r w:rsidR="001B481B">
        <w:rPr>
          <w:noProof/>
        </w:rPr>
        <w:t>78</w:t>
      </w:r>
      <w:r>
        <w:rPr>
          <w:rFonts w:cs="Arial"/>
        </w:rPr>
        <w:fldChar w:fldCharType="end"/>
      </w:r>
      <w:r w:rsidRPr="00AA5146">
        <w:rPr>
          <w:rFonts w:cs="Arial"/>
        </w:rPr>
        <w:t xml:space="preserve"> indica as estruturas que devem ser submetidas à inspeção, suas rotinas e respectivas frequências mínimas de execução das atividades.</w:t>
      </w:r>
    </w:p>
    <w:p w:rsidR="00AA5146" w:rsidRPr="00AA5146" w:rsidRDefault="00AA5146" w:rsidP="00AA5146">
      <w:pPr>
        <w:ind w:firstLine="708"/>
        <w:jc w:val="both"/>
        <w:rPr>
          <w:rFonts w:cs="Arial"/>
        </w:rPr>
      </w:pPr>
    </w:p>
    <w:p w:rsidR="00AA5146" w:rsidRPr="00AA5146" w:rsidRDefault="00AA5146" w:rsidP="00AA5146">
      <w:pPr>
        <w:pStyle w:val="Legenda"/>
        <w:rPr>
          <w:szCs w:val="20"/>
        </w:rPr>
      </w:pPr>
      <w:bookmarkStart w:id="936" w:name="_Ref507657275"/>
      <w:bookmarkStart w:id="937" w:name="_Toc442088045"/>
      <w:bookmarkStart w:id="938" w:name="_Toc488333082"/>
      <w:bookmarkStart w:id="939" w:name="_Toc498352321"/>
      <w:bookmarkStart w:id="940" w:name="_Toc509935855"/>
      <w:r>
        <w:lastRenderedPageBreak/>
        <w:t xml:space="preserve">Quadro </w:t>
      </w:r>
      <w:r w:rsidR="000A1C78">
        <w:fldChar w:fldCharType="begin"/>
      </w:r>
      <w:r w:rsidR="000A1C78">
        <w:instrText xml:space="preserve"> SEQ Quadro \* ARABIC </w:instrText>
      </w:r>
      <w:r w:rsidR="000A1C78">
        <w:fldChar w:fldCharType="separate"/>
      </w:r>
      <w:r w:rsidR="001B481B">
        <w:rPr>
          <w:noProof/>
        </w:rPr>
        <w:t>78</w:t>
      </w:r>
      <w:r w:rsidR="000A1C78">
        <w:rPr>
          <w:noProof/>
        </w:rPr>
        <w:fldChar w:fldCharType="end"/>
      </w:r>
      <w:bookmarkEnd w:id="936"/>
      <w:r w:rsidRPr="00AA5146">
        <w:rPr>
          <w:szCs w:val="20"/>
        </w:rPr>
        <w:t xml:space="preserve"> - Procedimentos de inspeção para as estruturas do sistema de drenagem</w:t>
      </w:r>
      <w:bookmarkEnd w:id="937"/>
      <w:bookmarkEnd w:id="938"/>
      <w:bookmarkEnd w:id="939"/>
      <w:bookmarkEnd w:id="9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18"/>
        <w:gridCol w:w="5261"/>
        <w:gridCol w:w="2699"/>
      </w:tblGrid>
      <w:tr w:rsidR="00AA5146" w:rsidRPr="00810C89" w:rsidTr="00AA5146">
        <w:trPr>
          <w:trHeight w:val="300"/>
          <w:tblHeader/>
          <w:jc w:val="center"/>
        </w:trPr>
        <w:tc>
          <w:tcPr>
            <w:tcW w:w="930" w:type="pct"/>
            <w:shd w:val="clear" w:color="auto" w:fill="auto"/>
            <w:noWrap/>
            <w:vAlign w:val="bottom"/>
            <w:hideMark/>
          </w:tcPr>
          <w:p w:rsidR="00AA5146" w:rsidRPr="00810C89" w:rsidRDefault="00AA5146" w:rsidP="00810C89">
            <w:pPr>
              <w:spacing w:before="120" w:after="120" w:line="240" w:lineRule="auto"/>
              <w:jc w:val="center"/>
              <w:rPr>
                <w:rFonts w:eastAsia="Times New Roman" w:cs="Arial"/>
                <w:b/>
                <w:bCs/>
                <w:color w:val="000000"/>
                <w:sz w:val="22"/>
                <w:lang w:eastAsia="pt-BR"/>
              </w:rPr>
            </w:pPr>
            <w:r w:rsidRPr="00810C89">
              <w:rPr>
                <w:rFonts w:eastAsia="Times New Roman" w:cs="Arial"/>
                <w:b/>
                <w:bCs/>
                <w:color w:val="000000"/>
                <w:sz w:val="22"/>
                <w:lang w:eastAsia="pt-BR"/>
              </w:rPr>
              <w:t>Estrutura</w:t>
            </w:r>
          </w:p>
        </w:tc>
        <w:tc>
          <w:tcPr>
            <w:tcW w:w="2690" w:type="pct"/>
            <w:shd w:val="clear" w:color="auto" w:fill="auto"/>
            <w:noWrap/>
            <w:vAlign w:val="bottom"/>
            <w:hideMark/>
          </w:tcPr>
          <w:p w:rsidR="00AA5146" w:rsidRPr="00810C89" w:rsidRDefault="00AA5146" w:rsidP="00810C89">
            <w:pPr>
              <w:spacing w:before="120" w:after="120" w:line="240" w:lineRule="auto"/>
              <w:jc w:val="center"/>
              <w:rPr>
                <w:rFonts w:eastAsia="Times New Roman" w:cs="Arial"/>
                <w:b/>
                <w:bCs/>
                <w:color w:val="000000"/>
                <w:sz w:val="22"/>
                <w:lang w:eastAsia="pt-BR"/>
              </w:rPr>
            </w:pPr>
            <w:r w:rsidRPr="00810C89">
              <w:rPr>
                <w:rFonts w:eastAsia="Times New Roman" w:cs="Arial"/>
                <w:b/>
                <w:bCs/>
                <w:color w:val="000000"/>
                <w:sz w:val="22"/>
                <w:lang w:eastAsia="pt-BR"/>
              </w:rPr>
              <w:t>Rotina</w:t>
            </w:r>
          </w:p>
        </w:tc>
        <w:tc>
          <w:tcPr>
            <w:tcW w:w="1380" w:type="pct"/>
            <w:shd w:val="clear" w:color="auto" w:fill="auto"/>
            <w:noWrap/>
            <w:vAlign w:val="bottom"/>
            <w:hideMark/>
          </w:tcPr>
          <w:p w:rsidR="00AA5146" w:rsidRPr="00810C89" w:rsidRDefault="00AA5146" w:rsidP="00810C89">
            <w:pPr>
              <w:spacing w:before="120" w:after="120" w:line="240" w:lineRule="auto"/>
              <w:jc w:val="center"/>
              <w:rPr>
                <w:rFonts w:eastAsia="Times New Roman" w:cs="Arial"/>
                <w:b/>
                <w:bCs/>
                <w:color w:val="000000"/>
                <w:sz w:val="22"/>
                <w:lang w:eastAsia="pt-BR"/>
              </w:rPr>
            </w:pPr>
            <w:r w:rsidRPr="00810C89">
              <w:rPr>
                <w:rFonts w:eastAsia="Times New Roman" w:cs="Arial"/>
                <w:b/>
                <w:bCs/>
                <w:color w:val="000000"/>
                <w:sz w:val="22"/>
                <w:lang w:eastAsia="pt-BR"/>
              </w:rPr>
              <w:t>Frequência mínima</w:t>
            </w:r>
          </w:p>
        </w:tc>
      </w:tr>
      <w:tr w:rsidR="00AA5146" w:rsidRPr="00810C89" w:rsidTr="00AA5146">
        <w:trPr>
          <w:trHeight w:val="900"/>
          <w:jc w:val="center"/>
        </w:trPr>
        <w:tc>
          <w:tcPr>
            <w:tcW w:w="930" w:type="pct"/>
            <w:vMerge w:val="restart"/>
            <w:shd w:val="clear" w:color="auto" w:fill="auto"/>
            <w:noWrap/>
            <w:vAlign w:val="center"/>
            <w:hideMark/>
          </w:tcPr>
          <w:p w:rsidR="00AA5146" w:rsidRPr="00810C89" w:rsidRDefault="00AA5146" w:rsidP="00810C89">
            <w:pPr>
              <w:spacing w:before="120" w:after="120" w:line="240" w:lineRule="auto"/>
              <w:rPr>
                <w:rFonts w:eastAsia="Times New Roman" w:cs="Arial"/>
                <w:color w:val="000000"/>
                <w:sz w:val="22"/>
                <w:lang w:eastAsia="pt-BR"/>
              </w:rPr>
            </w:pPr>
            <w:r w:rsidRPr="00810C89">
              <w:rPr>
                <w:rFonts w:eastAsia="Times New Roman" w:cs="Arial"/>
                <w:color w:val="000000"/>
                <w:sz w:val="22"/>
                <w:lang w:eastAsia="pt-BR"/>
              </w:rPr>
              <w:t>Sarjetas</w:t>
            </w:r>
          </w:p>
        </w:tc>
        <w:tc>
          <w:tcPr>
            <w:tcW w:w="2690" w:type="pct"/>
            <w:shd w:val="clear" w:color="auto" w:fill="auto"/>
            <w:vAlign w:val="center"/>
            <w:hideMark/>
          </w:tcPr>
          <w:p w:rsidR="00AA5146" w:rsidRPr="00810C89" w:rsidRDefault="00AA5146" w:rsidP="00810C89">
            <w:pPr>
              <w:spacing w:before="120" w:after="120" w:line="240" w:lineRule="auto"/>
              <w:jc w:val="both"/>
              <w:rPr>
                <w:rFonts w:eastAsia="Times New Roman" w:cs="Arial"/>
                <w:color w:val="000000"/>
                <w:sz w:val="22"/>
                <w:lang w:eastAsia="pt-BR"/>
              </w:rPr>
            </w:pPr>
            <w:r w:rsidRPr="00810C89">
              <w:rPr>
                <w:rFonts w:eastAsia="Times New Roman" w:cs="Arial"/>
                <w:color w:val="000000"/>
                <w:sz w:val="22"/>
                <w:lang w:eastAsia="pt-BR"/>
              </w:rPr>
              <w:t>Inspecionar os pontos de acesso a sarjetas ou bocas de lobo. Atenção especial deve ser dada aos danos ou bloqueios.</w:t>
            </w:r>
          </w:p>
        </w:tc>
        <w:tc>
          <w:tcPr>
            <w:tcW w:w="1380" w:type="pct"/>
            <w:vMerge w:val="restart"/>
            <w:shd w:val="clear" w:color="auto" w:fill="auto"/>
            <w:noWrap/>
            <w:vAlign w:val="center"/>
            <w:hideMark/>
          </w:tcPr>
          <w:p w:rsidR="00AA5146" w:rsidRPr="00810C89" w:rsidRDefault="00AA5146" w:rsidP="00810C89">
            <w:pPr>
              <w:spacing w:before="120" w:after="120" w:line="240" w:lineRule="auto"/>
              <w:jc w:val="center"/>
              <w:rPr>
                <w:rFonts w:eastAsia="Times New Roman" w:cs="Arial"/>
                <w:color w:val="000000"/>
                <w:sz w:val="22"/>
                <w:lang w:eastAsia="pt-BR"/>
              </w:rPr>
            </w:pPr>
            <w:r w:rsidRPr="00810C89">
              <w:rPr>
                <w:rFonts w:eastAsia="Times New Roman" w:cs="Arial"/>
                <w:color w:val="000000"/>
                <w:sz w:val="22"/>
                <w:lang w:eastAsia="pt-BR"/>
              </w:rPr>
              <w:t>A cada 60 dias</w:t>
            </w:r>
          </w:p>
        </w:tc>
      </w:tr>
      <w:tr w:rsidR="00AA5146" w:rsidRPr="00810C89" w:rsidTr="00AA5146">
        <w:trPr>
          <w:trHeight w:val="600"/>
          <w:jc w:val="center"/>
        </w:trPr>
        <w:tc>
          <w:tcPr>
            <w:tcW w:w="930" w:type="pct"/>
            <w:vMerge/>
            <w:vAlign w:val="center"/>
            <w:hideMark/>
          </w:tcPr>
          <w:p w:rsidR="00AA5146" w:rsidRPr="00810C89" w:rsidRDefault="00AA5146" w:rsidP="00810C89">
            <w:pPr>
              <w:spacing w:before="120" w:after="120" w:line="240" w:lineRule="auto"/>
              <w:rPr>
                <w:rFonts w:eastAsia="Times New Roman" w:cs="Arial"/>
                <w:color w:val="000000"/>
                <w:sz w:val="22"/>
                <w:lang w:eastAsia="pt-BR"/>
              </w:rPr>
            </w:pPr>
          </w:p>
        </w:tc>
        <w:tc>
          <w:tcPr>
            <w:tcW w:w="2690" w:type="pct"/>
            <w:shd w:val="clear" w:color="auto" w:fill="auto"/>
            <w:vAlign w:val="bottom"/>
            <w:hideMark/>
          </w:tcPr>
          <w:p w:rsidR="00AA5146" w:rsidRPr="00810C89" w:rsidRDefault="00AA5146" w:rsidP="00810C89">
            <w:pPr>
              <w:spacing w:before="120" w:after="120" w:line="240" w:lineRule="auto"/>
              <w:jc w:val="both"/>
              <w:rPr>
                <w:rFonts w:eastAsia="Times New Roman" w:cs="Arial"/>
                <w:color w:val="000000"/>
                <w:sz w:val="22"/>
                <w:lang w:eastAsia="pt-BR"/>
              </w:rPr>
            </w:pPr>
            <w:r w:rsidRPr="00810C89">
              <w:rPr>
                <w:rFonts w:eastAsia="Times New Roman" w:cs="Arial"/>
                <w:color w:val="000000"/>
                <w:sz w:val="22"/>
                <w:lang w:eastAsia="pt-BR"/>
              </w:rPr>
              <w:t>Inspecionar revestimento das estruturas para determinar quaisquer danos e deteriorações.</w:t>
            </w:r>
          </w:p>
        </w:tc>
        <w:tc>
          <w:tcPr>
            <w:tcW w:w="1380" w:type="pct"/>
            <w:vMerge/>
            <w:vAlign w:val="center"/>
            <w:hideMark/>
          </w:tcPr>
          <w:p w:rsidR="00AA5146" w:rsidRPr="00810C89" w:rsidRDefault="00AA5146" w:rsidP="00810C89">
            <w:pPr>
              <w:spacing w:before="120" w:after="120" w:line="240" w:lineRule="auto"/>
              <w:jc w:val="center"/>
              <w:rPr>
                <w:rFonts w:eastAsia="Times New Roman" w:cs="Arial"/>
                <w:color w:val="000000"/>
                <w:sz w:val="22"/>
                <w:lang w:eastAsia="pt-BR"/>
              </w:rPr>
            </w:pPr>
          </w:p>
        </w:tc>
      </w:tr>
      <w:tr w:rsidR="00AA5146" w:rsidRPr="00810C89" w:rsidTr="00AA5146">
        <w:trPr>
          <w:trHeight w:val="600"/>
          <w:jc w:val="center"/>
        </w:trPr>
        <w:tc>
          <w:tcPr>
            <w:tcW w:w="930" w:type="pct"/>
            <w:vMerge/>
            <w:vAlign w:val="center"/>
            <w:hideMark/>
          </w:tcPr>
          <w:p w:rsidR="00AA5146" w:rsidRPr="00810C89" w:rsidRDefault="00AA5146" w:rsidP="00810C89">
            <w:pPr>
              <w:spacing w:before="120" w:after="120" w:line="240" w:lineRule="auto"/>
              <w:rPr>
                <w:rFonts w:eastAsia="Times New Roman" w:cs="Arial"/>
                <w:color w:val="000000"/>
                <w:sz w:val="22"/>
                <w:lang w:eastAsia="pt-BR"/>
              </w:rPr>
            </w:pPr>
          </w:p>
        </w:tc>
        <w:tc>
          <w:tcPr>
            <w:tcW w:w="2690" w:type="pct"/>
            <w:shd w:val="clear" w:color="auto" w:fill="auto"/>
            <w:vAlign w:val="bottom"/>
            <w:hideMark/>
          </w:tcPr>
          <w:p w:rsidR="00AA5146" w:rsidRPr="00810C89" w:rsidRDefault="00AA5146" w:rsidP="00810C89">
            <w:pPr>
              <w:spacing w:before="120" w:after="120" w:line="240" w:lineRule="auto"/>
              <w:jc w:val="both"/>
              <w:rPr>
                <w:rFonts w:eastAsia="Times New Roman" w:cs="Arial"/>
                <w:color w:val="000000"/>
                <w:sz w:val="22"/>
                <w:lang w:eastAsia="pt-BR"/>
              </w:rPr>
            </w:pPr>
            <w:r w:rsidRPr="00810C89">
              <w:rPr>
                <w:rFonts w:eastAsia="Times New Roman" w:cs="Arial"/>
                <w:color w:val="000000"/>
                <w:sz w:val="22"/>
                <w:lang w:eastAsia="pt-BR"/>
              </w:rPr>
              <w:t xml:space="preserve">Procurar por obstruções causadas por acúmulo de resíduos, sedimentos, vegetação ou acessos às garagens. </w:t>
            </w:r>
          </w:p>
        </w:tc>
        <w:tc>
          <w:tcPr>
            <w:tcW w:w="1380" w:type="pct"/>
            <w:vMerge/>
            <w:vAlign w:val="center"/>
            <w:hideMark/>
          </w:tcPr>
          <w:p w:rsidR="00AA5146" w:rsidRPr="00810C89" w:rsidRDefault="00AA5146" w:rsidP="00810C89">
            <w:pPr>
              <w:spacing w:before="120" w:after="120" w:line="240" w:lineRule="auto"/>
              <w:jc w:val="center"/>
              <w:rPr>
                <w:rFonts w:eastAsia="Times New Roman" w:cs="Arial"/>
                <w:color w:val="000000"/>
                <w:sz w:val="22"/>
                <w:lang w:eastAsia="pt-BR"/>
              </w:rPr>
            </w:pPr>
          </w:p>
        </w:tc>
      </w:tr>
      <w:tr w:rsidR="00AA5146" w:rsidRPr="00810C89" w:rsidTr="00AA5146">
        <w:trPr>
          <w:trHeight w:val="600"/>
          <w:jc w:val="center"/>
        </w:trPr>
        <w:tc>
          <w:tcPr>
            <w:tcW w:w="930" w:type="pct"/>
            <w:vMerge w:val="restart"/>
            <w:shd w:val="clear" w:color="auto" w:fill="auto"/>
            <w:vAlign w:val="center"/>
            <w:hideMark/>
          </w:tcPr>
          <w:p w:rsidR="00AA5146" w:rsidRPr="00810C89" w:rsidRDefault="00AA5146" w:rsidP="00810C89">
            <w:pPr>
              <w:spacing w:before="120" w:after="120" w:line="240" w:lineRule="auto"/>
              <w:rPr>
                <w:rFonts w:eastAsia="Times New Roman" w:cs="Arial"/>
                <w:color w:val="000000"/>
                <w:sz w:val="22"/>
                <w:lang w:eastAsia="pt-BR"/>
              </w:rPr>
            </w:pPr>
            <w:r w:rsidRPr="00810C89">
              <w:rPr>
                <w:rFonts w:eastAsia="Times New Roman" w:cs="Arial"/>
                <w:color w:val="000000"/>
                <w:sz w:val="22"/>
                <w:lang w:eastAsia="pt-BR"/>
              </w:rPr>
              <w:t>Bocas de lobo, bueiros, galerias e canais abertos e fechados.</w:t>
            </w:r>
          </w:p>
        </w:tc>
        <w:tc>
          <w:tcPr>
            <w:tcW w:w="2690" w:type="pct"/>
            <w:shd w:val="clear" w:color="auto" w:fill="auto"/>
            <w:vAlign w:val="bottom"/>
            <w:hideMark/>
          </w:tcPr>
          <w:p w:rsidR="00AA5146" w:rsidRPr="00810C89" w:rsidRDefault="00AA5146" w:rsidP="00810C89">
            <w:pPr>
              <w:spacing w:before="120" w:after="120" w:line="240" w:lineRule="auto"/>
              <w:jc w:val="both"/>
              <w:rPr>
                <w:rFonts w:eastAsia="Times New Roman" w:cs="Arial"/>
                <w:color w:val="000000"/>
                <w:sz w:val="22"/>
                <w:lang w:eastAsia="pt-BR"/>
              </w:rPr>
            </w:pPr>
            <w:r w:rsidRPr="00810C89">
              <w:rPr>
                <w:rFonts w:eastAsia="Times New Roman" w:cs="Arial"/>
                <w:color w:val="000000"/>
                <w:sz w:val="22"/>
                <w:lang w:eastAsia="pt-BR"/>
              </w:rPr>
              <w:t>Inspecionar os pontos de acesso, verificando obstruções no gradeamento.</w:t>
            </w:r>
          </w:p>
        </w:tc>
        <w:tc>
          <w:tcPr>
            <w:tcW w:w="1380" w:type="pct"/>
            <w:vMerge w:val="restart"/>
            <w:shd w:val="clear" w:color="auto" w:fill="auto"/>
            <w:noWrap/>
            <w:vAlign w:val="center"/>
            <w:hideMark/>
          </w:tcPr>
          <w:p w:rsidR="00AA5146" w:rsidRPr="00810C89" w:rsidRDefault="00AA5146" w:rsidP="00810C89">
            <w:pPr>
              <w:spacing w:before="120" w:after="120" w:line="240" w:lineRule="auto"/>
              <w:jc w:val="center"/>
              <w:rPr>
                <w:rFonts w:eastAsia="Times New Roman" w:cs="Arial"/>
                <w:color w:val="000000"/>
                <w:sz w:val="22"/>
                <w:lang w:eastAsia="pt-BR"/>
              </w:rPr>
            </w:pPr>
            <w:r w:rsidRPr="00810C89">
              <w:rPr>
                <w:rFonts w:eastAsia="Times New Roman" w:cs="Arial"/>
                <w:color w:val="000000"/>
                <w:sz w:val="22"/>
                <w:lang w:eastAsia="pt-BR"/>
              </w:rPr>
              <w:t>A cada 60 dias</w:t>
            </w:r>
          </w:p>
        </w:tc>
      </w:tr>
      <w:tr w:rsidR="00AA5146" w:rsidRPr="00810C89" w:rsidTr="00AA5146">
        <w:trPr>
          <w:trHeight w:val="600"/>
          <w:jc w:val="center"/>
        </w:trPr>
        <w:tc>
          <w:tcPr>
            <w:tcW w:w="930" w:type="pct"/>
            <w:vMerge/>
            <w:vAlign w:val="center"/>
            <w:hideMark/>
          </w:tcPr>
          <w:p w:rsidR="00AA5146" w:rsidRPr="00810C89" w:rsidRDefault="00AA5146" w:rsidP="00810C89">
            <w:pPr>
              <w:spacing w:before="120" w:after="120" w:line="240" w:lineRule="auto"/>
              <w:rPr>
                <w:rFonts w:eastAsia="Times New Roman" w:cs="Arial"/>
                <w:color w:val="000000"/>
                <w:sz w:val="22"/>
                <w:lang w:eastAsia="pt-BR"/>
              </w:rPr>
            </w:pPr>
          </w:p>
        </w:tc>
        <w:tc>
          <w:tcPr>
            <w:tcW w:w="2690" w:type="pct"/>
            <w:shd w:val="clear" w:color="auto" w:fill="auto"/>
            <w:vAlign w:val="bottom"/>
            <w:hideMark/>
          </w:tcPr>
          <w:p w:rsidR="00AA5146" w:rsidRPr="00810C89" w:rsidRDefault="00AA5146" w:rsidP="00810C89">
            <w:pPr>
              <w:spacing w:before="120" w:after="120" w:line="240" w:lineRule="auto"/>
              <w:jc w:val="both"/>
              <w:rPr>
                <w:rFonts w:eastAsia="Times New Roman" w:cs="Arial"/>
                <w:color w:val="000000"/>
                <w:sz w:val="22"/>
                <w:lang w:eastAsia="pt-BR"/>
              </w:rPr>
            </w:pPr>
            <w:r w:rsidRPr="00810C89">
              <w:rPr>
                <w:rFonts w:eastAsia="Times New Roman" w:cs="Arial"/>
                <w:color w:val="000000"/>
                <w:sz w:val="22"/>
                <w:lang w:eastAsia="pt-BR"/>
              </w:rPr>
              <w:t>Inspecionar revestimento das estruturas para determinar quaisquer danos e deteriorações.</w:t>
            </w:r>
          </w:p>
        </w:tc>
        <w:tc>
          <w:tcPr>
            <w:tcW w:w="1380" w:type="pct"/>
            <w:vMerge/>
            <w:vAlign w:val="center"/>
            <w:hideMark/>
          </w:tcPr>
          <w:p w:rsidR="00AA5146" w:rsidRPr="00810C89" w:rsidRDefault="00AA5146" w:rsidP="00810C89">
            <w:pPr>
              <w:spacing w:before="120" w:after="120" w:line="240" w:lineRule="auto"/>
              <w:rPr>
                <w:rFonts w:eastAsia="Times New Roman" w:cs="Arial"/>
                <w:color w:val="000000"/>
                <w:sz w:val="22"/>
                <w:lang w:eastAsia="pt-BR"/>
              </w:rPr>
            </w:pPr>
          </w:p>
        </w:tc>
      </w:tr>
      <w:tr w:rsidR="00AA5146" w:rsidRPr="00810C89" w:rsidTr="00AA5146">
        <w:trPr>
          <w:trHeight w:val="600"/>
          <w:jc w:val="center"/>
        </w:trPr>
        <w:tc>
          <w:tcPr>
            <w:tcW w:w="930" w:type="pct"/>
            <w:vMerge/>
            <w:vAlign w:val="center"/>
            <w:hideMark/>
          </w:tcPr>
          <w:p w:rsidR="00AA5146" w:rsidRPr="00810C89" w:rsidRDefault="00AA5146" w:rsidP="00810C89">
            <w:pPr>
              <w:spacing w:before="120" w:after="120" w:line="240" w:lineRule="auto"/>
              <w:rPr>
                <w:rFonts w:eastAsia="Times New Roman" w:cs="Arial"/>
                <w:color w:val="000000"/>
                <w:sz w:val="22"/>
                <w:lang w:eastAsia="pt-BR"/>
              </w:rPr>
            </w:pPr>
          </w:p>
        </w:tc>
        <w:tc>
          <w:tcPr>
            <w:tcW w:w="2690" w:type="pct"/>
            <w:shd w:val="clear" w:color="auto" w:fill="auto"/>
            <w:vAlign w:val="bottom"/>
            <w:hideMark/>
          </w:tcPr>
          <w:p w:rsidR="00AA5146" w:rsidRPr="00810C89" w:rsidRDefault="00AA5146" w:rsidP="00810C89">
            <w:pPr>
              <w:spacing w:before="120" w:after="120" w:line="240" w:lineRule="auto"/>
              <w:jc w:val="both"/>
              <w:rPr>
                <w:rFonts w:eastAsia="Times New Roman" w:cs="Arial"/>
                <w:color w:val="000000"/>
                <w:sz w:val="22"/>
                <w:lang w:eastAsia="pt-BR"/>
              </w:rPr>
            </w:pPr>
            <w:r w:rsidRPr="00810C89">
              <w:rPr>
                <w:rFonts w:eastAsia="Times New Roman" w:cs="Arial"/>
                <w:color w:val="000000"/>
                <w:sz w:val="22"/>
                <w:lang w:eastAsia="pt-BR"/>
              </w:rPr>
              <w:t>Procurar por obstruções causadas por acúmulo de resíduos e sedimentos internamente.</w:t>
            </w:r>
          </w:p>
        </w:tc>
        <w:tc>
          <w:tcPr>
            <w:tcW w:w="1380" w:type="pct"/>
            <w:vMerge/>
            <w:vAlign w:val="center"/>
            <w:hideMark/>
          </w:tcPr>
          <w:p w:rsidR="00AA5146" w:rsidRPr="00810C89" w:rsidRDefault="00AA5146" w:rsidP="00810C89">
            <w:pPr>
              <w:spacing w:before="120" w:after="120" w:line="240" w:lineRule="auto"/>
              <w:rPr>
                <w:rFonts w:eastAsia="Times New Roman" w:cs="Arial"/>
                <w:color w:val="000000"/>
                <w:sz w:val="22"/>
                <w:lang w:eastAsia="pt-BR"/>
              </w:rPr>
            </w:pPr>
          </w:p>
        </w:tc>
      </w:tr>
      <w:tr w:rsidR="00AA5146" w:rsidRPr="00810C89" w:rsidTr="00AA5146">
        <w:trPr>
          <w:trHeight w:val="600"/>
          <w:jc w:val="center"/>
        </w:trPr>
        <w:tc>
          <w:tcPr>
            <w:tcW w:w="930" w:type="pct"/>
            <w:vMerge/>
            <w:vAlign w:val="center"/>
          </w:tcPr>
          <w:p w:rsidR="00AA5146" w:rsidRPr="00810C89" w:rsidRDefault="00AA5146" w:rsidP="00810C89">
            <w:pPr>
              <w:spacing w:before="120" w:after="120" w:line="240" w:lineRule="auto"/>
              <w:rPr>
                <w:rFonts w:eastAsia="Times New Roman" w:cs="Arial"/>
                <w:color w:val="000000"/>
                <w:sz w:val="22"/>
                <w:lang w:eastAsia="pt-BR"/>
              </w:rPr>
            </w:pPr>
          </w:p>
        </w:tc>
        <w:tc>
          <w:tcPr>
            <w:tcW w:w="2690" w:type="pct"/>
            <w:shd w:val="clear" w:color="auto" w:fill="auto"/>
            <w:vAlign w:val="bottom"/>
          </w:tcPr>
          <w:p w:rsidR="00AA5146" w:rsidRPr="00810C89" w:rsidRDefault="00AA5146" w:rsidP="00810C89">
            <w:pPr>
              <w:spacing w:before="120" w:after="120" w:line="240" w:lineRule="auto"/>
              <w:jc w:val="both"/>
              <w:rPr>
                <w:rFonts w:eastAsia="Times New Roman" w:cs="Arial"/>
                <w:color w:val="000000"/>
                <w:sz w:val="22"/>
                <w:lang w:eastAsia="pt-BR"/>
              </w:rPr>
            </w:pPr>
            <w:r w:rsidRPr="00810C89">
              <w:rPr>
                <w:rFonts w:eastAsia="Times New Roman" w:cs="Arial"/>
                <w:color w:val="000000"/>
                <w:sz w:val="22"/>
                <w:lang w:eastAsia="pt-BR"/>
              </w:rPr>
              <w:t>Inspecionar o gradeamento a fim de verificar a facilidade ao acesso interno.</w:t>
            </w:r>
          </w:p>
        </w:tc>
        <w:tc>
          <w:tcPr>
            <w:tcW w:w="1380" w:type="pct"/>
            <w:vMerge/>
            <w:vAlign w:val="center"/>
          </w:tcPr>
          <w:p w:rsidR="00AA5146" w:rsidRPr="00810C89" w:rsidRDefault="00AA5146" w:rsidP="00810C89">
            <w:pPr>
              <w:spacing w:before="120" w:after="120" w:line="240" w:lineRule="auto"/>
              <w:rPr>
                <w:rFonts w:eastAsia="Times New Roman" w:cs="Arial"/>
                <w:color w:val="000000"/>
                <w:sz w:val="22"/>
                <w:lang w:eastAsia="pt-BR"/>
              </w:rPr>
            </w:pPr>
          </w:p>
        </w:tc>
      </w:tr>
    </w:tbl>
    <w:p w:rsidR="00AA5146" w:rsidRPr="00AA5146" w:rsidRDefault="00AA5146" w:rsidP="00810C89">
      <w:pPr>
        <w:pStyle w:val="Fonte"/>
      </w:pPr>
      <w:r w:rsidRPr="00AA5146">
        <w:t>Fonte: adaptado de SMDU, 2012.</w:t>
      </w:r>
    </w:p>
    <w:p w:rsidR="00AA5146" w:rsidRPr="00AA5146" w:rsidRDefault="00AA5146" w:rsidP="00AA5146">
      <w:pPr>
        <w:ind w:firstLine="708"/>
        <w:jc w:val="both"/>
        <w:rPr>
          <w:rFonts w:cs="Arial"/>
        </w:rPr>
      </w:pPr>
      <w:r w:rsidRPr="00AA5146">
        <w:rPr>
          <w:rFonts w:cs="Arial"/>
        </w:rPr>
        <w:t xml:space="preserve">O </w:t>
      </w:r>
      <w:r w:rsidRPr="00AA5146">
        <w:rPr>
          <w:rFonts w:cs="Arial"/>
          <w:szCs w:val="24"/>
        </w:rPr>
        <w:fldChar w:fldCharType="begin"/>
      </w:r>
      <w:r w:rsidRPr="00AA5146">
        <w:rPr>
          <w:rFonts w:cs="Arial"/>
          <w:szCs w:val="24"/>
        </w:rPr>
        <w:instrText xml:space="preserve"> REF _Ref442087910 \h  \* MERGEFORMAT </w:instrText>
      </w:r>
      <w:r w:rsidRPr="00AA5146">
        <w:rPr>
          <w:rFonts w:cs="Arial"/>
          <w:szCs w:val="24"/>
        </w:rPr>
      </w:r>
      <w:r w:rsidRPr="00AA5146">
        <w:rPr>
          <w:rFonts w:cs="Arial"/>
          <w:szCs w:val="24"/>
        </w:rPr>
        <w:fldChar w:fldCharType="separate"/>
      </w:r>
      <w:r w:rsidR="001B481B" w:rsidRPr="001B481B">
        <w:rPr>
          <w:szCs w:val="24"/>
        </w:rPr>
        <w:t xml:space="preserve">Quadro </w:t>
      </w:r>
      <w:r w:rsidR="001B481B" w:rsidRPr="001B481B">
        <w:rPr>
          <w:noProof/>
          <w:szCs w:val="24"/>
        </w:rPr>
        <w:t>79</w:t>
      </w:r>
      <w:r w:rsidRPr="00AA5146">
        <w:rPr>
          <w:rFonts w:cs="Arial"/>
          <w:szCs w:val="24"/>
        </w:rPr>
        <w:fldChar w:fldCharType="end"/>
      </w:r>
      <w:r w:rsidRPr="00AA5146">
        <w:rPr>
          <w:rFonts w:cs="Arial"/>
        </w:rPr>
        <w:t xml:space="preserve"> indica as estruturas que devem ser submetidas à limpeza, suas rotinas e frequência e o </w:t>
      </w:r>
      <w:r w:rsidRPr="00AA5146">
        <w:rPr>
          <w:rFonts w:cs="Arial"/>
          <w:szCs w:val="24"/>
        </w:rPr>
        <w:fldChar w:fldCharType="begin"/>
      </w:r>
      <w:r w:rsidRPr="00AA5146">
        <w:rPr>
          <w:rFonts w:cs="Arial"/>
          <w:szCs w:val="24"/>
        </w:rPr>
        <w:instrText xml:space="preserve"> REF _Ref442087917 \h  \* MERGEFORMAT </w:instrText>
      </w:r>
      <w:r w:rsidRPr="00AA5146">
        <w:rPr>
          <w:rFonts w:cs="Arial"/>
          <w:szCs w:val="24"/>
        </w:rPr>
      </w:r>
      <w:r w:rsidRPr="00AA5146">
        <w:rPr>
          <w:rFonts w:cs="Arial"/>
          <w:szCs w:val="24"/>
        </w:rPr>
        <w:fldChar w:fldCharType="separate"/>
      </w:r>
      <w:r w:rsidR="001B481B" w:rsidRPr="001B481B">
        <w:rPr>
          <w:szCs w:val="24"/>
        </w:rPr>
        <w:t xml:space="preserve">Quadro </w:t>
      </w:r>
      <w:r w:rsidR="001B481B" w:rsidRPr="001B481B">
        <w:rPr>
          <w:noProof/>
          <w:szCs w:val="24"/>
        </w:rPr>
        <w:t>80</w:t>
      </w:r>
      <w:r w:rsidRPr="00AA5146">
        <w:rPr>
          <w:rFonts w:cs="Arial"/>
          <w:szCs w:val="24"/>
        </w:rPr>
        <w:fldChar w:fldCharType="end"/>
      </w:r>
      <w:r w:rsidRPr="00AA5146">
        <w:rPr>
          <w:rFonts w:cs="Arial"/>
        </w:rPr>
        <w:t xml:space="preserve"> indica as estruturas que devem ser submetidas à manutenção, suas rotinas e frequência mínima de execução das atividades.</w:t>
      </w:r>
    </w:p>
    <w:p w:rsidR="00AA5146" w:rsidRPr="00AA5146" w:rsidRDefault="00AA5146" w:rsidP="00810C89">
      <w:pPr>
        <w:pStyle w:val="Legenda"/>
      </w:pPr>
      <w:bookmarkStart w:id="941" w:name="_Ref442087910"/>
      <w:bookmarkStart w:id="942" w:name="_Toc442088046"/>
      <w:bookmarkStart w:id="943" w:name="_Toc488333083"/>
      <w:bookmarkStart w:id="944" w:name="_Toc498352322"/>
      <w:bookmarkStart w:id="945" w:name="_Toc509935856"/>
      <w:r w:rsidRPr="00AA5146">
        <w:t xml:space="preserve">Quadro </w:t>
      </w:r>
      <w:r w:rsidR="000A1C78">
        <w:fldChar w:fldCharType="begin"/>
      </w:r>
      <w:r w:rsidR="000A1C78">
        <w:instrText xml:space="preserve"> SEQ Quadro \* ARABIC </w:instrText>
      </w:r>
      <w:r w:rsidR="000A1C78">
        <w:fldChar w:fldCharType="separate"/>
      </w:r>
      <w:r w:rsidR="001B481B">
        <w:rPr>
          <w:noProof/>
        </w:rPr>
        <w:t>79</w:t>
      </w:r>
      <w:r w:rsidR="000A1C78">
        <w:rPr>
          <w:noProof/>
        </w:rPr>
        <w:fldChar w:fldCharType="end"/>
      </w:r>
      <w:bookmarkEnd w:id="941"/>
      <w:r w:rsidRPr="00AA5146">
        <w:t xml:space="preserve"> - Procedimentos de limpeza para as estruturas do sistema de drenagem</w:t>
      </w:r>
      <w:bookmarkEnd w:id="942"/>
      <w:bookmarkEnd w:id="943"/>
      <w:bookmarkEnd w:id="944"/>
      <w:bookmarkEnd w:id="945"/>
    </w:p>
    <w:tbl>
      <w:tblPr>
        <w:tblW w:w="5000" w:type="pct"/>
        <w:tblLayout w:type="fixed"/>
        <w:tblCellMar>
          <w:left w:w="70" w:type="dxa"/>
          <w:right w:w="70" w:type="dxa"/>
        </w:tblCellMar>
        <w:tblLook w:val="04A0" w:firstRow="1" w:lastRow="0" w:firstColumn="1" w:lastColumn="0" w:noHBand="0" w:noVBand="1"/>
      </w:tblPr>
      <w:tblGrid>
        <w:gridCol w:w="1913"/>
        <w:gridCol w:w="4582"/>
        <w:gridCol w:w="3283"/>
      </w:tblGrid>
      <w:tr w:rsidR="00AA5146" w:rsidRPr="00810C89" w:rsidTr="00810C89">
        <w:trPr>
          <w:trHeight w:val="300"/>
        </w:trPr>
        <w:tc>
          <w:tcPr>
            <w:tcW w:w="97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A5146" w:rsidRPr="00810C89" w:rsidRDefault="00AA5146" w:rsidP="00810C89">
            <w:pPr>
              <w:spacing w:before="120" w:after="120" w:line="240" w:lineRule="auto"/>
              <w:jc w:val="center"/>
              <w:rPr>
                <w:rFonts w:eastAsia="Times New Roman" w:cs="Arial"/>
                <w:b/>
                <w:bCs/>
                <w:color w:val="000000"/>
                <w:sz w:val="22"/>
                <w:lang w:eastAsia="pt-BR"/>
              </w:rPr>
            </w:pPr>
            <w:r w:rsidRPr="00810C89">
              <w:rPr>
                <w:rFonts w:eastAsia="Times New Roman" w:cs="Arial"/>
                <w:b/>
                <w:bCs/>
                <w:color w:val="000000"/>
                <w:sz w:val="22"/>
                <w:lang w:eastAsia="pt-BR"/>
              </w:rPr>
              <w:t>Estrutura</w:t>
            </w:r>
          </w:p>
        </w:tc>
        <w:tc>
          <w:tcPr>
            <w:tcW w:w="2343" w:type="pct"/>
            <w:tcBorders>
              <w:top w:val="single" w:sz="4" w:space="0" w:color="auto"/>
              <w:left w:val="single" w:sz="4" w:space="0" w:color="auto"/>
              <w:bottom w:val="single" w:sz="4" w:space="0" w:color="auto"/>
              <w:right w:val="single" w:sz="4" w:space="0" w:color="auto"/>
            </w:tcBorders>
            <w:shd w:val="clear" w:color="auto" w:fill="auto"/>
            <w:vAlign w:val="bottom"/>
          </w:tcPr>
          <w:p w:rsidR="00AA5146" w:rsidRPr="00810C89" w:rsidRDefault="00AA5146" w:rsidP="00810C89">
            <w:pPr>
              <w:spacing w:before="120" w:after="120" w:line="240" w:lineRule="auto"/>
              <w:jc w:val="center"/>
              <w:rPr>
                <w:rFonts w:eastAsia="Times New Roman" w:cs="Arial"/>
                <w:b/>
                <w:bCs/>
                <w:color w:val="000000"/>
                <w:sz w:val="22"/>
                <w:lang w:eastAsia="pt-BR"/>
              </w:rPr>
            </w:pPr>
            <w:r w:rsidRPr="00810C89">
              <w:rPr>
                <w:rFonts w:eastAsia="Times New Roman" w:cs="Arial"/>
                <w:b/>
                <w:bCs/>
                <w:color w:val="000000"/>
                <w:sz w:val="22"/>
                <w:lang w:eastAsia="pt-BR"/>
              </w:rPr>
              <w:t>Rotina</w:t>
            </w:r>
          </w:p>
        </w:tc>
        <w:tc>
          <w:tcPr>
            <w:tcW w:w="1679" w:type="pct"/>
            <w:tcBorders>
              <w:top w:val="single" w:sz="4" w:space="0" w:color="auto"/>
              <w:left w:val="single" w:sz="4" w:space="0" w:color="auto"/>
              <w:bottom w:val="single" w:sz="4" w:space="0" w:color="auto"/>
              <w:right w:val="single" w:sz="4" w:space="0" w:color="auto"/>
            </w:tcBorders>
            <w:shd w:val="clear" w:color="auto" w:fill="auto"/>
            <w:vAlign w:val="bottom"/>
          </w:tcPr>
          <w:p w:rsidR="00AA5146" w:rsidRPr="00810C89" w:rsidRDefault="00AA5146" w:rsidP="00810C89">
            <w:pPr>
              <w:spacing w:before="120" w:after="120" w:line="240" w:lineRule="auto"/>
              <w:jc w:val="center"/>
              <w:rPr>
                <w:rFonts w:eastAsia="Times New Roman" w:cs="Arial"/>
                <w:b/>
                <w:bCs/>
                <w:color w:val="000000"/>
                <w:sz w:val="22"/>
                <w:lang w:eastAsia="pt-BR"/>
              </w:rPr>
            </w:pPr>
            <w:r w:rsidRPr="00810C89">
              <w:rPr>
                <w:rFonts w:eastAsia="Times New Roman" w:cs="Arial"/>
                <w:b/>
                <w:bCs/>
                <w:color w:val="000000"/>
                <w:sz w:val="22"/>
                <w:lang w:eastAsia="pt-BR"/>
              </w:rPr>
              <w:t>Frequência mínima</w:t>
            </w:r>
          </w:p>
        </w:tc>
      </w:tr>
      <w:tr w:rsidR="00AA5146" w:rsidRPr="00810C89" w:rsidTr="00810C89">
        <w:trPr>
          <w:trHeight w:val="300"/>
        </w:trPr>
        <w:tc>
          <w:tcPr>
            <w:tcW w:w="9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5146" w:rsidRPr="00810C89" w:rsidRDefault="00AA5146" w:rsidP="00810C89">
            <w:pPr>
              <w:spacing w:before="120" w:after="120" w:line="240" w:lineRule="auto"/>
              <w:rPr>
                <w:rFonts w:eastAsia="Times New Roman" w:cs="Arial"/>
                <w:color w:val="000000"/>
                <w:sz w:val="22"/>
                <w:lang w:eastAsia="pt-BR"/>
              </w:rPr>
            </w:pPr>
            <w:r w:rsidRPr="00810C89">
              <w:rPr>
                <w:rFonts w:eastAsia="Times New Roman" w:cs="Arial"/>
                <w:color w:val="000000"/>
                <w:sz w:val="22"/>
                <w:lang w:eastAsia="pt-BR"/>
              </w:rPr>
              <w:t>Sarjetas</w:t>
            </w:r>
          </w:p>
        </w:tc>
        <w:tc>
          <w:tcPr>
            <w:tcW w:w="23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5146" w:rsidRPr="00810C89" w:rsidRDefault="00AA5146" w:rsidP="00810C89">
            <w:pPr>
              <w:spacing w:before="120" w:after="120" w:line="240" w:lineRule="auto"/>
              <w:rPr>
                <w:rFonts w:eastAsia="Times New Roman" w:cs="Arial"/>
                <w:color w:val="000000"/>
                <w:sz w:val="22"/>
                <w:lang w:eastAsia="pt-BR"/>
              </w:rPr>
            </w:pPr>
            <w:r w:rsidRPr="00810C89">
              <w:rPr>
                <w:rFonts w:eastAsia="Times New Roman" w:cs="Arial"/>
                <w:color w:val="000000"/>
                <w:sz w:val="22"/>
                <w:lang w:eastAsia="pt-BR"/>
              </w:rPr>
              <w:t xml:space="preserve">Limpar sedimentos acumulados e resíduos sólidos. </w:t>
            </w:r>
          </w:p>
        </w:tc>
        <w:tc>
          <w:tcPr>
            <w:tcW w:w="16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5146" w:rsidRPr="00810C89" w:rsidRDefault="00AA5146" w:rsidP="00810C89">
            <w:pPr>
              <w:spacing w:before="120" w:after="120" w:line="240" w:lineRule="auto"/>
              <w:rPr>
                <w:rFonts w:eastAsia="Times New Roman" w:cs="Arial"/>
                <w:color w:val="000000"/>
                <w:sz w:val="22"/>
                <w:lang w:eastAsia="pt-BR"/>
              </w:rPr>
            </w:pPr>
            <w:r w:rsidRPr="00810C89">
              <w:rPr>
                <w:rFonts w:eastAsia="Times New Roman" w:cs="Arial"/>
                <w:color w:val="000000"/>
                <w:sz w:val="22"/>
                <w:lang w:eastAsia="pt-BR"/>
              </w:rPr>
              <w:t>Diariamente, de forma contínua.</w:t>
            </w:r>
          </w:p>
        </w:tc>
      </w:tr>
      <w:tr w:rsidR="00AA5146" w:rsidRPr="00810C89" w:rsidTr="00810C89">
        <w:trPr>
          <w:trHeight w:val="900"/>
        </w:trPr>
        <w:tc>
          <w:tcPr>
            <w:tcW w:w="9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146" w:rsidRPr="00810C89" w:rsidRDefault="00AA5146" w:rsidP="00810C89">
            <w:pPr>
              <w:spacing w:before="120" w:after="120" w:line="240" w:lineRule="auto"/>
              <w:rPr>
                <w:rFonts w:eastAsia="Times New Roman" w:cs="Arial"/>
                <w:color w:val="000000"/>
                <w:sz w:val="22"/>
                <w:lang w:eastAsia="pt-BR"/>
              </w:rPr>
            </w:pPr>
            <w:r w:rsidRPr="00810C89">
              <w:rPr>
                <w:rFonts w:eastAsia="Times New Roman" w:cs="Arial"/>
                <w:color w:val="000000"/>
                <w:sz w:val="22"/>
                <w:lang w:eastAsia="pt-BR"/>
              </w:rPr>
              <w:t>Bocas de lobo, bueiros, galerias e canais abertos e fechados.</w:t>
            </w:r>
          </w:p>
        </w:tc>
        <w:tc>
          <w:tcPr>
            <w:tcW w:w="23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5146" w:rsidRPr="00810C89" w:rsidRDefault="00AA5146" w:rsidP="00810C89">
            <w:pPr>
              <w:spacing w:before="120" w:after="120" w:line="240" w:lineRule="auto"/>
              <w:rPr>
                <w:rFonts w:eastAsia="Times New Roman" w:cs="Arial"/>
                <w:color w:val="000000"/>
                <w:sz w:val="22"/>
                <w:lang w:eastAsia="pt-BR"/>
              </w:rPr>
            </w:pPr>
            <w:r w:rsidRPr="00810C89">
              <w:rPr>
                <w:rFonts w:eastAsia="Times New Roman" w:cs="Arial"/>
                <w:color w:val="000000"/>
                <w:sz w:val="22"/>
                <w:lang w:eastAsia="pt-BR"/>
              </w:rPr>
              <w:t>Limpar sedimentos acumulados e resíduos sólidos.</w:t>
            </w:r>
          </w:p>
        </w:tc>
        <w:tc>
          <w:tcPr>
            <w:tcW w:w="16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146" w:rsidRPr="00810C89" w:rsidRDefault="00AA5146" w:rsidP="00810C89">
            <w:pPr>
              <w:spacing w:before="120" w:after="120" w:line="240" w:lineRule="auto"/>
              <w:rPr>
                <w:rFonts w:eastAsia="Times New Roman" w:cs="Arial"/>
                <w:color w:val="000000"/>
                <w:sz w:val="22"/>
                <w:lang w:eastAsia="pt-BR"/>
              </w:rPr>
            </w:pPr>
            <w:r w:rsidRPr="00810C89">
              <w:rPr>
                <w:rFonts w:eastAsia="Times New Roman" w:cs="Arial"/>
                <w:color w:val="000000"/>
                <w:sz w:val="22"/>
                <w:lang w:eastAsia="pt-BR"/>
              </w:rPr>
              <w:t>A cada 60 dias, com a devida atenção nos períodos de chuvas.</w:t>
            </w:r>
          </w:p>
        </w:tc>
      </w:tr>
    </w:tbl>
    <w:p w:rsidR="00AA5146" w:rsidRDefault="00AA5146" w:rsidP="00810C89">
      <w:pPr>
        <w:pStyle w:val="Fonte"/>
      </w:pPr>
      <w:r w:rsidRPr="00AA5146">
        <w:t>Fonte: adaptado de SMDU, 2012.</w:t>
      </w:r>
    </w:p>
    <w:p w:rsidR="00810C89" w:rsidRDefault="00810C89" w:rsidP="00810C89">
      <w:pPr>
        <w:pStyle w:val="Fonte"/>
      </w:pPr>
    </w:p>
    <w:p w:rsidR="00810C89" w:rsidRDefault="00810C89" w:rsidP="00810C89">
      <w:pPr>
        <w:pStyle w:val="Fonte"/>
      </w:pPr>
    </w:p>
    <w:p w:rsidR="00810C89" w:rsidRPr="00AA5146" w:rsidRDefault="00810C89" w:rsidP="00810C89">
      <w:pPr>
        <w:pStyle w:val="Fonte"/>
      </w:pPr>
    </w:p>
    <w:p w:rsidR="00AA5146" w:rsidRPr="00AA5146" w:rsidRDefault="00AA5146" w:rsidP="00810C89">
      <w:pPr>
        <w:pStyle w:val="Legenda"/>
      </w:pPr>
      <w:bookmarkStart w:id="946" w:name="_Ref442087917"/>
      <w:bookmarkStart w:id="947" w:name="_Toc442088047"/>
      <w:bookmarkStart w:id="948" w:name="_Toc488333084"/>
      <w:bookmarkStart w:id="949" w:name="_Toc498352323"/>
      <w:bookmarkStart w:id="950" w:name="_Toc509935857"/>
      <w:r w:rsidRPr="00AA5146">
        <w:lastRenderedPageBreak/>
        <w:t xml:space="preserve">Quadro </w:t>
      </w:r>
      <w:r w:rsidR="000A1C78">
        <w:fldChar w:fldCharType="begin"/>
      </w:r>
      <w:r w:rsidR="000A1C78">
        <w:instrText xml:space="preserve"> SEQ Quadro \* ARABIC </w:instrText>
      </w:r>
      <w:r w:rsidR="000A1C78">
        <w:fldChar w:fldCharType="separate"/>
      </w:r>
      <w:r w:rsidR="001B481B">
        <w:rPr>
          <w:noProof/>
        </w:rPr>
        <w:t>80</w:t>
      </w:r>
      <w:r w:rsidR="000A1C78">
        <w:rPr>
          <w:noProof/>
        </w:rPr>
        <w:fldChar w:fldCharType="end"/>
      </w:r>
      <w:bookmarkEnd w:id="946"/>
      <w:r w:rsidRPr="00AA5146">
        <w:t xml:space="preserve"> - Procedimentos de manutenção para as estruturas do sistema de drenagem</w:t>
      </w:r>
      <w:bookmarkEnd w:id="947"/>
      <w:bookmarkEnd w:id="948"/>
      <w:bookmarkEnd w:id="949"/>
      <w:bookmarkEnd w:id="950"/>
    </w:p>
    <w:tbl>
      <w:tblPr>
        <w:tblW w:w="5000" w:type="pct"/>
        <w:tblCellMar>
          <w:left w:w="70" w:type="dxa"/>
          <w:right w:w="70" w:type="dxa"/>
        </w:tblCellMar>
        <w:tblLook w:val="04A0" w:firstRow="1" w:lastRow="0" w:firstColumn="1" w:lastColumn="0" w:noHBand="0" w:noVBand="1"/>
      </w:tblPr>
      <w:tblGrid>
        <w:gridCol w:w="2458"/>
        <w:gridCol w:w="4555"/>
        <w:gridCol w:w="2765"/>
      </w:tblGrid>
      <w:tr w:rsidR="00AA5146" w:rsidRPr="00810C89" w:rsidTr="00AA5146">
        <w:trPr>
          <w:trHeight w:val="300"/>
        </w:trPr>
        <w:tc>
          <w:tcPr>
            <w:tcW w:w="125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A5146" w:rsidRPr="00810C89" w:rsidRDefault="00AA5146" w:rsidP="00810C89">
            <w:pPr>
              <w:spacing w:before="120" w:after="120" w:line="240" w:lineRule="auto"/>
              <w:jc w:val="center"/>
              <w:rPr>
                <w:rFonts w:eastAsia="Times New Roman" w:cs="Arial"/>
                <w:b/>
                <w:bCs/>
                <w:color w:val="000000"/>
                <w:sz w:val="22"/>
                <w:lang w:eastAsia="pt-BR"/>
              </w:rPr>
            </w:pPr>
            <w:r w:rsidRPr="00810C89">
              <w:rPr>
                <w:rFonts w:eastAsia="Times New Roman" w:cs="Arial"/>
                <w:b/>
                <w:bCs/>
                <w:color w:val="000000"/>
                <w:sz w:val="22"/>
                <w:lang w:eastAsia="pt-BR"/>
              </w:rPr>
              <w:t>Estrutura</w:t>
            </w:r>
          </w:p>
        </w:tc>
        <w:tc>
          <w:tcPr>
            <w:tcW w:w="232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A5146" w:rsidRPr="00810C89" w:rsidRDefault="00AA5146" w:rsidP="00810C89">
            <w:pPr>
              <w:spacing w:before="120" w:after="120" w:line="240" w:lineRule="auto"/>
              <w:jc w:val="center"/>
              <w:rPr>
                <w:rFonts w:eastAsia="Times New Roman" w:cs="Arial"/>
                <w:b/>
                <w:bCs/>
                <w:color w:val="000000"/>
                <w:sz w:val="22"/>
                <w:lang w:eastAsia="pt-BR"/>
              </w:rPr>
            </w:pPr>
            <w:r w:rsidRPr="00810C89">
              <w:rPr>
                <w:rFonts w:eastAsia="Times New Roman" w:cs="Arial"/>
                <w:b/>
                <w:bCs/>
                <w:color w:val="000000"/>
                <w:sz w:val="22"/>
                <w:lang w:eastAsia="pt-BR"/>
              </w:rPr>
              <w:t>Rotina</w:t>
            </w:r>
          </w:p>
        </w:tc>
        <w:tc>
          <w:tcPr>
            <w:tcW w:w="141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A5146" w:rsidRPr="00810C89" w:rsidRDefault="00AA5146" w:rsidP="00810C89">
            <w:pPr>
              <w:spacing w:before="120" w:after="120" w:line="240" w:lineRule="auto"/>
              <w:jc w:val="center"/>
              <w:rPr>
                <w:rFonts w:eastAsia="Times New Roman" w:cs="Arial"/>
                <w:b/>
                <w:bCs/>
                <w:color w:val="000000"/>
                <w:sz w:val="22"/>
                <w:lang w:eastAsia="pt-BR"/>
              </w:rPr>
            </w:pPr>
            <w:r w:rsidRPr="00810C89">
              <w:rPr>
                <w:rFonts w:eastAsia="Times New Roman" w:cs="Arial"/>
                <w:b/>
                <w:bCs/>
                <w:color w:val="000000"/>
                <w:sz w:val="22"/>
                <w:lang w:eastAsia="pt-BR"/>
              </w:rPr>
              <w:t>Frequência mínima</w:t>
            </w:r>
          </w:p>
        </w:tc>
      </w:tr>
      <w:tr w:rsidR="00AA5146" w:rsidRPr="00810C89" w:rsidTr="00AA5146">
        <w:trPr>
          <w:trHeight w:val="900"/>
        </w:trPr>
        <w:tc>
          <w:tcPr>
            <w:tcW w:w="12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A5146" w:rsidRPr="00810C89" w:rsidRDefault="00AA5146" w:rsidP="00810C89">
            <w:pPr>
              <w:spacing w:before="120" w:after="120" w:line="240" w:lineRule="auto"/>
              <w:rPr>
                <w:rFonts w:eastAsia="Times New Roman" w:cs="Arial"/>
                <w:color w:val="000000"/>
                <w:sz w:val="22"/>
                <w:lang w:eastAsia="pt-BR"/>
              </w:rPr>
            </w:pPr>
            <w:r w:rsidRPr="00810C89">
              <w:rPr>
                <w:rFonts w:eastAsia="Times New Roman" w:cs="Arial"/>
                <w:color w:val="000000"/>
                <w:sz w:val="22"/>
                <w:lang w:eastAsia="pt-BR"/>
              </w:rPr>
              <w:t>Sarjetas</w:t>
            </w:r>
          </w:p>
        </w:tc>
        <w:tc>
          <w:tcPr>
            <w:tcW w:w="2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146" w:rsidRPr="00810C89" w:rsidRDefault="00AA5146" w:rsidP="00810C89">
            <w:pPr>
              <w:spacing w:before="120" w:after="120" w:line="240" w:lineRule="auto"/>
              <w:rPr>
                <w:rFonts w:eastAsia="Times New Roman" w:cs="Arial"/>
                <w:color w:val="000000"/>
                <w:sz w:val="22"/>
                <w:lang w:eastAsia="pt-BR"/>
              </w:rPr>
            </w:pPr>
            <w:r w:rsidRPr="00810C89">
              <w:rPr>
                <w:rFonts w:eastAsia="Times New Roman" w:cs="Arial"/>
                <w:color w:val="000000"/>
                <w:sz w:val="22"/>
                <w:lang w:eastAsia="pt-BR"/>
              </w:rPr>
              <w:t>Reparar / Substituir elementos danificados. Refazer revestimento.</w:t>
            </w:r>
          </w:p>
        </w:tc>
        <w:tc>
          <w:tcPr>
            <w:tcW w:w="14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146" w:rsidRPr="00810C89" w:rsidRDefault="00AA5146" w:rsidP="00810C89">
            <w:pPr>
              <w:spacing w:before="120" w:after="120" w:line="240" w:lineRule="auto"/>
              <w:rPr>
                <w:rFonts w:eastAsia="Times New Roman" w:cs="Arial"/>
                <w:color w:val="000000"/>
                <w:sz w:val="22"/>
                <w:lang w:eastAsia="pt-BR"/>
              </w:rPr>
            </w:pPr>
            <w:r w:rsidRPr="00810C89">
              <w:rPr>
                <w:rFonts w:eastAsia="Times New Roman" w:cs="Arial"/>
                <w:color w:val="000000"/>
                <w:sz w:val="22"/>
                <w:lang w:eastAsia="pt-BR"/>
              </w:rPr>
              <w:t>Quando verificada a necessidade durante a inspeção.</w:t>
            </w:r>
          </w:p>
        </w:tc>
      </w:tr>
      <w:tr w:rsidR="00AA5146" w:rsidRPr="00810C89" w:rsidTr="00AA5146">
        <w:trPr>
          <w:trHeight w:val="900"/>
        </w:trPr>
        <w:tc>
          <w:tcPr>
            <w:tcW w:w="12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146" w:rsidRPr="00810C89" w:rsidRDefault="00AA5146" w:rsidP="00810C89">
            <w:pPr>
              <w:spacing w:before="120" w:after="120" w:line="240" w:lineRule="auto"/>
              <w:rPr>
                <w:rFonts w:eastAsia="Times New Roman" w:cs="Arial"/>
                <w:color w:val="000000"/>
                <w:sz w:val="22"/>
                <w:lang w:eastAsia="pt-BR"/>
              </w:rPr>
            </w:pPr>
            <w:r w:rsidRPr="00810C89">
              <w:rPr>
                <w:rFonts w:eastAsia="Times New Roman" w:cs="Arial"/>
                <w:color w:val="000000"/>
                <w:sz w:val="22"/>
                <w:lang w:eastAsia="pt-BR"/>
              </w:rPr>
              <w:t>Bocas de lobo, bueiros, galerias e canais abertos e fechados.</w:t>
            </w:r>
          </w:p>
        </w:tc>
        <w:tc>
          <w:tcPr>
            <w:tcW w:w="2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146" w:rsidRPr="00810C89" w:rsidRDefault="00AA5146" w:rsidP="00810C89">
            <w:pPr>
              <w:spacing w:before="120" w:after="120" w:line="240" w:lineRule="auto"/>
              <w:rPr>
                <w:rFonts w:eastAsia="Times New Roman" w:cs="Arial"/>
                <w:color w:val="000000"/>
                <w:sz w:val="22"/>
                <w:lang w:eastAsia="pt-BR"/>
              </w:rPr>
            </w:pPr>
            <w:r w:rsidRPr="00810C89">
              <w:rPr>
                <w:rFonts w:eastAsia="Times New Roman" w:cs="Arial"/>
                <w:color w:val="000000"/>
                <w:sz w:val="22"/>
                <w:lang w:eastAsia="pt-BR"/>
              </w:rPr>
              <w:t>Reparar / Substituir elementos danificados. Refazer revestimento.</w:t>
            </w:r>
          </w:p>
          <w:p w:rsidR="00AA5146" w:rsidRPr="00810C89" w:rsidRDefault="00AA5146" w:rsidP="00810C89">
            <w:pPr>
              <w:spacing w:before="120" w:after="120" w:line="240" w:lineRule="auto"/>
              <w:rPr>
                <w:rFonts w:eastAsia="Times New Roman" w:cs="Arial"/>
                <w:color w:val="000000"/>
                <w:sz w:val="22"/>
                <w:lang w:eastAsia="pt-BR"/>
              </w:rPr>
            </w:pPr>
            <w:r w:rsidRPr="00810C89">
              <w:rPr>
                <w:rFonts w:eastAsia="Times New Roman" w:cs="Arial"/>
                <w:color w:val="000000"/>
                <w:sz w:val="22"/>
                <w:lang w:eastAsia="pt-BR"/>
              </w:rPr>
              <w:t>Adequar o gradeamento.</w:t>
            </w:r>
          </w:p>
        </w:tc>
        <w:tc>
          <w:tcPr>
            <w:tcW w:w="141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146" w:rsidRPr="00810C89" w:rsidRDefault="00AA5146" w:rsidP="00810C89">
            <w:pPr>
              <w:spacing w:before="120" w:after="120" w:line="240" w:lineRule="auto"/>
              <w:rPr>
                <w:rFonts w:eastAsia="Times New Roman" w:cs="Arial"/>
                <w:color w:val="000000"/>
                <w:sz w:val="22"/>
                <w:lang w:eastAsia="pt-BR"/>
              </w:rPr>
            </w:pPr>
            <w:r w:rsidRPr="00810C89">
              <w:rPr>
                <w:rFonts w:eastAsia="Times New Roman" w:cs="Arial"/>
                <w:color w:val="000000"/>
                <w:sz w:val="22"/>
                <w:lang w:eastAsia="pt-BR"/>
              </w:rPr>
              <w:t>Quando verificada a necessidade durante a inspeção.</w:t>
            </w:r>
          </w:p>
        </w:tc>
      </w:tr>
    </w:tbl>
    <w:p w:rsidR="002609B1" w:rsidRDefault="00AA5146" w:rsidP="00AC47A2">
      <w:pPr>
        <w:pStyle w:val="Fonte"/>
      </w:pPr>
      <w:r w:rsidRPr="00AA5146">
        <w:t>Fonte: adaptado de SMDU, 2012.</w:t>
      </w:r>
      <w:bookmarkStart w:id="951" w:name="_Toc440617452"/>
    </w:p>
    <w:p w:rsidR="002609B1" w:rsidRPr="00F15CF7" w:rsidRDefault="002609B1" w:rsidP="00BC01B1">
      <w:pPr>
        <w:pStyle w:val="Ttulo3"/>
      </w:pPr>
      <w:bookmarkStart w:id="952" w:name="_Toc440617453"/>
      <w:bookmarkStart w:id="953" w:name="_Toc498594064"/>
      <w:bookmarkStart w:id="954" w:name="_Toc509935557"/>
      <w:bookmarkEnd w:id="951"/>
      <w:r w:rsidRPr="00F15CF7">
        <w:t>Ações para emergência e contingência</w:t>
      </w:r>
      <w:bookmarkEnd w:id="952"/>
      <w:bookmarkEnd w:id="953"/>
      <w:bookmarkEnd w:id="954"/>
    </w:p>
    <w:p w:rsidR="002609B1" w:rsidRPr="00EC6DD7" w:rsidRDefault="002609B1" w:rsidP="002609B1">
      <w:pPr>
        <w:spacing w:before="120" w:after="120"/>
        <w:ind w:firstLine="708"/>
        <w:contextualSpacing/>
        <w:jc w:val="both"/>
        <w:rPr>
          <w:rFonts w:cs="Arial"/>
          <w:szCs w:val="24"/>
          <w:lang w:eastAsia="pt-BR"/>
        </w:rPr>
      </w:pPr>
      <w:r w:rsidRPr="007F06AA">
        <w:rPr>
          <w:rFonts w:cs="Arial"/>
          <w:szCs w:val="24"/>
          <w:lang w:eastAsia="pt-BR"/>
        </w:rPr>
        <w:t xml:space="preserve">A seguir estão listadas as </w:t>
      </w:r>
      <w:r w:rsidR="002C2555" w:rsidRPr="00EC6DD7">
        <w:rPr>
          <w:rFonts w:cs="Arial"/>
          <w:szCs w:val="24"/>
          <w:lang w:eastAsia="pt-BR"/>
        </w:rPr>
        <w:t xml:space="preserve">principais </w:t>
      </w:r>
      <w:r w:rsidRPr="00EC6DD7">
        <w:rPr>
          <w:rFonts w:cs="Arial"/>
          <w:szCs w:val="24"/>
          <w:lang w:eastAsia="pt-BR"/>
        </w:rPr>
        <w:t>a</w:t>
      </w:r>
      <w:r w:rsidRPr="007F06AA">
        <w:rPr>
          <w:rFonts w:cs="Arial"/>
          <w:szCs w:val="24"/>
          <w:lang w:eastAsia="pt-BR"/>
        </w:rPr>
        <w:t>ções de eventos de emergência e contingência relacionados ao S</w:t>
      </w:r>
      <w:r>
        <w:rPr>
          <w:rFonts w:cs="Arial"/>
          <w:szCs w:val="24"/>
          <w:lang w:eastAsia="pt-BR"/>
        </w:rPr>
        <w:t>DU</w:t>
      </w:r>
      <w:r w:rsidRPr="007F06AA">
        <w:rPr>
          <w:rFonts w:cs="Arial"/>
          <w:szCs w:val="24"/>
          <w:lang w:eastAsia="pt-BR"/>
        </w:rPr>
        <w:t xml:space="preserve">. A fim de facilitar a compreensão, esses eventos foram </w:t>
      </w:r>
      <w:r w:rsidRPr="00EC6DD7">
        <w:rPr>
          <w:rFonts w:cs="Arial"/>
          <w:szCs w:val="24"/>
          <w:lang w:eastAsia="pt-BR"/>
        </w:rPr>
        <w:t>separados em operacionais, de gestão e gerenciamento, e imprevisíveis.</w:t>
      </w:r>
    </w:p>
    <w:p w:rsidR="002609B1" w:rsidRPr="00EC6DD7" w:rsidRDefault="00EC6DD7" w:rsidP="00BC01B1">
      <w:pPr>
        <w:pStyle w:val="Ttulo4"/>
      </w:pPr>
      <w:bookmarkStart w:id="955" w:name="_Toc440617454"/>
      <w:bookmarkStart w:id="956" w:name="_Toc498594065"/>
      <w:bookmarkStart w:id="957" w:name="_Toc509935558"/>
      <w:r w:rsidRPr="00EC6DD7">
        <w:t>Evento o</w:t>
      </w:r>
      <w:r w:rsidR="002609B1" w:rsidRPr="00EC6DD7">
        <w:t>peraciona</w:t>
      </w:r>
      <w:bookmarkEnd w:id="955"/>
      <w:bookmarkEnd w:id="956"/>
      <w:r w:rsidR="002C2555" w:rsidRPr="00EC6DD7">
        <w:t>l</w:t>
      </w:r>
      <w:bookmarkEnd w:id="957"/>
      <w:r w:rsidR="007B4090" w:rsidRPr="00EC6DD7">
        <w:t xml:space="preserve"> </w:t>
      </w:r>
    </w:p>
    <w:p w:rsidR="002609B1" w:rsidRPr="00601B3C" w:rsidRDefault="002609B1" w:rsidP="0066661F">
      <w:pPr>
        <w:numPr>
          <w:ilvl w:val="0"/>
          <w:numId w:val="14"/>
        </w:numPr>
        <w:tabs>
          <w:tab w:val="left" w:pos="993"/>
        </w:tabs>
        <w:spacing w:before="120" w:after="120"/>
        <w:ind w:left="0" w:firstLine="709"/>
        <w:contextualSpacing/>
        <w:jc w:val="both"/>
        <w:rPr>
          <w:rFonts w:cs="Arial"/>
          <w:szCs w:val="24"/>
          <w:lang w:val="x-none" w:eastAsia="pt-BR"/>
        </w:rPr>
      </w:pPr>
      <w:r w:rsidRPr="00EC6DD7">
        <w:rPr>
          <w:rFonts w:eastAsia="Times New Roman" w:cs="Arial"/>
          <w:b/>
          <w:szCs w:val="24"/>
          <w:lang w:val="x-none" w:eastAsia="pt-BR"/>
        </w:rPr>
        <w:t>Ocorrência de entupimento da rede de drenagem</w:t>
      </w:r>
      <w:r w:rsidRPr="00EC6DD7">
        <w:rPr>
          <w:rFonts w:eastAsia="Times New Roman" w:cs="Arial"/>
          <w:szCs w:val="24"/>
          <w:lang w:val="x-none" w:eastAsia="pt-BR"/>
        </w:rPr>
        <w:t xml:space="preserve">: </w:t>
      </w:r>
      <w:r w:rsidRPr="00EC6DD7">
        <w:rPr>
          <w:rFonts w:eastAsia="Times New Roman" w:cs="Arial"/>
          <w:szCs w:val="24"/>
          <w:lang w:eastAsia="pt-BR"/>
        </w:rPr>
        <w:t xml:space="preserve">disponibilizar veículo, equipamento e pessoal </w:t>
      </w:r>
      <w:r w:rsidRPr="00601B3C">
        <w:rPr>
          <w:rFonts w:eastAsia="Times New Roman" w:cs="Arial"/>
          <w:szCs w:val="24"/>
          <w:lang w:eastAsia="pt-BR"/>
        </w:rPr>
        <w:t>treinado para a desobstrução das redes; fornecer os dados da ocorrência ao Sistema de Informação de Saneamento do município com características do local e motivos que levaram ao fato, com o objetivo de prevenção.</w:t>
      </w:r>
      <w:r w:rsidRPr="00601B3C">
        <w:rPr>
          <w:rFonts w:eastAsia="Times New Roman" w:cs="Arial"/>
          <w:b/>
          <w:szCs w:val="24"/>
          <w:lang w:eastAsia="pt-BR"/>
        </w:rPr>
        <w:t xml:space="preserve"> Responsável:</w:t>
      </w:r>
      <w:r w:rsidRPr="00601B3C">
        <w:rPr>
          <w:rFonts w:eastAsia="Times New Roman" w:cs="Arial"/>
          <w:szCs w:val="24"/>
          <w:lang w:eastAsia="pt-BR"/>
        </w:rPr>
        <w:t xml:space="preserve"> prestador dos serviços de drenagem urbana e manejo de águas pluviais.</w:t>
      </w:r>
    </w:p>
    <w:p w:rsidR="002609B1" w:rsidRPr="00F15CF7" w:rsidRDefault="00EC6DD7" w:rsidP="00BC01B1">
      <w:pPr>
        <w:pStyle w:val="Ttulo4"/>
      </w:pPr>
      <w:bookmarkStart w:id="958" w:name="_Toc440617455"/>
      <w:bookmarkStart w:id="959" w:name="_Toc498594066"/>
      <w:bookmarkStart w:id="960" w:name="_Toc509935559"/>
      <w:r>
        <w:rPr>
          <w:lang w:val="pt-BR"/>
        </w:rPr>
        <w:t>Evento de g</w:t>
      </w:r>
      <w:r w:rsidR="002609B1" w:rsidRPr="00F15CF7">
        <w:t>estão e gerenciamento</w:t>
      </w:r>
      <w:bookmarkEnd w:id="958"/>
      <w:bookmarkEnd w:id="959"/>
      <w:bookmarkEnd w:id="960"/>
    </w:p>
    <w:p w:rsidR="002609B1" w:rsidRPr="00D0530C" w:rsidRDefault="002609B1" w:rsidP="00C817CB">
      <w:pPr>
        <w:numPr>
          <w:ilvl w:val="0"/>
          <w:numId w:val="4"/>
        </w:numPr>
        <w:tabs>
          <w:tab w:val="left" w:pos="993"/>
        </w:tabs>
        <w:spacing w:before="120" w:after="120"/>
        <w:ind w:left="0" w:firstLine="709"/>
        <w:contextualSpacing/>
        <w:jc w:val="both"/>
        <w:rPr>
          <w:rFonts w:eastAsia="Times New Roman" w:cs="Arial"/>
          <w:szCs w:val="24"/>
          <w:lang w:val="x-none" w:eastAsia="pt-BR"/>
        </w:rPr>
      </w:pPr>
      <w:r w:rsidRPr="00601B3C">
        <w:rPr>
          <w:rFonts w:eastAsia="Times New Roman"/>
          <w:b/>
          <w:szCs w:val="20"/>
          <w:lang w:val="x-none" w:eastAsia="pt-BR"/>
        </w:rPr>
        <w:t>Falta de financiamento para a realização de manutenções</w:t>
      </w:r>
      <w:r w:rsidRPr="00601B3C">
        <w:rPr>
          <w:rFonts w:eastAsia="Times New Roman"/>
          <w:szCs w:val="20"/>
          <w:lang w:val="x-none" w:eastAsia="pt-BR"/>
        </w:rPr>
        <w:t xml:space="preserve">: </w:t>
      </w:r>
      <w:r w:rsidRPr="00601B3C">
        <w:rPr>
          <w:rFonts w:eastAsia="Times New Roman"/>
          <w:szCs w:val="20"/>
          <w:lang w:eastAsia="pt-BR"/>
        </w:rPr>
        <w:t>buscar fontes emergenciais alternativas de financiamento municipais para realização das manutenções. Em casos extremos, como em calamidades públicas, por exemplo, buscar recursos junto ao governo estadual e federal para gestão de emergência, c</w:t>
      </w:r>
      <w:r w:rsidRPr="00601B3C">
        <w:rPr>
          <w:rFonts w:eastAsia="Times New Roman" w:cs="Arial"/>
          <w:szCs w:val="24"/>
          <w:lang w:eastAsia="pt-BR"/>
        </w:rPr>
        <w:t xml:space="preserve">onforme regulamenta a lei federal </w:t>
      </w:r>
      <w:hyperlink r:id="rId64" w:history="1">
        <w:r w:rsidRPr="00601B3C">
          <w:rPr>
            <w:rFonts w:eastAsia="Times New Roman"/>
            <w:szCs w:val="24"/>
            <w:lang w:eastAsia="pt-BR"/>
          </w:rPr>
          <w:t>nº 12.340, de 1º de dezembro de 2010.</w:t>
        </w:r>
      </w:hyperlink>
      <w:r w:rsidRPr="00601B3C">
        <w:rPr>
          <w:rFonts w:eastAsia="Times New Roman" w:cs="Arial"/>
          <w:b/>
          <w:szCs w:val="24"/>
          <w:lang w:eastAsia="pt-BR"/>
        </w:rPr>
        <w:t xml:space="preserve"> Responsável:</w:t>
      </w:r>
      <w:r w:rsidRPr="00601B3C">
        <w:rPr>
          <w:rFonts w:eastAsia="Times New Roman" w:cs="Arial"/>
          <w:szCs w:val="24"/>
          <w:lang w:eastAsia="pt-BR"/>
        </w:rPr>
        <w:t xml:space="preserve"> prestador dos serviços de drenagem urbana e manejo de águas pluviais e Executivo Municipal.</w:t>
      </w:r>
    </w:p>
    <w:p w:rsidR="002609B1" w:rsidRPr="00F15CF7" w:rsidRDefault="00EC6DD7" w:rsidP="00BC01B1">
      <w:pPr>
        <w:pStyle w:val="Ttulo4"/>
      </w:pPr>
      <w:bookmarkStart w:id="961" w:name="_Toc440617456"/>
      <w:bookmarkStart w:id="962" w:name="_Toc498594067"/>
      <w:bookmarkStart w:id="963" w:name="_Toc509935560"/>
      <w:r>
        <w:rPr>
          <w:lang w:val="pt-BR"/>
        </w:rPr>
        <w:t>Eventos i</w:t>
      </w:r>
      <w:r w:rsidR="002609B1" w:rsidRPr="00F15CF7">
        <w:t>mprevisíveis</w:t>
      </w:r>
      <w:bookmarkEnd w:id="961"/>
      <w:bookmarkEnd w:id="962"/>
      <w:bookmarkEnd w:id="963"/>
    </w:p>
    <w:p w:rsidR="002609B1" w:rsidRPr="00601B3C" w:rsidRDefault="002609B1" w:rsidP="0066661F">
      <w:pPr>
        <w:numPr>
          <w:ilvl w:val="0"/>
          <w:numId w:val="14"/>
        </w:numPr>
        <w:tabs>
          <w:tab w:val="left" w:pos="993"/>
        </w:tabs>
        <w:spacing w:before="120" w:after="120"/>
        <w:ind w:left="0" w:firstLine="709"/>
        <w:contextualSpacing/>
        <w:jc w:val="both"/>
        <w:rPr>
          <w:rFonts w:cs="Arial"/>
          <w:szCs w:val="24"/>
          <w:lang w:val="x-none" w:eastAsia="pt-BR"/>
        </w:rPr>
      </w:pPr>
      <w:r w:rsidRPr="00601B3C">
        <w:rPr>
          <w:rFonts w:cs="Arial"/>
          <w:b/>
          <w:szCs w:val="24"/>
          <w:lang w:val="x-none" w:eastAsia="pt-BR"/>
        </w:rPr>
        <w:t>Ocorrência de rompimento de travessias e pontes na ocasião de eventos hidrológicos extremos</w:t>
      </w:r>
      <w:r w:rsidRPr="00601B3C">
        <w:rPr>
          <w:rFonts w:cs="Arial"/>
          <w:szCs w:val="24"/>
          <w:lang w:val="x-none" w:eastAsia="pt-BR"/>
        </w:rPr>
        <w:t>:</w:t>
      </w:r>
      <w:r w:rsidRPr="00601B3C">
        <w:rPr>
          <w:rFonts w:cs="Arial"/>
          <w:szCs w:val="24"/>
          <w:lang w:eastAsia="pt-BR"/>
        </w:rPr>
        <w:t xml:space="preserve"> Interditar imediatamente as vias que dão acesso ao local, orientar os munícipes em rotas alternativas de locomoção aos pontos que eram </w:t>
      </w:r>
      <w:r w:rsidRPr="00601B3C">
        <w:rPr>
          <w:rFonts w:cs="Arial"/>
          <w:szCs w:val="24"/>
          <w:lang w:eastAsia="pt-BR"/>
        </w:rPr>
        <w:lastRenderedPageBreak/>
        <w:t>acessados por tais travessias ou pontes</w:t>
      </w:r>
      <w:r w:rsidRPr="00601B3C">
        <w:rPr>
          <w:rFonts w:cs="Arial"/>
          <w:szCs w:val="24"/>
          <w:lang w:val="x-none" w:eastAsia="pt-BR"/>
        </w:rPr>
        <w:t>.</w:t>
      </w:r>
      <w:r w:rsidRPr="00601B3C">
        <w:rPr>
          <w:rFonts w:cs="Arial"/>
          <w:szCs w:val="24"/>
          <w:lang w:eastAsia="pt-BR"/>
        </w:rPr>
        <w:t xml:space="preserve"> No caso de locais em que estas travessias e/ou pontes eram o único acesso, providenciar mantimentos e outros artigos necessários à comunidade isolada por meios de transporte alternativo que couber ao local. Por fim, dar início aos reparos e/ou reconstruções necessárias para reparação dos locais</w:t>
      </w:r>
      <w:r w:rsidRPr="00601B3C">
        <w:rPr>
          <w:rFonts w:cs="Arial"/>
          <w:szCs w:val="24"/>
          <w:lang w:val="x-none" w:eastAsia="pt-BR"/>
        </w:rPr>
        <w:t>.</w:t>
      </w:r>
      <w:r w:rsidRPr="00601B3C">
        <w:rPr>
          <w:rFonts w:cs="Arial"/>
          <w:szCs w:val="24"/>
          <w:lang w:eastAsia="pt-BR"/>
        </w:rPr>
        <w:t xml:space="preserve"> </w:t>
      </w:r>
      <w:r w:rsidRPr="00601B3C">
        <w:rPr>
          <w:rFonts w:eastAsia="Times New Roman" w:cs="Arial"/>
          <w:szCs w:val="24"/>
          <w:lang w:eastAsia="pt-BR"/>
        </w:rPr>
        <w:t>Fornecer todos os dados da ocorrência ao Sistema de Informação de Saneamento do município.</w:t>
      </w:r>
      <w:r w:rsidRPr="00601B3C">
        <w:rPr>
          <w:rFonts w:eastAsia="Times New Roman" w:cs="Arial"/>
          <w:b/>
          <w:szCs w:val="24"/>
          <w:lang w:eastAsia="pt-BR"/>
        </w:rPr>
        <w:t xml:space="preserve"> Responsável:</w:t>
      </w:r>
      <w:r w:rsidRPr="00601B3C">
        <w:rPr>
          <w:rFonts w:eastAsia="Times New Roman" w:cs="Arial"/>
          <w:szCs w:val="24"/>
          <w:lang w:eastAsia="pt-BR"/>
        </w:rPr>
        <w:t xml:space="preserve"> prestador dos serviços de drenagem urbana e manejo de águas pluviais, Defesa Civil e Executivo Municipal.</w:t>
      </w:r>
    </w:p>
    <w:p w:rsidR="002609B1" w:rsidRPr="00402736" w:rsidRDefault="002609B1" w:rsidP="0066661F">
      <w:pPr>
        <w:numPr>
          <w:ilvl w:val="0"/>
          <w:numId w:val="14"/>
        </w:numPr>
        <w:tabs>
          <w:tab w:val="left" w:pos="993"/>
        </w:tabs>
        <w:spacing w:before="120" w:after="120"/>
        <w:ind w:left="0" w:firstLine="709"/>
        <w:contextualSpacing/>
        <w:jc w:val="both"/>
        <w:rPr>
          <w:rFonts w:cs="Arial"/>
          <w:szCs w:val="24"/>
          <w:lang w:val="x-none" w:eastAsia="pt-BR"/>
        </w:rPr>
      </w:pPr>
      <w:r w:rsidRPr="00601B3C">
        <w:rPr>
          <w:rFonts w:cs="Arial"/>
          <w:b/>
          <w:szCs w:val="24"/>
          <w:lang w:val="x-none" w:eastAsia="pt-BR"/>
        </w:rPr>
        <w:t xml:space="preserve">Desmoronamento de taludes e paredes de canais: </w:t>
      </w:r>
      <w:r w:rsidRPr="00601B3C">
        <w:rPr>
          <w:rFonts w:cs="Arial"/>
          <w:szCs w:val="24"/>
          <w:lang w:val="x-none" w:eastAsia="pt-BR"/>
        </w:rPr>
        <w:t xml:space="preserve">retirar a população das áreas de riscos; conter o desmoronamento através de tecnologias de contenção de encostas; retirar material desmoronado com o objetivo de prevenir a intensificação do assoreamento a montante; iniciar a execução de obras de reconstrução das paredes dos canais ou obras de contenção de talude, tais como utilização de manta geotêxtil, revegetação ou outro procedimento indicado </w:t>
      </w:r>
      <w:r w:rsidRPr="00402736">
        <w:rPr>
          <w:rFonts w:cs="Arial"/>
          <w:szCs w:val="24"/>
          <w:lang w:val="x-none" w:eastAsia="pt-BR"/>
        </w:rPr>
        <w:t>nas</w:t>
      </w:r>
      <w:r w:rsidRPr="00402736">
        <w:rPr>
          <w:rFonts w:cs="Arial"/>
          <w:szCs w:val="24"/>
          <w:lang w:eastAsia="pt-BR"/>
        </w:rPr>
        <w:t xml:space="preserve"> ações 3.</w:t>
      </w:r>
      <w:r w:rsidRPr="00402736">
        <w:rPr>
          <w:rFonts w:cs="Arial"/>
          <w:szCs w:val="24"/>
          <w:lang w:val="x-none" w:eastAsia="pt-BR"/>
        </w:rPr>
        <w:t>2.</w:t>
      </w:r>
      <w:r w:rsidRPr="00402736">
        <w:rPr>
          <w:rFonts w:cs="Arial"/>
          <w:szCs w:val="24"/>
          <w:lang w:eastAsia="pt-BR"/>
        </w:rPr>
        <w:t>4</w:t>
      </w:r>
      <w:r w:rsidRPr="00402736">
        <w:rPr>
          <w:rFonts w:cs="Arial"/>
          <w:szCs w:val="24"/>
          <w:lang w:val="x-none" w:eastAsia="pt-BR"/>
        </w:rPr>
        <w:t>.2</w:t>
      </w:r>
      <w:r w:rsidRPr="00402736">
        <w:rPr>
          <w:rFonts w:cs="Arial"/>
          <w:szCs w:val="24"/>
          <w:lang w:eastAsia="pt-BR"/>
        </w:rPr>
        <w:t xml:space="preserve">2; </w:t>
      </w:r>
      <w:r w:rsidRPr="00402736">
        <w:rPr>
          <w:rFonts w:cs="Arial"/>
          <w:szCs w:val="24"/>
          <w:lang w:val="x-none" w:eastAsia="pt-BR"/>
        </w:rPr>
        <w:t>3.2.</w:t>
      </w:r>
      <w:r w:rsidRPr="00402736">
        <w:rPr>
          <w:rFonts w:cs="Arial"/>
          <w:szCs w:val="24"/>
          <w:lang w:eastAsia="pt-BR"/>
        </w:rPr>
        <w:t>5</w:t>
      </w:r>
      <w:r w:rsidRPr="00402736">
        <w:rPr>
          <w:rFonts w:cs="Arial"/>
          <w:szCs w:val="24"/>
          <w:lang w:val="x-none" w:eastAsia="pt-BR"/>
        </w:rPr>
        <w:t>.2</w:t>
      </w:r>
      <w:r w:rsidRPr="00402736">
        <w:rPr>
          <w:rFonts w:cs="Arial"/>
          <w:szCs w:val="24"/>
          <w:lang w:eastAsia="pt-BR"/>
        </w:rPr>
        <w:t xml:space="preserve">3 e </w:t>
      </w:r>
      <w:r w:rsidRPr="00402736">
        <w:rPr>
          <w:rFonts w:cs="Arial"/>
          <w:szCs w:val="24"/>
          <w:lang w:val="x-none" w:eastAsia="pt-BR"/>
        </w:rPr>
        <w:t>3.2.</w:t>
      </w:r>
      <w:r w:rsidRPr="00402736">
        <w:rPr>
          <w:rFonts w:cs="Arial"/>
          <w:szCs w:val="24"/>
          <w:lang w:eastAsia="pt-BR"/>
        </w:rPr>
        <w:t>5</w:t>
      </w:r>
      <w:r w:rsidRPr="00402736">
        <w:rPr>
          <w:rFonts w:cs="Arial"/>
          <w:szCs w:val="24"/>
          <w:lang w:val="x-none" w:eastAsia="pt-BR"/>
        </w:rPr>
        <w:t>.2</w:t>
      </w:r>
      <w:r w:rsidRPr="00402736">
        <w:rPr>
          <w:rFonts w:cs="Arial"/>
          <w:szCs w:val="24"/>
          <w:lang w:eastAsia="pt-BR"/>
        </w:rPr>
        <w:t>4</w:t>
      </w:r>
      <w:r w:rsidRPr="00402736">
        <w:rPr>
          <w:rFonts w:cs="Arial"/>
          <w:szCs w:val="24"/>
          <w:lang w:val="x-none" w:eastAsia="pt-BR"/>
        </w:rPr>
        <w:t>.</w:t>
      </w:r>
      <w:r w:rsidRPr="00402736">
        <w:rPr>
          <w:rFonts w:eastAsia="Times New Roman" w:cs="Arial"/>
          <w:b/>
          <w:szCs w:val="24"/>
          <w:lang w:eastAsia="pt-BR"/>
        </w:rPr>
        <w:t xml:space="preserve"> Responsável:</w:t>
      </w:r>
      <w:r w:rsidRPr="00402736">
        <w:rPr>
          <w:rFonts w:eastAsia="Times New Roman" w:cs="Arial"/>
          <w:szCs w:val="24"/>
          <w:lang w:eastAsia="pt-BR"/>
        </w:rPr>
        <w:t xml:space="preserve"> prestador dos serviços de drenagem urbana e manejo de águas pluviais e Defesa Civil.</w:t>
      </w:r>
    </w:p>
    <w:p w:rsidR="002609B1" w:rsidRPr="00601B3C" w:rsidRDefault="002609B1" w:rsidP="0066661F">
      <w:pPr>
        <w:numPr>
          <w:ilvl w:val="0"/>
          <w:numId w:val="14"/>
        </w:numPr>
        <w:tabs>
          <w:tab w:val="left" w:pos="993"/>
        </w:tabs>
        <w:spacing w:before="120" w:after="120"/>
        <w:ind w:left="0" w:firstLine="709"/>
        <w:contextualSpacing/>
        <w:jc w:val="both"/>
        <w:rPr>
          <w:rFonts w:cs="Arial"/>
          <w:szCs w:val="24"/>
          <w:lang w:val="x-none" w:eastAsia="pt-BR"/>
        </w:rPr>
      </w:pPr>
      <w:r w:rsidRPr="00402736">
        <w:rPr>
          <w:rFonts w:eastAsia="Times New Roman" w:cs="Arial"/>
          <w:b/>
          <w:szCs w:val="24"/>
          <w:lang w:val="x-none" w:eastAsia="pt-BR"/>
        </w:rPr>
        <w:t>Ocorrência de deslizamentos de terra</w:t>
      </w:r>
      <w:r w:rsidRPr="00402736">
        <w:rPr>
          <w:rFonts w:eastAsia="Times New Roman" w:cs="Arial"/>
          <w:szCs w:val="24"/>
          <w:lang w:val="x-none" w:eastAsia="pt-BR"/>
        </w:rPr>
        <w:t xml:space="preserve">: </w:t>
      </w:r>
      <w:r w:rsidRPr="00402736">
        <w:rPr>
          <w:rFonts w:eastAsia="Times New Roman" w:cs="Arial"/>
          <w:szCs w:val="24"/>
          <w:lang w:eastAsia="pt-BR"/>
        </w:rPr>
        <w:t>r</w:t>
      </w:r>
      <w:r w:rsidRPr="00402736">
        <w:rPr>
          <w:rFonts w:cs="Arial"/>
          <w:szCs w:val="24"/>
          <w:lang w:eastAsia="pt-BR"/>
        </w:rPr>
        <w:t xml:space="preserve">etirar a população das áreas de riscos. Caso haja alguma vítima, iniciar as operações de busca e encaminhamento para cuidados médicos; conter o deslizamento através de tecnologias de contenção de encostas; retirar material com o objetivo de prevenir a intensificação do assoreamento a montante; iniciar a execução de obras de reconstrução das paredes dos canais ou obras de contenção de talude, como indicado nas ações </w:t>
      </w:r>
      <w:r w:rsidRPr="00402736">
        <w:rPr>
          <w:rFonts w:cs="Arial"/>
          <w:szCs w:val="24"/>
          <w:lang w:val="x-none" w:eastAsia="pt-BR"/>
        </w:rPr>
        <w:t>3.2.</w:t>
      </w:r>
      <w:r w:rsidRPr="00402736">
        <w:rPr>
          <w:rFonts w:cs="Arial"/>
          <w:szCs w:val="24"/>
          <w:lang w:eastAsia="pt-BR"/>
        </w:rPr>
        <w:t>4</w:t>
      </w:r>
      <w:r w:rsidRPr="00402736">
        <w:rPr>
          <w:rFonts w:cs="Arial"/>
          <w:szCs w:val="24"/>
          <w:lang w:val="x-none" w:eastAsia="pt-BR"/>
        </w:rPr>
        <w:t>.2</w:t>
      </w:r>
      <w:r w:rsidRPr="00402736">
        <w:rPr>
          <w:rFonts w:cs="Arial"/>
          <w:szCs w:val="24"/>
          <w:lang w:eastAsia="pt-BR"/>
        </w:rPr>
        <w:t xml:space="preserve">2; </w:t>
      </w:r>
      <w:r w:rsidRPr="00402736">
        <w:rPr>
          <w:rFonts w:cs="Arial"/>
          <w:szCs w:val="24"/>
          <w:lang w:val="x-none" w:eastAsia="pt-BR"/>
        </w:rPr>
        <w:t>3.2.</w:t>
      </w:r>
      <w:r w:rsidRPr="00402736">
        <w:rPr>
          <w:rFonts w:cs="Arial"/>
          <w:szCs w:val="24"/>
          <w:lang w:eastAsia="pt-BR"/>
        </w:rPr>
        <w:t>5</w:t>
      </w:r>
      <w:r w:rsidRPr="00402736">
        <w:rPr>
          <w:rFonts w:cs="Arial"/>
          <w:szCs w:val="24"/>
          <w:lang w:val="x-none" w:eastAsia="pt-BR"/>
        </w:rPr>
        <w:t>.2</w:t>
      </w:r>
      <w:r w:rsidRPr="00402736">
        <w:rPr>
          <w:rFonts w:cs="Arial"/>
          <w:szCs w:val="24"/>
          <w:lang w:eastAsia="pt-BR"/>
        </w:rPr>
        <w:t xml:space="preserve">3 e </w:t>
      </w:r>
      <w:r w:rsidRPr="00402736">
        <w:rPr>
          <w:rFonts w:cs="Arial"/>
          <w:szCs w:val="24"/>
          <w:lang w:val="x-none" w:eastAsia="pt-BR"/>
        </w:rPr>
        <w:t>3.2.</w:t>
      </w:r>
      <w:r w:rsidRPr="00402736">
        <w:rPr>
          <w:rFonts w:cs="Arial"/>
          <w:szCs w:val="24"/>
          <w:lang w:eastAsia="pt-BR"/>
        </w:rPr>
        <w:t>5</w:t>
      </w:r>
      <w:r w:rsidRPr="00402736">
        <w:rPr>
          <w:rFonts w:cs="Arial"/>
          <w:szCs w:val="24"/>
          <w:lang w:val="x-none" w:eastAsia="pt-BR"/>
        </w:rPr>
        <w:t>.2</w:t>
      </w:r>
      <w:r w:rsidRPr="00402736">
        <w:rPr>
          <w:rFonts w:cs="Arial"/>
          <w:szCs w:val="24"/>
          <w:lang w:eastAsia="pt-BR"/>
        </w:rPr>
        <w:t>4</w:t>
      </w:r>
      <w:r w:rsidRPr="00402736">
        <w:rPr>
          <w:rFonts w:cs="Arial"/>
          <w:szCs w:val="24"/>
          <w:lang w:val="x-none" w:eastAsia="pt-BR"/>
        </w:rPr>
        <w:t>.</w:t>
      </w:r>
      <w:r w:rsidRPr="00402736">
        <w:rPr>
          <w:rFonts w:eastAsia="Times New Roman" w:cs="Arial"/>
          <w:b/>
          <w:szCs w:val="24"/>
          <w:lang w:eastAsia="pt-BR"/>
        </w:rPr>
        <w:t xml:space="preserve"> Responsável:</w:t>
      </w:r>
      <w:r w:rsidRPr="00402736">
        <w:rPr>
          <w:rFonts w:eastAsia="Times New Roman" w:cs="Arial"/>
          <w:szCs w:val="24"/>
          <w:lang w:eastAsia="pt-BR"/>
        </w:rPr>
        <w:t xml:space="preserve"> prestador dos serviços de drenagem urbana</w:t>
      </w:r>
      <w:r w:rsidRPr="00601B3C">
        <w:rPr>
          <w:rFonts w:eastAsia="Times New Roman" w:cs="Arial"/>
          <w:szCs w:val="24"/>
          <w:lang w:eastAsia="pt-BR"/>
        </w:rPr>
        <w:t xml:space="preserve"> e manejo de águas pluviais, Corpo de Bombeiros e Defesa Civil.</w:t>
      </w:r>
    </w:p>
    <w:p w:rsidR="002609B1" w:rsidRPr="00601B3C" w:rsidRDefault="002609B1" w:rsidP="0066661F">
      <w:pPr>
        <w:numPr>
          <w:ilvl w:val="0"/>
          <w:numId w:val="14"/>
        </w:numPr>
        <w:tabs>
          <w:tab w:val="left" w:pos="993"/>
        </w:tabs>
        <w:spacing w:before="120" w:after="120"/>
        <w:ind w:left="0" w:firstLine="709"/>
        <w:contextualSpacing/>
        <w:jc w:val="both"/>
        <w:rPr>
          <w:rFonts w:cs="Arial"/>
          <w:szCs w:val="24"/>
          <w:lang w:val="x-none" w:eastAsia="pt-BR"/>
        </w:rPr>
      </w:pPr>
      <w:r w:rsidRPr="00601B3C">
        <w:rPr>
          <w:rFonts w:eastAsia="Times New Roman" w:cs="Arial"/>
          <w:b/>
          <w:szCs w:val="24"/>
          <w:lang w:val="x-none" w:eastAsia="pt-BR"/>
        </w:rPr>
        <w:t>Ocorrência de enchentes e alagamentos</w:t>
      </w:r>
      <w:r w:rsidRPr="00601B3C">
        <w:rPr>
          <w:rFonts w:eastAsia="Times New Roman" w:cs="Arial"/>
          <w:szCs w:val="24"/>
          <w:lang w:val="x-none" w:eastAsia="pt-BR"/>
        </w:rPr>
        <w:t xml:space="preserve">: </w:t>
      </w:r>
      <w:r w:rsidRPr="00601B3C">
        <w:rPr>
          <w:rFonts w:eastAsia="Times New Roman" w:cs="Arial"/>
          <w:szCs w:val="24"/>
          <w:lang w:eastAsia="pt-BR"/>
        </w:rPr>
        <w:t>impedir o acesso da população aos locais onde está ocorrendo a enchente ou o alagamento; retirar a população das áreas atingidas; investigar a causa da ocorrência. Caso o motivo seja obstrução de rede de drenagem, realizar as ações indicadas acima; caso seja por extravasamento do corpo d</w:t>
      </w:r>
      <w:r>
        <w:rPr>
          <w:rFonts w:eastAsia="Times New Roman" w:cs="Arial"/>
          <w:szCs w:val="24"/>
          <w:lang w:eastAsia="pt-BR"/>
        </w:rPr>
        <w:t>’</w:t>
      </w:r>
      <w:r w:rsidRPr="00601B3C">
        <w:rPr>
          <w:rFonts w:eastAsia="Times New Roman" w:cs="Arial"/>
          <w:szCs w:val="24"/>
          <w:lang w:eastAsia="pt-BR"/>
        </w:rPr>
        <w:t>água, estudar a viabilidade de alargamento emergencial de trecho de estreitamento do corpo d</w:t>
      </w:r>
      <w:r>
        <w:rPr>
          <w:rFonts w:eastAsia="Times New Roman" w:cs="Arial"/>
          <w:szCs w:val="24"/>
          <w:lang w:eastAsia="pt-BR"/>
        </w:rPr>
        <w:t>’</w:t>
      </w:r>
      <w:r w:rsidRPr="00601B3C">
        <w:rPr>
          <w:rFonts w:eastAsia="Times New Roman" w:cs="Arial"/>
          <w:szCs w:val="24"/>
          <w:lang w:eastAsia="pt-BR"/>
        </w:rPr>
        <w:t xml:space="preserve">água. </w:t>
      </w:r>
      <w:r w:rsidRPr="00601B3C">
        <w:rPr>
          <w:rFonts w:eastAsia="Times New Roman" w:cs="Arial"/>
          <w:b/>
          <w:szCs w:val="24"/>
          <w:lang w:eastAsia="pt-BR"/>
        </w:rPr>
        <w:t>Responsável:</w:t>
      </w:r>
      <w:r w:rsidRPr="00601B3C">
        <w:rPr>
          <w:rFonts w:eastAsia="Times New Roman" w:cs="Arial"/>
          <w:szCs w:val="24"/>
          <w:lang w:eastAsia="pt-BR"/>
        </w:rPr>
        <w:t xml:space="preserve"> prestador dos serviços de drenagem urbana e manejo de águas pluviais, Defesa Civil e Corpo de Bombeiros.</w:t>
      </w:r>
    </w:p>
    <w:p w:rsidR="002609B1" w:rsidRPr="00601B3C" w:rsidRDefault="002609B1" w:rsidP="002609B1">
      <w:pPr>
        <w:spacing w:before="120" w:after="120"/>
        <w:ind w:firstLine="709"/>
        <w:contextualSpacing/>
        <w:jc w:val="both"/>
        <w:rPr>
          <w:rFonts w:cs="Arial"/>
          <w:szCs w:val="24"/>
          <w:lang w:eastAsia="pt-BR"/>
        </w:rPr>
      </w:pPr>
      <w:r w:rsidRPr="00601B3C">
        <w:rPr>
          <w:rFonts w:cs="Arial"/>
          <w:szCs w:val="24"/>
          <w:lang w:eastAsia="pt-BR"/>
        </w:rPr>
        <w:lastRenderedPageBreak/>
        <w:t>Os casos de eventos imprevisíveis do SDU podem ser de grande magnitude. Nestes casos, pode haver a necessidade de se decretar situação de emergência ou estado de calamidade pública. O Decreto Federal nº 7.257, que regulamenta sobre o reconhecimento desses eventos, define em seu Capítulo II, art. 7º:</w:t>
      </w:r>
    </w:p>
    <w:p w:rsidR="002609B1" w:rsidRPr="00601B3C" w:rsidRDefault="002609B1" w:rsidP="002609B1">
      <w:pPr>
        <w:spacing w:before="120" w:after="120"/>
        <w:ind w:left="1416" w:firstLine="709"/>
        <w:contextualSpacing/>
        <w:jc w:val="both"/>
        <w:rPr>
          <w:rFonts w:cs="Arial"/>
          <w:szCs w:val="24"/>
          <w:lang w:eastAsia="pt-BR"/>
        </w:rPr>
      </w:pPr>
      <w:r w:rsidRPr="00601B3C">
        <w:rPr>
          <w:rFonts w:cs="Arial"/>
          <w:szCs w:val="24"/>
          <w:lang w:eastAsia="pt-BR"/>
        </w:rPr>
        <w:t>“O reconhecimento da situação de emergência ou do estado de calamidade pública pelo Poder Executivo federal se dará mediante requerimento do Poder Executivo do Estado, do Distrito Federal ou do Município afetado pelo desastre.</w:t>
      </w:r>
    </w:p>
    <w:p w:rsidR="002609B1" w:rsidRPr="00601B3C" w:rsidRDefault="002609B1" w:rsidP="002609B1">
      <w:pPr>
        <w:spacing w:before="120" w:after="120"/>
        <w:ind w:left="1416" w:firstLine="709"/>
        <w:contextualSpacing/>
        <w:jc w:val="both"/>
        <w:rPr>
          <w:rFonts w:cs="Arial"/>
          <w:szCs w:val="24"/>
          <w:lang w:eastAsia="pt-BR"/>
        </w:rPr>
      </w:pPr>
      <w:r w:rsidRPr="00601B3C">
        <w:rPr>
          <w:rFonts w:cs="Arial"/>
          <w:szCs w:val="24"/>
          <w:lang w:eastAsia="pt-BR"/>
        </w:rPr>
        <w:t>§1º O requerimento previsto no</w:t>
      </w:r>
      <w:r w:rsidRPr="00601B3C">
        <w:rPr>
          <w:szCs w:val="24"/>
          <w:lang w:eastAsia="pt-BR"/>
        </w:rPr>
        <w:t xml:space="preserve"> </w:t>
      </w:r>
      <w:r w:rsidRPr="00601B3C">
        <w:rPr>
          <w:rFonts w:cs="Arial"/>
          <w:szCs w:val="24"/>
          <w:lang w:eastAsia="pt-BR"/>
        </w:rPr>
        <w:t>caput deverá ser realizado diretamente ao Ministério da Integração Nacional, no prazo máximo de dez dias após a ocorrência do desastre, devendo ser instruído com ato do respectivo ente federado que decretou a situação de emergência ou o estado de calamidade pública e conter as seguintes informações:</w:t>
      </w:r>
    </w:p>
    <w:p w:rsidR="002609B1" w:rsidRPr="00601B3C" w:rsidRDefault="002609B1" w:rsidP="002609B1">
      <w:pPr>
        <w:spacing w:before="120" w:after="120"/>
        <w:ind w:left="1416" w:firstLine="709"/>
        <w:contextualSpacing/>
        <w:jc w:val="both"/>
        <w:rPr>
          <w:rFonts w:cs="Arial"/>
          <w:szCs w:val="24"/>
          <w:lang w:eastAsia="pt-BR"/>
        </w:rPr>
      </w:pPr>
      <w:r w:rsidRPr="00601B3C">
        <w:rPr>
          <w:rFonts w:cs="Arial"/>
          <w:szCs w:val="24"/>
          <w:lang w:eastAsia="pt-BR"/>
        </w:rPr>
        <w:t>I - tipo do desastre, de acordo com a codificação de desastres, ameaças e riscos, definida pelo Ministério da Integração Nacional;</w:t>
      </w:r>
    </w:p>
    <w:p w:rsidR="002609B1" w:rsidRPr="00601B3C" w:rsidRDefault="002609B1" w:rsidP="002609B1">
      <w:pPr>
        <w:spacing w:before="120" w:after="120"/>
        <w:ind w:left="1416" w:firstLine="709"/>
        <w:contextualSpacing/>
        <w:jc w:val="both"/>
        <w:rPr>
          <w:rFonts w:cs="Arial"/>
          <w:szCs w:val="24"/>
          <w:lang w:eastAsia="pt-BR"/>
        </w:rPr>
      </w:pPr>
      <w:r w:rsidRPr="00601B3C">
        <w:rPr>
          <w:rFonts w:cs="Arial"/>
          <w:szCs w:val="24"/>
          <w:lang w:eastAsia="pt-BR"/>
        </w:rPr>
        <w:t>II - data e local do desastre;</w:t>
      </w:r>
    </w:p>
    <w:p w:rsidR="002609B1" w:rsidRPr="00601B3C" w:rsidRDefault="002609B1" w:rsidP="002609B1">
      <w:pPr>
        <w:spacing w:before="120" w:after="120"/>
        <w:ind w:left="1416" w:firstLine="709"/>
        <w:contextualSpacing/>
        <w:jc w:val="both"/>
        <w:rPr>
          <w:rFonts w:cs="Arial"/>
          <w:szCs w:val="24"/>
          <w:lang w:eastAsia="pt-BR"/>
        </w:rPr>
      </w:pPr>
      <w:r w:rsidRPr="00601B3C">
        <w:rPr>
          <w:rFonts w:cs="Arial"/>
          <w:szCs w:val="24"/>
          <w:lang w:eastAsia="pt-BR"/>
        </w:rPr>
        <w:t>III - descrição da área afetada, das causas e dos efeitos do desastre;</w:t>
      </w:r>
    </w:p>
    <w:p w:rsidR="002609B1" w:rsidRPr="00601B3C" w:rsidRDefault="002609B1" w:rsidP="002609B1">
      <w:pPr>
        <w:spacing w:before="120" w:after="120"/>
        <w:ind w:left="1416" w:firstLine="709"/>
        <w:contextualSpacing/>
        <w:jc w:val="both"/>
        <w:rPr>
          <w:rFonts w:cs="Arial"/>
          <w:szCs w:val="24"/>
          <w:lang w:eastAsia="pt-BR"/>
        </w:rPr>
      </w:pPr>
      <w:r w:rsidRPr="00601B3C">
        <w:rPr>
          <w:rFonts w:cs="Arial"/>
          <w:szCs w:val="24"/>
          <w:lang w:eastAsia="pt-BR"/>
        </w:rPr>
        <w:t>IV - estimativa de danos humanos, materiais, ambientais e serviços essenciais prejudicados;</w:t>
      </w:r>
    </w:p>
    <w:p w:rsidR="002609B1" w:rsidRPr="00601B3C" w:rsidRDefault="002609B1" w:rsidP="002609B1">
      <w:pPr>
        <w:spacing w:before="120" w:after="120"/>
        <w:ind w:left="1416" w:firstLine="709"/>
        <w:contextualSpacing/>
        <w:jc w:val="both"/>
        <w:rPr>
          <w:rFonts w:cs="Arial"/>
          <w:szCs w:val="24"/>
          <w:lang w:eastAsia="pt-BR"/>
        </w:rPr>
      </w:pPr>
      <w:r w:rsidRPr="00601B3C">
        <w:rPr>
          <w:rFonts w:cs="Arial"/>
          <w:szCs w:val="24"/>
          <w:lang w:eastAsia="pt-BR"/>
        </w:rPr>
        <w:t>V - declaração das medidas e ações em curso, capacidade de atuação e recursos humanos, materiais, institucionais e financeiros empregados pelo respectivo ente federado para o restabelecimento da normalidade; e</w:t>
      </w:r>
    </w:p>
    <w:p w:rsidR="002609B1" w:rsidRPr="00601B3C" w:rsidRDefault="002609B1" w:rsidP="002609B1">
      <w:pPr>
        <w:spacing w:before="120" w:after="120"/>
        <w:ind w:left="1416" w:firstLine="709"/>
        <w:contextualSpacing/>
        <w:jc w:val="both"/>
        <w:rPr>
          <w:rFonts w:cs="Arial"/>
          <w:szCs w:val="24"/>
          <w:lang w:eastAsia="pt-BR"/>
        </w:rPr>
      </w:pPr>
      <w:r w:rsidRPr="00601B3C">
        <w:rPr>
          <w:rFonts w:cs="Arial"/>
          <w:szCs w:val="24"/>
          <w:lang w:eastAsia="pt-BR"/>
        </w:rPr>
        <w:t>VI - outras informações disponíveis acerca do desastre e seus efeitos.</w:t>
      </w:r>
    </w:p>
    <w:p w:rsidR="002609B1" w:rsidRPr="00601B3C" w:rsidRDefault="002609B1" w:rsidP="002609B1">
      <w:pPr>
        <w:spacing w:before="120" w:after="120"/>
        <w:ind w:left="1416" w:firstLine="709"/>
        <w:contextualSpacing/>
        <w:jc w:val="both"/>
        <w:rPr>
          <w:rFonts w:cs="Arial"/>
          <w:szCs w:val="24"/>
          <w:lang w:eastAsia="pt-BR"/>
        </w:rPr>
      </w:pPr>
      <w:r w:rsidRPr="00601B3C">
        <w:rPr>
          <w:rFonts w:cs="Arial"/>
          <w:szCs w:val="24"/>
          <w:lang w:eastAsia="pt-BR"/>
        </w:rPr>
        <w:t>§2º Após avaliação das informações apresentadas no requerimento a que se refere o §1</w:t>
      </w:r>
      <w:r w:rsidRPr="00601B3C">
        <w:rPr>
          <w:szCs w:val="24"/>
          <w:lang w:eastAsia="pt-BR"/>
        </w:rPr>
        <w:t xml:space="preserve">  </w:t>
      </w:r>
      <w:r w:rsidRPr="00601B3C">
        <w:rPr>
          <w:rFonts w:cs="Arial"/>
          <w:szCs w:val="24"/>
          <w:lang w:eastAsia="pt-BR"/>
        </w:rPr>
        <w:t>e demais informações disponíveis no SINDEC, o Ministro de Estado da Integração Nacional reconhecerá, por meio de Portaria, a situação de emergência ou estado de calamidade, desde que a situação o justifique e que tenham sido cumpridos os requisitos estabelecidos na</w:t>
      </w:r>
      <w:r w:rsidRPr="00601B3C">
        <w:rPr>
          <w:szCs w:val="24"/>
          <w:lang w:eastAsia="pt-BR"/>
        </w:rPr>
        <w:t xml:space="preserve"> </w:t>
      </w:r>
      <w:hyperlink r:id="rId65" w:history="1">
        <w:r w:rsidRPr="00601B3C">
          <w:rPr>
            <w:rFonts w:cs="Arial"/>
            <w:szCs w:val="24"/>
            <w:lang w:eastAsia="pt-BR"/>
          </w:rPr>
          <w:t>Medida Provisória nº</w:t>
        </w:r>
        <w:r w:rsidRPr="00601B3C">
          <w:rPr>
            <w:szCs w:val="24"/>
            <w:lang w:eastAsia="pt-BR"/>
          </w:rPr>
          <w:t> </w:t>
        </w:r>
        <w:r w:rsidRPr="00601B3C">
          <w:rPr>
            <w:rFonts w:cs="Arial"/>
            <w:szCs w:val="24"/>
            <w:lang w:eastAsia="pt-BR"/>
          </w:rPr>
          <w:t>494, de 2010</w:t>
        </w:r>
      </w:hyperlink>
      <w:r w:rsidRPr="00601B3C">
        <w:rPr>
          <w:rFonts w:cs="Arial"/>
          <w:szCs w:val="24"/>
          <w:lang w:eastAsia="pt-BR"/>
        </w:rPr>
        <w:t>, e neste Decreto. </w:t>
      </w:r>
    </w:p>
    <w:p w:rsidR="002609B1" w:rsidRPr="00601B3C" w:rsidRDefault="002609B1" w:rsidP="002609B1">
      <w:pPr>
        <w:spacing w:before="120" w:after="120"/>
        <w:ind w:left="1416" w:firstLine="709"/>
        <w:contextualSpacing/>
        <w:jc w:val="both"/>
        <w:rPr>
          <w:rFonts w:cs="Arial"/>
          <w:szCs w:val="24"/>
          <w:lang w:eastAsia="pt-BR"/>
        </w:rPr>
      </w:pPr>
      <w:r w:rsidRPr="00601B3C">
        <w:rPr>
          <w:rFonts w:cs="Arial"/>
          <w:szCs w:val="24"/>
          <w:lang w:eastAsia="pt-BR"/>
        </w:rPr>
        <w:lastRenderedPageBreak/>
        <w:t>§3º Considerando a intensidade do desastre e seus impactos social, econômico e ambiental, o Ministério da Integração Nacional reconhecerá, independentemente do fornecimento das informações previstas no §1º, a situação de emergência ou o estado de calamidade pública com base no Decreto do respectivo ente federado”.</w:t>
      </w:r>
    </w:p>
    <w:p w:rsidR="002609B1" w:rsidRDefault="002609B1" w:rsidP="002609B1">
      <w:pPr>
        <w:spacing w:before="120" w:after="120"/>
        <w:ind w:firstLine="709"/>
        <w:contextualSpacing/>
        <w:jc w:val="both"/>
      </w:pPr>
      <w:r w:rsidRPr="00601B3C">
        <w:rPr>
          <w:rFonts w:cs="Arial"/>
          <w:szCs w:val="24"/>
          <w:lang w:eastAsia="pt-BR"/>
        </w:rPr>
        <w:t xml:space="preserve">Assim, quando o município atender a esses requisitos, será decretada a situação de emergência ou estado de calamidade pública, ocorrendo o acesso aos recursos </w:t>
      </w:r>
      <w:r w:rsidRPr="00601B3C">
        <w:rPr>
          <w:rFonts w:cs="Arial"/>
          <w:color w:val="000000"/>
        </w:rPr>
        <w:t xml:space="preserve">do </w:t>
      </w:r>
      <w:r w:rsidRPr="00601B3C">
        <w:rPr>
          <w:rFonts w:cs="Arial"/>
          <w:i/>
          <w:color w:val="000000"/>
        </w:rPr>
        <w:t xml:space="preserve">Fundo Nacional para Calamidades Públicas, Proteção e Defesa Civil </w:t>
      </w:r>
      <w:r w:rsidRPr="00601B3C">
        <w:rPr>
          <w:rFonts w:cs="Arial"/>
          <w:color w:val="000000"/>
        </w:rPr>
        <w:t xml:space="preserve">(Funcap) constituído pelos Estados, Distrito Federal e Municípios com fim específico de execução </w:t>
      </w:r>
      <w:r w:rsidRPr="00F15CF7">
        <w:rPr>
          <w:rFonts w:cs="Arial"/>
          <w:color w:val="000000"/>
        </w:rPr>
        <w:t xml:space="preserve">das ações previstas, conforme determinado pela </w:t>
      </w:r>
      <w:r>
        <w:t>Lei Federal n</w:t>
      </w:r>
      <w:r w:rsidRPr="00F15CF7">
        <w:t>º 12.340.</w:t>
      </w:r>
    </w:p>
    <w:p w:rsidR="002609B1" w:rsidRDefault="002609B1" w:rsidP="00BC01B1">
      <w:pPr>
        <w:pStyle w:val="Ttulo3"/>
        <w:rPr>
          <w:color w:val="FF0000"/>
          <w:lang w:val="pt-BR"/>
        </w:rPr>
      </w:pPr>
      <w:bookmarkStart w:id="964" w:name="_Toc498594068"/>
      <w:bookmarkStart w:id="965" w:name="_Toc509935561"/>
      <w:r w:rsidRPr="00C22557">
        <w:t>Particularidades regionais</w:t>
      </w:r>
      <w:bookmarkEnd w:id="964"/>
      <w:bookmarkEnd w:id="965"/>
      <w:r w:rsidR="00F121D3">
        <w:rPr>
          <w:lang w:val="pt-BR"/>
        </w:rPr>
        <w:t xml:space="preserve"> </w:t>
      </w:r>
    </w:p>
    <w:p w:rsidR="00AA5146" w:rsidRDefault="00AA5146" w:rsidP="00AA5146">
      <w:pPr>
        <w:ind w:firstLine="708"/>
        <w:jc w:val="both"/>
        <w:rPr>
          <w:rFonts w:cs="Arial"/>
          <w:szCs w:val="24"/>
        </w:rPr>
      </w:pPr>
      <w:r w:rsidRPr="000C0F13">
        <w:rPr>
          <w:rFonts w:cs="Arial"/>
          <w:szCs w:val="24"/>
        </w:rPr>
        <w:t xml:space="preserve">Nas avaliações executadas no Produto 3, a partir das simulações, e posteriormente mencionadas no Produto 4, </w:t>
      </w:r>
      <w:r>
        <w:rPr>
          <w:rFonts w:cs="Arial"/>
          <w:szCs w:val="24"/>
        </w:rPr>
        <w:t xml:space="preserve">conclui-se que o município apresentou problemas com inundações nos últimos cinco anos. </w:t>
      </w:r>
    </w:p>
    <w:p w:rsidR="00AA5146" w:rsidRPr="00A37D03" w:rsidRDefault="00AA5146" w:rsidP="00AA5146">
      <w:pPr>
        <w:ind w:firstLine="708"/>
        <w:jc w:val="both"/>
        <w:rPr>
          <w:rFonts w:cs="Arial"/>
          <w:szCs w:val="24"/>
        </w:rPr>
      </w:pPr>
      <w:r>
        <w:rPr>
          <w:rFonts w:cs="Arial"/>
          <w:szCs w:val="24"/>
        </w:rPr>
        <w:t>N</w:t>
      </w:r>
      <w:r w:rsidRPr="00A37D03">
        <w:rPr>
          <w:rFonts w:cs="Arial"/>
          <w:szCs w:val="24"/>
        </w:rPr>
        <w:t>a área rural foram levantados cinco pontos de erosão, cujas causas estão ligadas aos tipos de cobertura e usos do solo. A ausência de cobertura vegetal deixa o solo desprotegido, o que acelera os processos erosivos. Algumas práticas agrícolas auxiliam na conservação do solo, além de contribuírem para a infiltração das águas de chuva. Entre essas práticas está o terraceamento agrícola ou plantio em curvas de nível.</w:t>
      </w:r>
    </w:p>
    <w:p w:rsidR="00AA5146" w:rsidRPr="00A37D03" w:rsidRDefault="00AA5146" w:rsidP="00AA5146">
      <w:pPr>
        <w:ind w:firstLine="708"/>
        <w:jc w:val="both"/>
        <w:rPr>
          <w:rFonts w:cs="Arial"/>
          <w:szCs w:val="24"/>
        </w:rPr>
      </w:pPr>
      <w:r w:rsidRPr="00A37D03">
        <w:rPr>
          <w:rFonts w:cs="Arial"/>
          <w:szCs w:val="24"/>
        </w:rPr>
        <w:t>Quanto a assoreamento, há trechos assoreados nos cursos d’água que drenam o município, como no ribeirão dos Óculos e em seu afluente, córrego do Mantimento. Os afluentes do córrego Novo e o próprio córrego Novo, próximo às vias Monsenhor Horta e Neca Lima, respectivamente, apresentam assoreamento em seus leitos principais.</w:t>
      </w:r>
    </w:p>
    <w:p w:rsidR="00AA5146" w:rsidRPr="00A37D03" w:rsidRDefault="00AA5146" w:rsidP="00AA5146">
      <w:pPr>
        <w:ind w:firstLine="708"/>
        <w:jc w:val="both"/>
        <w:rPr>
          <w:rFonts w:cs="Arial"/>
          <w:szCs w:val="24"/>
        </w:rPr>
      </w:pPr>
      <w:r>
        <w:rPr>
          <w:rFonts w:cs="Arial"/>
          <w:szCs w:val="24"/>
        </w:rPr>
        <w:t xml:space="preserve">Logo, um desafio que se impõe é </w:t>
      </w:r>
      <w:r w:rsidRPr="00CD4794">
        <w:rPr>
          <w:rFonts w:cs="Arial"/>
          <w:szCs w:val="24"/>
        </w:rPr>
        <w:t>o planejamento da ocupação urbana, devendo preservar as regiões próximas ao</w:t>
      </w:r>
      <w:r>
        <w:rPr>
          <w:rFonts w:cs="Arial"/>
          <w:szCs w:val="24"/>
        </w:rPr>
        <w:t>s</w:t>
      </w:r>
      <w:r w:rsidRPr="00CD4794">
        <w:rPr>
          <w:rFonts w:cs="Arial"/>
          <w:szCs w:val="24"/>
        </w:rPr>
        <w:t xml:space="preserve"> curso</w:t>
      </w:r>
      <w:r>
        <w:rPr>
          <w:rFonts w:cs="Arial"/>
          <w:szCs w:val="24"/>
        </w:rPr>
        <w:t>s</w:t>
      </w:r>
      <w:r w:rsidRPr="00CD4794">
        <w:rPr>
          <w:rFonts w:cs="Arial"/>
          <w:szCs w:val="24"/>
        </w:rPr>
        <w:t xml:space="preserve"> hídrico</w:t>
      </w:r>
      <w:r>
        <w:rPr>
          <w:rFonts w:cs="Arial"/>
          <w:szCs w:val="24"/>
        </w:rPr>
        <w:t>s</w:t>
      </w:r>
      <w:r w:rsidRPr="00CD4794">
        <w:rPr>
          <w:rFonts w:cs="Arial"/>
          <w:szCs w:val="24"/>
        </w:rPr>
        <w:t>, preservando as migrações de meandros fluviais e seu ciclo natural de expansão em períodos de cheias</w:t>
      </w:r>
      <w:r w:rsidRPr="00A37D03">
        <w:rPr>
          <w:rFonts w:cs="Arial"/>
          <w:szCs w:val="24"/>
        </w:rPr>
        <w:t xml:space="preserve">.  </w:t>
      </w:r>
    </w:p>
    <w:p w:rsidR="00AA5146" w:rsidRPr="003D4F8C" w:rsidRDefault="00AA5146" w:rsidP="00AA5146">
      <w:pPr>
        <w:ind w:firstLine="708"/>
        <w:jc w:val="both"/>
        <w:rPr>
          <w:rFonts w:cs="Arial"/>
          <w:szCs w:val="24"/>
        </w:rPr>
      </w:pPr>
      <w:r w:rsidRPr="009431A6">
        <w:rPr>
          <w:rFonts w:cs="Arial"/>
          <w:szCs w:val="24"/>
        </w:rPr>
        <w:t xml:space="preserve">Como desafio regional, é importante relembrar que o município tem como elemento limítrofe o rio Doce, que recentemente foi afetado pelo rompimento da barragem de rejeitos da SAMARCO. Esse evento trouxe sedimentos para o curso hídrico de maneira geral, porém, não é possível atrelar o assoreamento atual à carga de sedimentos oriundos do rompimento da barragem. O fato é que a calha do rio Doce apresenta grandes bancos </w:t>
      </w:r>
      <w:r w:rsidRPr="009431A6">
        <w:rPr>
          <w:rFonts w:cs="Arial"/>
          <w:szCs w:val="24"/>
        </w:rPr>
        <w:lastRenderedPageBreak/>
        <w:t>de areia que assoreiam o curso hídrico, o que indica necessidade de conservação de solo a montante e nas bacias contribuintes. A conservação dos solos está diretamente associada à conservação das águas, bem como à preservação dos municípios situados a jusante de grandes escoamentos naturais.  Da mesma forma, o uso conservacionista do solo favorece a infiltração e, consequentemente, previne a ocorrência de inundações.</w:t>
      </w:r>
    </w:p>
    <w:p w:rsidR="00AA5146" w:rsidRPr="00AB5985" w:rsidRDefault="00AA5146" w:rsidP="00AA5146">
      <w:pPr>
        <w:ind w:firstLine="708"/>
        <w:jc w:val="both"/>
        <w:rPr>
          <w:rFonts w:cs="Arial"/>
          <w:szCs w:val="24"/>
        </w:rPr>
      </w:pPr>
      <w:r w:rsidRPr="00AB5985">
        <w:rPr>
          <w:rFonts w:cs="Arial"/>
          <w:szCs w:val="24"/>
        </w:rPr>
        <w:t xml:space="preserve">Quanto aos recursos hídricos, </w:t>
      </w:r>
      <w:r>
        <w:rPr>
          <w:rFonts w:cs="Arial"/>
          <w:szCs w:val="24"/>
        </w:rPr>
        <w:t>n</w:t>
      </w:r>
      <w:r w:rsidRPr="00AB5985">
        <w:rPr>
          <w:rFonts w:cs="Arial"/>
          <w:szCs w:val="24"/>
        </w:rPr>
        <w:t>a zona urbana do município, o principal curso é o córrego Novo, e</w:t>
      </w:r>
      <w:r>
        <w:rPr>
          <w:rFonts w:cs="Arial"/>
          <w:szCs w:val="24"/>
        </w:rPr>
        <w:t xml:space="preserve">nquanto </w:t>
      </w:r>
      <w:r w:rsidRPr="00AB5985">
        <w:rPr>
          <w:rFonts w:cs="Arial"/>
          <w:szCs w:val="24"/>
        </w:rPr>
        <w:t>a zona rural é entrecortada pelo córrego do Mantimento, que juntamente com o córrego Novo é afluente do ribeirão dos Óculos. Este por sua vez é afluente do rio Doce, que limita o município a Oeste, fronteira com Dionísio-MG.</w:t>
      </w:r>
    </w:p>
    <w:p w:rsidR="00AA5146" w:rsidRPr="003D4F8C" w:rsidRDefault="00AA5146" w:rsidP="00AA5146">
      <w:pPr>
        <w:ind w:firstLine="708"/>
        <w:jc w:val="both"/>
        <w:rPr>
          <w:rFonts w:cs="Arial"/>
          <w:szCs w:val="24"/>
        </w:rPr>
      </w:pPr>
      <w:r w:rsidRPr="00AB5985">
        <w:rPr>
          <w:rFonts w:ascii="Calibri" w:eastAsia="Times New Roman" w:hAnsi="Calibri"/>
          <w:color w:val="333333"/>
          <w:sz w:val="22"/>
          <w:lang w:eastAsia="pt-BR"/>
        </w:rPr>
        <w:t> </w:t>
      </w:r>
      <w:r w:rsidRPr="003D4F8C">
        <w:rPr>
          <w:rFonts w:cs="Arial"/>
          <w:szCs w:val="24"/>
        </w:rPr>
        <w:t>O município está próximo a uma região com muitos lagos e ao Parque Estadual do Rio Doce (PERD), que é uma das principais regiões de proteção à biodiversidade do estado, com a maior área contínua de Mata Atlântica preservada em Minas Gerais.</w:t>
      </w:r>
    </w:p>
    <w:p w:rsidR="00AA5146" w:rsidRPr="00AB5985" w:rsidRDefault="00AA5146" w:rsidP="00AA5146">
      <w:pPr>
        <w:pStyle w:val="NormalWeb"/>
        <w:shd w:val="clear" w:color="auto" w:fill="FFFFFF"/>
        <w:spacing w:before="120" w:beforeAutospacing="0" w:after="120" w:afterAutospacing="0" w:line="360" w:lineRule="auto"/>
        <w:ind w:firstLine="708"/>
        <w:jc w:val="both"/>
        <w:rPr>
          <w:rFonts w:ascii="Arial" w:hAnsi="Arial" w:cs="Arial"/>
        </w:rPr>
      </w:pPr>
      <w:r w:rsidRPr="00AB5985">
        <w:rPr>
          <w:rFonts w:ascii="Arial" w:hAnsi="Arial" w:cs="Arial"/>
        </w:rPr>
        <w:t>O Parque Estadual do Rio Doce é um dos três maiores sistemas de lagos que ocorrem no </w:t>
      </w:r>
      <w:hyperlink r:id="rId66" w:tooltip="Brasil" w:history="1">
        <w:r w:rsidRPr="00AB5985">
          <w:rPr>
            <w:rStyle w:val="Hyperlink"/>
            <w:rFonts w:ascii="Arial" w:hAnsi="Arial" w:cs="Arial"/>
            <w:color w:val="auto"/>
            <w:u w:val="none"/>
          </w:rPr>
          <w:t>Brasil</w:t>
        </w:r>
      </w:hyperlink>
      <w:r w:rsidRPr="00AB5985">
        <w:rPr>
          <w:rFonts w:ascii="Arial" w:hAnsi="Arial" w:cs="Arial"/>
        </w:rPr>
        <w:t>, juntamente com o Pantanal Matogrossense e o sistema Amazônico. O sistema é denominado depressão interplanáltica do rio Doce</w:t>
      </w:r>
      <w:r w:rsidRPr="00AB5985">
        <w:rPr>
          <w:rStyle w:val="Hyperlink"/>
          <w:rFonts w:ascii="Arial" w:hAnsi="Arial" w:cs="Arial"/>
          <w:color w:val="auto"/>
          <w:u w:val="none"/>
        </w:rPr>
        <w:t>,</w:t>
      </w:r>
      <w:r w:rsidRPr="00AB5985">
        <w:rPr>
          <w:rFonts w:ascii="Arial" w:hAnsi="Arial" w:cs="Arial"/>
        </w:rPr>
        <w:t xml:space="preserve"> sendo constituído por cerca de 40 lagos, localizados em uma área de 35.000 ha e a 300 m de altitude. Os lagos estão localizados em uma floresta tropical úmida, 20 m acima do nível do rio Doce, não apresentando conexão com o sistema fluvial. A pluviosidade média anual no PERD é de 1480,3 mm, temperatura média anual de 21,9°C e período de </w:t>
      </w:r>
      <w:r w:rsidRPr="00AB5985">
        <w:rPr>
          <w:rFonts w:ascii="Arial" w:hAnsi="Arial" w:cs="Arial"/>
          <w:i/>
        </w:rPr>
        <w:t>déficit</w:t>
      </w:r>
      <w:r w:rsidRPr="00AB5985">
        <w:rPr>
          <w:rFonts w:ascii="Arial" w:hAnsi="Arial" w:cs="Arial"/>
        </w:rPr>
        <w:t xml:space="preserve"> hídrico de maio a setembro. </w:t>
      </w:r>
    </w:p>
    <w:p w:rsidR="00AA5146" w:rsidRPr="001B52C5" w:rsidRDefault="00AA5146" w:rsidP="00AA5146">
      <w:pPr>
        <w:pStyle w:val="NormalWeb"/>
        <w:shd w:val="clear" w:color="auto" w:fill="FFFFFF"/>
        <w:spacing w:before="120" w:beforeAutospacing="0" w:after="120" w:afterAutospacing="0" w:line="360" w:lineRule="auto"/>
        <w:ind w:firstLine="708"/>
        <w:jc w:val="both"/>
        <w:rPr>
          <w:rFonts w:ascii="Arial" w:hAnsi="Arial" w:cs="Arial"/>
        </w:rPr>
      </w:pPr>
      <w:r w:rsidRPr="001B52C5">
        <w:rPr>
          <w:rFonts w:ascii="Arial" w:hAnsi="Arial" w:cs="Arial"/>
        </w:rPr>
        <w:t xml:space="preserve">Esse parque tornou-se Sítio Ramsar em fevereiro de 2010, correspondendo à diretriz do governo brasileiro, cumprida desde sua adesão à </w:t>
      </w:r>
      <w:r w:rsidRPr="001B52C5">
        <w:rPr>
          <w:rFonts w:ascii="Arial" w:hAnsi="Arial" w:cs="Arial"/>
          <w:i/>
        </w:rPr>
        <w:t>Convenção de Ramsar</w:t>
      </w:r>
      <w:r w:rsidRPr="001B52C5">
        <w:rPr>
          <w:rFonts w:ascii="Arial" w:hAnsi="Arial" w:cs="Arial"/>
        </w:rPr>
        <w:t>, de indicar para a lista deste tratado internacional somente Áreas Úmidas que sejam unidades de conservação, assim favorecendo a adoção de medidas necessárias à implementação dos compromissos assumidos pelo país perante a Convenção.</w:t>
      </w:r>
    </w:p>
    <w:p w:rsidR="00AA5146" w:rsidRPr="001B52C5" w:rsidRDefault="00AA5146" w:rsidP="00AA5146">
      <w:pPr>
        <w:pStyle w:val="NormalWeb"/>
        <w:shd w:val="clear" w:color="auto" w:fill="FFFFFF"/>
        <w:spacing w:before="120" w:beforeAutospacing="0" w:after="120" w:afterAutospacing="0" w:line="360" w:lineRule="auto"/>
        <w:ind w:firstLine="708"/>
        <w:jc w:val="both"/>
        <w:rPr>
          <w:rFonts w:ascii="Arial" w:hAnsi="Arial" w:cs="Arial"/>
        </w:rPr>
      </w:pPr>
      <w:r w:rsidRPr="001B52C5">
        <w:rPr>
          <w:rFonts w:ascii="Arial" w:hAnsi="Arial" w:cs="Arial"/>
        </w:rPr>
        <w:t xml:space="preserve">A preocupação com a conservação, por mais que esteja concentrada no PERD, extrapola suas fronteiras e traz a preocupação para que toda a região participe de sua conservação bem como de outros remanescentes florestais e lagos do entorno que não estão abrigados pelo PERD, trazendo à discussão a necessidade de conservação desses recursos naturais. </w:t>
      </w:r>
    </w:p>
    <w:p w:rsidR="00AA5146" w:rsidRPr="001B52C5" w:rsidRDefault="00AA5146" w:rsidP="00AA5146">
      <w:pPr>
        <w:ind w:firstLine="708"/>
        <w:jc w:val="both"/>
        <w:rPr>
          <w:rFonts w:cs="Arial"/>
          <w:szCs w:val="24"/>
        </w:rPr>
      </w:pPr>
      <w:r w:rsidRPr="00AB5985">
        <w:rPr>
          <w:rFonts w:cs="Arial"/>
          <w:szCs w:val="24"/>
        </w:rPr>
        <w:lastRenderedPageBreak/>
        <w:t xml:space="preserve">Córrego Novo faz parte do colar metropolitano do Vale do Aço. A Região Metropolitana do Vale do Aço </w:t>
      </w:r>
      <w:r>
        <w:rPr>
          <w:rFonts w:cs="Arial"/>
          <w:szCs w:val="24"/>
        </w:rPr>
        <w:t xml:space="preserve">(RMVA) </w:t>
      </w:r>
      <w:r w:rsidRPr="00AB5985">
        <w:rPr>
          <w:rFonts w:cs="Arial"/>
          <w:szCs w:val="24"/>
        </w:rPr>
        <w:t xml:space="preserve">oficialmente possui 4 municípios: Coronel Fabriciano, Ipatinga, Santana do Paraíso e Timóteo, mais 24 no colar metropolitano: Açucena, Antônio Dias, </w:t>
      </w:r>
      <w:r w:rsidRPr="00AB5985">
        <w:rPr>
          <w:rFonts w:cs="Arial"/>
          <w:b/>
          <w:szCs w:val="24"/>
        </w:rPr>
        <w:t>Belo Oriente</w:t>
      </w:r>
      <w:r w:rsidRPr="001B52C5">
        <w:rPr>
          <w:rFonts w:cs="Arial"/>
          <w:szCs w:val="24"/>
        </w:rPr>
        <w:t xml:space="preserve">, Bom Jesus do Galho, Braúnas, Bugre, Caratinga, </w:t>
      </w:r>
      <w:r w:rsidRPr="001B52C5">
        <w:rPr>
          <w:rFonts w:cs="Arial"/>
          <w:b/>
          <w:szCs w:val="24"/>
        </w:rPr>
        <w:t>Córrego Novo</w:t>
      </w:r>
      <w:r w:rsidRPr="001B52C5">
        <w:rPr>
          <w:rFonts w:cs="Arial"/>
          <w:szCs w:val="24"/>
        </w:rPr>
        <w:t xml:space="preserve">, Dionísio, Dom Cavati, </w:t>
      </w:r>
      <w:r w:rsidRPr="001B52C5">
        <w:rPr>
          <w:rFonts w:cs="Arial"/>
          <w:b/>
          <w:szCs w:val="24"/>
        </w:rPr>
        <w:t>Entre Folhas</w:t>
      </w:r>
      <w:r w:rsidRPr="001B52C5">
        <w:rPr>
          <w:rFonts w:cs="Arial"/>
          <w:szCs w:val="24"/>
        </w:rPr>
        <w:t xml:space="preserve">, Iapu, </w:t>
      </w:r>
      <w:r w:rsidRPr="001B52C5">
        <w:rPr>
          <w:rFonts w:cs="Arial"/>
          <w:b/>
          <w:szCs w:val="24"/>
        </w:rPr>
        <w:t>Ipaba</w:t>
      </w:r>
      <w:r w:rsidRPr="001B52C5">
        <w:rPr>
          <w:rFonts w:cs="Arial"/>
          <w:szCs w:val="24"/>
        </w:rPr>
        <w:t xml:space="preserve">, Jaguaraçu, </w:t>
      </w:r>
      <w:r w:rsidRPr="001B52C5">
        <w:rPr>
          <w:rFonts w:cs="Arial"/>
          <w:b/>
          <w:szCs w:val="24"/>
        </w:rPr>
        <w:t>Joanésia</w:t>
      </w:r>
      <w:r w:rsidRPr="001B52C5">
        <w:rPr>
          <w:rFonts w:cs="Arial"/>
          <w:szCs w:val="24"/>
        </w:rPr>
        <w:t xml:space="preserve">, Marliéria, Mesquita, Naque, Periquito, </w:t>
      </w:r>
      <w:r w:rsidR="000A1C78">
        <w:rPr>
          <w:rFonts w:cs="Arial"/>
          <w:b/>
          <w:szCs w:val="24"/>
        </w:rPr>
        <w:t>Pingo D’Água</w:t>
      </w:r>
      <w:r w:rsidRPr="001B52C5">
        <w:rPr>
          <w:rFonts w:cs="Arial"/>
          <w:szCs w:val="24"/>
        </w:rPr>
        <w:t>, São João do Oriente, São José do Goiabal, Sobrália e Vargem Alegre. Essa região possui grande enfoque na exploração minerária.</w:t>
      </w:r>
    </w:p>
    <w:p w:rsidR="00AA5146" w:rsidRPr="00AB5985" w:rsidRDefault="00AA5146" w:rsidP="00AA5146">
      <w:pPr>
        <w:ind w:firstLine="708"/>
        <w:jc w:val="both"/>
        <w:rPr>
          <w:rFonts w:cs="Arial"/>
          <w:szCs w:val="24"/>
        </w:rPr>
      </w:pPr>
      <w:r w:rsidRPr="00AB5985">
        <w:rPr>
          <w:rFonts w:cs="Arial"/>
          <w:szCs w:val="24"/>
        </w:rPr>
        <w:t>É importante salientar que naquela região do Vale do Aço, 96% da população, de um total de 600 mil habitantes, são abastecidos com águas subterrâneas, segundo Alvarenga e Gonçalves (2008, apud, Freitas et al 2002). Esse recurso hídrico está atrelado ao uso do solo, à conservação dos recursos e a características geológicas próprias do local, sendo necessária uma preocupação regional para não impactar as águas subterrâneas, já que a região tem grande potencial à exploração minerária, o que pode vir a contaminá-las.</w:t>
      </w:r>
    </w:p>
    <w:p w:rsidR="0081570C" w:rsidRPr="008044FA" w:rsidRDefault="0081570C" w:rsidP="00BC01B1">
      <w:pPr>
        <w:pStyle w:val="SHS-Ttulo02"/>
      </w:pPr>
      <w:bookmarkStart w:id="966" w:name="_Toc484422559"/>
      <w:bookmarkStart w:id="967" w:name="_Toc484611636"/>
      <w:bookmarkStart w:id="968" w:name="_Toc498593500"/>
      <w:bookmarkStart w:id="969" w:name="_Toc509935562"/>
      <w:r w:rsidRPr="008044FA">
        <w:t>Sistema de Limpeza Urbana e Manejo de Resíduos Sólidos</w:t>
      </w:r>
      <w:bookmarkEnd w:id="966"/>
      <w:bookmarkEnd w:id="967"/>
      <w:bookmarkEnd w:id="968"/>
      <w:bookmarkEnd w:id="969"/>
    </w:p>
    <w:p w:rsidR="00AA5146" w:rsidRPr="00AA5146" w:rsidRDefault="00AA5146" w:rsidP="00BC01B1">
      <w:pPr>
        <w:pStyle w:val="Ttulo3"/>
      </w:pPr>
      <w:bookmarkStart w:id="970" w:name="_Toc484532473"/>
      <w:bookmarkStart w:id="971" w:name="_Toc498099148"/>
      <w:bookmarkStart w:id="972" w:name="_Toc509935563"/>
      <w:bookmarkStart w:id="973" w:name="_Toc484422560"/>
      <w:bookmarkStart w:id="974" w:name="_Toc484611637"/>
      <w:bookmarkStart w:id="975" w:name="_Toc498593501"/>
      <w:bookmarkStart w:id="976" w:name="_Toc484422561"/>
      <w:bookmarkStart w:id="977" w:name="_Toc484611638"/>
      <w:r w:rsidRPr="00AA5146">
        <w:t>Proposição de cenários</w:t>
      </w:r>
      <w:bookmarkEnd w:id="970"/>
      <w:bookmarkEnd w:id="971"/>
      <w:bookmarkEnd w:id="972"/>
    </w:p>
    <w:p w:rsidR="00AA5146" w:rsidRPr="00AA5146" w:rsidRDefault="00AA5146" w:rsidP="00AA5146">
      <w:pPr>
        <w:spacing w:before="120" w:after="120"/>
        <w:ind w:firstLine="708"/>
        <w:contextualSpacing/>
        <w:jc w:val="both"/>
        <w:rPr>
          <w:rFonts w:cs="Arial"/>
          <w:szCs w:val="24"/>
          <w:lang w:eastAsia="pt-BR"/>
        </w:rPr>
      </w:pPr>
      <w:r w:rsidRPr="00AA5146">
        <w:rPr>
          <w:rFonts w:cs="Arial"/>
          <w:szCs w:val="24"/>
          <w:lang w:eastAsia="pt-BR"/>
        </w:rPr>
        <w:t>A seguir é apresentada a Matriz SWOT para o sistema de limpeza urbana e manejo de resíduos sólidos (</w:t>
      </w:r>
      <w:r>
        <w:rPr>
          <w:rFonts w:cs="Arial"/>
          <w:szCs w:val="24"/>
          <w:lang w:eastAsia="pt-BR"/>
        </w:rPr>
        <w:fldChar w:fldCharType="begin"/>
      </w:r>
      <w:r>
        <w:rPr>
          <w:rFonts w:cs="Arial"/>
          <w:szCs w:val="24"/>
          <w:lang w:eastAsia="pt-BR"/>
        </w:rPr>
        <w:instrText xml:space="preserve"> REF _Ref507657632 \h </w:instrText>
      </w:r>
      <w:r>
        <w:rPr>
          <w:rFonts w:cs="Arial"/>
          <w:szCs w:val="24"/>
          <w:lang w:eastAsia="pt-BR"/>
        </w:rPr>
      </w:r>
      <w:r>
        <w:rPr>
          <w:rFonts w:cs="Arial"/>
          <w:szCs w:val="24"/>
          <w:lang w:eastAsia="pt-BR"/>
        </w:rPr>
        <w:fldChar w:fldCharType="separate"/>
      </w:r>
      <w:r w:rsidR="001B481B">
        <w:t xml:space="preserve">Quadro </w:t>
      </w:r>
      <w:r w:rsidR="001B481B">
        <w:rPr>
          <w:noProof/>
        </w:rPr>
        <w:t>81</w:t>
      </w:r>
      <w:r>
        <w:rPr>
          <w:rFonts w:cs="Arial"/>
          <w:szCs w:val="24"/>
          <w:lang w:eastAsia="pt-BR"/>
        </w:rPr>
        <w:fldChar w:fldCharType="end"/>
      </w:r>
      <w:r w:rsidRPr="00AA5146">
        <w:rPr>
          <w:rFonts w:cs="Arial"/>
          <w:szCs w:val="24"/>
          <w:lang w:eastAsia="pt-BR"/>
        </w:rPr>
        <w:t>). Ressalta-se que a análise do cenário atual por meio dessa metodologia subsidia a configuração dos cenários previsível e normativo para este eixo, adotando-se o cenário normativo para a proposição de objetivos e metas.</w:t>
      </w:r>
    </w:p>
    <w:p w:rsidR="00AA5146" w:rsidRPr="00AA5146" w:rsidRDefault="00AA5146" w:rsidP="00AA5146">
      <w:pPr>
        <w:jc w:val="both"/>
        <w:rPr>
          <w:rFonts w:cs="Arial"/>
          <w:szCs w:val="24"/>
          <w:lang w:eastAsia="pt-BR"/>
        </w:rPr>
        <w:sectPr w:rsidR="00AA5146" w:rsidRPr="00AA5146" w:rsidSect="00AA5146">
          <w:footerReference w:type="default" r:id="rId67"/>
          <w:pgSz w:w="11906" w:h="16838"/>
          <w:pgMar w:top="1418" w:right="1134" w:bottom="1134" w:left="1134" w:header="709" w:footer="709" w:gutter="0"/>
          <w:cols w:space="708"/>
          <w:docGrid w:linePitch="360"/>
        </w:sectPr>
      </w:pPr>
    </w:p>
    <w:p w:rsidR="00AA5146" w:rsidRPr="00AA5146" w:rsidRDefault="00AA5146" w:rsidP="00AA5146">
      <w:pPr>
        <w:pStyle w:val="Legenda"/>
        <w:rPr>
          <w:rFonts w:cs="Arial"/>
        </w:rPr>
      </w:pPr>
      <w:bookmarkStart w:id="978" w:name="_Ref507657632"/>
      <w:bookmarkStart w:id="979" w:name="_Toc484423921"/>
      <w:bookmarkStart w:id="980" w:name="_Toc484532483"/>
      <w:bookmarkStart w:id="981" w:name="_Toc498099257"/>
      <w:bookmarkStart w:id="982" w:name="_Toc509935858"/>
      <w:r>
        <w:lastRenderedPageBreak/>
        <w:t xml:space="preserve">Quadro </w:t>
      </w:r>
      <w:r w:rsidR="000A1C78">
        <w:fldChar w:fldCharType="begin"/>
      </w:r>
      <w:r w:rsidR="000A1C78">
        <w:instrText xml:space="preserve"> SEQ Quadro \* ARABIC </w:instrText>
      </w:r>
      <w:r w:rsidR="000A1C78">
        <w:fldChar w:fldCharType="separate"/>
      </w:r>
      <w:r w:rsidR="001B481B">
        <w:rPr>
          <w:noProof/>
        </w:rPr>
        <w:t>81</w:t>
      </w:r>
      <w:r w:rsidR="000A1C78">
        <w:rPr>
          <w:noProof/>
        </w:rPr>
        <w:fldChar w:fldCharType="end"/>
      </w:r>
      <w:bookmarkEnd w:id="978"/>
      <w:r w:rsidRPr="00AA5146">
        <w:rPr>
          <w:rFonts w:cs="Arial"/>
        </w:rPr>
        <w:t xml:space="preserve"> - Matriz SWOT do Sistema de Limpeza Urbana e Manejo de Resíduos Sólidos</w:t>
      </w:r>
      <w:bookmarkEnd w:id="979"/>
      <w:bookmarkEnd w:id="980"/>
      <w:bookmarkEnd w:id="981"/>
      <w:bookmarkEnd w:id="982"/>
      <w:r w:rsidRPr="00AA5146">
        <w:rPr>
          <w:rFonts w:cs="Arial"/>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7"/>
        <w:gridCol w:w="5090"/>
        <w:gridCol w:w="2554"/>
        <w:gridCol w:w="6699"/>
      </w:tblGrid>
      <w:tr w:rsidR="00AA5146" w:rsidRPr="00AA5146" w:rsidTr="00AA5146">
        <w:trPr>
          <w:trHeight w:val="481"/>
          <w:tblHeader/>
        </w:trPr>
        <w:tc>
          <w:tcPr>
            <w:tcW w:w="125" w:type="pct"/>
            <w:shd w:val="clear" w:color="auto" w:fill="auto"/>
            <w:noWrap/>
            <w:vAlign w:val="bottom"/>
            <w:hideMark/>
          </w:tcPr>
          <w:p w:rsidR="00AA5146" w:rsidRPr="00AA5146" w:rsidRDefault="00AA5146" w:rsidP="00AA5146">
            <w:pPr>
              <w:spacing w:line="240" w:lineRule="auto"/>
              <w:jc w:val="both"/>
              <w:rPr>
                <w:rFonts w:eastAsia="Times New Roman" w:cs="Arial"/>
                <w:color w:val="000000"/>
                <w:sz w:val="20"/>
                <w:szCs w:val="20"/>
                <w:lang w:eastAsia="pt-BR"/>
              </w:rPr>
            </w:pPr>
          </w:p>
        </w:tc>
        <w:tc>
          <w:tcPr>
            <w:tcW w:w="1730" w:type="pct"/>
            <w:shd w:val="clear" w:color="auto" w:fill="95B3D7"/>
            <w:noWrap/>
            <w:vAlign w:val="center"/>
            <w:hideMark/>
          </w:tcPr>
          <w:p w:rsidR="00AA5146" w:rsidRPr="00AA5146" w:rsidRDefault="00AA5146" w:rsidP="00AA5146">
            <w:pPr>
              <w:spacing w:line="240" w:lineRule="auto"/>
              <w:jc w:val="center"/>
              <w:rPr>
                <w:rFonts w:eastAsia="Times New Roman" w:cs="Arial"/>
                <w:b/>
                <w:bCs/>
                <w:color w:val="000000"/>
                <w:sz w:val="20"/>
                <w:szCs w:val="20"/>
                <w:lang w:eastAsia="pt-BR"/>
              </w:rPr>
            </w:pPr>
            <w:r w:rsidRPr="00AA5146">
              <w:rPr>
                <w:rFonts w:eastAsia="Times New Roman" w:cs="Arial"/>
                <w:b/>
                <w:bCs/>
                <w:color w:val="000000"/>
                <w:sz w:val="20"/>
                <w:szCs w:val="20"/>
                <w:lang w:eastAsia="pt-BR"/>
              </w:rPr>
              <w:t>PONTOS POSITIVOS</w:t>
            </w:r>
          </w:p>
        </w:tc>
        <w:tc>
          <w:tcPr>
            <w:tcW w:w="868" w:type="pct"/>
            <w:shd w:val="clear" w:color="auto" w:fill="95B3D7"/>
            <w:noWrap/>
            <w:vAlign w:val="center"/>
            <w:hideMark/>
          </w:tcPr>
          <w:p w:rsidR="00AA5146" w:rsidRPr="00AA5146" w:rsidRDefault="00AA5146" w:rsidP="00AA5146">
            <w:pPr>
              <w:spacing w:line="240" w:lineRule="auto"/>
              <w:jc w:val="center"/>
              <w:rPr>
                <w:rFonts w:eastAsia="Times New Roman" w:cs="Arial"/>
                <w:b/>
                <w:bCs/>
                <w:color w:val="000000"/>
                <w:sz w:val="20"/>
                <w:szCs w:val="20"/>
                <w:lang w:eastAsia="pt-BR"/>
              </w:rPr>
            </w:pPr>
            <w:r w:rsidRPr="00AA5146">
              <w:rPr>
                <w:rFonts w:eastAsia="Times New Roman" w:cs="Arial"/>
                <w:b/>
                <w:bCs/>
                <w:color w:val="000000"/>
                <w:sz w:val="20"/>
                <w:szCs w:val="20"/>
                <w:lang w:eastAsia="pt-BR"/>
              </w:rPr>
              <w:t>ITENS DE REFLEXÃO</w:t>
            </w:r>
          </w:p>
        </w:tc>
        <w:tc>
          <w:tcPr>
            <w:tcW w:w="2277" w:type="pct"/>
            <w:shd w:val="clear" w:color="auto" w:fill="95B3D7"/>
            <w:noWrap/>
            <w:vAlign w:val="center"/>
            <w:hideMark/>
          </w:tcPr>
          <w:p w:rsidR="00AA5146" w:rsidRPr="00AA5146" w:rsidRDefault="00AA5146" w:rsidP="00AA5146">
            <w:pPr>
              <w:spacing w:line="240" w:lineRule="auto"/>
              <w:jc w:val="center"/>
              <w:rPr>
                <w:rFonts w:eastAsia="Times New Roman" w:cs="Arial"/>
                <w:b/>
                <w:bCs/>
                <w:color w:val="000000"/>
                <w:sz w:val="20"/>
                <w:szCs w:val="20"/>
                <w:lang w:eastAsia="pt-BR"/>
              </w:rPr>
            </w:pPr>
            <w:r w:rsidRPr="00AA5146">
              <w:rPr>
                <w:rFonts w:eastAsia="Times New Roman" w:cs="Arial"/>
                <w:b/>
                <w:bCs/>
                <w:color w:val="000000"/>
                <w:sz w:val="20"/>
                <w:szCs w:val="20"/>
                <w:lang w:eastAsia="pt-BR"/>
              </w:rPr>
              <w:t>PONTOS NEGATIVOS</w:t>
            </w:r>
          </w:p>
        </w:tc>
      </w:tr>
      <w:tr w:rsidR="00AA5146" w:rsidRPr="00AA5146" w:rsidTr="00AA5146">
        <w:trPr>
          <w:trHeight w:val="1970"/>
        </w:trPr>
        <w:tc>
          <w:tcPr>
            <w:tcW w:w="125" w:type="pct"/>
            <w:shd w:val="clear" w:color="auto" w:fill="365F91"/>
            <w:noWrap/>
            <w:textDirection w:val="btLr"/>
            <w:vAlign w:val="center"/>
            <w:hideMark/>
          </w:tcPr>
          <w:p w:rsidR="00AA5146" w:rsidRPr="00AA5146" w:rsidRDefault="00AA5146" w:rsidP="00AA5146">
            <w:pPr>
              <w:spacing w:line="240" w:lineRule="auto"/>
              <w:jc w:val="center"/>
              <w:rPr>
                <w:rFonts w:eastAsia="Times New Roman" w:cs="Arial"/>
                <w:b/>
                <w:color w:val="000000"/>
                <w:sz w:val="20"/>
                <w:szCs w:val="20"/>
                <w:lang w:eastAsia="pt-BR"/>
              </w:rPr>
            </w:pPr>
            <w:r w:rsidRPr="00AA5146">
              <w:rPr>
                <w:rFonts w:eastAsia="Times New Roman" w:cs="Arial"/>
                <w:b/>
                <w:color w:val="FFFFFF"/>
                <w:sz w:val="20"/>
                <w:szCs w:val="20"/>
                <w:lang w:eastAsia="pt-BR"/>
              </w:rPr>
              <w:t>Ambiente Interno</w:t>
            </w:r>
          </w:p>
        </w:tc>
        <w:tc>
          <w:tcPr>
            <w:tcW w:w="1730" w:type="pct"/>
            <w:shd w:val="clear" w:color="auto" w:fill="B8CCE4"/>
            <w:noWrap/>
            <w:hideMark/>
          </w:tcPr>
          <w:p w:rsidR="00AA5146" w:rsidRPr="00AA5146" w:rsidRDefault="00AA5146" w:rsidP="00AA5146">
            <w:pPr>
              <w:autoSpaceDE w:val="0"/>
              <w:autoSpaceDN w:val="0"/>
              <w:adjustRightInd w:val="0"/>
              <w:spacing w:beforeLines="60" w:before="144" w:afterLines="60" w:after="144"/>
              <w:ind w:left="66"/>
              <w:jc w:val="center"/>
              <w:rPr>
                <w:rFonts w:cs="Arial"/>
                <w:b/>
                <w:sz w:val="20"/>
                <w:szCs w:val="20"/>
              </w:rPr>
            </w:pPr>
            <w:r w:rsidRPr="00AA5146">
              <w:rPr>
                <w:rFonts w:cs="Arial"/>
                <w:b/>
                <w:sz w:val="20"/>
                <w:szCs w:val="20"/>
              </w:rPr>
              <w:t>FORÇAS</w:t>
            </w:r>
          </w:p>
          <w:p w:rsidR="00AA5146" w:rsidRPr="00AA5146" w:rsidRDefault="00AA5146" w:rsidP="00AA5146">
            <w:pPr>
              <w:autoSpaceDE w:val="0"/>
              <w:autoSpaceDN w:val="0"/>
              <w:adjustRightInd w:val="0"/>
              <w:spacing w:beforeLines="60" w:before="144" w:afterLines="60" w:after="144" w:line="240" w:lineRule="auto"/>
              <w:ind w:left="66"/>
              <w:jc w:val="both"/>
              <w:rPr>
                <w:rFonts w:cs="Arial"/>
                <w:b/>
                <w:sz w:val="20"/>
                <w:szCs w:val="20"/>
              </w:rPr>
            </w:pPr>
            <w:r w:rsidRPr="00AA5146">
              <w:rPr>
                <w:rFonts w:cs="Arial"/>
                <w:b/>
                <w:sz w:val="20"/>
                <w:szCs w:val="20"/>
              </w:rPr>
              <w:t>2. Gerenciamento de resíduos sólidos</w:t>
            </w:r>
          </w:p>
          <w:p w:rsidR="00AA5146" w:rsidRPr="00AA5146" w:rsidRDefault="00AA5146" w:rsidP="00AA5146">
            <w:pPr>
              <w:autoSpaceDE w:val="0"/>
              <w:autoSpaceDN w:val="0"/>
              <w:adjustRightInd w:val="0"/>
              <w:spacing w:beforeLines="60" w:before="144" w:afterLines="60" w:after="144" w:line="240" w:lineRule="auto"/>
              <w:ind w:left="66"/>
              <w:jc w:val="both"/>
              <w:rPr>
                <w:rFonts w:cs="Arial"/>
                <w:sz w:val="20"/>
                <w:szCs w:val="20"/>
              </w:rPr>
            </w:pPr>
            <w:r w:rsidRPr="00AA5146">
              <w:rPr>
                <w:rFonts w:cs="Arial"/>
                <w:sz w:val="20"/>
                <w:szCs w:val="20"/>
              </w:rPr>
              <w:t>- Existe uma Usina de Reciclagem e Compostagem (UTC) no município.</w:t>
            </w:r>
          </w:p>
          <w:p w:rsidR="00AA5146" w:rsidRPr="00AA5146" w:rsidRDefault="00AA5146" w:rsidP="00AA5146">
            <w:pPr>
              <w:autoSpaceDE w:val="0"/>
              <w:autoSpaceDN w:val="0"/>
              <w:adjustRightInd w:val="0"/>
              <w:spacing w:beforeLines="60" w:before="144" w:afterLines="60" w:after="144" w:line="240" w:lineRule="auto"/>
              <w:ind w:left="66"/>
              <w:jc w:val="both"/>
              <w:rPr>
                <w:rFonts w:cs="Arial"/>
                <w:sz w:val="20"/>
                <w:szCs w:val="20"/>
              </w:rPr>
            </w:pPr>
            <w:r w:rsidRPr="00AA5146">
              <w:rPr>
                <w:rFonts w:cs="Arial"/>
                <w:sz w:val="20"/>
                <w:szCs w:val="20"/>
              </w:rPr>
              <w:t>- A maior parte dos resíduos gerados no município recebe destinação final adequada.</w:t>
            </w:r>
          </w:p>
          <w:p w:rsidR="00AA5146" w:rsidRPr="00AA5146" w:rsidRDefault="00AA5146" w:rsidP="00AA5146">
            <w:pPr>
              <w:autoSpaceDE w:val="0"/>
              <w:autoSpaceDN w:val="0"/>
              <w:adjustRightInd w:val="0"/>
              <w:spacing w:beforeLines="60" w:before="144" w:afterLines="60" w:after="144" w:line="240" w:lineRule="auto"/>
              <w:ind w:left="66"/>
              <w:jc w:val="both"/>
              <w:rPr>
                <w:rFonts w:cs="Arial"/>
                <w:sz w:val="20"/>
                <w:szCs w:val="20"/>
              </w:rPr>
            </w:pPr>
          </w:p>
        </w:tc>
        <w:tc>
          <w:tcPr>
            <w:tcW w:w="868" w:type="pct"/>
            <w:vMerge w:val="restart"/>
            <w:shd w:val="clear" w:color="auto" w:fill="B8CCE4"/>
            <w:noWrap/>
            <w:vAlign w:val="center"/>
            <w:hideMark/>
          </w:tcPr>
          <w:p w:rsidR="00AA5146" w:rsidRPr="00AA5146" w:rsidRDefault="00AA5146" w:rsidP="00AA5146">
            <w:pPr>
              <w:autoSpaceDE w:val="0"/>
              <w:autoSpaceDN w:val="0"/>
              <w:adjustRightInd w:val="0"/>
              <w:spacing w:beforeLines="60" w:before="144" w:afterLines="60" w:after="144"/>
              <w:ind w:left="66"/>
              <w:jc w:val="center"/>
              <w:rPr>
                <w:rFonts w:cs="Arial"/>
                <w:b/>
                <w:sz w:val="20"/>
                <w:szCs w:val="20"/>
              </w:rPr>
            </w:pPr>
            <w:r w:rsidRPr="00AA5146">
              <w:rPr>
                <w:rFonts w:cs="Arial"/>
                <w:b/>
                <w:sz w:val="20"/>
                <w:szCs w:val="20"/>
              </w:rPr>
              <w:t>1. Perfil institucional</w:t>
            </w:r>
          </w:p>
          <w:p w:rsidR="00AA5146" w:rsidRPr="00AA5146" w:rsidRDefault="00AA5146" w:rsidP="00AA5146">
            <w:pPr>
              <w:autoSpaceDE w:val="0"/>
              <w:autoSpaceDN w:val="0"/>
              <w:adjustRightInd w:val="0"/>
              <w:spacing w:beforeLines="60" w:before="144" w:afterLines="60" w:after="144"/>
              <w:ind w:left="66"/>
              <w:jc w:val="center"/>
              <w:rPr>
                <w:rFonts w:cs="Arial"/>
                <w:b/>
                <w:sz w:val="20"/>
                <w:szCs w:val="20"/>
              </w:rPr>
            </w:pPr>
            <w:r w:rsidRPr="00AA5146">
              <w:rPr>
                <w:rFonts w:cs="Arial"/>
                <w:b/>
                <w:sz w:val="20"/>
                <w:szCs w:val="20"/>
              </w:rPr>
              <w:t>2. Gerenciamento de resíduos sólidos</w:t>
            </w:r>
          </w:p>
          <w:p w:rsidR="00AA5146" w:rsidRPr="00AA5146" w:rsidRDefault="00AA5146" w:rsidP="00AA5146">
            <w:pPr>
              <w:autoSpaceDE w:val="0"/>
              <w:autoSpaceDN w:val="0"/>
              <w:adjustRightInd w:val="0"/>
              <w:spacing w:beforeLines="60" w:before="144" w:afterLines="60" w:after="144"/>
              <w:ind w:left="66"/>
              <w:jc w:val="center"/>
              <w:rPr>
                <w:rFonts w:cs="Arial"/>
                <w:b/>
                <w:sz w:val="20"/>
                <w:szCs w:val="20"/>
              </w:rPr>
            </w:pPr>
            <w:r w:rsidRPr="00AA5146">
              <w:rPr>
                <w:rFonts w:cs="Arial"/>
                <w:b/>
                <w:sz w:val="20"/>
                <w:szCs w:val="20"/>
              </w:rPr>
              <w:t>3. Sustentabilidade econômica</w:t>
            </w:r>
          </w:p>
          <w:p w:rsidR="00AA5146" w:rsidRPr="00AA5146" w:rsidRDefault="00AA5146" w:rsidP="00AA5146">
            <w:pPr>
              <w:autoSpaceDE w:val="0"/>
              <w:autoSpaceDN w:val="0"/>
              <w:adjustRightInd w:val="0"/>
              <w:spacing w:beforeLines="60" w:before="144" w:afterLines="60" w:after="144"/>
              <w:ind w:left="66"/>
              <w:jc w:val="center"/>
              <w:rPr>
                <w:rFonts w:cs="Arial"/>
                <w:b/>
                <w:sz w:val="20"/>
                <w:szCs w:val="20"/>
              </w:rPr>
            </w:pPr>
            <w:r w:rsidRPr="00AA5146">
              <w:rPr>
                <w:rFonts w:cs="Arial"/>
                <w:b/>
                <w:sz w:val="20"/>
                <w:szCs w:val="20"/>
              </w:rPr>
              <w:t>4. Legislação e normatização do setor</w:t>
            </w:r>
          </w:p>
          <w:p w:rsidR="00AA5146" w:rsidRPr="00AA5146" w:rsidRDefault="00AA5146" w:rsidP="00AA5146">
            <w:pPr>
              <w:autoSpaceDE w:val="0"/>
              <w:autoSpaceDN w:val="0"/>
              <w:adjustRightInd w:val="0"/>
              <w:spacing w:beforeLines="60" w:before="144" w:afterLines="60" w:after="144"/>
              <w:ind w:left="66"/>
              <w:jc w:val="center"/>
              <w:rPr>
                <w:rFonts w:cs="Arial"/>
                <w:b/>
                <w:sz w:val="20"/>
                <w:szCs w:val="20"/>
              </w:rPr>
            </w:pPr>
            <w:r w:rsidRPr="00AA5146">
              <w:rPr>
                <w:rFonts w:cs="Arial"/>
                <w:b/>
                <w:sz w:val="20"/>
                <w:szCs w:val="20"/>
              </w:rPr>
              <w:t>5. Sistema de obtenção e acesso a dados</w:t>
            </w:r>
          </w:p>
          <w:p w:rsidR="00AA5146" w:rsidRPr="00AA5146" w:rsidRDefault="00AA5146" w:rsidP="00AA5146">
            <w:pPr>
              <w:autoSpaceDE w:val="0"/>
              <w:autoSpaceDN w:val="0"/>
              <w:adjustRightInd w:val="0"/>
              <w:spacing w:beforeLines="60" w:before="144" w:afterLines="60" w:after="144"/>
              <w:ind w:left="66"/>
              <w:rPr>
                <w:rFonts w:cs="Arial"/>
                <w:b/>
                <w:sz w:val="20"/>
                <w:szCs w:val="20"/>
              </w:rPr>
            </w:pPr>
          </w:p>
        </w:tc>
        <w:tc>
          <w:tcPr>
            <w:tcW w:w="2277" w:type="pct"/>
            <w:shd w:val="clear" w:color="auto" w:fill="B8CCE4"/>
            <w:noWrap/>
            <w:hideMark/>
          </w:tcPr>
          <w:p w:rsidR="00AA5146" w:rsidRPr="00AA5146" w:rsidRDefault="00AA5146" w:rsidP="00AA5146">
            <w:pPr>
              <w:autoSpaceDE w:val="0"/>
              <w:autoSpaceDN w:val="0"/>
              <w:adjustRightInd w:val="0"/>
              <w:spacing w:beforeLines="60" w:before="144" w:afterLines="60" w:after="144"/>
              <w:jc w:val="center"/>
              <w:rPr>
                <w:rFonts w:cs="Arial"/>
                <w:b/>
                <w:sz w:val="20"/>
                <w:szCs w:val="20"/>
              </w:rPr>
            </w:pPr>
            <w:r w:rsidRPr="00AA5146">
              <w:rPr>
                <w:rFonts w:eastAsia="Times New Roman" w:cs="Arial"/>
                <w:color w:val="000000"/>
                <w:sz w:val="20"/>
                <w:szCs w:val="20"/>
                <w:lang w:eastAsia="pt-BR"/>
              </w:rPr>
              <w:t> </w:t>
            </w:r>
            <w:r w:rsidRPr="00AA5146">
              <w:rPr>
                <w:rFonts w:cs="Arial"/>
                <w:b/>
                <w:sz w:val="20"/>
                <w:szCs w:val="20"/>
              </w:rPr>
              <w:t>FRAQUEZAS</w:t>
            </w:r>
          </w:p>
          <w:p w:rsidR="00AA5146" w:rsidRPr="00AA5146" w:rsidRDefault="00AA5146" w:rsidP="00AA5146">
            <w:pPr>
              <w:autoSpaceDE w:val="0"/>
              <w:autoSpaceDN w:val="0"/>
              <w:adjustRightInd w:val="0"/>
              <w:spacing w:beforeLines="60" w:before="144" w:afterLines="60" w:after="144" w:line="240" w:lineRule="auto"/>
              <w:ind w:left="66"/>
              <w:jc w:val="both"/>
              <w:rPr>
                <w:rFonts w:cs="Arial"/>
                <w:b/>
                <w:sz w:val="20"/>
                <w:szCs w:val="20"/>
              </w:rPr>
            </w:pPr>
            <w:r w:rsidRPr="00AA5146">
              <w:rPr>
                <w:rFonts w:cs="Arial"/>
                <w:b/>
                <w:sz w:val="20"/>
                <w:szCs w:val="20"/>
              </w:rPr>
              <w:t>1. Perfil institucional</w:t>
            </w:r>
          </w:p>
          <w:p w:rsidR="00AA5146" w:rsidRPr="00AA5146" w:rsidRDefault="00AA5146" w:rsidP="00AA5146">
            <w:pPr>
              <w:autoSpaceDE w:val="0"/>
              <w:autoSpaceDN w:val="0"/>
              <w:adjustRightInd w:val="0"/>
              <w:spacing w:beforeLines="60" w:before="144" w:afterLines="60" w:after="144" w:line="240" w:lineRule="auto"/>
              <w:ind w:left="66"/>
              <w:jc w:val="both"/>
              <w:rPr>
                <w:bCs/>
                <w:sz w:val="20"/>
                <w:szCs w:val="20"/>
              </w:rPr>
            </w:pPr>
            <w:r w:rsidRPr="00AA5146">
              <w:rPr>
                <w:rFonts w:cs="Arial"/>
                <w:b/>
                <w:sz w:val="20"/>
                <w:szCs w:val="20"/>
              </w:rPr>
              <w:t xml:space="preserve">- </w:t>
            </w:r>
            <w:r w:rsidRPr="00AA5146">
              <w:rPr>
                <w:bCs/>
                <w:sz w:val="20"/>
                <w:szCs w:val="20"/>
              </w:rPr>
              <w:t>Ausência de Planos de Contingência e Emergência.</w:t>
            </w:r>
          </w:p>
          <w:p w:rsidR="00AA5146" w:rsidRPr="00AA5146" w:rsidRDefault="00AA5146" w:rsidP="00AA5146">
            <w:pPr>
              <w:autoSpaceDE w:val="0"/>
              <w:autoSpaceDN w:val="0"/>
              <w:adjustRightInd w:val="0"/>
              <w:spacing w:beforeLines="60" w:before="144" w:afterLines="60" w:after="144" w:line="240" w:lineRule="auto"/>
              <w:ind w:left="66"/>
              <w:jc w:val="both"/>
              <w:rPr>
                <w:rFonts w:cs="Arial"/>
                <w:b/>
                <w:sz w:val="20"/>
                <w:szCs w:val="20"/>
              </w:rPr>
            </w:pPr>
          </w:p>
          <w:p w:rsidR="00AA5146" w:rsidRPr="00AA5146" w:rsidRDefault="00AA5146" w:rsidP="00AA5146">
            <w:pPr>
              <w:autoSpaceDE w:val="0"/>
              <w:autoSpaceDN w:val="0"/>
              <w:adjustRightInd w:val="0"/>
              <w:spacing w:beforeLines="60" w:before="144" w:afterLines="60" w:after="144" w:line="240" w:lineRule="auto"/>
              <w:ind w:left="66"/>
              <w:jc w:val="both"/>
              <w:rPr>
                <w:rFonts w:cs="Arial"/>
                <w:b/>
                <w:sz w:val="20"/>
                <w:szCs w:val="20"/>
              </w:rPr>
            </w:pPr>
            <w:r w:rsidRPr="00AA5146">
              <w:rPr>
                <w:rFonts w:cs="Arial"/>
                <w:b/>
                <w:sz w:val="20"/>
                <w:szCs w:val="20"/>
              </w:rPr>
              <w:t>2. Gerenciamento de resíduos sólidos</w:t>
            </w:r>
          </w:p>
          <w:p w:rsidR="00AA5146" w:rsidRPr="00AA5146" w:rsidRDefault="00AA5146" w:rsidP="00AA5146">
            <w:pPr>
              <w:autoSpaceDE w:val="0"/>
              <w:autoSpaceDN w:val="0"/>
              <w:adjustRightInd w:val="0"/>
              <w:spacing w:beforeLines="60" w:before="144" w:afterLines="60" w:after="144" w:line="240" w:lineRule="auto"/>
              <w:jc w:val="both"/>
              <w:rPr>
                <w:rFonts w:cs="Arial"/>
                <w:sz w:val="20"/>
                <w:szCs w:val="20"/>
              </w:rPr>
            </w:pPr>
            <w:r w:rsidRPr="00AA5146">
              <w:rPr>
                <w:rFonts w:cs="Arial"/>
                <w:sz w:val="20"/>
                <w:szCs w:val="20"/>
              </w:rPr>
              <w:t>- Área rural não é atendida em sua totalidade.</w:t>
            </w:r>
          </w:p>
          <w:p w:rsidR="00AA5146" w:rsidRPr="00AA5146" w:rsidRDefault="00AA5146" w:rsidP="00AA5146">
            <w:pPr>
              <w:autoSpaceDE w:val="0"/>
              <w:autoSpaceDN w:val="0"/>
              <w:adjustRightInd w:val="0"/>
              <w:spacing w:beforeLines="60" w:before="144" w:afterLines="60" w:after="144" w:line="240" w:lineRule="auto"/>
              <w:jc w:val="both"/>
              <w:rPr>
                <w:rFonts w:cs="Arial"/>
                <w:sz w:val="20"/>
                <w:szCs w:val="20"/>
              </w:rPr>
            </w:pPr>
            <w:r w:rsidRPr="00AA5146">
              <w:rPr>
                <w:rFonts w:cs="Arial"/>
                <w:sz w:val="20"/>
                <w:szCs w:val="20"/>
              </w:rPr>
              <w:t>- Não existe um programa de gerenciamento de resíduos especiais.</w:t>
            </w:r>
          </w:p>
          <w:p w:rsidR="00AA5146" w:rsidRDefault="00AA5146" w:rsidP="00AA5146">
            <w:pPr>
              <w:autoSpaceDE w:val="0"/>
              <w:autoSpaceDN w:val="0"/>
              <w:adjustRightInd w:val="0"/>
              <w:spacing w:beforeLines="60" w:before="144" w:afterLines="60" w:after="144" w:line="240" w:lineRule="auto"/>
              <w:jc w:val="both"/>
              <w:rPr>
                <w:rFonts w:cs="Arial"/>
                <w:sz w:val="20"/>
                <w:szCs w:val="20"/>
              </w:rPr>
            </w:pPr>
            <w:r w:rsidRPr="00AA5146">
              <w:rPr>
                <w:rFonts w:cs="Arial"/>
                <w:sz w:val="20"/>
                <w:szCs w:val="20"/>
              </w:rPr>
              <w:t xml:space="preserve">- </w:t>
            </w:r>
            <w:r w:rsidR="00E01FB3" w:rsidRPr="00E01FB3">
              <w:rPr>
                <w:rFonts w:cs="Arial"/>
                <w:sz w:val="20"/>
                <w:szCs w:val="20"/>
              </w:rPr>
              <w:t>Iniciou-se um programa municipal de coleta seletiva, mas não está funcionando de maneira ideal, visto que a população ainda não está realizando adequadamente a segregação na fonte</w:t>
            </w:r>
            <w:r w:rsidRPr="00AA5146">
              <w:rPr>
                <w:rFonts w:cs="Arial"/>
                <w:sz w:val="20"/>
                <w:szCs w:val="20"/>
              </w:rPr>
              <w:t>.</w:t>
            </w:r>
          </w:p>
          <w:p w:rsidR="00E01FB3" w:rsidRPr="00AA5146" w:rsidRDefault="00E01FB3" w:rsidP="00AA5146">
            <w:pPr>
              <w:autoSpaceDE w:val="0"/>
              <w:autoSpaceDN w:val="0"/>
              <w:adjustRightInd w:val="0"/>
              <w:spacing w:beforeLines="60" w:before="144" w:afterLines="60" w:after="144" w:line="240" w:lineRule="auto"/>
              <w:jc w:val="both"/>
              <w:rPr>
                <w:rFonts w:cs="Arial"/>
                <w:sz w:val="20"/>
                <w:szCs w:val="20"/>
              </w:rPr>
            </w:pPr>
          </w:p>
          <w:p w:rsidR="00AA5146" w:rsidRPr="00AA5146" w:rsidRDefault="00AA5146" w:rsidP="00AA5146">
            <w:pPr>
              <w:autoSpaceDE w:val="0"/>
              <w:autoSpaceDN w:val="0"/>
              <w:adjustRightInd w:val="0"/>
              <w:spacing w:beforeLines="60" w:before="144" w:afterLines="60" w:after="144" w:line="240" w:lineRule="auto"/>
              <w:ind w:left="66"/>
              <w:jc w:val="both"/>
              <w:rPr>
                <w:rFonts w:cs="Arial"/>
                <w:b/>
                <w:sz w:val="20"/>
                <w:szCs w:val="20"/>
              </w:rPr>
            </w:pPr>
            <w:r w:rsidRPr="00AA5146">
              <w:rPr>
                <w:rFonts w:cs="Arial"/>
                <w:b/>
                <w:sz w:val="20"/>
                <w:szCs w:val="20"/>
              </w:rPr>
              <w:t>3. Sustentabilidade econômica</w:t>
            </w:r>
          </w:p>
          <w:p w:rsidR="00AA5146" w:rsidRPr="00AA5146" w:rsidRDefault="00AA5146" w:rsidP="00AA5146">
            <w:pPr>
              <w:autoSpaceDE w:val="0"/>
              <w:autoSpaceDN w:val="0"/>
              <w:adjustRightInd w:val="0"/>
              <w:spacing w:beforeLines="60" w:before="144" w:afterLines="60" w:after="144" w:line="240" w:lineRule="auto"/>
              <w:jc w:val="both"/>
              <w:rPr>
                <w:sz w:val="20"/>
                <w:szCs w:val="20"/>
              </w:rPr>
            </w:pPr>
            <w:r w:rsidRPr="00AA5146">
              <w:rPr>
                <w:sz w:val="20"/>
                <w:szCs w:val="20"/>
              </w:rPr>
              <w:t xml:space="preserve">- Não há taxa ou cobrança pela prestação dos serviços públicos de gestão de resíduos sólidos e o sistema opera em </w:t>
            </w:r>
            <w:r w:rsidRPr="00AA5146">
              <w:rPr>
                <w:i/>
                <w:sz w:val="20"/>
                <w:szCs w:val="20"/>
              </w:rPr>
              <w:t>déficit</w:t>
            </w:r>
            <w:r w:rsidRPr="00AA5146">
              <w:rPr>
                <w:sz w:val="20"/>
                <w:szCs w:val="20"/>
              </w:rPr>
              <w:t>.</w:t>
            </w:r>
          </w:p>
          <w:p w:rsidR="00AA5146" w:rsidRPr="00AA5146" w:rsidRDefault="00AA5146" w:rsidP="00AA5146">
            <w:pPr>
              <w:autoSpaceDE w:val="0"/>
              <w:autoSpaceDN w:val="0"/>
              <w:adjustRightInd w:val="0"/>
              <w:spacing w:beforeLines="60" w:before="144" w:afterLines="60" w:after="144" w:line="240" w:lineRule="auto"/>
              <w:jc w:val="both"/>
              <w:rPr>
                <w:sz w:val="20"/>
                <w:szCs w:val="20"/>
              </w:rPr>
            </w:pPr>
          </w:p>
          <w:p w:rsidR="00AA5146" w:rsidRPr="00AA5146" w:rsidRDefault="00AA5146" w:rsidP="00AA5146">
            <w:pPr>
              <w:autoSpaceDE w:val="0"/>
              <w:autoSpaceDN w:val="0"/>
              <w:adjustRightInd w:val="0"/>
              <w:spacing w:beforeLines="60" w:before="144" w:afterLines="60" w:after="144" w:line="240" w:lineRule="auto"/>
              <w:jc w:val="both"/>
              <w:rPr>
                <w:rFonts w:cs="Arial"/>
                <w:b/>
                <w:sz w:val="20"/>
                <w:szCs w:val="20"/>
              </w:rPr>
            </w:pPr>
            <w:r w:rsidRPr="00AA5146">
              <w:rPr>
                <w:rFonts w:cs="Arial"/>
                <w:b/>
                <w:sz w:val="20"/>
                <w:szCs w:val="20"/>
              </w:rPr>
              <w:t>5. Sistema de obtenção e acesso a dados</w:t>
            </w:r>
          </w:p>
          <w:p w:rsidR="00AA5146" w:rsidRPr="00AA5146" w:rsidRDefault="00AA5146" w:rsidP="00AA5146">
            <w:pPr>
              <w:autoSpaceDE w:val="0"/>
              <w:autoSpaceDN w:val="0"/>
              <w:adjustRightInd w:val="0"/>
              <w:spacing w:beforeLines="60" w:before="144" w:afterLines="60" w:after="144" w:line="240" w:lineRule="auto"/>
              <w:jc w:val="both"/>
              <w:rPr>
                <w:sz w:val="20"/>
                <w:szCs w:val="20"/>
              </w:rPr>
            </w:pPr>
            <w:r w:rsidRPr="00AA5146">
              <w:rPr>
                <w:rFonts w:cs="Arial"/>
                <w:b/>
                <w:sz w:val="20"/>
                <w:szCs w:val="20"/>
              </w:rPr>
              <w:t xml:space="preserve">- </w:t>
            </w:r>
            <w:r w:rsidRPr="00AA5146">
              <w:rPr>
                <w:rFonts w:cs="Arial"/>
                <w:sz w:val="20"/>
                <w:szCs w:val="20"/>
              </w:rPr>
              <w:t>Não existe um canal de comunicação bem estruturado</w:t>
            </w:r>
            <w:r w:rsidRPr="00AA5146">
              <w:rPr>
                <w:rFonts w:cs="Arial"/>
                <w:b/>
                <w:sz w:val="20"/>
                <w:szCs w:val="20"/>
              </w:rPr>
              <w:t xml:space="preserve"> </w:t>
            </w:r>
            <w:r w:rsidRPr="00AA5146">
              <w:rPr>
                <w:rFonts w:cs="Arial"/>
                <w:sz w:val="20"/>
                <w:szCs w:val="20"/>
              </w:rPr>
              <w:t xml:space="preserve">com a população. </w:t>
            </w:r>
          </w:p>
        </w:tc>
      </w:tr>
      <w:tr w:rsidR="00AA5146" w:rsidRPr="00AA5146" w:rsidTr="00AA5146">
        <w:trPr>
          <w:trHeight w:val="1970"/>
        </w:trPr>
        <w:tc>
          <w:tcPr>
            <w:tcW w:w="125" w:type="pct"/>
            <w:shd w:val="clear" w:color="auto" w:fill="365F91"/>
            <w:noWrap/>
            <w:textDirection w:val="btLr"/>
            <w:vAlign w:val="center"/>
            <w:hideMark/>
          </w:tcPr>
          <w:p w:rsidR="00AA5146" w:rsidRPr="00AA5146" w:rsidRDefault="00AA5146" w:rsidP="00AA5146">
            <w:pPr>
              <w:spacing w:line="240" w:lineRule="auto"/>
              <w:jc w:val="center"/>
              <w:rPr>
                <w:rFonts w:eastAsia="Times New Roman" w:cs="Arial"/>
                <w:b/>
                <w:color w:val="FFFFFF"/>
                <w:sz w:val="20"/>
                <w:szCs w:val="20"/>
                <w:lang w:eastAsia="pt-BR"/>
              </w:rPr>
            </w:pPr>
            <w:r w:rsidRPr="00AA5146">
              <w:rPr>
                <w:rFonts w:eastAsia="Times New Roman" w:cs="Arial"/>
                <w:b/>
                <w:color w:val="FFFFFF"/>
                <w:sz w:val="20"/>
                <w:szCs w:val="20"/>
                <w:lang w:eastAsia="pt-BR"/>
              </w:rPr>
              <w:lastRenderedPageBreak/>
              <w:t>Ambiente Externo</w:t>
            </w:r>
          </w:p>
        </w:tc>
        <w:tc>
          <w:tcPr>
            <w:tcW w:w="1730" w:type="pct"/>
            <w:shd w:val="clear" w:color="auto" w:fill="B8CCE4"/>
            <w:noWrap/>
            <w:hideMark/>
          </w:tcPr>
          <w:p w:rsidR="00AA5146" w:rsidRPr="00AA5146" w:rsidRDefault="00AA5146" w:rsidP="00AA5146">
            <w:pPr>
              <w:autoSpaceDE w:val="0"/>
              <w:autoSpaceDN w:val="0"/>
              <w:adjustRightInd w:val="0"/>
              <w:spacing w:beforeLines="60" w:before="144" w:afterLines="60" w:after="144"/>
              <w:ind w:left="66"/>
              <w:jc w:val="center"/>
              <w:rPr>
                <w:rFonts w:cs="Arial"/>
                <w:b/>
                <w:sz w:val="20"/>
                <w:szCs w:val="20"/>
              </w:rPr>
            </w:pPr>
            <w:r w:rsidRPr="00AA5146">
              <w:rPr>
                <w:rFonts w:cs="Arial"/>
                <w:b/>
                <w:sz w:val="20"/>
                <w:szCs w:val="20"/>
              </w:rPr>
              <w:t>OPORTUNIDADES</w:t>
            </w:r>
          </w:p>
          <w:p w:rsidR="00AA5146" w:rsidRPr="00AA5146" w:rsidRDefault="00AA5146" w:rsidP="00AA5146">
            <w:pPr>
              <w:autoSpaceDE w:val="0"/>
              <w:autoSpaceDN w:val="0"/>
              <w:adjustRightInd w:val="0"/>
              <w:spacing w:before="60" w:after="60" w:line="240" w:lineRule="auto"/>
              <w:jc w:val="both"/>
              <w:rPr>
                <w:rFonts w:cs="Arial"/>
                <w:b/>
                <w:sz w:val="20"/>
                <w:szCs w:val="20"/>
              </w:rPr>
            </w:pPr>
            <w:r w:rsidRPr="00AA5146">
              <w:rPr>
                <w:rFonts w:cs="Arial"/>
                <w:b/>
                <w:sz w:val="20"/>
                <w:szCs w:val="20"/>
              </w:rPr>
              <w:t>3. Sustentabilidade econômica</w:t>
            </w:r>
          </w:p>
          <w:p w:rsidR="00AA5146" w:rsidRPr="00AA5146" w:rsidRDefault="00AA5146" w:rsidP="00AA5146">
            <w:pPr>
              <w:rPr>
                <w:rFonts w:eastAsiaTheme="minorHAnsi" w:cs="Arial"/>
                <w:sz w:val="20"/>
                <w:szCs w:val="20"/>
              </w:rPr>
            </w:pPr>
            <w:r w:rsidRPr="00AA5146">
              <w:rPr>
                <w:rFonts w:cs="Arial"/>
                <w:sz w:val="20"/>
                <w:szCs w:val="20"/>
              </w:rPr>
              <w:t xml:space="preserve">- </w:t>
            </w:r>
            <w:r w:rsidRPr="00AA5146">
              <w:rPr>
                <w:rFonts w:eastAsiaTheme="minorHAnsi" w:cs="Arial"/>
                <w:sz w:val="20"/>
                <w:szCs w:val="20"/>
              </w:rPr>
              <w:t>Devido ao desastre com a barragem de Fundão, existe a possibilidade de novos investimentos em saneamento básico pela SAMARCO S.A., responsável pelo acidente.</w:t>
            </w:r>
          </w:p>
          <w:p w:rsidR="00AA5146" w:rsidRPr="00AA5146" w:rsidRDefault="00AA5146" w:rsidP="00AA5146">
            <w:pPr>
              <w:autoSpaceDE w:val="0"/>
              <w:autoSpaceDN w:val="0"/>
              <w:adjustRightInd w:val="0"/>
              <w:spacing w:beforeLines="60" w:before="144" w:afterLines="60" w:after="144"/>
              <w:ind w:left="66"/>
              <w:jc w:val="both"/>
              <w:rPr>
                <w:rFonts w:cs="Arial"/>
                <w:b/>
                <w:sz w:val="20"/>
                <w:szCs w:val="20"/>
              </w:rPr>
            </w:pPr>
            <w:r w:rsidRPr="00AA5146">
              <w:rPr>
                <w:rFonts w:cs="Arial"/>
                <w:sz w:val="20"/>
                <w:szCs w:val="20"/>
              </w:rPr>
              <w:t>.</w:t>
            </w:r>
          </w:p>
        </w:tc>
        <w:tc>
          <w:tcPr>
            <w:tcW w:w="868" w:type="pct"/>
            <w:vMerge/>
            <w:shd w:val="clear" w:color="auto" w:fill="B8CCE4"/>
            <w:noWrap/>
            <w:vAlign w:val="center"/>
            <w:hideMark/>
          </w:tcPr>
          <w:p w:rsidR="00AA5146" w:rsidRPr="00AA5146" w:rsidRDefault="00AA5146" w:rsidP="00AA5146">
            <w:pPr>
              <w:autoSpaceDE w:val="0"/>
              <w:autoSpaceDN w:val="0"/>
              <w:adjustRightInd w:val="0"/>
              <w:spacing w:beforeLines="60" w:before="144" w:afterLines="60" w:after="144"/>
              <w:ind w:left="66"/>
              <w:rPr>
                <w:rFonts w:cs="Arial"/>
                <w:b/>
                <w:sz w:val="20"/>
                <w:szCs w:val="20"/>
              </w:rPr>
            </w:pPr>
          </w:p>
        </w:tc>
        <w:tc>
          <w:tcPr>
            <w:tcW w:w="2277" w:type="pct"/>
            <w:shd w:val="clear" w:color="auto" w:fill="B8CCE4"/>
            <w:noWrap/>
            <w:hideMark/>
          </w:tcPr>
          <w:p w:rsidR="00AA5146" w:rsidRPr="00AA5146" w:rsidRDefault="00AA5146" w:rsidP="00AA5146">
            <w:pPr>
              <w:autoSpaceDE w:val="0"/>
              <w:autoSpaceDN w:val="0"/>
              <w:adjustRightInd w:val="0"/>
              <w:spacing w:beforeLines="60" w:before="144" w:afterLines="60" w:after="144"/>
              <w:jc w:val="center"/>
              <w:rPr>
                <w:rFonts w:eastAsia="Times New Roman" w:cs="Arial"/>
                <w:b/>
                <w:color w:val="000000"/>
                <w:sz w:val="20"/>
                <w:szCs w:val="20"/>
                <w:lang w:eastAsia="pt-BR"/>
              </w:rPr>
            </w:pPr>
            <w:r w:rsidRPr="00AA5146">
              <w:rPr>
                <w:rFonts w:eastAsia="Times New Roman" w:cs="Arial"/>
                <w:b/>
                <w:color w:val="000000"/>
                <w:sz w:val="20"/>
                <w:szCs w:val="20"/>
                <w:lang w:eastAsia="pt-BR"/>
              </w:rPr>
              <w:t>AMEAÇAS</w:t>
            </w:r>
          </w:p>
          <w:p w:rsidR="00AA5146" w:rsidRPr="00AA5146" w:rsidRDefault="00AA5146" w:rsidP="00AA5146">
            <w:pPr>
              <w:autoSpaceDE w:val="0"/>
              <w:autoSpaceDN w:val="0"/>
              <w:adjustRightInd w:val="0"/>
              <w:spacing w:beforeLines="60" w:before="144" w:afterLines="60" w:after="144" w:line="240" w:lineRule="auto"/>
              <w:ind w:left="66"/>
              <w:jc w:val="both"/>
              <w:rPr>
                <w:rFonts w:cs="Arial"/>
                <w:b/>
                <w:sz w:val="20"/>
                <w:szCs w:val="20"/>
              </w:rPr>
            </w:pPr>
            <w:r w:rsidRPr="00AA5146">
              <w:rPr>
                <w:rFonts w:cs="Arial"/>
                <w:b/>
                <w:sz w:val="20"/>
                <w:szCs w:val="20"/>
              </w:rPr>
              <w:t>4. Legislação e normatização do setor</w:t>
            </w:r>
          </w:p>
          <w:p w:rsidR="00AA5146" w:rsidRPr="00AA5146" w:rsidRDefault="00AA5146" w:rsidP="00AA5146">
            <w:pPr>
              <w:autoSpaceDE w:val="0"/>
              <w:autoSpaceDN w:val="0"/>
              <w:adjustRightInd w:val="0"/>
              <w:spacing w:beforeLines="60" w:before="144" w:afterLines="60" w:after="144"/>
              <w:ind w:left="66"/>
              <w:rPr>
                <w:rFonts w:cs="Arial"/>
                <w:sz w:val="20"/>
                <w:szCs w:val="20"/>
              </w:rPr>
            </w:pPr>
            <w:r w:rsidRPr="00AA5146">
              <w:rPr>
                <w:rFonts w:cs="Arial"/>
                <w:sz w:val="20"/>
                <w:szCs w:val="20"/>
              </w:rPr>
              <w:t>- Ausência de regulamentos que cerceiem ações degradadoras do meio ambiente devido a disposições inadequadas de resíduos e rejeitos.</w:t>
            </w:r>
          </w:p>
          <w:p w:rsidR="00AA5146" w:rsidRPr="00AA5146" w:rsidRDefault="00AA5146" w:rsidP="00AA5146">
            <w:pPr>
              <w:autoSpaceDE w:val="0"/>
              <w:autoSpaceDN w:val="0"/>
              <w:adjustRightInd w:val="0"/>
              <w:spacing w:beforeLines="60" w:before="144" w:afterLines="60" w:after="144"/>
              <w:jc w:val="both"/>
              <w:rPr>
                <w:rFonts w:eastAsia="Times New Roman" w:cs="Arial"/>
                <w:color w:val="000000"/>
                <w:sz w:val="20"/>
                <w:szCs w:val="20"/>
                <w:lang w:eastAsia="pt-BR"/>
              </w:rPr>
            </w:pPr>
          </w:p>
        </w:tc>
      </w:tr>
    </w:tbl>
    <w:p w:rsidR="00AA5146" w:rsidRPr="00AA5146" w:rsidRDefault="00AA5146" w:rsidP="00AA5146">
      <w:pPr>
        <w:spacing w:before="120" w:after="120"/>
        <w:contextualSpacing/>
        <w:jc w:val="center"/>
        <w:rPr>
          <w:rFonts w:eastAsia="Times New Roman" w:cs="Arial"/>
          <w:sz w:val="22"/>
          <w:szCs w:val="24"/>
          <w:lang w:eastAsia="pt-BR"/>
        </w:rPr>
      </w:pPr>
      <w:r w:rsidRPr="00AA5146">
        <w:rPr>
          <w:rFonts w:eastAsia="Times New Roman"/>
          <w:sz w:val="22"/>
          <w:lang w:eastAsia="pt-BR"/>
        </w:rPr>
        <w:t>Fonte: adaptado por SHS, 2017.</w:t>
      </w:r>
    </w:p>
    <w:p w:rsidR="00AA5146" w:rsidRPr="00AA5146" w:rsidRDefault="00AA5146" w:rsidP="00AA5146">
      <w:pPr>
        <w:jc w:val="both"/>
        <w:rPr>
          <w:rFonts w:cs="Arial"/>
          <w:szCs w:val="24"/>
          <w:lang w:eastAsia="pt-BR"/>
        </w:rPr>
        <w:sectPr w:rsidR="00AA5146" w:rsidRPr="00AA5146" w:rsidSect="00AA5146">
          <w:footerReference w:type="default" r:id="rId68"/>
          <w:pgSz w:w="16838" w:h="11906" w:orient="landscape"/>
          <w:pgMar w:top="1418" w:right="1134" w:bottom="1134" w:left="1134" w:header="709" w:footer="709" w:gutter="0"/>
          <w:cols w:space="708"/>
          <w:docGrid w:linePitch="360"/>
        </w:sectPr>
      </w:pPr>
    </w:p>
    <w:p w:rsidR="00AA5146" w:rsidRPr="00AA5146" w:rsidRDefault="00AA5146" w:rsidP="00AA5146">
      <w:pPr>
        <w:spacing w:before="120" w:after="120"/>
        <w:ind w:firstLine="708"/>
        <w:contextualSpacing/>
        <w:jc w:val="both"/>
        <w:rPr>
          <w:rFonts w:cs="Arial"/>
          <w:szCs w:val="24"/>
          <w:lang w:eastAsia="pt-BR"/>
        </w:rPr>
      </w:pPr>
      <w:r w:rsidRPr="00AA5146">
        <w:rPr>
          <w:rFonts w:cs="Arial"/>
          <w:szCs w:val="24"/>
          <w:lang w:eastAsia="pt-BR"/>
        </w:rPr>
        <w:lastRenderedPageBreak/>
        <w:t>Com base na matriz SWOT, que avalia aspectos positivos e negativos internos e externos à gestão de limpeza urbana e manejo de resíduos sólidos do município de Córrego Novo, foi possível elaborar a descrição dos cenários previsível e normativo para o horizonte de planejamento (</w:t>
      </w:r>
      <w:r w:rsidRPr="00AA5146">
        <w:rPr>
          <w:rFonts w:cs="Arial"/>
          <w:szCs w:val="24"/>
          <w:lang w:eastAsia="pt-BR"/>
        </w:rPr>
        <w:fldChar w:fldCharType="begin"/>
      </w:r>
      <w:r w:rsidRPr="00AA5146">
        <w:rPr>
          <w:rFonts w:cs="Arial"/>
          <w:szCs w:val="24"/>
          <w:lang w:eastAsia="pt-BR"/>
        </w:rPr>
        <w:instrText xml:space="preserve"> REF _Ref484420761 \h  \* MERGEFORMAT </w:instrText>
      </w:r>
      <w:r w:rsidRPr="00AA5146">
        <w:rPr>
          <w:rFonts w:cs="Arial"/>
          <w:szCs w:val="24"/>
          <w:lang w:eastAsia="pt-BR"/>
        </w:rPr>
      </w:r>
      <w:r w:rsidRPr="00AA5146">
        <w:rPr>
          <w:rFonts w:cs="Arial"/>
          <w:szCs w:val="24"/>
          <w:lang w:eastAsia="pt-BR"/>
        </w:rPr>
        <w:fldChar w:fldCharType="separate"/>
      </w:r>
      <w:r w:rsidR="001B481B" w:rsidRPr="001B481B">
        <w:rPr>
          <w:rFonts w:eastAsia="Times New Roman" w:cs="Arial"/>
          <w:bCs/>
          <w:szCs w:val="24"/>
          <w:lang w:val="x-none" w:eastAsia="x-none"/>
        </w:rPr>
        <w:t xml:space="preserve">Quadro </w:t>
      </w:r>
      <w:r w:rsidR="001B481B" w:rsidRPr="001B481B">
        <w:rPr>
          <w:rFonts w:eastAsia="Times New Roman" w:cs="Arial"/>
          <w:bCs/>
          <w:noProof/>
          <w:szCs w:val="24"/>
          <w:lang w:val="x-none" w:eastAsia="x-none"/>
        </w:rPr>
        <w:t>82</w:t>
      </w:r>
      <w:r w:rsidRPr="00AA5146">
        <w:rPr>
          <w:rFonts w:cs="Arial"/>
          <w:szCs w:val="24"/>
          <w:lang w:eastAsia="pt-BR"/>
        </w:rPr>
        <w:fldChar w:fldCharType="end"/>
      </w:r>
      <w:r w:rsidRPr="00AA5146">
        <w:rPr>
          <w:rFonts w:cs="Arial"/>
          <w:szCs w:val="24"/>
          <w:lang w:eastAsia="pt-BR"/>
        </w:rPr>
        <w:t>).</w:t>
      </w:r>
    </w:p>
    <w:p w:rsidR="00AA5146" w:rsidRPr="00AA5146" w:rsidRDefault="00AA5146" w:rsidP="00810C89">
      <w:pPr>
        <w:pStyle w:val="Legenda"/>
        <w:rPr>
          <w:lang w:eastAsia="pt-BR"/>
        </w:rPr>
      </w:pPr>
      <w:bookmarkStart w:id="983" w:name="_Ref484420761"/>
      <w:bookmarkStart w:id="984" w:name="_Toc484423922"/>
      <w:bookmarkStart w:id="985" w:name="_Toc484532484"/>
      <w:bookmarkStart w:id="986" w:name="_Toc498099258"/>
      <w:bookmarkStart w:id="987" w:name="_Toc509935859"/>
      <w:r w:rsidRPr="00AA5146">
        <w:t xml:space="preserve">Quadro </w:t>
      </w:r>
      <w:r w:rsidR="000A1C78">
        <w:fldChar w:fldCharType="begin"/>
      </w:r>
      <w:r w:rsidR="000A1C78">
        <w:instrText xml:space="preserve"> SEQ Quadro \* ARABIC </w:instrText>
      </w:r>
      <w:r w:rsidR="000A1C78">
        <w:fldChar w:fldCharType="separate"/>
      </w:r>
      <w:r w:rsidR="001B481B">
        <w:rPr>
          <w:noProof/>
        </w:rPr>
        <w:t>82</w:t>
      </w:r>
      <w:r w:rsidR="000A1C78">
        <w:rPr>
          <w:noProof/>
        </w:rPr>
        <w:fldChar w:fldCharType="end"/>
      </w:r>
      <w:bookmarkEnd w:id="983"/>
      <w:r w:rsidRPr="00AA5146">
        <w:t xml:space="preserve"> - Descrição dos cenários previsível e normativo para o Sistema de Limpeza Urbana e Manejo de Resíduos Sólidos</w:t>
      </w:r>
      <w:bookmarkEnd w:id="984"/>
      <w:bookmarkEnd w:id="985"/>
      <w:bookmarkEnd w:id="986"/>
      <w:bookmarkEnd w:id="987"/>
    </w:p>
    <w:tbl>
      <w:tblPr>
        <w:tblW w:w="9215" w:type="dxa"/>
        <w:jc w:val="center"/>
        <w:tblBorders>
          <w:top w:val="single" w:sz="8" w:space="0" w:color="4F81BD"/>
          <w:left w:val="single" w:sz="8" w:space="0" w:color="4F81BD"/>
          <w:bottom w:val="single" w:sz="8" w:space="0" w:color="4F81BD"/>
          <w:right w:val="single" w:sz="8" w:space="0" w:color="4F81BD"/>
        </w:tblBorders>
        <w:tblLook w:val="04A0" w:firstRow="1" w:lastRow="0" w:firstColumn="1" w:lastColumn="0" w:noHBand="0" w:noVBand="1"/>
      </w:tblPr>
      <w:tblGrid>
        <w:gridCol w:w="4679"/>
        <w:gridCol w:w="4536"/>
      </w:tblGrid>
      <w:tr w:rsidR="00AA5146" w:rsidRPr="00AA5146" w:rsidTr="00AA5146">
        <w:trPr>
          <w:tblHeader/>
          <w:jc w:val="center"/>
        </w:trPr>
        <w:tc>
          <w:tcPr>
            <w:tcW w:w="4679" w:type="dxa"/>
            <w:tcBorders>
              <w:top w:val="single" w:sz="8" w:space="0" w:color="4F81BD"/>
              <w:bottom w:val="single" w:sz="8" w:space="0" w:color="4F81BD"/>
              <w:right w:val="single" w:sz="8" w:space="0" w:color="4F81BD"/>
            </w:tcBorders>
            <w:shd w:val="clear" w:color="auto" w:fill="4F81BD"/>
            <w:vAlign w:val="center"/>
          </w:tcPr>
          <w:p w:rsidR="00AA5146" w:rsidRPr="00AA5146" w:rsidRDefault="00AA5146" w:rsidP="00AA5146">
            <w:pPr>
              <w:autoSpaceDE w:val="0"/>
              <w:autoSpaceDN w:val="0"/>
              <w:adjustRightInd w:val="0"/>
              <w:spacing w:line="252" w:lineRule="auto"/>
              <w:contextualSpacing/>
              <w:jc w:val="center"/>
              <w:rPr>
                <w:rFonts w:cs="Arial"/>
                <w:b/>
                <w:bCs/>
                <w:color w:val="FFFFFF" w:themeColor="background1"/>
                <w:sz w:val="20"/>
              </w:rPr>
            </w:pPr>
            <w:r w:rsidRPr="00AA5146">
              <w:rPr>
                <w:rFonts w:cs="Arial"/>
                <w:b/>
                <w:bCs/>
                <w:color w:val="FFFFFF" w:themeColor="background1"/>
                <w:sz w:val="20"/>
              </w:rPr>
              <w:t>Cenário Previsível</w:t>
            </w:r>
          </w:p>
        </w:tc>
        <w:tc>
          <w:tcPr>
            <w:tcW w:w="4536" w:type="dxa"/>
            <w:tcBorders>
              <w:left w:val="single" w:sz="8" w:space="0" w:color="4F81BD"/>
            </w:tcBorders>
            <w:shd w:val="clear" w:color="auto" w:fill="4F81BD"/>
            <w:vAlign w:val="center"/>
          </w:tcPr>
          <w:p w:rsidR="00AA5146" w:rsidRPr="00AA5146" w:rsidRDefault="00AA5146" w:rsidP="00AA5146">
            <w:pPr>
              <w:autoSpaceDE w:val="0"/>
              <w:autoSpaceDN w:val="0"/>
              <w:adjustRightInd w:val="0"/>
              <w:spacing w:line="252" w:lineRule="auto"/>
              <w:contextualSpacing/>
              <w:jc w:val="center"/>
              <w:rPr>
                <w:rFonts w:cs="Arial"/>
                <w:b/>
                <w:bCs/>
                <w:color w:val="FFFFFF" w:themeColor="background1"/>
                <w:sz w:val="20"/>
              </w:rPr>
            </w:pPr>
            <w:r w:rsidRPr="00AA5146">
              <w:rPr>
                <w:rFonts w:cs="Arial"/>
                <w:b/>
                <w:bCs/>
                <w:color w:val="FFFFFF" w:themeColor="background1"/>
                <w:sz w:val="20"/>
              </w:rPr>
              <w:t>Cenário Normativo</w:t>
            </w:r>
          </w:p>
        </w:tc>
      </w:tr>
      <w:tr w:rsidR="00AA5146" w:rsidRPr="00AA5146" w:rsidTr="00AA5146">
        <w:trPr>
          <w:jc w:val="center"/>
        </w:trPr>
        <w:tc>
          <w:tcPr>
            <w:tcW w:w="4679" w:type="dxa"/>
            <w:tcBorders>
              <w:top w:val="single" w:sz="8" w:space="0" w:color="4F81BD"/>
              <w:left w:val="single" w:sz="8" w:space="0" w:color="4F81BD"/>
              <w:bottom w:val="single" w:sz="8" w:space="0" w:color="4F81BD"/>
              <w:right w:val="single" w:sz="8" w:space="0" w:color="4F81BD"/>
            </w:tcBorders>
            <w:shd w:val="clear" w:color="auto" w:fill="auto"/>
          </w:tcPr>
          <w:p w:rsidR="00AA5146" w:rsidRPr="00AA5146" w:rsidRDefault="00AA5146" w:rsidP="00AA5146">
            <w:pPr>
              <w:autoSpaceDE w:val="0"/>
              <w:autoSpaceDN w:val="0"/>
              <w:adjustRightInd w:val="0"/>
              <w:spacing w:line="252" w:lineRule="auto"/>
              <w:contextualSpacing/>
              <w:jc w:val="both"/>
              <w:rPr>
                <w:rFonts w:cs="Arial"/>
                <w:bCs/>
                <w:sz w:val="20"/>
              </w:rPr>
            </w:pPr>
            <w:r w:rsidRPr="00AA5146">
              <w:rPr>
                <w:rFonts w:cs="Arial"/>
                <w:bCs/>
                <w:sz w:val="20"/>
              </w:rPr>
              <w:t>Coleta convencional sem atingir a totalidade da população e inexistência de coleta seletiva estruturada no município.</w:t>
            </w:r>
          </w:p>
        </w:tc>
        <w:tc>
          <w:tcPr>
            <w:tcW w:w="4536" w:type="dxa"/>
            <w:tcBorders>
              <w:top w:val="single" w:sz="8" w:space="0" w:color="4F81BD"/>
              <w:left w:val="single" w:sz="8" w:space="0" w:color="4F81BD"/>
              <w:bottom w:val="single" w:sz="8" w:space="0" w:color="4F81BD"/>
              <w:right w:val="single" w:sz="8" w:space="0" w:color="4F81BD"/>
            </w:tcBorders>
            <w:shd w:val="clear" w:color="auto" w:fill="auto"/>
            <w:vAlign w:val="center"/>
          </w:tcPr>
          <w:p w:rsidR="00AA5146" w:rsidRPr="00AA5146" w:rsidRDefault="00AA5146" w:rsidP="00AA5146">
            <w:pPr>
              <w:autoSpaceDE w:val="0"/>
              <w:autoSpaceDN w:val="0"/>
              <w:adjustRightInd w:val="0"/>
              <w:spacing w:line="252" w:lineRule="auto"/>
              <w:contextualSpacing/>
              <w:jc w:val="both"/>
              <w:rPr>
                <w:rFonts w:cs="Arial"/>
                <w:sz w:val="20"/>
              </w:rPr>
            </w:pPr>
            <w:r w:rsidRPr="00AA5146">
              <w:rPr>
                <w:rFonts w:cs="Arial"/>
                <w:sz w:val="20"/>
              </w:rPr>
              <w:t>Coleta convencional e seletiva com abrangência em todo o município.</w:t>
            </w:r>
          </w:p>
        </w:tc>
      </w:tr>
      <w:tr w:rsidR="00AA5146" w:rsidRPr="00AA5146" w:rsidTr="00AA5146">
        <w:trPr>
          <w:jc w:val="center"/>
        </w:trPr>
        <w:tc>
          <w:tcPr>
            <w:tcW w:w="4679" w:type="dxa"/>
            <w:tcBorders>
              <w:bottom w:val="single" w:sz="4" w:space="0" w:color="auto"/>
              <w:right w:val="single" w:sz="8" w:space="0" w:color="4F81BD"/>
            </w:tcBorders>
            <w:shd w:val="clear" w:color="auto" w:fill="auto"/>
            <w:vAlign w:val="center"/>
          </w:tcPr>
          <w:p w:rsidR="00AA5146" w:rsidRPr="00AA5146" w:rsidRDefault="00AA5146" w:rsidP="00AA5146">
            <w:pPr>
              <w:autoSpaceDE w:val="0"/>
              <w:autoSpaceDN w:val="0"/>
              <w:adjustRightInd w:val="0"/>
              <w:spacing w:line="252" w:lineRule="auto"/>
              <w:contextualSpacing/>
              <w:jc w:val="both"/>
              <w:rPr>
                <w:rFonts w:cs="Arial"/>
                <w:bCs/>
                <w:sz w:val="20"/>
                <w:szCs w:val="20"/>
                <w:lang w:eastAsia="pt-BR"/>
              </w:rPr>
            </w:pPr>
            <w:r w:rsidRPr="00AA5146">
              <w:rPr>
                <w:rFonts w:cs="Arial"/>
                <w:bCs/>
                <w:sz w:val="20"/>
                <w:szCs w:val="20"/>
                <w:lang w:eastAsia="pt-BR"/>
              </w:rPr>
              <w:t>Sistema de fiscalização atende apenas sob demanda da população (denúncias).</w:t>
            </w:r>
          </w:p>
        </w:tc>
        <w:tc>
          <w:tcPr>
            <w:tcW w:w="4536" w:type="dxa"/>
            <w:tcBorders>
              <w:left w:val="single" w:sz="8" w:space="0" w:color="4F81BD"/>
              <w:bottom w:val="single" w:sz="4" w:space="0" w:color="auto"/>
            </w:tcBorders>
            <w:shd w:val="clear" w:color="auto" w:fill="auto"/>
            <w:vAlign w:val="center"/>
          </w:tcPr>
          <w:p w:rsidR="00AA5146" w:rsidRPr="00AA5146" w:rsidRDefault="00AA5146" w:rsidP="00AA5146">
            <w:pPr>
              <w:autoSpaceDE w:val="0"/>
              <w:autoSpaceDN w:val="0"/>
              <w:adjustRightInd w:val="0"/>
              <w:spacing w:line="252" w:lineRule="auto"/>
              <w:contextualSpacing/>
              <w:jc w:val="both"/>
              <w:rPr>
                <w:rFonts w:cs="Arial"/>
                <w:sz w:val="20"/>
                <w:szCs w:val="20"/>
                <w:lang w:eastAsia="pt-BR"/>
              </w:rPr>
            </w:pPr>
            <w:r w:rsidRPr="00AA5146">
              <w:rPr>
                <w:rFonts w:cs="Arial"/>
                <w:sz w:val="20"/>
                <w:szCs w:val="20"/>
                <w:lang w:eastAsia="pt-BR"/>
              </w:rPr>
              <w:t>Processos de fiscalização melhor estruturados e planejados, de forma a atender às demandas da gestão integrada de resíduos, com definição das responsabilidades e competências.</w:t>
            </w:r>
          </w:p>
        </w:tc>
      </w:tr>
      <w:tr w:rsidR="00AA5146" w:rsidRPr="00AA5146" w:rsidTr="00AA5146">
        <w:trPr>
          <w:jc w:val="center"/>
        </w:trPr>
        <w:tc>
          <w:tcPr>
            <w:tcW w:w="4679" w:type="dxa"/>
            <w:tcBorders>
              <w:top w:val="single" w:sz="4" w:space="0" w:color="auto"/>
              <w:right w:val="single" w:sz="8" w:space="0" w:color="4F81BD"/>
            </w:tcBorders>
            <w:shd w:val="clear" w:color="auto" w:fill="auto"/>
            <w:vAlign w:val="center"/>
          </w:tcPr>
          <w:p w:rsidR="00AA5146" w:rsidRPr="00AA5146" w:rsidRDefault="00AA5146" w:rsidP="00AA5146">
            <w:pPr>
              <w:autoSpaceDE w:val="0"/>
              <w:autoSpaceDN w:val="0"/>
              <w:adjustRightInd w:val="0"/>
              <w:spacing w:line="252" w:lineRule="auto"/>
              <w:contextualSpacing/>
              <w:jc w:val="both"/>
              <w:rPr>
                <w:rFonts w:cs="Arial"/>
                <w:b/>
                <w:bCs/>
                <w:sz w:val="20"/>
                <w:szCs w:val="20"/>
                <w:lang w:eastAsia="pt-BR"/>
              </w:rPr>
            </w:pPr>
            <w:r w:rsidRPr="00AA5146">
              <w:rPr>
                <w:rFonts w:cs="Arial"/>
                <w:sz w:val="20"/>
                <w:szCs w:val="24"/>
                <w:lang w:eastAsia="pt-BR"/>
              </w:rPr>
              <w:t>Não há taxa ou cobrança pela prestação dos serviços públicos de gestão de resíduos sólidos.</w:t>
            </w:r>
          </w:p>
        </w:tc>
        <w:tc>
          <w:tcPr>
            <w:tcW w:w="4536" w:type="dxa"/>
            <w:tcBorders>
              <w:top w:val="single" w:sz="4" w:space="0" w:color="auto"/>
              <w:left w:val="single" w:sz="8" w:space="0" w:color="4F81BD"/>
            </w:tcBorders>
            <w:shd w:val="clear" w:color="auto" w:fill="auto"/>
            <w:vAlign w:val="center"/>
          </w:tcPr>
          <w:p w:rsidR="00AA5146" w:rsidRPr="00AA5146" w:rsidRDefault="00AA5146" w:rsidP="00AA5146">
            <w:pPr>
              <w:autoSpaceDE w:val="0"/>
              <w:autoSpaceDN w:val="0"/>
              <w:adjustRightInd w:val="0"/>
              <w:spacing w:line="252" w:lineRule="auto"/>
              <w:contextualSpacing/>
              <w:jc w:val="both"/>
              <w:rPr>
                <w:rFonts w:cs="Arial"/>
                <w:sz w:val="20"/>
                <w:szCs w:val="20"/>
                <w:lang w:eastAsia="pt-BR"/>
              </w:rPr>
            </w:pPr>
            <w:r w:rsidRPr="00AA5146">
              <w:rPr>
                <w:rFonts w:cs="Arial"/>
                <w:sz w:val="20"/>
                <w:szCs w:val="20"/>
                <w:lang w:eastAsia="pt-BR"/>
              </w:rPr>
              <w:t>Cobrança estabelecida de maneira participativa e suficiente para auxiliar uma gestão integrada de resíduos sólidos com sustentabilidade financeira.</w:t>
            </w:r>
          </w:p>
        </w:tc>
      </w:tr>
      <w:tr w:rsidR="00AA5146" w:rsidRPr="00AA5146" w:rsidTr="00AA5146">
        <w:trPr>
          <w:jc w:val="center"/>
        </w:trPr>
        <w:tc>
          <w:tcPr>
            <w:tcW w:w="4679" w:type="dxa"/>
            <w:tcBorders>
              <w:top w:val="single" w:sz="8" w:space="0" w:color="4F81BD"/>
              <w:left w:val="single" w:sz="8" w:space="0" w:color="4F81BD"/>
              <w:bottom w:val="single" w:sz="8" w:space="0" w:color="4F81BD"/>
              <w:right w:val="single" w:sz="8" w:space="0" w:color="4F81BD"/>
            </w:tcBorders>
            <w:shd w:val="clear" w:color="auto" w:fill="auto"/>
            <w:vAlign w:val="center"/>
          </w:tcPr>
          <w:p w:rsidR="00AA5146" w:rsidRPr="00AA5146" w:rsidRDefault="00AA5146" w:rsidP="00AA5146">
            <w:pPr>
              <w:autoSpaceDE w:val="0"/>
              <w:autoSpaceDN w:val="0"/>
              <w:adjustRightInd w:val="0"/>
              <w:spacing w:line="252" w:lineRule="auto"/>
              <w:contextualSpacing/>
              <w:jc w:val="both"/>
              <w:rPr>
                <w:rFonts w:cs="Arial"/>
                <w:bCs/>
                <w:sz w:val="20"/>
                <w:szCs w:val="20"/>
                <w:lang w:eastAsia="pt-BR"/>
              </w:rPr>
            </w:pPr>
            <w:r w:rsidRPr="00AA5146">
              <w:rPr>
                <w:rFonts w:cs="Arial"/>
                <w:bCs/>
                <w:sz w:val="20"/>
                <w:szCs w:val="20"/>
                <w:lang w:eastAsia="pt-BR"/>
              </w:rPr>
              <w:t>Pouco aproveitamento dos resíduos de construção civil para fins sustentáveis. Grande quantidade de RCC sendo destinada diretamente a áreas irregulares.</w:t>
            </w:r>
          </w:p>
        </w:tc>
        <w:tc>
          <w:tcPr>
            <w:tcW w:w="4536" w:type="dxa"/>
            <w:tcBorders>
              <w:top w:val="single" w:sz="8" w:space="0" w:color="4F81BD"/>
              <w:left w:val="single" w:sz="8" w:space="0" w:color="4F81BD"/>
              <w:bottom w:val="single" w:sz="8" w:space="0" w:color="4F81BD"/>
              <w:right w:val="single" w:sz="8" w:space="0" w:color="4F81BD"/>
            </w:tcBorders>
            <w:shd w:val="clear" w:color="auto" w:fill="auto"/>
            <w:vAlign w:val="center"/>
          </w:tcPr>
          <w:p w:rsidR="00AA5146" w:rsidRPr="00AA5146" w:rsidRDefault="00AA5146" w:rsidP="00AA5146">
            <w:pPr>
              <w:autoSpaceDE w:val="0"/>
              <w:autoSpaceDN w:val="0"/>
              <w:adjustRightInd w:val="0"/>
              <w:spacing w:line="252" w:lineRule="auto"/>
              <w:contextualSpacing/>
              <w:jc w:val="both"/>
              <w:rPr>
                <w:rFonts w:cs="Arial"/>
                <w:sz w:val="20"/>
                <w:szCs w:val="20"/>
                <w:lang w:eastAsia="pt-BR"/>
              </w:rPr>
            </w:pPr>
            <w:r w:rsidRPr="00AA5146">
              <w:rPr>
                <w:rFonts w:cs="Arial"/>
                <w:sz w:val="20"/>
                <w:szCs w:val="20"/>
                <w:lang w:eastAsia="pt-BR"/>
              </w:rPr>
              <w:t>Coleta dos RCCs regulada. Reaproveitamento e/ou comercialização dos resíduos de construção civil. Disposição final ambientalmente adequada em possível aterro de inertes, municipal ou consorciado.</w:t>
            </w:r>
          </w:p>
        </w:tc>
      </w:tr>
      <w:tr w:rsidR="00AA5146" w:rsidRPr="00AA5146" w:rsidTr="00AA5146">
        <w:trPr>
          <w:trHeight w:val="225"/>
          <w:jc w:val="center"/>
        </w:trPr>
        <w:tc>
          <w:tcPr>
            <w:tcW w:w="4679" w:type="dxa"/>
            <w:tcBorders>
              <w:top w:val="single" w:sz="4" w:space="0" w:color="4F81BD"/>
              <w:left w:val="single" w:sz="4" w:space="0" w:color="4F81BD"/>
              <w:bottom w:val="single" w:sz="4" w:space="0" w:color="4F81BD"/>
              <w:right w:val="single" w:sz="4" w:space="0" w:color="4F81BD"/>
            </w:tcBorders>
            <w:shd w:val="clear" w:color="auto" w:fill="auto"/>
          </w:tcPr>
          <w:p w:rsidR="00AA5146" w:rsidRPr="00AA5146" w:rsidRDefault="00AA5146" w:rsidP="00AA5146">
            <w:pPr>
              <w:autoSpaceDE w:val="0"/>
              <w:autoSpaceDN w:val="0"/>
              <w:adjustRightInd w:val="0"/>
              <w:spacing w:line="252" w:lineRule="auto"/>
              <w:contextualSpacing/>
              <w:jc w:val="both"/>
              <w:rPr>
                <w:rFonts w:cs="Arial"/>
                <w:bCs/>
                <w:sz w:val="20"/>
                <w:szCs w:val="20"/>
                <w:lang w:eastAsia="pt-BR"/>
              </w:rPr>
            </w:pPr>
            <w:r w:rsidRPr="00AA5146">
              <w:rPr>
                <w:rFonts w:cs="Arial"/>
                <w:bCs/>
                <w:sz w:val="20"/>
                <w:szCs w:val="20"/>
                <w:lang w:eastAsia="pt-BR"/>
              </w:rPr>
              <w:t>Ausência de um destino ambientalmente correto para os resíduos especiais.</w:t>
            </w:r>
          </w:p>
        </w:tc>
        <w:tc>
          <w:tcPr>
            <w:tcW w:w="4536" w:type="dxa"/>
            <w:tcBorders>
              <w:top w:val="single" w:sz="4" w:space="0" w:color="4F81BD"/>
              <w:left w:val="single" w:sz="4" w:space="0" w:color="4F81BD"/>
              <w:bottom w:val="single" w:sz="4" w:space="0" w:color="4F81BD"/>
              <w:right w:val="single" w:sz="4" w:space="0" w:color="auto"/>
            </w:tcBorders>
            <w:shd w:val="clear" w:color="auto" w:fill="auto"/>
          </w:tcPr>
          <w:p w:rsidR="00AA5146" w:rsidRPr="00AA5146" w:rsidRDefault="00AA5146" w:rsidP="00AA5146">
            <w:pPr>
              <w:autoSpaceDE w:val="0"/>
              <w:autoSpaceDN w:val="0"/>
              <w:adjustRightInd w:val="0"/>
              <w:spacing w:line="252" w:lineRule="auto"/>
              <w:contextualSpacing/>
              <w:jc w:val="both"/>
              <w:rPr>
                <w:rFonts w:cs="Arial"/>
                <w:bCs/>
                <w:sz w:val="20"/>
                <w:szCs w:val="20"/>
                <w:lang w:eastAsia="pt-BR"/>
              </w:rPr>
            </w:pPr>
            <w:r w:rsidRPr="00AA5146">
              <w:rPr>
                <w:rFonts w:cs="Arial"/>
                <w:bCs/>
                <w:sz w:val="20"/>
                <w:szCs w:val="20"/>
                <w:lang w:eastAsia="pt-BR"/>
              </w:rPr>
              <w:t>Coleta e destinação adequada para os resíduos especiais gerados.</w:t>
            </w:r>
          </w:p>
        </w:tc>
      </w:tr>
      <w:tr w:rsidR="00AA5146" w:rsidRPr="00AA5146" w:rsidTr="00AA5146">
        <w:trPr>
          <w:trHeight w:val="225"/>
          <w:jc w:val="center"/>
        </w:trPr>
        <w:tc>
          <w:tcPr>
            <w:tcW w:w="4679" w:type="dxa"/>
            <w:tcBorders>
              <w:top w:val="single" w:sz="4" w:space="0" w:color="4F81BD"/>
              <w:left w:val="single" w:sz="4" w:space="0" w:color="4F81BD"/>
              <w:bottom w:val="single" w:sz="4" w:space="0" w:color="4F81BD"/>
              <w:right w:val="single" w:sz="4" w:space="0" w:color="4F81BD"/>
            </w:tcBorders>
            <w:shd w:val="clear" w:color="auto" w:fill="auto"/>
          </w:tcPr>
          <w:p w:rsidR="00AA5146" w:rsidRPr="00AA5146" w:rsidRDefault="00AA5146" w:rsidP="00AA5146">
            <w:pPr>
              <w:autoSpaceDE w:val="0"/>
              <w:autoSpaceDN w:val="0"/>
              <w:adjustRightInd w:val="0"/>
              <w:spacing w:line="252" w:lineRule="auto"/>
              <w:contextualSpacing/>
              <w:jc w:val="both"/>
              <w:rPr>
                <w:rFonts w:cs="Arial"/>
                <w:bCs/>
                <w:sz w:val="20"/>
                <w:szCs w:val="20"/>
                <w:lang w:eastAsia="pt-BR"/>
              </w:rPr>
            </w:pPr>
            <w:r w:rsidRPr="00AA5146">
              <w:rPr>
                <w:rFonts w:cs="Arial"/>
                <w:bCs/>
                <w:sz w:val="20"/>
                <w:szCs w:val="20"/>
                <w:lang w:eastAsia="pt-BR"/>
              </w:rPr>
              <w:t>Ausência e/ou desatualização de Planos de Contingência e Emergência.</w:t>
            </w:r>
          </w:p>
        </w:tc>
        <w:tc>
          <w:tcPr>
            <w:tcW w:w="4536" w:type="dxa"/>
            <w:tcBorders>
              <w:top w:val="single" w:sz="4" w:space="0" w:color="4F81BD"/>
              <w:left w:val="single" w:sz="4" w:space="0" w:color="4F81BD"/>
              <w:bottom w:val="single" w:sz="4" w:space="0" w:color="4F81BD"/>
              <w:right w:val="single" w:sz="4" w:space="0" w:color="auto"/>
            </w:tcBorders>
            <w:shd w:val="clear" w:color="auto" w:fill="auto"/>
          </w:tcPr>
          <w:p w:rsidR="00AA5146" w:rsidRPr="00AA5146" w:rsidRDefault="00AA5146" w:rsidP="00AA5146">
            <w:pPr>
              <w:autoSpaceDE w:val="0"/>
              <w:autoSpaceDN w:val="0"/>
              <w:adjustRightInd w:val="0"/>
              <w:spacing w:line="252" w:lineRule="auto"/>
              <w:contextualSpacing/>
              <w:jc w:val="both"/>
              <w:rPr>
                <w:rFonts w:cs="Arial"/>
                <w:bCs/>
                <w:sz w:val="20"/>
                <w:szCs w:val="20"/>
                <w:lang w:eastAsia="pt-BR"/>
              </w:rPr>
            </w:pPr>
            <w:r w:rsidRPr="00AA5146">
              <w:rPr>
                <w:rFonts w:cs="Arial"/>
                <w:bCs/>
                <w:sz w:val="20"/>
                <w:szCs w:val="20"/>
                <w:lang w:eastAsia="pt-BR"/>
              </w:rPr>
              <w:t>Existência de Planos de Contingência e Emergência que se adaptam à realidade local.</w:t>
            </w:r>
          </w:p>
        </w:tc>
      </w:tr>
    </w:tbl>
    <w:p w:rsidR="00AA5146" w:rsidRPr="00AA5146" w:rsidRDefault="00AA5146" w:rsidP="00810C89">
      <w:pPr>
        <w:pStyle w:val="Fonte"/>
      </w:pPr>
    </w:p>
    <w:p w:rsidR="00AA5146" w:rsidRPr="00AA5146" w:rsidRDefault="00AA5146" w:rsidP="00BC01B1">
      <w:pPr>
        <w:pStyle w:val="Ttulo3"/>
      </w:pPr>
      <w:bookmarkStart w:id="988" w:name="_Toc509935564"/>
      <w:bookmarkEnd w:id="973"/>
      <w:bookmarkEnd w:id="974"/>
      <w:bookmarkEnd w:id="975"/>
      <w:bookmarkEnd w:id="976"/>
      <w:bookmarkEnd w:id="977"/>
      <w:r w:rsidRPr="00AA5146">
        <w:t>Objetivos e metas</w:t>
      </w:r>
      <w:bookmarkEnd w:id="988"/>
    </w:p>
    <w:p w:rsidR="00AA5146" w:rsidRPr="00AA5146" w:rsidRDefault="00AA5146" w:rsidP="00AA5146">
      <w:pPr>
        <w:spacing w:before="120" w:after="120" w:line="324" w:lineRule="auto"/>
        <w:ind w:firstLine="709"/>
        <w:contextualSpacing/>
        <w:jc w:val="both"/>
        <w:rPr>
          <w:rFonts w:cs="Arial"/>
          <w:szCs w:val="24"/>
          <w:lang w:eastAsia="pt-BR"/>
        </w:rPr>
      </w:pPr>
      <w:r w:rsidRPr="00AA5146">
        <w:rPr>
          <w:rFonts w:cs="Arial"/>
          <w:szCs w:val="24"/>
          <w:lang w:eastAsia="pt-BR"/>
        </w:rPr>
        <w:t>Para o sistema de limpeza urbana e manejo de resíduos sólidos foram propostos sete objetivos específicos, de acordo com seus aspectos, com as características de Córrego Novo levantadas na etapa do diagnóstico técnico-participativo e com o cenário normativo como elemento norteador para o alcance das metas. Esses objetivos são descritos a seguir.</w:t>
      </w:r>
    </w:p>
    <w:p w:rsidR="00AA5146" w:rsidRPr="00AA5146" w:rsidRDefault="00AA5146" w:rsidP="0066661F">
      <w:pPr>
        <w:numPr>
          <w:ilvl w:val="0"/>
          <w:numId w:val="37"/>
        </w:numPr>
        <w:ind w:left="2127" w:hanging="1560"/>
        <w:contextualSpacing/>
        <w:jc w:val="both"/>
        <w:rPr>
          <w:rFonts w:eastAsia="Times New Roman" w:cs="Arial"/>
          <w:b/>
          <w:bCs/>
          <w:szCs w:val="24"/>
          <w:lang w:eastAsia="pt-BR"/>
        </w:rPr>
      </w:pPr>
      <w:r w:rsidRPr="00AA5146">
        <w:rPr>
          <w:rFonts w:eastAsia="Times New Roman" w:cs="Arial"/>
          <w:b/>
          <w:bCs/>
          <w:szCs w:val="24"/>
          <w:lang w:eastAsia="pt-BR"/>
        </w:rPr>
        <w:t>Atender com coleta convencional e seletiva a 100% do município, de forma ininterrupta.</w:t>
      </w:r>
    </w:p>
    <w:p w:rsidR="00AA5146" w:rsidRPr="00AA5146" w:rsidRDefault="00AA5146" w:rsidP="0066661F">
      <w:pPr>
        <w:numPr>
          <w:ilvl w:val="0"/>
          <w:numId w:val="37"/>
        </w:numPr>
        <w:ind w:left="2127" w:hanging="1560"/>
        <w:contextualSpacing/>
        <w:jc w:val="both"/>
        <w:rPr>
          <w:rFonts w:eastAsia="Times New Roman" w:cs="Arial"/>
          <w:b/>
          <w:bCs/>
          <w:szCs w:val="24"/>
          <w:lang w:eastAsia="pt-BR"/>
        </w:rPr>
      </w:pPr>
      <w:r w:rsidRPr="00AA5146">
        <w:rPr>
          <w:rFonts w:eastAsia="Times New Roman" w:cs="Arial"/>
          <w:b/>
          <w:bCs/>
          <w:szCs w:val="24"/>
          <w:lang w:eastAsia="pt-BR"/>
        </w:rPr>
        <w:t>Ampliar e otimizar a cobertura dos serviços de limpeza urbana.</w:t>
      </w:r>
    </w:p>
    <w:p w:rsidR="00AA5146" w:rsidRPr="00AA5146" w:rsidRDefault="00AA5146" w:rsidP="0066661F">
      <w:pPr>
        <w:numPr>
          <w:ilvl w:val="0"/>
          <w:numId w:val="37"/>
        </w:numPr>
        <w:ind w:left="2127" w:hanging="1560"/>
        <w:contextualSpacing/>
        <w:jc w:val="both"/>
        <w:rPr>
          <w:rFonts w:eastAsia="Times New Roman" w:cs="Arial"/>
          <w:b/>
          <w:bCs/>
          <w:szCs w:val="24"/>
          <w:lang w:eastAsia="pt-BR"/>
        </w:rPr>
      </w:pPr>
      <w:r w:rsidRPr="00AA5146">
        <w:rPr>
          <w:rFonts w:eastAsia="Times New Roman" w:cs="Arial"/>
          <w:b/>
          <w:bCs/>
          <w:szCs w:val="24"/>
          <w:lang w:eastAsia="pt-BR"/>
        </w:rPr>
        <w:t>Reduzir o envio de resíduos recicláveis e passíveis de compostagem ao local de disposição final (aterro sanitário).</w:t>
      </w:r>
    </w:p>
    <w:p w:rsidR="00AA5146" w:rsidRPr="00AA5146" w:rsidRDefault="00AA5146" w:rsidP="0066661F">
      <w:pPr>
        <w:numPr>
          <w:ilvl w:val="0"/>
          <w:numId w:val="37"/>
        </w:numPr>
        <w:ind w:left="2127" w:hanging="1560"/>
        <w:contextualSpacing/>
        <w:jc w:val="both"/>
        <w:rPr>
          <w:rFonts w:eastAsia="Times New Roman" w:cs="Arial"/>
          <w:b/>
          <w:bCs/>
          <w:szCs w:val="24"/>
          <w:lang w:eastAsia="pt-BR"/>
        </w:rPr>
      </w:pPr>
      <w:r w:rsidRPr="00AA5146">
        <w:rPr>
          <w:rFonts w:eastAsia="Times New Roman" w:cs="Arial"/>
          <w:b/>
          <w:bCs/>
          <w:szCs w:val="24"/>
          <w:lang w:eastAsia="pt-BR"/>
        </w:rPr>
        <w:t>Implementar manejo de resíduos sólidos urbanos.</w:t>
      </w:r>
    </w:p>
    <w:p w:rsidR="00AA5146" w:rsidRPr="00AA5146" w:rsidRDefault="00AA5146" w:rsidP="0066661F">
      <w:pPr>
        <w:numPr>
          <w:ilvl w:val="0"/>
          <w:numId w:val="37"/>
        </w:numPr>
        <w:ind w:left="2127" w:hanging="1560"/>
        <w:contextualSpacing/>
        <w:jc w:val="both"/>
        <w:rPr>
          <w:rFonts w:eastAsia="Times New Roman" w:cs="Arial"/>
          <w:b/>
          <w:bCs/>
          <w:szCs w:val="24"/>
          <w:lang w:eastAsia="pt-BR"/>
        </w:rPr>
      </w:pPr>
      <w:r w:rsidRPr="00AA5146">
        <w:rPr>
          <w:rFonts w:eastAsia="Times New Roman" w:cs="Arial"/>
          <w:b/>
          <w:bCs/>
          <w:szCs w:val="24"/>
          <w:lang w:eastAsia="pt-BR"/>
        </w:rPr>
        <w:lastRenderedPageBreak/>
        <w:t>Regulamentar procedimentos de Gestão Integrada de Resíduos Sólidos, a partir de legislação específica.</w:t>
      </w:r>
    </w:p>
    <w:p w:rsidR="00AA5146" w:rsidRPr="00AA5146" w:rsidRDefault="00AA5146" w:rsidP="0066661F">
      <w:pPr>
        <w:numPr>
          <w:ilvl w:val="0"/>
          <w:numId w:val="37"/>
        </w:numPr>
        <w:ind w:left="2127" w:hanging="1560"/>
        <w:contextualSpacing/>
        <w:jc w:val="both"/>
        <w:rPr>
          <w:rFonts w:eastAsia="Times New Roman" w:cs="Arial"/>
          <w:b/>
          <w:bCs/>
          <w:szCs w:val="24"/>
          <w:lang w:eastAsia="pt-BR"/>
        </w:rPr>
      </w:pPr>
      <w:r w:rsidRPr="00AA5146">
        <w:rPr>
          <w:rFonts w:eastAsia="Times New Roman" w:cs="Arial"/>
          <w:b/>
          <w:bCs/>
          <w:szCs w:val="24"/>
          <w:lang w:eastAsia="pt-BR"/>
        </w:rPr>
        <w:t>Atender à legislação ambiental aplicável ao gerenciamento de resíduos sólidos.</w:t>
      </w:r>
    </w:p>
    <w:p w:rsidR="00AA5146" w:rsidRPr="00AA5146" w:rsidRDefault="00AA5146" w:rsidP="0066661F">
      <w:pPr>
        <w:numPr>
          <w:ilvl w:val="0"/>
          <w:numId w:val="37"/>
        </w:numPr>
        <w:ind w:left="2127" w:hanging="1560"/>
        <w:contextualSpacing/>
        <w:jc w:val="both"/>
        <w:rPr>
          <w:rFonts w:eastAsia="Times New Roman" w:cs="Arial"/>
          <w:b/>
          <w:bCs/>
          <w:szCs w:val="24"/>
          <w:lang w:eastAsia="pt-BR"/>
        </w:rPr>
      </w:pPr>
      <w:r w:rsidRPr="00AA5146">
        <w:rPr>
          <w:rFonts w:eastAsia="Times New Roman" w:cs="Arial"/>
          <w:b/>
          <w:bCs/>
          <w:szCs w:val="24"/>
          <w:lang w:eastAsia="pt-BR"/>
        </w:rPr>
        <w:t>Garantir a mobilização social e canais de comunicação com a sociedade, além de promover ações para a avaliação periódica da percepção dos usuários e para a promoção de educação ambiental.</w:t>
      </w:r>
    </w:p>
    <w:p w:rsidR="00AA5146" w:rsidRPr="00AA5146" w:rsidRDefault="00AA5146" w:rsidP="00AA5146">
      <w:pPr>
        <w:spacing w:before="120" w:after="120"/>
        <w:ind w:firstLine="708"/>
        <w:contextualSpacing/>
        <w:jc w:val="both"/>
        <w:rPr>
          <w:rFonts w:cs="Arial"/>
          <w:szCs w:val="24"/>
          <w:lang w:eastAsia="pt-BR"/>
        </w:rPr>
      </w:pPr>
      <w:r w:rsidRPr="00AA5146">
        <w:rPr>
          <w:rFonts w:cs="Arial"/>
          <w:szCs w:val="24"/>
          <w:lang w:eastAsia="pt-BR"/>
        </w:rPr>
        <w:t xml:space="preserve">A </w:t>
      </w:r>
      <w:r w:rsidR="001B431A">
        <w:rPr>
          <w:rFonts w:cs="Arial"/>
          <w:szCs w:val="24"/>
          <w:lang w:eastAsia="pt-BR"/>
        </w:rPr>
        <w:fldChar w:fldCharType="begin"/>
      </w:r>
      <w:r w:rsidR="001B431A">
        <w:rPr>
          <w:rFonts w:cs="Arial"/>
          <w:szCs w:val="24"/>
          <w:lang w:eastAsia="pt-BR"/>
        </w:rPr>
        <w:instrText xml:space="preserve"> REF _Ref507657763 \h </w:instrText>
      </w:r>
      <w:r w:rsidR="001B431A">
        <w:rPr>
          <w:rFonts w:cs="Arial"/>
          <w:szCs w:val="24"/>
          <w:lang w:eastAsia="pt-BR"/>
        </w:rPr>
      </w:r>
      <w:r w:rsidR="001B431A">
        <w:rPr>
          <w:rFonts w:cs="Arial"/>
          <w:szCs w:val="24"/>
          <w:lang w:eastAsia="pt-BR"/>
        </w:rPr>
        <w:fldChar w:fldCharType="separate"/>
      </w:r>
      <w:r w:rsidR="001B481B">
        <w:t xml:space="preserve">Tabela </w:t>
      </w:r>
      <w:r w:rsidR="001B481B">
        <w:rPr>
          <w:noProof/>
        </w:rPr>
        <w:t>5</w:t>
      </w:r>
      <w:r w:rsidR="001B431A">
        <w:rPr>
          <w:rFonts w:cs="Arial"/>
          <w:szCs w:val="24"/>
          <w:lang w:eastAsia="pt-BR"/>
        </w:rPr>
        <w:fldChar w:fldCharType="end"/>
      </w:r>
      <w:r w:rsidRPr="00AA5146">
        <w:rPr>
          <w:rFonts w:cs="Arial"/>
          <w:szCs w:val="24"/>
          <w:lang w:eastAsia="pt-BR"/>
        </w:rPr>
        <w:t xml:space="preserve"> apresenta os objetivos e as respectivas metas de forma sistematizada, relacionando-os com a situação atual do setor e com os prazos de cada meta.</w:t>
      </w:r>
    </w:p>
    <w:p w:rsidR="00AA5146" w:rsidRPr="00AA5146" w:rsidRDefault="00AA5146" w:rsidP="00AA5146">
      <w:pPr>
        <w:jc w:val="both"/>
        <w:rPr>
          <w:rFonts w:cs="Arial"/>
          <w:color w:val="FF0000"/>
          <w:szCs w:val="24"/>
          <w:lang w:eastAsia="pt-BR"/>
        </w:rPr>
        <w:sectPr w:rsidR="00AA5146" w:rsidRPr="00AA5146" w:rsidSect="00AA5146">
          <w:footerReference w:type="default" r:id="rId69"/>
          <w:pgSz w:w="11906" w:h="16838"/>
          <w:pgMar w:top="1418" w:right="1134" w:bottom="1134" w:left="1134" w:header="709" w:footer="709" w:gutter="0"/>
          <w:cols w:space="708"/>
          <w:docGrid w:linePitch="360"/>
        </w:sectPr>
      </w:pPr>
    </w:p>
    <w:p w:rsidR="00AA5146" w:rsidRPr="00AA5146" w:rsidRDefault="001B431A" w:rsidP="001B431A">
      <w:pPr>
        <w:pStyle w:val="Legenda"/>
        <w:rPr>
          <w:rFonts w:cs="Arial"/>
          <w:b w:val="0"/>
          <w:bCs w:val="0"/>
          <w:highlight w:val="yellow"/>
        </w:rPr>
      </w:pPr>
      <w:bookmarkStart w:id="989" w:name="_Ref507657763"/>
      <w:bookmarkStart w:id="990" w:name="_Toc484422576"/>
      <w:bookmarkStart w:id="991" w:name="_Toc484532489"/>
      <w:bookmarkStart w:id="992" w:name="_Toc498099274"/>
      <w:bookmarkStart w:id="993" w:name="_Toc509935875"/>
      <w:r>
        <w:lastRenderedPageBreak/>
        <w:t xml:space="preserve">Tabela </w:t>
      </w:r>
      <w:r w:rsidR="000A1C78">
        <w:fldChar w:fldCharType="begin"/>
      </w:r>
      <w:r w:rsidR="000A1C78">
        <w:instrText xml:space="preserve"> SEQ Tabela \* ARABIC </w:instrText>
      </w:r>
      <w:r w:rsidR="000A1C78">
        <w:fldChar w:fldCharType="separate"/>
      </w:r>
      <w:r w:rsidR="001B481B">
        <w:rPr>
          <w:noProof/>
        </w:rPr>
        <w:t>5</w:t>
      </w:r>
      <w:r w:rsidR="000A1C78">
        <w:rPr>
          <w:noProof/>
        </w:rPr>
        <w:fldChar w:fldCharType="end"/>
      </w:r>
      <w:bookmarkEnd w:id="989"/>
      <w:r w:rsidR="00AA5146" w:rsidRPr="00AA5146">
        <w:rPr>
          <w:rFonts w:cs="Arial"/>
          <w:b w:val="0"/>
          <w:bCs w:val="0"/>
        </w:rPr>
        <w:t xml:space="preserve"> - Objetivos e metas do Sistema de Limpeza Urbana e Manejo de Resíduos Sólidos</w:t>
      </w:r>
      <w:bookmarkEnd w:id="990"/>
      <w:bookmarkEnd w:id="991"/>
      <w:bookmarkEnd w:id="992"/>
      <w:bookmarkEnd w:id="993"/>
    </w:p>
    <w:tbl>
      <w:tblPr>
        <w:tblW w:w="0" w:type="auto"/>
        <w:jc w:val="center"/>
        <w:tblBorders>
          <w:top w:val="single" w:sz="4" w:space="0" w:color="1F497D" w:themeColor="text2"/>
          <w:bottom w:val="single" w:sz="4" w:space="0" w:color="1F497D" w:themeColor="text2"/>
          <w:insideH w:val="dashSmallGap" w:sz="4" w:space="0" w:color="1F497D" w:themeColor="text2"/>
          <w:insideV w:val="single" w:sz="4" w:space="0" w:color="1F497D" w:themeColor="text2"/>
        </w:tblBorders>
        <w:tblLook w:val="04A0" w:firstRow="1" w:lastRow="0" w:firstColumn="1" w:lastColumn="0" w:noHBand="0" w:noVBand="1"/>
      </w:tblPr>
      <w:tblGrid>
        <w:gridCol w:w="5733"/>
        <w:gridCol w:w="7854"/>
        <w:gridCol w:w="1199"/>
      </w:tblGrid>
      <w:tr w:rsidR="00AA5146" w:rsidRPr="00AA5146" w:rsidTr="00AA5146">
        <w:trPr>
          <w:cantSplit/>
          <w:trHeight w:val="680"/>
          <w:tblHeader/>
          <w:jc w:val="center"/>
        </w:trPr>
        <w:tc>
          <w:tcPr>
            <w:tcW w:w="0" w:type="auto"/>
            <w:tcBorders>
              <w:top w:val="single" w:sz="4" w:space="0" w:color="1F497D" w:themeColor="text2"/>
              <w:left w:val="single" w:sz="4" w:space="0" w:color="1F497D" w:themeColor="text2"/>
              <w:bottom w:val="single" w:sz="4" w:space="0" w:color="1F497D" w:themeColor="text2"/>
              <w:right w:val="single" w:sz="4" w:space="0" w:color="1F497D" w:themeColor="text2"/>
            </w:tcBorders>
            <w:shd w:val="clear" w:color="auto" w:fill="4F81BD"/>
            <w:vAlign w:val="center"/>
            <w:hideMark/>
          </w:tcPr>
          <w:p w:rsidR="00AA5146" w:rsidRPr="00AA5146" w:rsidRDefault="00AA5146" w:rsidP="00AA5146">
            <w:pPr>
              <w:autoSpaceDE w:val="0"/>
              <w:autoSpaceDN w:val="0"/>
              <w:adjustRightInd w:val="0"/>
              <w:spacing w:before="60" w:after="60" w:line="240" w:lineRule="auto"/>
              <w:jc w:val="center"/>
              <w:rPr>
                <w:rFonts w:eastAsia="Times New Roman" w:cs="Arial"/>
                <w:bCs/>
                <w:color w:val="FFFFFF"/>
                <w:sz w:val="20"/>
                <w:szCs w:val="20"/>
              </w:rPr>
            </w:pPr>
            <w:r w:rsidRPr="00AA5146">
              <w:rPr>
                <w:rFonts w:eastAsia="Times New Roman" w:cs="Arial"/>
                <w:bCs/>
                <w:color w:val="FFFFFF"/>
                <w:sz w:val="20"/>
                <w:szCs w:val="20"/>
              </w:rPr>
              <w:t>Objetivo</w:t>
            </w:r>
          </w:p>
        </w:tc>
        <w:tc>
          <w:tcPr>
            <w:tcW w:w="0" w:type="auto"/>
            <w:tcBorders>
              <w:top w:val="single" w:sz="4" w:space="0" w:color="1F497D" w:themeColor="text2"/>
              <w:left w:val="single" w:sz="4" w:space="0" w:color="1F497D" w:themeColor="text2"/>
              <w:bottom w:val="single" w:sz="4" w:space="0" w:color="1F497D" w:themeColor="text2"/>
              <w:right w:val="single" w:sz="4" w:space="0" w:color="1F497D" w:themeColor="text2"/>
            </w:tcBorders>
            <w:shd w:val="clear" w:color="auto" w:fill="4F81BD"/>
            <w:vAlign w:val="center"/>
            <w:hideMark/>
          </w:tcPr>
          <w:p w:rsidR="00AA5146" w:rsidRPr="00AA5146" w:rsidRDefault="00AA5146" w:rsidP="00AA5146">
            <w:pPr>
              <w:autoSpaceDE w:val="0"/>
              <w:autoSpaceDN w:val="0"/>
              <w:adjustRightInd w:val="0"/>
              <w:spacing w:before="60" w:after="60" w:line="240" w:lineRule="auto"/>
              <w:jc w:val="center"/>
              <w:rPr>
                <w:rFonts w:eastAsia="Times New Roman" w:cs="Arial"/>
                <w:b/>
                <w:bCs/>
                <w:color w:val="FFFFFF"/>
                <w:sz w:val="20"/>
                <w:szCs w:val="20"/>
              </w:rPr>
            </w:pPr>
            <w:r w:rsidRPr="00AA5146">
              <w:rPr>
                <w:rFonts w:eastAsia="Times New Roman" w:cs="Arial"/>
                <w:b/>
                <w:bCs/>
                <w:color w:val="FFFFFF"/>
                <w:sz w:val="20"/>
                <w:szCs w:val="20"/>
              </w:rPr>
              <w:t>Metas</w:t>
            </w:r>
          </w:p>
        </w:tc>
        <w:tc>
          <w:tcPr>
            <w:tcW w:w="0" w:type="auto"/>
            <w:tcBorders>
              <w:top w:val="single" w:sz="4" w:space="0" w:color="1F497D" w:themeColor="text2"/>
              <w:left w:val="single" w:sz="4" w:space="0" w:color="1F497D" w:themeColor="text2"/>
              <w:bottom w:val="single" w:sz="4" w:space="0" w:color="1F497D" w:themeColor="text2"/>
              <w:right w:val="single" w:sz="4" w:space="0" w:color="1F497D" w:themeColor="text2"/>
            </w:tcBorders>
            <w:shd w:val="clear" w:color="auto" w:fill="4F81BD"/>
            <w:vAlign w:val="center"/>
            <w:hideMark/>
          </w:tcPr>
          <w:p w:rsidR="00AA5146" w:rsidRPr="00AA5146" w:rsidRDefault="00AA5146" w:rsidP="00AA5146">
            <w:pPr>
              <w:autoSpaceDE w:val="0"/>
              <w:autoSpaceDN w:val="0"/>
              <w:adjustRightInd w:val="0"/>
              <w:spacing w:before="60" w:after="60" w:line="240" w:lineRule="auto"/>
              <w:jc w:val="center"/>
              <w:rPr>
                <w:rFonts w:eastAsia="Times New Roman" w:cs="Arial"/>
                <w:b/>
                <w:bCs/>
                <w:color w:val="FFFFFF"/>
                <w:sz w:val="20"/>
                <w:szCs w:val="20"/>
              </w:rPr>
            </w:pPr>
            <w:r w:rsidRPr="00AA5146">
              <w:rPr>
                <w:rFonts w:eastAsia="Times New Roman" w:cs="Arial"/>
                <w:b/>
                <w:bCs/>
                <w:color w:val="FFFFFF"/>
                <w:sz w:val="20"/>
                <w:szCs w:val="20"/>
              </w:rPr>
              <w:t>Prazo de entrega</w:t>
            </w:r>
          </w:p>
        </w:tc>
      </w:tr>
      <w:tr w:rsidR="00AA5146" w:rsidRPr="00AA5146" w:rsidTr="00AA5146">
        <w:trPr>
          <w:cantSplit/>
          <w:trHeight w:val="737"/>
          <w:jc w:val="center"/>
        </w:trPr>
        <w:tc>
          <w:tcPr>
            <w:tcW w:w="0" w:type="auto"/>
            <w:vMerge w:val="restart"/>
            <w:tcBorders>
              <w:top w:val="single" w:sz="4" w:space="0" w:color="1F497D" w:themeColor="text2"/>
              <w:left w:val="nil"/>
              <w:bottom w:val="single" w:sz="4" w:space="0" w:color="1F497D" w:themeColor="text2"/>
              <w:right w:val="single" w:sz="4" w:space="0" w:color="1F497D" w:themeColor="text2"/>
            </w:tcBorders>
            <w:vAlign w:val="center"/>
            <w:hideMark/>
          </w:tcPr>
          <w:p w:rsidR="00AA5146" w:rsidRPr="00AA5146" w:rsidRDefault="00AA5146" w:rsidP="00AA5146">
            <w:pPr>
              <w:spacing w:before="60" w:after="60"/>
              <w:jc w:val="both"/>
              <w:rPr>
                <w:rFonts w:cs="Arial"/>
                <w:bCs/>
                <w:sz w:val="20"/>
                <w:szCs w:val="20"/>
              </w:rPr>
            </w:pPr>
            <w:r w:rsidRPr="00AA5146">
              <w:rPr>
                <w:rFonts w:eastAsia="Times New Roman" w:cs="Arial"/>
                <w:bCs/>
                <w:sz w:val="20"/>
                <w:szCs w:val="20"/>
              </w:rPr>
              <w:t>1. Atender com coleta convencional e seletiva a 100% do município, de forma ininterrupta.</w:t>
            </w:r>
          </w:p>
          <w:p w:rsidR="00AA5146" w:rsidRPr="00AA5146" w:rsidRDefault="00AA5146" w:rsidP="00AA5146">
            <w:pPr>
              <w:spacing w:before="60" w:after="60" w:line="240" w:lineRule="auto"/>
              <w:jc w:val="both"/>
              <w:rPr>
                <w:rFonts w:eastAsia="Times New Roman" w:cs="Arial"/>
                <w:bCs/>
                <w:sz w:val="20"/>
                <w:szCs w:val="20"/>
              </w:rPr>
            </w:pPr>
          </w:p>
        </w:tc>
        <w:tc>
          <w:tcPr>
            <w:tcW w:w="0" w:type="auto"/>
            <w:tcBorders>
              <w:top w:val="single"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bCs/>
                <w:sz w:val="20"/>
                <w:szCs w:val="20"/>
              </w:rPr>
            </w:pPr>
            <w:r w:rsidRPr="00AA5146">
              <w:rPr>
                <w:rFonts w:eastAsia="Times New Roman" w:cs="Arial"/>
                <w:bCs/>
                <w:sz w:val="20"/>
                <w:szCs w:val="20"/>
              </w:rPr>
              <w:t xml:space="preserve">1.1. </w:t>
            </w:r>
            <w:r w:rsidRPr="00AA5146">
              <w:rPr>
                <w:rFonts w:cs="Arial"/>
                <w:bCs/>
                <w:sz w:val="20"/>
                <w:szCs w:val="20"/>
              </w:rPr>
              <w:t>Manter a coleta regular na zona urbana em 100%.</w:t>
            </w:r>
          </w:p>
        </w:tc>
        <w:tc>
          <w:tcPr>
            <w:tcW w:w="0" w:type="auto"/>
            <w:tcBorders>
              <w:top w:val="single" w:sz="4" w:space="0" w:color="1F497D" w:themeColor="text2"/>
              <w:left w:val="single" w:sz="4" w:space="0" w:color="1F497D" w:themeColor="text2"/>
              <w:bottom w:val="dashSmallGap"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Imediato</w:t>
            </w:r>
          </w:p>
        </w:tc>
      </w:tr>
      <w:tr w:rsidR="00AA5146" w:rsidRPr="00AA5146" w:rsidTr="00AA5146">
        <w:trPr>
          <w:cantSplit/>
          <w:trHeight w:val="737"/>
          <w:jc w:val="center"/>
        </w:trPr>
        <w:tc>
          <w:tcPr>
            <w:tcW w:w="0" w:type="auto"/>
            <w:vMerge/>
            <w:tcBorders>
              <w:top w:val="single" w:sz="4" w:space="0" w:color="1F497D" w:themeColor="text2"/>
              <w:left w:val="nil"/>
              <w:bottom w:val="single" w:sz="4" w:space="0" w:color="1F497D" w:themeColor="text2"/>
              <w:right w:val="single" w:sz="4" w:space="0" w:color="1F497D" w:themeColor="text2"/>
            </w:tcBorders>
            <w:vAlign w:val="center"/>
            <w:hideMark/>
          </w:tcPr>
          <w:p w:rsidR="00AA5146" w:rsidRPr="00AA5146" w:rsidRDefault="00AA5146" w:rsidP="00AA5146">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AA5146" w:rsidRPr="00AA5146" w:rsidRDefault="00AA5146" w:rsidP="00AA5146">
            <w:pPr>
              <w:spacing w:before="60" w:after="60"/>
              <w:jc w:val="both"/>
              <w:rPr>
                <w:rFonts w:cs="Arial"/>
                <w:bCs/>
                <w:sz w:val="20"/>
                <w:szCs w:val="20"/>
              </w:rPr>
            </w:pPr>
            <w:r w:rsidRPr="00AA5146">
              <w:rPr>
                <w:rFonts w:eastAsia="Times New Roman" w:cs="Arial"/>
                <w:bCs/>
                <w:sz w:val="20"/>
                <w:szCs w:val="20"/>
              </w:rPr>
              <w:t>1.2. Atender com coleta convencional a 100% dos domicílios da zona rural de forma ininterrupta.</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Médio</w:t>
            </w:r>
          </w:p>
        </w:tc>
      </w:tr>
      <w:tr w:rsidR="00AA5146" w:rsidRPr="00AA5146" w:rsidTr="00AA5146">
        <w:trPr>
          <w:cantSplit/>
          <w:trHeight w:val="737"/>
          <w:jc w:val="center"/>
        </w:trPr>
        <w:tc>
          <w:tcPr>
            <w:tcW w:w="0" w:type="auto"/>
            <w:vMerge/>
            <w:tcBorders>
              <w:top w:val="single" w:sz="4" w:space="0" w:color="1F497D" w:themeColor="text2"/>
              <w:left w:val="nil"/>
              <w:bottom w:val="single" w:sz="4" w:space="0" w:color="1F497D" w:themeColor="text2"/>
              <w:right w:val="single" w:sz="4" w:space="0" w:color="1F497D" w:themeColor="text2"/>
            </w:tcBorders>
            <w:vAlign w:val="center"/>
            <w:hideMark/>
          </w:tcPr>
          <w:p w:rsidR="00AA5146" w:rsidRPr="00AA5146" w:rsidRDefault="00AA5146" w:rsidP="00AA5146">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bCs/>
                <w:sz w:val="20"/>
                <w:szCs w:val="20"/>
              </w:rPr>
            </w:pPr>
            <w:r w:rsidRPr="00AA5146">
              <w:rPr>
                <w:rFonts w:eastAsia="Times New Roman" w:cs="Arial"/>
                <w:bCs/>
                <w:sz w:val="20"/>
                <w:szCs w:val="20"/>
              </w:rPr>
              <w:t>1.3. Estruturar, formalizar e implementar a coleta seletiva, atingindo 100% do município.</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Curto</w:t>
            </w:r>
          </w:p>
        </w:tc>
      </w:tr>
      <w:tr w:rsidR="00AA5146" w:rsidRPr="00AA5146" w:rsidTr="00AA5146">
        <w:trPr>
          <w:cantSplit/>
          <w:trHeight w:val="737"/>
          <w:jc w:val="center"/>
        </w:trPr>
        <w:tc>
          <w:tcPr>
            <w:tcW w:w="0" w:type="auto"/>
            <w:vMerge/>
            <w:tcBorders>
              <w:top w:val="single" w:sz="4" w:space="0" w:color="1F497D" w:themeColor="text2"/>
              <w:left w:val="nil"/>
              <w:bottom w:val="single" w:sz="4" w:space="0" w:color="1F497D" w:themeColor="text2"/>
              <w:right w:val="single" w:sz="4" w:space="0" w:color="1F497D" w:themeColor="text2"/>
            </w:tcBorders>
            <w:vAlign w:val="center"/>
            <w:hideMark/>
          </w:tcPr>
          <w:p w:rsidR="00AA5146" w:rsidRPr="00AA5146" w:rsidRDefault="00AA5146" w:rsidP="00AA5146">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themeColor="text2"/>
              <w:bottom w:val="single"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bCs/>
                <w:sz w:val="20"/>
                <w:szCs w:val="20"/>
              </w:rPr>
            </w:pPr>
            <w:r w:rsidRPr="00AA5146">
              <w:rPr>
                <w:rFonts w:eastAsia="Times New Roman" w:cs="Arial"/>
                <w:bCs/>
                <w:sz w:val="20"/>
                <w:szCs w:val="20"/>
              </w:rPr>
              <w:t>1.4. Criar mecanismos para manutenção preventiva e corretiva e para armazenamento e recuperação de dados sobre os procedimentos realizados.</w:t>
            </w:r>
          </w:p>
        </w:tc>
        <w:tc>
          <w:tcPr>
            <w:tcW w:w="0" w:type="auto"/>
            <w:tcBorders>
              <w:top w:val="dashSmallGap" w:sz="4" w:space="0" w:color="1F497D" w:themeColor="text2"/>
              <w:left w:val="single" w:sz="4" w:space="0" w:color="1F497D" w:themeColor="text2"/>
              <w:bottom w:val="single"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Médio</w:t>
            </w:r>
          </w:p>
        </w:tc>
      </w:tr>
      <w:tr w:rsidR="00AA5146" w:rsidRPr="00AA5146" w:rsidTr="00AA5146">
        <w:trPr>
          <w:cantSplit/>
          <w:trHeight w:val="737"/>
          <w:jc w:val="center"/>
        </w:trPr>
        <w:tc>
          <w:tcPr>
            <w:tcW w:w="0" w:type="auto"/>
            <w:vMerge w:val="restart"/>
            <w:tcBorders>
              <w:top w:val="single" w:sz="4" w:space="0" w:color="1F497D" w:themeColor="text2"/>
              <w:left w:val="nil"/>
              <w:bottom w:val="single"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bCs/>
                <w:sz w:val="20"/>
                <w:szCs w:val="20"/>
              </w:rPr>
            </w:pPr>
            <w:r w:rsidRPr="00AA5146">
              <w:rPr>
                <w:rFonts w:eastAsia="Times New Roman" w:cs="Arial"/>
                <w:bCs/>
                <w:sz w:val="20"/>
                <w:szCs w:val="20"/>
              </w:rPr>
              <w:t>2. Ampliar e otimizar a cobertura dos serviços de limpeza urbana.</w:t>
            </w:r>
          </w:p>
        </w:tc>
        <w:tc>
          <w:tcPr>
            <w:tcW w:w="0" w:type="auto"/>
            <w:tcBorders>
              <w:top w:val="single"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bCs/>
                <w:sz w:val="20"/>
                <w:szCs w:val="20"/>
              </w:rPr>
            </w:pPr>
            <w:r w:rsidRPr="00AA5146">
              <w:rPr>
                <w:rFonts w:eastAsia="Times New Roman" w:cs="Arial"/>
                <w:bCs/>
                <w:sz w:val="20"/>
                <w:szCs w:val="20"/>
              </w:rPr>
              <w:t>2.1. Executar serviços de varrição, poda, capina, roçagem e raspagem em 100% das áreas públicas das zonas urbanas passíveis dos serviços.</w:t>
            </w:r>
          </w:p>
        </w:tc>
        <w:tc>
          <w:tcPr>
            <w:tcW w:w="0" w:type="auto"/>
            <w:tcBorders>
              <w:top w:val="single" w:sz="4" w:space="0" w:color="1F497D" w:themeColor="text2"/>
              <w:left w:val="single" w:sz="4" w:space="0" w:color="1F497D" w:themeColor="text2"/>
              <w:bottom w:val="dashSmallGap"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 xml:space="preserve">Imediato </w:t>
            </w:r>
          </w:p>
        </w:tc>
      </w:tr>
      <w:tr w:rsidR="00AA5146" w:rsidRPr="00AA5146" w:rsidTr="00AA5146">
        <w:trPr>
          <w:cantSplit/>
          <w:trHeight w:val="737"/>
          <w:jc w:val="center"/>
        </w:trPr>
        <w:tc>
          <w:tcPr>
            <w:tcW w:w="0" w:type="auto"/>
            <w:vMerge/>
            <w:tcBorders>
              <w:top w:val="single" w:sz="4" w:space="0" w:color="1F497D" w:themeColor="text2"/>
              <w:left w:val="nil"/>
              <w:bottom w:val="single" w:sz="4" w:space="0" w:color="1F497D" w:themeColor="text2"/>
              <w:right w:val="single" w:sz="4" w:space="0" w:color="1F497D" w:themeColor="text2"/>
            </w:tcBorders>
            <w:vAlign w:val="center"/>
            <w:hideMark/>
          </w:tcPr>
          <w:p w:rsidR="00AA5146" w:rsidRPr="00AA5146" w:rsidRDefault="00AA5146" w:rsidP="00AA5146">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bCs/>
                <w:sz w:val="20"/>
                <w:szCs w:val="20"/>
              </w:rPr>
            </w:pPr>
            <w:r w:rsidRPr="00AA5146">
              <w:rPr>
                <w:rFonts w:eastAsia="Times New Roman" w:cs="Arial"/>
                <w:bCs/>
                <w:sz w:val="20"/>
                <w:szCs w:val="20"/>
              </w:rPr>
              <w:t>2.2. Estabelecer sistematização e periodicidade dos serviços de forma a garantir a limpeza da cidade.</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Imediato</w:t>
            </w:r>
          </w:p>
        </w:tc>
      </w:tr>
      <w:tr w:rsidR="00AA5146" w:rsidRPr="00AA5146" w:rsidTr="00AA5146">
        <w:trPr>
          <w:cantSplit/>
          <w:trHeight w:val="737"/>
          <w:jc w:val="center"/>
        </w:trPr>
        <w:tc>
          <w:tcPr>
            <w:tcW w:w="0" w:type="auto"/>
            <w:vMerge w:val="restart"/>
            <w:tcBorders>
              <w:top w:val="single" w:sz="4" w:space="0" w:color="1F497D" w:themeColor="text2"/>
              <w:left w:val="nil"/>
              <w:bottom w:val="single"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bCs/>
                <w:sz w:val="20"/>
                <w:szCs w:val="20"/>
              </w:rPr>
            </w:pPr>
            <w:r w:rsidRPr="00AA5146">
              <w:rPr>
                <w:rFonts w:eastAsia="Times New Roman" w:cs="Arial"/>
                <w:bCs/>
                <w:sz w:val="20"/>
                <w:szCs w:val="20"/>
              </w:rPr>
              <w:t>3. Reduzir o envio de resíduos recicláveis e passíveis de compostagem ao local de disposição final (aterro sanitário).</w:t>
            </w:r>
          </w:p>
        </w:tc>
        <w:tc>
          <w:tcPr>
            <w:tcW w:w="0" w:type="auto"/>
            <w:tcBorders>
              <w:top w:val="single"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bCs/>
                <w:sz w:val="20"/>
                <w:szCs w:val="20"/>
              </w:rPr>
            </w:pPr>
            <w:r w:rsidRPr="00AA5146">
              <w:rPr>
                <w:rFonts w:eastAsia="Times New Roman" w:cs="Arial"/>
                <w:bCs/>
                <w:sz w:val="20"/>
                <w:szCs w:val="20"/>
              </w:rPr>
              <w:t>3.1. Instituir campanhas periódicas de sensibilização ambiental para separação de resíduos sólidos.</w:t>
            </w:r>
          </w:p>
        </w:tc>
        <w:tc>
          <w:tcPr>
            <w:tcW w:w="0" w:type="auto"/>
            <w:tcBorders>
              <w:top w:val="single" w:sz="4" w:space="0" w:color="1F497D" w:themeColor="text2"/>
              <w:left w:val="single" w:sz="4" w:space="0" w:color="1F497D" w:themeColor="text2"/>
              <w:bottom w:val="dashSmallGap"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Imediato</w:t>
            </w:r>
          </w:p>
        </w:tc>
      </w:tr>
      <w:tr w:rsidR="00AA5146" w:rsidRPr="00AA5146" w:rsidTr="00AA5146">
        <w:trPr>
          <w:cantSplit/>
          <w:trHeight w:val="737"/>
          <w:jc w:val="center"/>
        </w:trPr>
        <w:tc>
          <w:tcPr>
            <w:tcW w:w="0" w:type="auto"/>
            <w:vMerge/>
            <w:tcBorders>
              <w:top w:val="single" w:sz="4" w:space="0" w:color="1F497D" w:themeColor="text2"/>
              <w:left w:val="nil"/>
              <w:bottom w:val="single" w:sz="4" w:space="0" w:color="1F497D" w:themeColor="text2"/>
              <w:right w:val="single" w:sz="4" w:space="0" w:color="1F497D" w:themeColor="text2"/>
            </w:tcBorders>
            <w:vAlign w:val="center"/>
            <w:hideMark/>
          </w:tcPr>
          <w:p w:rsidR="00AA5146" w:rsidRPr="00AA5146" w:rsidRDefault="00AA5146" w:rsidP="00AA5146">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bCs/>
                <w:sz w:val="20"/>
                <w:szCs w:val="20"/>
              </w:rPr>
            </w:pPr>
            <w:r w:rsidRPr="00AA5146">
              <w:rPr>
                <w:rFonts w:eastAsia="Times New Roman" w:cs="Arial"/>
                <w:bCs/>
                <w:sz w:val="20"/>
                <w:szCs w:val="20"/>
              </w:rPr>
              <w:t>3.2. Aumentar taxa de reaproveitamento de materiais recicláveis e compostáveis para 70%.</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Médio</w:t>
            </w:r>
          </w:p>
        </w:tc>
      </w:tr>
      <w:tr w:rsidR="00AA5146" w:rsidRPr="00AA5146" w:rsidTr="00AA5146">
        <w:trPr>
          <w:cantSplit/>
          <w:trHeight w:val="737"/>
          <w:jc w:val="center"/>
        </w:trPr>
        <w:tc>
          <w:tcPr>
            <w:tcW w:w="0" w:type="auto"/>
            <w:vMerge/>
            <w:tcBorders>
              <w:top w:val="single" w:sz="4" w:space="0" w:color="1F497D" w:themeColor="text2"/>
              <w:left w:val="nil"/>
              <w:bottom w:val="single" w:sz="4" w:space="0" w:color="1F497D" w:themeColor="text2"/>
              <w:right w:val="single" w:sz="4" w:space="0" w:color="1F497D" w:themeColor="text2"/>
            </w:tcBorders>
            <w:vAlign w:val="center"/>
            <w:hideMark/>
          </w:tcPr>
          <w:p w:rsidR="00AA5146" w:rsidRPr="00AA5146" w:rsidRDefault="00AA5146" w:rsidP="00AA5146">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themeColor="text2"/>
              <w:bottom w:val="single"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bCs/>
                <w:sz w:val="20"/>
                <w:szCs w:val="20"/>
              </w:rPr>
            </w:pPr>
            <w:r w:rsidRPr="00AA5146">
              <w:rPr>
                <w:rFonts w:eastAsia="Times New Roman" w:cs="Arial"/>
                <w:bCs/>
                <w:sz w:val="20"/>
                <w:szCs w:val="20"/>
              </w:rPr>
              <w:t>3.3. Atingir e manter total aproveitamento de materiais recicláveis e compostáveis.</w:t>
            </w:r>
          </w:p>
        </w:tc>
        <w:tc>
          <w:tcPr>
            <w:tcW w:w="0" w:type="auto"/>
            <w:tcBorders>
              <w:top w:val="dashSmallGap" w:sz="4" w:space="0" w:color="1F497D" w:themeColor="text2"/>
              <w:left w:val="single" w:sz="4" w:space="0" w:color="1F497D" w:themeColor="text2"/>
              <w:bottom w:val="single"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Longo</w:t>
            </w:r>
          </w:p>
        </w:tc>
      </w:tr>
      <w:tr w:rsidR="00AA5146" w:rsidRPr="00AA5146" w:rsidTr="00AA5146">
        <w:trPr>
          <w:cantSplit/>
          <w:trHeight w:val="454"/>
          <w:jc w:val="center"/>
        </w:trPr>
        <w:tc>
          <w:tcPr>
            <w:tcW w:w="0" w:type="auto"/>
            <w:vMerge w:val="restart"/>
            <w:tcBorders>
              <w:top w:val="dashSmallGap" w:sz="4" w:space="0" w:color="1F497D" w:themeColor="text2"/>
              <w:left w:val="nil"/>
              <w:bottom w:val="single"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bCs/>
                <w:sz w:val="20"/>
                <w:szCs w:val="20"/>
              </w:rPr>
            </w:pPr>
            <w:r w:rsidRPr="00AA5146">
              <w:rPr>
                <w:rFonts w:eastAsia="Times New Roman" w:cs="Arial"/>
                <w:bCs/>
                <w:sz w:val="20"/>
                <w:szCs w:val="20"/>
              </w:rPr>
              <w:lastRenderedPageBreak/>
              <w:t>4. Implementar manejo de resíduos sólidos urbanos.</w:t>
            </w: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cs="Arial"/>
                <w:bCs/>
                <w:sz w:val="20"/>
                <w:szCs w:val="20"/>
              </w:rPr>
            </w:pPr>
            <w:r w:rsidRPr="00AA5146">
              <w:rPr>
                <w:rFonts w:eastAsia="Times New Roman" w:cs="Arial"/>
                <w:bCs/>
                <w:sz w:val="20"/>
                <w:szCs w:val="20"/>
              </w:rPr>
              <w:t>4.1. Ter reduzido a zero o percentual de grandes geradores que utilizam o serviço de coleta convencional de resíduos e que não pagam pelo serviço.</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Imediato</w:t>
            </w:r>
          </w:p>
        </w:tc>
      </w:tr>
      <w:tr w:rsidR="00AA5146" w:rsidRPr="00AA5146" w:rsidTr="00AA5146">
        <w:trPr>
          <w:cantSplit/>
          <w:trHeight w:val="454"/>
          <w:jc w:val="center"/>
        </w:trPr>
        <w:tc>
          <w:tcPr>
            <w:tcW w:w="0" w:type="auto"/>
            <w:vMerge/>
            <w:tcBorders>
              <w:top w:val="dashSmallGap" w:sz="4" w:space="0" w:color="1F497D" w:themeColor="text2"/>
              <w:left w:val="nil"/>
              <w:bottom w:val="single" w:sz="4" w:space="0" w:color="1F497D" w:themeColor="text2"/>
              <w:right w:val="single" w:sz="4" w:space="0" w:color="1F497D" w:themeColor="text2"/>
            </w:tcBorders>
            <w:vAlign w:val="center"/>
            <w:hideMark/>
          </w:tcPr>
          <w:p w:rsidR="00AA5146" w:rsidRPr="00AA5146" w:rsidRDefault="00AA5146" w:rsidP="00AA5146">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cs="Arial"/>
                <w:color w:val="000000"/>
                <w:sz w:val="20"/>
                <w:szCs w:val="20"/>
              </w:rPr>
            </w:pPr>
            <w:r w:rsidRPr="00AA5146">
              <w:rPr>
                <w:rFonts w:eastAsia="Times New Roman" w:cs="Arial"/>
                <w:color w:val="000000"/>
                <w:sz w:val="20"/>
                <w:szCs w:val="20"/>
              </w:rPr>
              <w:t>4.2. Fomentar e fiscalizar a implementação de pontos de recebimento de resíduos especiais (logística reversa).</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Médio</w:t>
            </w:r>
          </w:p>
        </w:tc>
      </w:tr>
      <w:tr w:rsidR="00AA5146" w:rsidRPr="00AA5146" w:rsidTr="00AA5146">
        <w:trPr>
          <w:cantSplit/>
          <w:trHeight w:val="454"/>
          <w:jc w:val="center"/>
        </w:trPr>
        <w:tc>
          <w:tcPr>
            <w:tcW w:w="0" w:type="auto"/>
            <w:vMerge/>
            <w:tcBorders>
              <w:top w:val="dashSmallGap" w:sz="4" w:space="0" w:color="1F497D" w:themeColor="text2"/>
              <w:left w:val="nil"/>
              <w:bottom w:val="single" w:sz="4" w:space="0" w:color="1F497D" w:themeColor="text2"/>
              <w:right w:val="single" w:sz="4" w:space="0" w:color="1F497D" w:themeColor="text2"/>
            </w:tcBorders>
            <w:vAlign w:val="center"/>
            <w:hideMark/>
          </w:tcPr>
          <w:p w:rsidR="00AA5146" w:rsidRPr="00AA5146" w:rsidRDefault="00AA5146" w:rsidP="00AA5146">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color w:val="000000"/>
                <w:sz w:val="20"/>
                <w:szCs w:val="20"/>
              </w:rPr>
            </w:pPr>
            <w:r w:rsidRPr="00AA5146">
              <w:rPr>
                <w:rFonts w:eastAsia="Times New Roman" w:cs="Arial"/>
                <w:color w:val="000000"/>
                <w:sz w:val="20"/>
                <w:szCs w:val="20"/>
              </w:rPr>
              <w:t>4.3.</w:t>
            </w:r>
            <w:r w:rsidRPr="00AA5146">
              <w:rPr>
                <w:rFonts w:eastAsia="Times New Roman" w:cs="Arial"/>
                <w:color w:val="000000"/>
                <w:kern w:val="24"/>
                <w:sz w:val="20"/>
                <w:szCs w:val="20"/>
              </w:rPr>
              <w:t xml:space="preserve"> </w:t>
            </w:r>
            <w:r w:rsidRPr="00AA5146">
              <w:rPr>
                <w:rFonts w:eastAsia="Times New Roman" w:cs="Arial"/>
                <w:color w:val="000000"/>
                <w:sz w:val="20"/>
                <w:szCs w:val="20"/>
              </w:rPr>
              <w:t>Ter implementadas ações para reduzir a zero o número de pontos de disposição irregular de RCCs e de resíduos volumosos.</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Médio</w:t>
            </w:r>
          </w:p>
        </w:tc>
      </w:tr>
      <w:tr w:rsidR="00AA5146" w:rsidRPr="00AA5146" w:rsidTr="00AA5146">
        <w:trPr>
          <w:cantSplit/>
          <w:trHeight w:val="454"/>
          <w:jc w:val="center"/>
        </w:trPr>
        <w:tc>
          <w:tcPr>
            <w:tcW w:w="0" w:type="auto"/>
            <w:vMerge/>
            <w:tcBorders>
              <w:top w:val="dashSmallGap" w:sz="4" w:space="0" w:color="1F497D" w:themeColor="text2"/>
              <w:left w:val="nil"/>
              <w:bottom w:val="single" w:sz="4" w:space="0" w:color="1F497D" w:themeColor="text2"/>
              <w:right w:val="single" w:sz="4" w:space="0" w:color="1F497D" w:themeColor="text2"/>
            </w:tcBorders>
            <w:vAlign w:val="center"/>
            <w:hideMark/>
          </w:tcPr>
          <w:p w:rsidR="00AA5146" w:rsidRPr="00AA5146" w:rsidRDefault="00AA5146" w:rsidP="00AA5146">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cs="Arial"/>
                <w:color w:val="000000"/>
                <w:sz w:val="20"/>
                <w:szCs w:val="20"/>
              </w:rPr>
            </w:pPr>
            <w:r w:rsidRPr="00AA5146">
              <w:rPr>
                <w:rFonts w:eastAsia="Times New Roman" w:cs="Arial"/>
                <w:color w:val="000000"/>
                <w:sz w:val="20"/>
                <w:szCs w:val="20"/>
              </w:rPr>
              <w:t>4.4.</w:t>
            </w:r>
            <w:r w:rsidRPr="00AA5146">
              <w:rPr>
                <w:rFonts w:eastAsia="Times New Roman" w:cs="Arial"/>
                <w:color w:val="000000"/>
                <w:kern w:val="24"/>
                <w:sz w:val="20"/>
                <w:szCs w:val="20"/>
              </w:rPr>
              <w:t xml:space="preserve"> </w:t>
            </w:r>
            <w:r w:rsidRPr="00AA5146">
              <w:rPr>
                <w:rFonts w:eastAsia="Times New Roman" w:cs="Arial"/>
                <w:color w:val="000000"/>
                <w:sz w:val="20"/>
                <w:szCs w:val="20"/>
              </w:rPr>
              <w:t>Ter reduzido em 100% a disposição inadequada de resíduos agrossilvopastoris, incluindo embalagens de agrotóxicos, e de serviços de transporte.</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Médio</w:t>
            </w:r>
          </w:p>
        </w:tc>
      </w:tr>
      <w:tr w:rsidR="00AA5146" w:rsidRPr="00AA5146" w:rsidTr="00AA5146">
        <w:trPr>
          <w:cantSplit/>
          <w:trHeight w:val="454"/>
          <w:jc w:val="center"/>
        </w:trPr>
        <w:tc>
          <w:tcPr>
            <w:tcW w:w="0" w:type="auto"/>
            <w:vMerge/>
            <w:tcBorders>
              <w:top w:val="dashSmallGap" w:sz="4" w:space="0" w:color="1F497D" w:themeColor="text2"/>
              <w:left w:val="nil"/>
              <w:bottom w:val="single" w:sz="4" w:space="0" w:color="1F497D" w:themeColor="text2"/>
              <w:right w:val="single" w:sz="4" w:space="0" w:color="1F497D" w:themeColor="text2"/>
            </w:tcBorders>
            <w:vAlign w:val="center"/>
            <w:hideMark/>
          </w:tcPr>
          <w:p w:rsidR="00AA5146" w:rsidRPr="00AA5146" w:rsidRDefault="00AA5146" w:rsidP="00AA5146">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AA5146" w:rsidRPr="00AA5146" w:rsidRDefault="00AA5146" w:rsidP="00AA5146">
            <w:pPr>
              <w:jc w:val="both"/>
              <w:rPr>
                <w:rFonts w:eastAsia="Times New Roman" w:cs="Arial"/>
                <w:color w:val="000000"/>
                <w:sz w:val="20"/>
                <w:szCs w:val="20"/>
              </w:rPr>
            </w:pPr>
            <w:r w:rsidRPr="00AA5146">
              <w:rPr>
                <w:rFonts w:eastAsia="Times New Roman" w:cs="Arial"/>
                <w:color w:val="000000"/>
                <w:sz w:val="20"/>
                <w:szCs w:val="20"/>
              </w:rPr>
              <w:t>4.5. Possuir mecanismo econômico para remuneração e cobrança dos serviços prestados e para incentivo à reciclagem.</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Longo</w:t>
            </w:r>
          </w:p>
        </w:tc>
      </w:tr>
      <w:tr w:rsidR="00AA5146" w:rsidRPr="00AA5146" w:rsidTr="00AA5146">
        <w:trPr>
          <w:cantSplit/>
          <w:trHeight w:val="454"/>
          <w:jc w:val="center"/>
        </w:trPr>
        <w:tc>
          <w:tcPr>
            <w:tcW w:w="0" w:type="auto"/>
            <w:vMerge/>
            <w:tcBorders>
              <w:top w:val="dashSmallGap" w:sz="4" w:space="0" w:color="1F497D" w:themeColor="text2"/>
              <w:left w:val="nil"/>
              <w:bottom w:val="single" w:sz="4" w:space="0" w:color="1F497D" w:themeColor="text2"/>
              <w:right w:val="single" w:sz="4" w:space="0" w:color="1F497D" w:themeColor="text2"/>
            </w:tcBorders>
            <w:vAlign w:val="center"/>
            <w:hideMark/>
          </w:tcPr>
          <w:p w:rsidR="00AA5146" w:rsidRPr="00AA5146" w:rsidRDefault="00AA5146" w:rsidP="00AA5146">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themeColor="text2"/>
              <w:bottom w:val="single"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cs="Arial"/>
                <w:color w:val="000000"/>
                <w:sz w:val="20"/>
                <w:szCs w:val="20"/>
              </w:rPr>
            </w:pPr>
            <w:r w:rsidRPr="00AA5146">
              <w:rPr>
                <w:rFonts w:eastAsia="Times New Roman" w:cs="Arial"/>
                <w:color w:val="000000"/>
                <w:sz w:val="20"/>
                <w:szCs w:val="20"/>
              </w:rPr>
              <w:t>4.6. Otimização da rota de coleta e transporte de RSU.</w:t>
            </w:r>
          </w:p>
        </w:tc>
        <w:tc>
          <w:tcPr>
            <w:tcW w:w="0" w:type="auto"/>
            <w:tcBorders>
              <w:top w:val="dashSmallGap" w:sz="4" w:space="0" w:color="1F497D" w:themeColor="text2"/>
              <w:left w:val="single" w:sz="4" w:space="0" w:color="1F497D" w:themeColor="text2"/>
              <w:bottom w:val="single"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Curto</w:t>
            </w:r>
          </w:p>
        </w:tc>
      </w:tr>
      <w:tr w:rsidR="00AA5146" w:rsidRPr="00AA5146" w:rsidTr="00AA5146">
        <w:trPr>
          <w:cantSplit/>
          <w:trHeight w:val="454"/>
          <w:jc w:val="center"/>
        </w:trPr>
        <w:tc>
          <w:tcPr>
            <w:tcW w:w="0" w:type="auto"/>
            <w:vMerge w:val="restart"/>
            <w:tcBorders>
              <w:top w:val="single" w:sz="4" w:space="0" w:color="1F497D" w:themeColor="text2"/>
              <w:left w:val="nil"/>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bCs/>
                <w:sz w:val="20"/>
                <w:szCs w:val="20"/>
              </w:rPr>
            </w:pPr>
            <w:r w:rsidRPr="00AA5146">
              <w:rPr>
                <w:rFonts w:eastAsia="Times New Roman" w:cs="Arial"/>
                <w:bCs/>
                <w:sz w:val="20"/>
                <w:szCs w:val="20"/>
              </w:rPr>
              <w:t>5. Regulamentar procedimentos de Gestão Integrada de Resíduos Sólidos, a partir de legislação específica.</w:t>
            </w:r>
          </w:p>
        </w:tc>
        <w:tc>
          <w:tcPr>
            <w:tcW w:w="0" w:type="auto"/>
            <w:tcBorders>
              <w:top w:val="single"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color w:val="000000"/>
                <w:sz w:val="20"/>
                <w:szCs w:val="20"/>
              </w:rPr>
            </w:pPr>
            <w:r w:rsidRPr="00AA5146">
              <w:rPr>
                <w:rFonts w:eastAsia="Times New Roman" w:cs="Arial"/>
                <w:color w:val="000000"/>
                <w:sz w:val="20"/>
                <w:szCs w:val="20"/>
              </w:rPr>
              <w:t>5.1. Revisão e atualização das leis promulgadas frente à PNRS.</w:t>
            </w:r>
          </w:p>
        </w:tc>
        <w:tc>
          <w:tcPr>
            <w:tcW w:w="0" w:type="auto"/>
            <w:tcBorders>
              <w:top w:val="single" w:sz="4" w:space="0" w:color="1F497D" w:themeColor="text2"/>
              <w:left w:val="single" w:sz="4" w:space="0" w:color="1F497D" w:themeColor="text2"/>
              <w:bottom w:val="dashSmallGap"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Curto</w:t>
            </w:r>
          </w:p>
        </w:tc>
      </w:tr>
      <w:tr w:rsidR="00AA5146" w:rsidRPr="00AA5146" w:rsidTr="00AA5146">
        <w:trPr>
          <w:cantSplit/>
          <w:trHeight w:val="454"/>
          <w:jc w:val="center"/>
        </w:trPr>
        <w:tc>
          <w:tcPr>
            <w:tcW w:w="0" w:type="auto"/>
            <w:vMerge/>
            <w:tcBorders>
              <w:left w:val="nil"/>
              <w:right w:val="single" w:sz="4" w:space="0" w:color="1F497D" w:themeColor="text2"/>
            </w:tcBorders>
            <w:vAlign w:val="center"/>
            <w:hideMark/>
          </w:tcPr>
          <w:p w:rsidR="00AA5146" w:rsidRPr="00AA5146" w:rsidRDefault="00AA5146" w:rsidP="00AA5146">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color w:val="000000"/>
                <w:sz w:val="20"/>
                <w:szCs w:val="20"/>
              </w:rPr>
            </w:pPr>
            <w:r w:rsidRPr="00AA5146">
              <w:rPr>
                <w:rFonts w:eastAsia="Times New Roman" w:cs="Arial"/>
                <w:color w:val="000000"/>
                <w:sz w:val="20"/>
                <w:szCs w:val="20"/>
              </w:rPr>
              <w:t>5.2. Ter regulamentado o sistema de coleta seletiva.</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Curto</w:t>
            </w:r>
          </w:p>
        </w:tc>
      </w:tr>
      <w:tr w:rsidR="00AA5146" w:rsidRPr="00AA5146" w:rsidTr="00AA5146">
        <w:trPr>
          <w:cantSplit/>
          <w:trHeight w:val="454"/>
          <w:jc w:val="center"/>
        </w:trPr>
        <w:tc>
          <w:tcPr>
            <w:tcW w:w="0" w:type="auto"/>
            <w:vMerge/>
            <w:tcBorders>
              <w:left w:val="nil"/>
              <w:right w:val="single" w:sz="4" w:space="0" w:color="1F497D" w:themeColor="text2"/>
            </w:tcBorders>
            <w:vAlign w:val="center"/>
            <w:hideMark/>
          </w:tcPr>
          <w:p w:rsidR="00AA5146" w:rsidRPr="00AA5146" w:rsidRDefault="00AA5146" w:rsidP="00AA5146">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color w:val="000000"/>
                <w:sz w:val="20"/>
                <w:szCs w:val="20"/>
              </w:rPr>
            </w:pPr>
            <w:r w:rsidRPr="00AA5146">
              <w:rPr>
                <w:rFonts w:eastAsia="Times New Roman" w:cs="Arial"/>
                <w:color w:val="000000"/>
                <w:sz w:val="20"/>
                <w:szCs w:val="20"/>
              </w:rPr>
              <w:t>5.3. Ter regulamentado o gerenciamento de resíduos da construção civil.</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Curto</w:t>
            </w:r>
          </w:p>
        </w:tc>
      </w:tr>
      <w:tr w:rsidR="00AA5146" w:rsidRPr="00AA5146" w:rsidTr="00AA5146">
        <w:trPr>
          <w:cantSplit/>
          <w:trHeight w:val="454"/>
          <w:jc w:val="center"/>
        </w:trPr>
        <w:tc>
          <w:tcPr>
            <w:tcW w:w="0" w:type="auto"/>
            <w:vMerge/>
            <w:tcBorders>
              <w:left w:val="nil"/>
              <w:right w:val="single" w:sz="4" w:space="0" w:color="1F497D" w:themeColor="text2"/>
            </w:tcBorders>
            <w:vAlign w:val="center"/>
            <w:hideMark/>
          </w:tcPr>
          <w:p w:rsidR="00AA5146" w:rsidRPr="00AA5146" w:rsidRDefault="00AA5146" w:rsidP="00AA5146">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color w:val="000000"/>
                <w:sz w:val="20"/>
                <w:szCs w:val="20"/>
              </w:rPr>
            </w:pPr>
            <w:r w:rsidRPr="00AA5146">
              <w:rPr>
                <w:rFonts w:eastAsia="Times New Roman" w:cs="Arial"/>
                <w:color w:val="000000"/>
                <w:sz w:val="20"/>
                <w:szCs w:val="20"/>
              </w:rPr>
              <w:t>5.4 Ter regulamentada a entrega anual do PGRS e de seu conteúdo mínimo.</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Curto</w:t>
            </w:r>
          </w:p>
        </w:tc>
      </w:tr>
      <w:tr w:rsidR="00AA5146" w:rsidRPr="00AA5146" w:rsidTr="00AA5146">
        <w:trPr>
          <w:cantSplit/>
          <w:trHeight w:val="454"/>
          <w:jc w:val="center"/>
        </w:trPr>
        <w:tc>
          <w:tcPr>
            <w:tcW w:w="0" w:type="auto"/>
            <w:vMerge/>
            <w:tcBorders>
              <w:left w:val="nil"/>
              <w:right w:val="single" w:sz="4" w:space="0" w:color="1F497D" w:themeColor="text2"/>
            </w:tcBorders>
            <w:vAlign w:val="center"/>
            <w:hideMark/>
          </w:tcPr>
          <w:p w:rsidR="00AA5146" w:rsidRPr="00AA5146" w:rsidRDefault="00AA5146" w:rsidP="00AA5146">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color w:val="000000"/>
                <w:sz w:val="20"/>
                <w:szCs w:val="20"/>
              </w:rPr>
            </w:pPr>
            <w:r w:rsidRPr="00AA5146">
              <w:rPr>
                <w:rFonts w:eastAsia="Times New Roman" w:cs="Arial"/>
                <w:color w:val="000000"/>
                <w:sz w:val="20"/>
                <w:szCs w:val="20"/>
              </w:rPr>
              <w:t>5.5 Ter regulamentada a diferenciação entre pequenos e grandes geradores.</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Curto</w:t>
            </w:r>
          </w:p>
        </w:tc>
      </w:tr>
      <w:tr w:rsidR="00AA5146" w:rsidRPr="00AA5146" w:rsidTr="00AA5146">
        <w:trPr>
          <w:cantSplit/>
          <w:trHeight w:val="454"/>
          <w:jc w:val="center"/>
        </w:trPr>
        <w:tc>
          <w:tcPr>
            <w:tcW w:w="0" w:type="auto"/>
            <w:vMerge/>
            <w:tcBorders>
              <w:left w:val="nil"/>
              <w:right w:val="single" w:sz="4" w:space="0" w:color="1F497D" w:themeColor="text2"/>
            </w:tcBorders>
            <w:vAlign w:val="center"/>
            <w:hideMark/>
          </w:tcPr>
          <w:p w:rsidR="00AA5146" w:rsidRPr="00AA5146" w:rsidRDefault="00AA5146" w:rsidP="00AA5146">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color w:val="000000"/>
                <w:sz w:val="20"/>
                <w:szCs w:val="20"/>
              </w:rPr>
            </w:pPr>
            <w:r w:rsidRPr="00AA5146">
              <w:rPr>
                <w:rFonts w:eastAsia="Times New Roman" w:cs="Arial"/>
                <w:color w:val="000000"/>
                <w:sz w:val="20"/>
                <w:szCs w:val="20"/>
              </w:rPr>
              <w:t>5.6 Ter regulamentadas as regras e penalidades para a disposição de resíduos sólidos.</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Curto</w:t>
            </w:r>
          </w:p>
        </w:tc>
      </w:tr>
      <w:tr w:rsidR="00AA5146" w:rsidRPr="00AA5146" w:rsidTr="00AA5146">
        <w:trPr>
          <w:cantSplit/>
          <w:trHeight w:val="454"/>
          <w:jc w:val="center"/>
        </w:trPr>
        <w:tc>
          <w:tcPr>
            <w:tcW w:w="0" w:type="auto"/>
            <w:vMerge/>
            <w:tcBorders>
              <w:left w:val="nil"/>
              <w:right w:val="single" w:sz="4" w:space="0" w:color="1F497D" w:themeColor="text2"/>
            </w:tcBorders>
            <w:vAlign w:val="center"/>
            <w:hideMark/>
          </w:tcPr>
          <w:p w:rsidR="00AA5146" w:rsidRPr="00AA5146" w:rsidRDefault="00AA5146" w:rsidP="00AA5146">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themeColor="text2"/>
              <w:bottom w:val="single"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color w:val="000000"/>
                <w:sz w:val="20"/>
                <w:szCs w:val="20"/>
              </w:rPr>
            </w:pPr>
            <w:r w:rsidRPr="00AA5146">
              <w:rPr>
                <w:rFonts w:eastAsia="Times New Roman" w:cs="Arial"/>
                <w:color w:val="000000"/>
                <w:sz w:val="20"/>
                <w:szCs w:val="20"/>
              </w:rPr>
              <w:t>5.7 Ter regulamentada a coleta de resíduos especiais (logística reversa).</w:t>
            </w:r>
          </w:p>
        </w:tc>
        <w:tc>
          <w:tcPr>
            <w:tcW w:w="0" w:type="auto"/>
            <w:tcBorders>
              <w:top w:val="dashSmallGap" w:sz="4" w:space="0" w:color="1F497D" w:themeColor="text2"/>
              <w:left w:val="single" w:sz="4" w:space="0" w:color="1F497D" w:themeColor="text2"/>
              <w:bottom w:val="single"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Curto</w:t>
            </w:r>
          </w:p>
        </w:tc>
      </w:tr>
      <w:tr w:rsidR="00AA5146" w:rsidRPr="00AA5146" w:rsidTr="00AA5146">
        <w:trPr>
          <w:cantSplit/>
          <w:trHeight w:val="454"/>
          <w:jc w:val="center"/>
        </w:trPr>
        <w:tc>
          <w:tcPr>
            <w:tcW w:w="0" w:type="auto"/>
            <w:vMerge/>
            <w:tcBorders>
              <w:left w:val="nil"/>
              <w:bottom w:val="single" w:sz="4" w:space="0" w:color="1F497D" w:themeColor="text2"/>
              <w:right w:val="single" w:sz="4" w:space="0" w:color="1F497D" w:themeColor="text2"/>
            </w:tcBorders>
            <w:vAlign w:val="center"/>
          </w:tcPr>
          <w:p w:rsidR="00AA5146" w:rsidRPr="00AA5146" w:rsidRDefault="00AA5146" w:rsidP="00AA5146">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themeColor="text2"/>
              <w:bottom w:val="single" w:sz="4" w:space="0" w:color="1F497D" w:themeColor="text2"/>
              <w:right w:val="single" w:sz="4" w:space="0" w:color="1F497D" w:themeColor="text2"/>
            </w:tcBorders>
            <w:vAlign w:val="center"/>
          </w:tcPr>
          <w:p w:rsidR="00AA5146" w:rsidRPr="00AA5146" w:rsidRDefault="00AA5146" w:rsidP="00AA5146">
            <w:pPr>
              <w:spacing w:before="60" w:after="60" w:line="240" w:lineRule="auto"/>
              <w:jc w:val="both"/>
              <w:rPr>
                <w:rFonts w:eastAsia="Times New Roman" w:cs="Arial"/>
                <w:color w:val="000000"/>
                <w:sz w:val="20"/>
                <w:szCs w:val="20"/>
              </w:rPr>
            </w:pPr>
            <w:r w:rsidRPr="00AA5146">
              <w:rPr>
                <w:rFonts w:eastAsia="Times New Roman" w:cs="Arial"/>
                <w:sz w:val="20"/>
                <w:szCs w:val="20"/>
              </w:rPr>
              <w:t>5.8 Ter uma gestão do sistema de resíduos que seja eficiente e integrada.</w:t>
            </w:r>
          </w:p>
        </w:tc>
        <w:tc>
          <w:tcPr>
            <w:tcW w:w="0" w:type="auto"/>
            <w:tcBorders>
              <w:top w:val="dashSmallGap" w:sz="4" w:space="0" w:color="1F497D" w:themeColor="text2"/>
              <w:left w:val="single" w:sz="4" w:space="0" w:color="1F497D" w:themeColor="text2"/>
              <w:bottom w:val="single" w:sz="4" w:space="0" w:color="1F497D" w:themeColor="text2"/>
              <w:right w:val="nil"/>
            </w:tcBorders>
            <w:vAlign w:val="center"/>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Curto</w:t>
            </w:r>
          </w:p>
        </w:tc>
      </w:tr>
      <w:tr w:rsidR="00AA5146" w:rsidRPr="00AA5146" w:rsidTr="00AA5146">
        <w:trPr>
          <w:cantSplit/>
          <w:trHeight w:val="680"/>
          <w:jc w:val="center"/>
        </w:trPr>
        <w:tc>
          <w:tcPr>
            <w:tcW w:w="0" w:type="auto"/>
            <w:vMerge w:val="restart"/>
            <w:tcBorders>
              <w:top w:val="single" w:sz="4" w:space="0" w:color="1F497D" w:themeColor="text2"/>
              <w:left w:val="nil"/>
              <w:bottom w:val="single"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bCs/>
                <w:sz w:val="20"/>
                <w:szCs w:val="20"/>
              </w:rPr>
            </w:pPr>
            <w:r w:rsidRPr="00AA5146">
              <w:rPr>
                <w:rFonts w:eastAsia="Times New Roman" w:cs="Arial"/>
                <w:bCs/>
                <w:sz w:val="20"/>
                <w:szCs w:val="20"/>
              </w:rPr>
              <w:lastRenderedPageBreak/>
              <w:t>6. Atender à legislação ambiental aplicável ao gerenciamento de resíduos sólidos.</w:t>
            </w:r>
          </w:p>
        </w:tc>
        <w:tc>
          <w:tcPr>
            <w:tcW w:w="0" w:type="auto"/>
            <w:tcBorders>
              <w:top w:val="single"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cs="Arial"/>
                <w:bCs/>
                <w:sz w:val="20"/>
                <w:szCs w:val="20"/>
              </w:rPr>
            </w:pPr>
            <w:r w:rsidRPr="00AA5146">
              <w:rPr>
                <w:rFonts w:eastAsia="Times New Roman" w:cs="Arial"/>
                <w:bCs/>
                <w:sz w:val="20"/>
                <w:szCs w:val="20"/>
              </w:rPr>
              <w:t xml:space="preserve">6.1. </w:t>
            </w:r>
            <w:r w:rsidRPr="00AA5146">
              <w:rPr>
                <w:rFonts w:cs="Arial"/>
                <w:bCs/>
                <w:sz w:val="20"/>
                <w:szCs w:val="20"/>
              </w:rPr>
              <w:t>Garantir a disposição final ambientalmente adequada de resíduos sólidos (eliminação de lixões e recuperação de áreas degradadas).</w:t>
            </w:r>
          </w:p>
        </w:tc>
        <w:tc>
          <w:tcPr>
            <w:tcW w:w="0" w:type="auto"/>
            <w:tcBorders>
              <w:top w:val="single" w:sz="4" w:space="0" w:color="1F497D" w:themeColor="text2"/>
              <w:left w:val="single" w:sz="4" w:space="0" w:color="1F497D" w:themeColor="text2"/>
              <w:bottom w:val="dashSmallGap"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Imediato</w:t>
            </w:r>
          </w:p>
        </w:tc>
      </w:tr>
      <w:tr w:rsidR="00AA5146" w:rsidRPr="00AA5146" w:rsidTr="00AA5146">
        <w:trPr>
          <w:cantSplit/>
          <w:trHeight w:val="680"/>
          <w:jc w:val="center"/>
        </w:trPr>
        <w:tc>
          <w:tcPr>
            <w:tcW w:w="0" w:type="auto"/>
            <w:vMerge/>
            <w:tcBorders>
              <w:top w:val="single" w:sz="4" w:space="0" w:color="1F497D" w:themeColor="text2"/>
              <w:left w:val="nil"/>
              <w:bottom w:val="single" w:sz="4" w:space="0" w:color="1F497D" w:themeColor="text2"/>
              <w:right w:val="single" w:sz="4" w:space="0" w:color="1F497D" w:themeColor="text2"/>
            </w:tcBorders>
            <w:vAlign w:val="center"/>
            <w:hideMark/>
          </w:tcPr>
          <w:p w:rsidR="00AA5146" w:rsidRPr="00AA5146" w:rsidRDefault="00AA5146" w:rsidP="00AA5146">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bCs/>
                <w:sz w:val="20"/>
                <w:szCs w:val="20"/>
              </w:rPr>
            </w:pPr>
            <w:r w:rsidRPr="00AA5146">
              <w:rPr>
                <w:rFonts w:eastAsia="Times New Roman" w:cs="Arial"/>
                <w:bCs/>
                <w:sz w:val="20"/>
                <w:szCs w:val="20"/>
              </w:rPr>
              <w:t>6.2.</w:t>
            </w:r>
            <w:r w:rsidRPr="00AA5146">
              <w:rPr>
                <w:rFonts w:ascii="Calibri" w:eastAsia="Times New Roman"/>
                <w:color w:val="000000"/>
                <w:kern w:val="24"/>
                <w:sz w:val="20"/>
                <w:szCs w:val="20"/>
              </w:rPr>
              <w:t xml:space="preserve"> </w:t>
            </w:r>
            <w:r w:rsidRPr="00AA5146">
              <w:rPr>
                <w:rFonts w:eastAsia="Times New Roman" w:cs="Arial"/>
                <w:bCs/>
                <w:sz w:val="20"/>
                <w:szCs w:val="20"/>
              </w:rPr>
              <w:t>Todas as licenças ambientais das atividades relacionadas ao gerenciamento de resíduos sólidos existentes regularizadas.</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Curto</w:t>
            </w:r>
          </w:p>
        </w:tc>
      </w:tr>
      <w:tr w:rsidR="00AA5146" w:rsidRPr="00AA5146" w:rsidTr="00AA5146">
        <w:trPr>
          <w:cantSplit/>
          <w:trHeight w:val="680"/>
          <w:jc w:val="center"/>
        </w:trPr>
        <w:tc>
          <w:tcPr>
            <w:tcW w:w="0" w:type="auto"/>
            <w:vMerge/>
            <w:tcBorders>
              <w:top w:val="single" w:sz="4" w:space="0" w:color="1F497D" w:themeColor="text2"/>
              <w:left w:val="nil"/>
              <w:bottom w:val="single" w:sz="4" w:space="0" w:color="1F497D" w:themeColor="text2"/>
              <w:right w:val="single" w:sz="4" w:space="0" w:color="1F497D" w:themeColor="text2"/>
            </w:tcBorders>
            <w:vAlign w:val="center"/>
            <w:hideMark/>
          </w:tcPr>
          <w:p w:rsidR="00AA5146" w:rsidRPr="00AA5146" w:rsidRDefault="00AA5146" w:rsidP="00AA5146">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themeColor="text2"/>
              <w:bottom w:val="single"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bCs/>
                <w:sz w:val="20"/>
                <w:szCs w:val="20"/>
              </w:rPr>
            </w:pPr>
            <w:r w:rsidRPr="00AA5146">
              <w:rPr>
                <w:rFonts w:eastAsia="Times New Roman" w:cs="Arial"/>
                <w:bCs/>
                <w:sz w:val="20"/>
                <w:szCs w:val="20"/>
              </w:rPr>
              <w:t xml:space="preserve">6.3. </w:t>
            </w:r>
            <w:r w:rsidRPr="00AA5146">
              <w:rPr>
                <w:rFonts w:eastAsia="Times New Roman" w:cs="Arial"/>
                <w:color w:val="000000"/>
                <w:sz w:val="20"/>
                <w:szCs w:val="20"/>
              </w:rPr>
              <w:t>Acompanhamento garantido da regularidade das licenças ambientais da infraestrutura existente e a serem instaladas relacionadas ao sistema de limpeza urbana e manejo de resíduos sólidos.</w:t>
            </w:r>
          </w:p>
        </w:tc>
        <w:tc>
          <w:tcPr>
            <w:tcW w:w="0" w:type="auto"/>
            <w:tcBorders>
              <w:top w:val="dashSmallGap" w:sz="4" w:space="0" w:color="1F497D" w:themeColor="text2"/>
              <w:left w:val="single" w:sz="4" w:space="0" w:color="1F497D" w:themeColor="text2"/>
              <w:bottom w:val="single"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Longo</w:t>
            </w:r>
          </w:p>
        </w:tc>
      </w:tr>
      <w:tr w:rsidR="00AA5146" w:rsidRPr="00AA5146" w:rsidTr="00AA5146">
        <w:trPr>
          <w:cantSplit/>
          <w:trHeight w:val="680"/>
          <w:jc w:val="center"/>
        </w:trPr>
        <w:tc>
          <w:tcPr>
            <w:tcW w:w="0" w:type="auto"/>
            <w:vMerge w:val="restart"/>
            <w:tcBorders>
              <w:top w:val="single" w:sz="4" w:space="0" w:color="1F497D" w:themeColor="text2"/>
              <w:left w:val="nil"/>
              <w:bottom w:val="single"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bCs/>
                <w:sz w:val="20"/>
                <w:szCs w:val="20"/>
              </w:rPr>
            </w:pPr>
            <w:r w:rsidRPr="00AA5146">
              <w:rPr>
                <w:rFonts w:eastAsia="Times New Roman" w:cs="Arial"/>
                <w:bCs/>
                <w:sz w:val="20"/>
                <w:szCs w:val="20"/>
              </w:rPr>
              <w:t>7. Garantir a mobilização social e canais de comunicação com a sociedade, além de promover ações para a avaliação periódica da percepção dos usuários e para a promoção de educação ambiental.</w:t>
            </w:r>
          </w:p>
        </w:tc>
        <w:tc>
          <w:tcPr>
            <w:tcW w:w="0" w:type="auto"/>
            <w:tcBorders>
              <w:top w:val="single"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bCs/>
                <w:sz w:val="20"/>
                <w:szCs w:val="20"/>
              </w:rPr>
            </w:pPr>
            <w:r w:rsidRPr="00AA5146">
              <w:rPr>
                <w:rFonts w:eastAsia="Times New Roman" w:cs="Arial"/>
                <w:bCs/>
                <w:sz w:val="20"/>
                <w:szCs w:val="20"/>
              </w:rPr>
              <w:t>7.1. Participação popular ativa na gestão de resíduos sólidos e no processo de tomada de decisão, com população instruída.</w:t>
            </w:r>
          </w:p>
        </w:tc>
        <w:tc>
          <w:tcPr>
            <w:tcW w:w="0" w:type="auto"/>
            <w:tcBorders>
              <w:top w:val="single" w:sz="4" w:space="0" w:color="1F497D" w:themeColor="text2"/>
              <w:left w:val="single" w:sz="4" w:space="0" w:color="1F497D" w:themeColor="text2"/>
              <w:bottom w:val="dashSmallGap"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Imediato</w:t>
            </w:r>
          </w:p>
        </w:tc>
      </w:tr>
      <w:tr w:rsidR="00AA5146" w:rsidRPr="00AA5146" w:rsidTr="00AA5146">
        <w:trPr>
          <w:cantSplit/>
          <w:trHeight w:val="680"/>
          <w:jc w:val="center"/>
        </w:trPr>
        <w:tc>
          <w:tcPr>
            <w:tcW w:w="0" w:type="auto"/>
            <w:vMerge/>
            <w:tcBorders>
              <w:top w:val="single" w:sz="4" w:space="0" w:color="1F497D" w:themeColor="text2"/>
              <w:left w:val="nil"/>
              <w:bottom w:val="single" w:sz="4" w:space="0" w:color="1F497D" w:themeColor="text2"/>
              <w:right w:val="single" w:sz="4" w:space="0" w:color="1F497D" w:themeColor="text2"/>
            </w:tcBorders>
            <w:vAlign w:val="center"/>
            <w:hideMark/>
          </w:tcPr>
          <w:p w:rsidR="00AA5146" w:rsidRPr="00AA5146" w:rsidRDefault="00AA5146" w:rsidP="00AA5146">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bCs/>
                <w:sz w:val="20"/>
                <w:szCs w:val="20"/>
              </w:rPr>
            </w:pPr>
            <w:r w:rsidRPr="00AA5146">
              <w:rPr>
                <w:rFonts w:eastAsia="Times New Roman" w:cs="Arial"/>
                <w:bCs/>
                <w:sz w:val="20"/>
                <w:szCs w:val="20"/>
              </w:rPr>
              <w:t>7.2. População conscientizada sobre questões relativas à diminuição da geração, reutilização e reciclagem de resíduos.</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Médio</w:t>
            </w:r>
          </w:p>
        </w:tc>
      </w:tr>
      <w:tr w:rsidR="00AA5146" w:rsidRPr="00AA5146" w:rsidTr="00AA5146">
        <w:trPr>
          <w:cantSplit/>
          <w:trHeight w:val="680"/>
          <w:jc w:val="center"/>
        </w:trPr>
        <w:tc>
          <w:tcPr>
            <w:tcW w:w="0" w:type="auto"/>
            <w:vMerge/>
            <w:tcBorders>
              <w:top w:val="single" w:sz="4" w:space="0" w:color="1F497D" w:themeColor="text2"/>
              <w:left w:val="nil"/>
              <w:bottom w:val="single" w:sz="4" w:space="0" w:color="1F497D" w:themeColor="text2"/>
              <w:right w:val="single" w:sz="4" w:space="0" w:color="1F497D" w:themeColor="text2"/>
            </w:tcBorders>
            <w:vAlign w:val="center"/>
            <w:hideMark/>
          </w:tcPr>
          <w:p w:rsidR="00AA5146" w:rsidRPr="00AA5146" w:rsidRDefault="00AA5146" w:rsidP="00AA5146">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bCs/>
                <w:sz w:val="20"/>
                <w:szCs w:val="20"/>
              </w:rPr>
            </w:pPr>
            <w:r w:rsidRPr="00AA5146">
              <w:rPr>
                <w:rFonts w:eastAsia="Times New Roman" w:cs="Arial"/>
                <w:iCs/>
                <w:sz w:val="20"/>
                <w:szCs w:val="20"/>
              </w:rPr>
              <w:t>7.3.</w:t>
            </w:r>
            <w:r w:rsidRPr="00AA5146">
              <w:rPr>
                <w:rFonts w:eastAsia="Times New Roman" w:cs="Arial"/>
                <w:color w:val="365F91"/>
                <w:sz w:val="20"/>
                <w:szCs w:val="20"/>
              </w:rPr>
              <w:t xml:space="preserve"> </w:t>
            </w:r>
            <w:r w:rsidRPr="00AA5146">
              <w:rPr>
                <w:rFonts w:eastAsia="Times New Roman" w:cs="Arial"/>
                <w:iCs/>
                <w:sz w:val="20"/>
                <w:szCs w:val="20"/>
              </w:rPr>
              <w:t>Possuir canais de comunicação com a população.</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Imediato</w:t>
            </w:r>
          </w:p>
        </w:tc>
      </w:tr>
      <w:tr w:rsidR="00AA5146" w:rsidRPr="00AA5146" w:rsidTr="00AA5146">
        <w:trPr>
          <w:cantSplit/>
          <w:trHeight w:val="680"/>
          <w:jc w:val="center"/>
        </w:trPr>
        <w:tc>
          <w:tcPr>
            <w:tcW w:w="0" w:type="auto"/>
            <w:vMerge/>
            <w:tcBorders>
              <w:top w:val="single" w:sz="4" w:space="0" w:color="1F497D" w:themeColor="text2"/>
              <w:left w:val="nil"/>
              <w:bottom w:val="single" w:sz="4" w:space="0" w:color="1F497D" w:themeColor="text2"/>
              <w:right w:val="single" w:sz="4" w:space="0" w:color="1F497D" w:themeColor="text2"/>
            </w:tcBorders>
            <w:vAlign w:val="center"/>
            <w:hideMark/>
          </w:tcPr>
          <w:p w:rsidR="00AA5146" w:rsidRPr="00AA5146" w:rsidRDefault="00AA5146" w:rsidP="00AA5146">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themeColor="text2"/>
              <w:bottom w:val="dashSmallGap"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iCs/>
                <w:sz w:val="20"/>
                <w:szCs w:val="20"/>
              </w:rPr>
            </w:pPr>
            <w:r w:rsidRPr="00AA5146">
              <w:rPr>
                <w:rFonts w:eastAsia="Times New Roman" w:cs="Arial"/>
                <w:iCs/>
                <w:sz w:val="20"/>
                <w:szCs w:val="20"/>
              </w:rPr>
              <w:t>7.4. Alcançar respostas satisfatórias através dos mecanismos de avaliação da percepção dos usuários.</w:t>
            </w:r>
          </w:p>
        </w:tc>
        <w:tc>
          <w:tcPr>
            <w:tcW w:w="0" w:type="auto"/>
            <w:tcBorders>
              <w:top w:val="dashSmallGap" w:sz="4" w:space="0" w:color="1F497D" w:themeColor="text2"/>
              <w:left w:val="single" w:sz="4" w:space="0" w:color="1F497D" w:themeColor="text2"/>
              <w:bottom w:val="dashSmallGap"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Curto</w:t>
            </w:r>
          </w:p>
        </w:tc>
      </w:tr>
      <w:tr w:rsidR="00AA5146" w:rsidRPr="00AA5146" w:rsidTr="00AA5146">
        <w:trPr>
          <w:cantSplit/>
          <w:trHeight w:val="680"/>
          <w:jc w:val="center"/>
        </w:trPr>
        <w:tc>
          <w:tcPr>
            <w:tcW w:w="0" w:type="auto"/>
            <w:vMerge/>
            <w:tcBorders>
              <w:top w:val="single" w:sz="4" w:space="0" w:color="1F497D" w:themeColor="text2"/>
              <w:left w:val="nil"/>
              <w:bottom w:val="single" w:sz="4" w:space="0" w:color="1F497D" w:themeColor="text2"/>
              <w:right w:val="single" w:sz="4" w:space="0" w:color="1F497D" w:themeColor="text2"/>
            </w:tcBorders>
            <w:vAlign w:val="center"/>
            <w:hideMark/>
          </w:tcPr>
          <w:p w:rsidR="00AA5146" w:rsidRPr="00AA5146" w:rsidRDefault="00AA5146" w:rsidP="00AA5146">
            <w:pPr>
              <w:spacing w:line="240" w:lineRule="auto"/>
              <w:rPr>
                <w:rFonts w:eastAsia="Times New Roman" w:cs="Arial"/>
                <w:bCs/>
                <w:sz w:val="20"/>
                <w:szCs w:val="20"/>
              </w:rPr>
            </w:pPr>
          </w:p>
        </w:tc>
        <w:tc>
          <w:tcPr>
            <w:tcW w:w="0" w:type="auto"/>
            <w:tcBorders>
              <w:top w:val="dashSmallGap" w:sz="4" w:space="0" w:color="1F497D" w:themeColor="text2"/>
              <w:left w:val="single" w:sz="4" w:space="0" w:color="1F497D" w:themeColor="text2"/>
              <w:bottom w:val="single" w:sz="4" w:space="0" w:color="1F497D" w:themeColor="text2"/>
              <w:right w:val="single" w:sz="4" w:space="0" w:color="1F497D" w:themeColor="text2"/>
            </w:tcBorders>
            <w:vAlign w:val="center"/>
            <w:hideMark/>
          </w:tcPr>
          <w:p w:rsidR="00AA5146" w:rsidRPr="00AA5146" w:rsidRDefault="00AA5146" w:rsidP="00AA5146">
            <w:pPr>
              <w:spacing w:before="60" w:after="60" w:line="240" w:lineRule="auto"/>
              <w:jc w:val="both"/>
              <w:rPr>
                <w:rFonts w:eastAsia="Times New Roman" w:cs="Arial"/>
                <w:iCs/>
                <w:sz w:val="20"/>
                <w:szCs w:val="20"/>
              </w:rPr>
            </w:pPr>
            <w:r w:rsidRPr="00AA5146">
              <w:rPr>
                <w:rFonts w:eastAsia="Times New Roman" w:cs="Arial"/>
                <w:iCs/>
                <w:sz w:val="20"/>
                <w:szCs w:val="20"/>
              </w:rPr>
              <w:t>7.5. Desenvolver programas de educação ambiental que promovam atividades visando à sensibilização da população referente às questões de redução da geração, reutilização, reciclagem, responsabilidade pós-consumo e destinação ambientalmente adequada de resíduos sólidos.</w:t>
            </w:r>
          </w:p>
        </w:tc>
        <w:tc>
          <w:tcPr>
            <w:tcW w:w="0" w:type="auto"/>
            <w:tcBorders>
              <w:top w:val="dashSmallGap" w:sz="4" w:space="0" w:color="1F497D" w:themeColor="text2"/>
              <w:left w:val="single" w:sz="4" w:space="0" w:color="1F497D" w:themeColor="text2"/>
              <w:bottom w:val="single" w:sz="4" w:space="0" w:color="1F497D" w:themeColor="text2"/>
              <w:right w:val="nil"/>
            </w:tcBorders>
            <w:vAlign w:val="center"/>
            <w:hideMark/>
          </w:tcPr>
          <w:p w:rsidR="00AA5146" w:rsidRPr="00AA5146" w:rsidRDefault="00AA5146" w:rsidP="00AA5146">
            <w:pPr>
              <w:spacing w:before="60" w:after="60" w:line="240" w:lineRule="auto"/>
              <w:jc w:val="center"/>
              <w:rPr>
                <w:rFonts w:eastAsia="Times New Roman" w:cs="Arial"/>
                <w:bCs/>
                <w:sz w:val="20"/>
                <w:szCs w:val="20"/>
              </w:rPr>
            </w:pPr>
            <w:r w:rsidRPr="00AA5146">
              <w:rPr>
                <w:rFonts w:eastAsia="Times New Roman" w:cs="Arial"/>
                <w:bCs/>
                <w:sz w:val="20"/>
                <w:szCs w:val="20"/>
              </w:rPr>
              <w:t>Imediato</w:t>
            </w:r>
          </w:p>
        </w:tc>
      </w:tr>
    </w:tbl>
    <w:p w:rsidR="00AA5146" w:rsidRPr="00AA5146" w:rsidRDefault="00AA5146" w:rsidP="00AA5146">
      <w:pPr>
        <w:spacing w:after="120"/>
        <w:ind w:left="142"/>
        <w:jc w:val="center"/>
        <w:rPr>
          <w:rFonts w:cs="Arial"/>
          <w:sz w:val="20"/>
          <w:szCs w:val="20"/>
          <w:lang w:eastAsia="pt-BR"/>
        </w:rPr>
        <w:sectPr w:rsidR="00AA5146" w:rsidRPr="00AA5146" w:rsidSect="00AA5146">
          <w:footerReference w:type="default" r:id="rId70"/>
          <w:pgSz w:w="16838" w:h="11906" w:orient="landscape"/>
          <w:pgMar w:top="1418" w:right="1134" w:bottom="1134" w:left="1134" w:header="708" w:footer="708" w:gutter="0"/>
          <w:cols w:space="708"/>
          <w:docGrid w:linePitch="360"/>
        </w:sectPr>
      </w:pPr>
    </w:p>
    <w:p w:rsidR="008861C0" w:rsidRPr="001B431A" w:rsidRDefault="00B409D1" w:rsidP="00BC01B1">
      <w:pPr>
        <w:pStyle w:val="Ttulo3"/>
      </w:pPr>
      <w:bookmarkStart w:id="994" w:name="_Toc498594069"/>
      <w:bookmarkStart w:id="995" w:name="_Toc509935565"/>
      <w:bookmarkStart w:id="996" w:name="_Toc434591762"/>
      <w:r w:rsidRPr="0021113E">
        <w:lastRenderedPageBreak/>
        <w:t>Programas, projetos e ações para o sistema de limpeza urbana e manejo de resíduos sólidos</w:t>
      </w:r>
      <w:bookmarkEnd w:id="994"/>
      <w:bookmarkEnd w:id="995"/>
      <w:r w:rsidRPr="0021113E">
        <w:t xml:space="preserve"> </w:t>
      </w:r>
      <w:bookmarkStart w:id="997" w:name="_Toc434591764"/>
      <w:bookmarkStart w:id="998" w:name="_Toc498594071"/>
      <w:bookmarkEnd w:id="996"/>
    </w:p>
    <w:p w:rsidR="008861C0" w:rsidRPr="001B431A" w:rsidRDefault="001B431A" w:rsidP="001B431A">
      <w:pPr>
        <w:spacing w:before="120" w:after="120"/>
        <w:ind w:firstLine="432"/>
        <w:contextualSpacing/>
        <w:jc w:val="both"/>
        <w:rPr>
          <w:rFonts w:cs="Arial"/>
          <w:szCs w:val="24"/>
          <w:lang w:eastAsia="pt-BR"/>
        </w:rPr>
      </w:pPr>
      <w:r>
        <w:rPr>
          <w:rFonts w:cs="Arial"/>
          <w:szCs w:val="24"/>
          <w:lang w:eastAsia="pt-BR"/>
        </w:rPr>
        <w:t xml:space="preserve">Do </w:t>
      </w:r>
      <w:r>
        <w:rPr>
          <w:rFonts w:cs="Arial"/>
          <w:szCs w:val="24"/>
          <w:lang w:eastAsia="pt-BR"/>
        </w:rPr>
        <w:fldChar w:fldCharType="begin"/>
      </w:r>
      <w:r>
        <w:rPr>
          <w:rFonts w:cs="Arial"/>
          <w:szCs w:val="24"/>
          <w:lang w:eastAsia="pt-BR"/>
        </w:rPr>
        <w:instrText xml:space="preserve"> REF _Ref507657990 \h </w:instrText>
      </w:r>
      <w:r>
        <w:rPr>
          <w:rFonts w:cs="Arial"/>
          <w:szCs w:val="24"/>
          <w:lang w:eastAsia="pt-BR"/>
        </w:rPr>
      </w:r>
      <w:r>
        <w:rPr>
          <w:rFonts w:cs="Arial"/>
          <w:szCs w:val="24"/>
          <w:lang w:eastAsia="pt-BR"/>
        </w:rPr>
        <w:fldChar w:fldCharType="separate"/>
      </w:r>
      <w:r w:rsidR="001B481B">
        <w:t xml:space="preserve">Quadro </w:t>
      </w:r>
      <w:r w:rsidR="001B481B">
        <w:rPr>
          <w:noProof/>
        </w:rPr>
        <w:t>83</w:t>
      </w:r>
      <w:r>
        <w:rPr>
          <w:rFonts w:cs="Arial"/>
          <w:szCs w:val="24"/>
          <w:lang w:eastAsia="pt-BR"/>
        </w:rPr>
        <w:fldChar w:fldCharType="end"/>
      </w:r>
      <w:r>
        <w:rPr>
          <w:rFonts w:cs="Arial"/>
          <w:szCs w:val="24"/>
          <w:lang w:eastAsia="pt-BR"/>
        </w:rPr>
        <w:t xml:space="preserve"> ao </w:t>
      </w:r>
      <w:r>
        <w:rPr>
          <w:rFonts w:cs="Arial"/>
          <w:szCs w:val="24"/>
          <w:lang w:eastAsia="pt-BR"/>
        </w:rPr>
        <w:fldChar w:fldCharType="begin"/>
      </w:r>
      <w:r>
        <w:rPr>
          <w:rFonts w:cs="Arial"/>
          <w:szCs w:val="24"/>
          <w:lang w:eastAsia="pt-BR"/>
        </w:rPr>
        <w:instrText xml:space="preserve"> REF _Ref488226505 \h </w:instrText>
      </w:r>
      <w:r>
        <w:rPr>
          <w:rFonts w:cs="Arial"/>
          <w:szCs w:val="24"/>
          <w:lang w:eastAsia="pt-BR"/>
        </w:rPr>
      </w:r>
      <w:r>
        <w:rPr>
          <w:rFonts w:cs="Arial"/>
          <w:szCs w:val="24"/>
          <w:lang w:eastAsia="pt-BR"/>
        </w:rPr>
        <w:fldChar w:fldCharType="separate"/>
      </w:r>
      <w:r w:rsidR="001B481B">
        <w:t xml:space="preserve">Quadro </w:t>
      </w:r>
      <w:r w:rsidR="001B481B">
        <w:rPr>
          <w:noProof/>
        </w:rPr>
        <w:t>89</w:t>
      </w:r>
      <w:r>
        <w:rPr>
          <w:rFonts w:cs="Arial"/>
          <w:szCs w:val="24"/>
          <w:lang w:eastAsia="pt-BR"/>
        </w:rPr>
        <w:fldChar w:fldCharType="end"/>
      </w:r>
      <w:r>
        <w:rPr>
          <w:rFonts w:cs="Arial"/>
          <w:szCs w:val="24"/>
          <w:lang w:eastAsia="pt-BR"/>
        </w:rPr>
        <w:t xml:space="preserve"> </w:t>
      </w:r>
      <w:r w:rsidRPr="0002668A">
        <w:rPr>
          <w:rFonts w:cs="Arial"/>
          <w:szCs w:val="24"/>
          <w:lang w:eastAsia="pt-BR"/>
        </w:rPr>
        <w:t xml:space="preserve">estão previstas as ações </w:t>
      </w:r>
      <w:r w:rsidRPr="00A22A82">
        <w:rPr>
          <w:rFonts w:cs="Arial"/>
          <w:szCs w:val="24"/>
          <w:lang w:eastAsia="pt-BR"/>
        </w:rPr>
        <w:t>de caráter imediato, curto, médio e longo prazos, visando à implementação de soluções graduais</w:t>
      </w:r>
      <w:r w:rsidRPr="0002668A">
        <w:rPr>
          <w:rFonts w:cs="Arial"/>
          <w:szCs w:val="24"/>
          <w:lang w:eastAsia="pt-BR"/>
        </w:rPr>
        <w:t xml:space="preserve"> e progressivas de forma a atingir os objetivos e metas propostos, destacando-se entre estes: (i) </w:t>
      </w:r>
      <w:r w:rsidRPr="005349F6">
        <w:rPr>
          <w:rFonts w:eastAsia="Times New Roman" w:cs="Arial"/>
          <w:szCs w:val="24"/>
          <w:lang w:eastAsia="pt-BR"/>
        </w:rPr>
        <w:t>atender com coleta convencional a 100% dos domicílios, e com coleta seletiva a 100% do m</w:t>
      </w:r>
      <w:r>
        <w:rPr>
          <w:rFonts w:eastAsia="Times New Roman" w:cs="Arial"/>
          <w:szCs w:val="24"/>
          <w:lang w:eastAsia="pt-BR"/>
        </w:rPr>
        <w:t>unicípio, de forma ininterrupta</w:t>
      </w:r>
      <w:r w:rsidRPr="005349F6">
        <w:rPr>
          <w:rFonts w:cs="Arial"/>
          <w:szCs w:val="24"/>
          <w:lang w:eastAsia="pt-BR"/>
        </w:rPr>
        <w:t>;</w:t>
      </w:r>
      <w:r w:rsidRPr="0002668A">
        <w:rPr>
          <w:rFonts w:cs="Arial"/>
          <w:szCs w:val="24"/>
          <w:lang w:eastAsia="pt-BR"/>
        </w:rPr>
        <w:t xml:space="preserve"> (ii) </w:t>
      </w:r>
      <w:r>
        <w:rPr>
          <w:rFonts w:cs="Arial"/>
          <w:szCs w:val="24"/>
          <w:lang w:eastAsia="pt-BR"/>
        </w:rPr>
        <w:t>a</w:t>
      </w:r>
      <w:r w:rsidRPr="005349F6">
        <w:rPr>
          <w:rFonts w:eastAsia="Times New Roman" w:cs="Arial"/>
          <w:bCs/>
          <w:szCs w:val="24"/>
        </w:rPr>
        <w:t>mpliar e otimizar a cobertura dos serviços de limpeza urbana</w:t>
      </w:r>
      <w:r w:rsidRPr="0002668A">
        <w:rPr>
          <w:rFonts w:cs="Arial"/>
          <w:szCs w:val="24"/>
          <w:lang w:eastAsia="pt-BR"/>
        </w:rPr>
        <w:t xml:space="preserve"> e (iii) </w:t>
      </w:r>
      <w:r w:rsidRPr="005349F6">
        <w:rPr>
          <w:rFonts w:eastAsia="Times New Roman" w:cs="Arial"/>
          <w:szCs w:val="24"/>
          <w:lang w:eastAsia="pt-BR"/>
        </w:rPr>
        <w:t>regulamentar a Gestão Integrada de Resíduos Sólidos, a partir de legislação específica</w:t>
      </w:r>
      <w:r>
        <w:rPr>
          <w:rFonts w:eastAsia="Times New Roman" w:cs="Arial"/>
          <w:szCs w:val="24"/>
          <w:lang w:eastAsia="pt-BR"/>
        </w:rPr>
        <w:t>.</w:t>
      </w:r>
    </w:p>
    <w:p w:rsidR="001B431A" w:rsidRPr="00177557" w:rsidRDefault="001B431A" w:rsidP="001B431A">
      <w:pPr>
        <w:spacing w:before="120" w:after="120"/>
        <w:ind w:firstLine="709"/>
        <w:contextualSpacing/>
        <w:jc w:val="both"/>
        <w:rPr>
          <w:color w:val="000000"/>
          <w:szCs w:val="24"/>
        </w:rPr>
      </w:pPr>
      <w:r w:rsidRPr="008A19C7">
        <w:rPr>
          <w:rFonts w:cs="Arial"/>
          <w:szCs w:val="24"/>
        </w:rPr>
        <w:t xml:space="preserve">Para a implantação de todas as ações previstas neste setor, ao longo de vinte anos, serão </w:t>
      </w:r>
      <w:r w:rsidRPr="00F51880">
        <w:rPr>
          <w:rFonts w:cs="Arial"/>
          <w:szCs w:val="24"/>
        </w:rPr>
        <w:t xml:space="preserve">necessários </w:t>
      </w:r>
      <w:r w:rsidRPr="007E1F54">
        <w:rPr>
          <w:b/>
          <w:color w:val="000000"/>
          <w:szCs w:val="24"/>
        </w:rPr>
        <w:t xml:space="preserve">R$ 12.869.483,38 </w:t>
      </w:r>
      <w:r>
        <w:rPr>
          <w:b/>
          <w:color w:val="000000"/>
          <w:szCs w:val="24"/>
        </w:rPr>
        <w:t>(doze milhões, oitocentos e sessenta e nove mil, quatrocentos e oitenta e três reais e trinta e oito centavos)</w:t>
      </w:r>
      <w:r w:rsidRPr="00F51880">
        <w:rPr>
          <w:color w:val="000000"/>
          <w:szCs w:val="24"/>
        </w:rPr>
        <w:t>.</w:t>
      </w:r>
    </w:p>
    <w:p w:rsidR="001B431A" w:rsidRDefault="001B431A" w:rsidP="001B431A">
      <w:pPr>
        <w:pStyle w:val="Ttulo2"/>
        <w:tabs>
          <w:tab w:val="left" w:pos="8434"/>
        </w:tabs>
        <w:ind w:left="720"/>
        <w:rPr>
          <w:lang w:val="pt-BR"/>
        </w:rPr>
        <w:sectPr w:rsidR="001B431A" w:rsidSect="001B431A">
          <w:footerReference w:type="default" r:id="rId71"/>
          <w:pgSz w:w="11906" w:h="16838"/>
          <w:pgMar w:top="1134" w:right="1134" w:bottom="1134" w:left="1418" w:header="709" w:footer="709" w:gutter="0"/>
          <w:cols w:space="708"/>
          <w:docGrid w:linePitch="360"/>
        </w:sectPr>
      </w:pPr>
    </w:p>
    <w:p w:rsidR="001B431A" w:rsidRDefault="001B431A" w:rsidP="001B431A">
      <w:pPr>
        <w:pStyle w:val="Legenda"/>
      </w:pPr>
      <w:bookmarkStart w:id="999" w:name="_Ref507657990"/>
      <w:bookmarkStart w:id="1000" w:name="_Toc498594142"/>
      <w:bookmarkStart w:id="1001" w:name="_Toc491681734"/>
      <w:bookmarkStart w:id="1002" w:name="_Toc488050771"/>
      <w:bookmarkStart w:id="1003" w:name="_Toc441048138"/>
      <w:bookmarkStart w:id="1004" w:name="_Toc378944492"/>
      <w:bookmarkStart w:id="1005" w:name="_Toc505788352"/>
      <w:bookmarkStart w:id="1006" w:name="_Toc509935860"/>
      <w:r>
        <w:lastRenderedPageBreak/>
        <w:t xml:space="preserve">Quadro </w:t>
      </w:r>
      <w:r w:rsidR="000A1C78">
        <w:fldChar w:fldCharType="begin"/>
      </w:r>
      <w:r w:rsidR="000A1C78">
        <w:instrText xml:space="preserve"> SEQ Quadro \* ARABIC </w:instrText>
      </w:r>
      <w:r w:rsidR="000A1C78">
        <w:fldChar w:fldCharType="separate"/>
      </w:r>
      <w:r w:rsidR="001B481B">
        <w:rPr>
          <w:noProof/>
        </w:rPr>
        <w:t>83</w:t>
      </w:r>
      <w:r w:rsidR="000A1C78">
        <w:rPr>
          <w:noProof/>
        </w:rPr>
        <w:fldChar w:fldCharType="end"/>
      </w:r>
      <w:bookmarkEnd w:id="999"/>
      <w:r>
        <w:t xml:space="preserve"> - Programas e ações propostos relacionados ao setor de limpeza urbana e manejo de resíduos sólidos - Objetivo 1</w:t>
      </w:r>
      <w:bookmarkEnd w:id="1000"/>
      <w:bookmarkEnd w:id="1001"/>
      <w:bookmarkEnd w:id="1002"/>
      <w:bookmarkEnd w:id="1003"/>
      <w:bookmarkEnd w:id="1004"/>
      <w:bookmarkEnd w:id="1005"/>
      <w:bookmarkEnd w:id="1006"/>
    </w:p>
    <w:tbl>
      <w:tblPr>
        <w:tblW w:w="14671" w:type="dxa"/>
        <w:tblLayout w:type="fixed"/>
        <w:tblCellMar>
          <w:left w:w="70" w:type="dxa"/>
          <w:right w:w="70" w:type="dxa"/>
        </w:tblCellMar>
        <w:tblLook w:val="04A0" w:firstRow="1" w:lastRow="0" w:firstColumn="1" w:lastColumn="0" w:noHBand="0" w:noVBand="1"/>
      </w:tblPr>
      <w:tblGrid>
        <w:gridCol w:w="2055"/>
        <w:gridCol w:w="142"/>
        <w:gridCol w:w="141"/>
        <w:gridCol w:w="2553"/>
        <w:gridCol w:w="7232"/>
        <w:gridCol w:w="2548"/>
      </w:tblGrid>
      <w:tr w:rsidR="001B431A" w:rsidTr="001B431A">
        <w:trPr>
          <w:cantSplit/>
          <w:trHeight w:val="20"/>
        </w:trPr>
        <w:tc>
          <w:tcPr>
            <w:tcW w:w="2055" w:type="dxa"/>
            <w:tcBorders>
              <w:top w:val="single" w:sz="4" w:space="0" w:color="auto"/>
              <w:left w:val="single" w:sz="4" w:space="0" w:color="000000"/>
              <w:bottom w:val="single" w:sz="4" w:space="0" w:color="000000"/>
              <w:right w:val="single" w:sz="4" w:space="0" w:color="000000"/>
            </w:tcBorders>
            <w:shd w:val="clear" w:color="auto" w:fill="C0C0C0"/>
            <w:vAlign w:val="center"/>
            <w:hideMark/>
          </w:tcPr>
          <w:p w:rsidR="001B431A" w:rsidRDefault="001B431A" w:rsidP="001B431A">
            <w:pPr>
              <w:spacing w:line="240" w:lineRule="auto"/>
              <w:rPr>
                <w:rFonts w:eastAsia="Times New Roman" w:cs="Arial"/>
                <w:b/>
                <w:bCs/>
                <w:sz w:val="20"/>
                <w:szCs w:val="20"/>
                <w:lang w:eastAsia="pt-BR"/>
              </w:rPr>
            </w:pPr>
            <w:r>
              <w:rPr>
                <w:rFonts w:eastAsia="Times New Roman" w:cs="Arial"/>
                <w:b/>
                <w:bCs/>
                <w:sz w:val="20"/>
                <w:szCs w:val="20"/>
                <w:lang w:eastAsia="pt-BR"/>
              </w:rPr>
              <w:t>SETOR</w:t>
            </w:r>
          </w:p>
        </w:tc>
        <w:tc>
          <w:tcPr>
            <w:tcW w:w="283" w:type="dxa"/>
            <w:gridSpan w:val="2"/>
            <w:tcBorders>
              <w:top w:val="single" w:sz="4" w:space="0" w:color="auto"/>
              <w:left w:val="nil"/>
              <w:bottom w:val="single" w:sz="4" w:space="0" w:color="000000"/>
              <w:right w:val="single" w:sz="4" w:space="0" w:color="000000"/>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w:t>
            </w:r>
          </w:p>
        </w:tc>
        <w:tc>
          <w:tcPr>
            <w:tcW w:w="12333" w:type="dxa"/>
            <w:gridSpan w:val="3"/>
            <w:tcBorders>
              <w:top w:val="single" w:sz="4" w:space="0" w:color="000000"/>
              <w:left w:val="nil"/>
              <w:bottom w:val="single" w:sz="4" w:space="0" w:color="000000"/>
              <w:right w:val="single" w:sz="4" w:space="0" w:color="000000"/>
            </w:tcBorders>
            <w:hideMark/>
          </w:tcPr>
          <w:p w:rsidR="001B431A" w:rsidRDefault="001B431A" w:rsidP="001B431A">
            <w:pPr>
              <w:spacing w:line="240" w:lineRule="auto"/>
              <w:rPr>
                <w:rFonts w:eastAsia="Times New Roman" w:cs="Arial"/>
                <w:sz w:val="20"/>
                <w:szCs w:val="20"/>
                <w:lang w:eastAsia="pt-BR"/>
              </w:rPr>
            </w:pPr>
            <w:r>
              <w:rPr>
                <w:rFonts w:eastAsia="Times New Roman" w:cs="Arial"/>
                <w:sz w:val="20"/>
                <w:szCs w:val="20"/>
                <w:lang w:eastAsia="pt-BR"/>
              </w:rPr>
              <w:t>Limpeza Urbana e Manejo de Resíduos Sólidos.</w:t>
            </w:r>
          </w:p>
        </w:tc>
      </w:tr>
      <w:tr w:rsidR="001B431A" w:rsidTr="001B431A">
        <w:trPr>
          <w:cantSplit/>
          <w:trHeight w:val="20"/>
        </w:trPr>
        <w:tc>
          <w:tcPr>
            <w:tcW w:w="2055" w:type="dxa"/>
            <w:tcBorders>
              <w:top w:val="single" w:sz="4" w:space="0" w:color="auto"/>
              <w:left w:val="single" w:sz="4" w:space="0" w:color="000000"/>
              <w:bottom w:val="single" w:sz="4" w:space="0" w:color="000000"/>
              <w:right w:val="single" w:sz="4" w:space="0" w:color="000000"/>
            </w:tcBorders>
            <w:shd w:val="clear" w:color="auto" w:fill="C0C0C0"/>
            <w:vAlign w:val="center"/>
            <w:hideMark/>
          </w:tcPr>
          <w:p w:rsidR="001B431A" w:rsidRDefault="001B431A" w:rsidP="001B431A">
            <w:pPr>
              <w:spacing w:line="240" w:lineRule="auto"/>
              <w:rPr>
                <w:rFonts w:eastAsia="Times New Roman" w:cs="Arial"/>
                <w:b/>
                <w:bCs/>
                <w:sz w:val="20"/>
                <w:szCs w:val="20"/>
                <w:lang w:eastAsia="pt-BR"/>
              </w:rPr>
            </w:pPr>
            <w:r>
              <w:rPr>
                <w:rFonts w:eastAsia="Times New Roman" w:cs="Arial"/>
                <w:b/>
                <w:bCs/>
                <w:sz w:val="20"/>
                <w:szCs w:val="20"/>
                <w:lang w:eastAsia="pt-BR"/>
              </w:rPr>
              <w:t>OBJETIVO</w:t>
            </w:r>
          </w:p>
        </w:tc>
        <w:tc>
          <w:tcPr>
            <w:tcW w:w="283" w:type="dxa"/>
            <w:gridSpan w:val="2"/>
            <w:tcBorders>
              <w:top w:val="single" w:sz="4" w:space="0" w:color="auto"/>
              <w:left w:val="nil"/>
              <w:bottom w:val="single" w:sz="4" w:space="0" w:color="000000"/>
              <w:right w:val="single" w:sz="4" w:space="0" w:color="000000"/>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w:t>
            </w:r>
          </w:p>
        </w:tc>
        <w:tc>
          <w:tcPr>
            <w:tcW w:w="12333" w:type="dxa"/>
            <w:gridSpan w:val="3"/>
            <w:tcBorders>
              <w:top w:val="single" w:sz="4" w:space="0" w:color="000000"/>
              <w:left w:val="nil"/>
              <w:bottom w:val="single" w:sz="4" w:space="0" w:color="000000"/>
              <w:right w:val="single" w:sz="4" w:space="0" w:color="000000"/>
            </w:tcBorders>
            <w:vAlign w:val="center"/>
            <w:hideMark/>
          </w:tcPr>
          <w:p w:rsidR="001B431A" w:rsidRDefault="001B431A" w:rsidP="001B431A">
            <w:pPr>
              <w:spacing w:line="240" w:lineRule="auto"/>
              <w:rPr>
                <w:rFonts w:eastAsia="Times New Roman" w:cs="Arial"/>
                <w:sz w:val="20"/>
                <w:szCs w:val="20"/>
                <w:lang w:eastAsia="pt-BR"/>
              </w:rPr>
            </w:pPr>
            <w:r>
              <w:rPr>
                <w:rFonts w:eastAsia="Times New Roman" w:cs="Arial"/>
                <w:sz w:val="20"/>
                <w:szCs w:val="20"/>
                <w:lang w:eastAsia="pt-BR"/>
              </w:rPr>
              <w:t>Atender com coleta convencional e seletiva a 100% do município, de forma ininterrupta.</w:t>
            </w:r>
          </w:p>
        </w:tc>
      </w:tr>
      <w:tr w:rsidR="001B431A" w:rsidTr="001B431A">
        <w:trPr>
          <w:cantSplit/>
          <w:trHeight w:val="20"/>
        </w:trPr>
        <w:tc>
          <w:tcPr>
            <w:tcW w:w="2055" w:type="dxa"/>
            <w:tcBorders>
              <w:top w:val="single" w:sz="4" w:space="0" w:color="auto"/>
              <w:left w:val="single" w:sz="4" w:space="0" w:color="000000"/>
              <w:bottom w:val="single" w:sz="4" w:space="0" w:color="000000"/>
              <w:right w:val="single" w:sz="4" w:space="0" w:color="000000"/>
            </w:tcBorders>
            <w:shd w:val="clear" w:color="auto" w:fill="C0C0C0"/>
            <w:vAlign w:val="center"/>
            <w:hideMark/>
          </w:tcPr>
          <w:p w:rsidR="001B431A" w:rsidRDefault="001B431A" w:rsidP="001B431A">
            <w:pPr>
              <w:spacing w:before="20" w:after="20" w:line="240" w:lineRule="auto"/>
              <w:contextualSpacing/>
              <w:rPr>
                <w:rFonts w:eastAsia="Times New Roman" w:cs="Arial"/>
                <w:b/>
                <w:bCs/>
                <w:sz w:val="20"/>
                <w:szCs w:val="20"/>
                <w:lang w:eastAsia="pt-BR"/>
              </w:rPr>
            </w:pPr>
            <w:r>
              <w:rPr>
                <w:rFonts w:eastAsia="Times New Roman" w:cs="Arial"/>
                <w:b/>
                <w:bCs/>
                <w:sz w:val="20"/>
                <w:szCs w:val="20"/>
                <w:lang w:eastAsia="pt-BR"/>
              </w:rPr>
              <w:t>INDICADORES DE MONITORAMENTO</w:t>
            </w:r>
          </w:p>
        </w:tc>
        <w:tc>
          <w:tcPr>
            <w:tcW w:w="12616" w:type="dxa"/>
            <w:gridSpan w:val="5"/>
            <w:tcBorders>
              <w:top w:val="single" w:sz="4" w:space="0" w:color="auto"/>
              <w:left w:val="nil"/>
              <w:bottom w:val="single" w:sz="4" w:space="0" w:color="000000"/>
              <w:right w:val="single" w:sz="4" w:space="0" w:color="000000"/>
            </w:tcBorders>
            <w:vAlign w:val="center"/>
            <w:hideMark/>
          </w:tcPr>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Índice de atendimento às ações propostas para o SLU e manejo de resíduos sólidos.</w:t>
            </w:r>
          </w:p>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Porcentagem de cobertura do serviço de coleta seletiva no município.</w:t>
            </w:r>
          </w:p>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Porcentagem de cobertura dos serviços de coleta regular de RDO (Resíduos Sólidos Domiciliares) em toda área do município (urbana e rural).</w:t>
            </w:r>
          </w:p>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Porcentagem de cobertura dos serviços de varrição, poda, capina, roçagem e raspagem na área total do município (urbana + rural).</w:t>
            </w:r>
          </w:p>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Porcentagem de cobertura de coleta de resíduos orgânicos no município (área urbana e rural).</w:t>
            </w:r>
          </w:p>
        </w:tc>
      </w:tr>
      <w:tr w:rsidR="001B431A" w:rsidTr="001B431A">
        <w:trPr>
          <w:cantSplit/>
          <w:trHeight w:val="20"/>
        </w:trPr>
        <w:tc>
          <w:tcPr>
            <w:tcW w:w="14671" w:type="dxa"/>
            <w:gridSpan w:val="6"/>
            <w:tcBorders>
              <w:top w:val="single" w:sz="4" w:space="0" w:color="000000"/>
              <w:left w:val="single" w:sz="4" w:space="0" w:color="000000"/>
              <w:bottom w:val="single" w:sz="4" w:space="0" w:color="000000"/>
              <w:right w:val="single" w:sz="4" w:space="0" w:color="000000"/>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PRAZO DE ENTREGA DA META (ANOS)</w:t>
            </w:r>
          </w:p>
        </w:tc>
      </w:tr>
      <w:tr w:rsidR="001B431A" w:rsidTr="001B431A">
        <w:trPr>
          <w:cantSplit/>
          <w:trHeight w:val="20"/>
        </w:trPr>
        <w:tc>
          <w:tcPr>
            <w:tcW w:w="2197" w:type="dxa"/>
            <w:gridSpan w:val="2"/>
            <w:tcBorders>
              <w:top w:val="single" w:sz="4" w:space="0" w:color="000000"/>
              <w:left w:val="single" w:sz="4" w:space="0" w:color="000000"/>
              <w:bottom w:val="single" w:sz="4" w:space="0" w:color="000000"/>
              <w:right w:val="single" w:sz="4" w:space="0" w:color="000000"/>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IMEDIATO (0 a 3)</w:t>
            </w:r>
          </w:p>
        </w:tc>
        <w:tc>
          <w:tcPr>
            <w:tcW w:w="2694" w:type="dxa"/>
            <w:gridSpan w:val="2"/>
            <w:tcBorders>
              <w:top w:val="single" w:sz="4" w:space="0" w:color="000000"/>
              <w:left w:val="nil"/>
              <w:bottom w:val="single" w:sz="4" w:space="0" w:color="000000"/>
              <w:right w:val="single" w:sz="4" w:space="0" w:color="000000"/>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CURTO (4 a 8)</w:t>
            </w:r>
          </w:p>
        </w:tc>
        <w:tc>
          <w:tcPr>
            <w:tcW w:w="7232" w:type="dxa"/>
            <w:tcBorders>
              <w:top w:val="single" w:sz="4" w:space="0" w:color="000000"/>
              <w:left w:val="nil"/>
              <w:bottom w:val="single" w:sz="4" w:space="0" w:color="000000"/>
              <w:right w:val="single" w:sz="4" w:space="0" w:color="000000"/>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MÉDIO (9 a 12)</w:t>
            </w:r>
          </w:p>
        </w:tc>
        <w:tc>
          <w:tcPr>
            <w:tcW w:w="2548" w:type="dxa"/>
            <w:tcBorders>
              <w:top w:val="single" w:sz="4" w:space="0" w:color="000000"/>
              <w:left w:val="nil"/>
              <w:bottom w:val="single" w:sz="4" w:space="0" w:color="000000"/>
              <w:right w:val="single" w:sz="4" w:space="0" w:color="000000"/>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LONGO (13 a 20)</w:t>
            </w:r>
          </w:p>
        </w:tc>
      </w:tr>
      <w:tr w:rsidR="001B431A" w:rsidTr="001B431A">
        <w:trPr>
          <w:cantSplit/>
          <w:trHeight w:val="20"/>
        </w:trPr>
        <w:tc>
          <w:tcPr>
            <w:tcW w:w="2197" w:type="dxa"/>
            <w:gridSpan w:val="2"/>
            <w:tcBorders>
              <w:top w:val="single" w:sz="4" w:space="0" w:color="000000"/>
              <w:left w:val="single" w:sz="4" w:space="0" w:color="000000"/>
              <w:bottom w:val="single" w:sz="4" w:space="0" w:color="000000"/>
              <w:right w:val="single" w:sz="4" w:space="0" w:color="000000"/>
            </w:tcBorders>
            <w:noWrap/>
            <w:hideMark/>
          </w:tcPr>
          <w:p w:rsidR="001B431A" w:rsidRDefault="001B431A" w:rsidP="001B431A">
            <w:pPr>
              <w:spacing w:before="20" w:after="20" w:line="240" w:lineRule="auto"/>
              <w:jc w:val="both"/>
              <w:rPr>
                <w:rFonts w:cs="Arial"/>
                <w:bCs/>
                <w:sz w:val="20"/>
                <w:szCs w:val="20"/>
              </w:rPr>
            </w:pPr>
            <w:r>
              <w:rPr>
                <w:rFonts w:cs="Arial"/>
                <w:bCs/>
                <w:sz w:val="20"/>
                <w:szCs w:val="20"/>
              </w:rPr>
              <w:t>1.1. Manter a coleta regular na zona urbana em 100%.</w:t>
            </w:r>
          </w:p>
        </w:tc>
        <w:tc>
          <w:tcPr>
            <w:tcW w:w="2694" w:type="dxa"/>
            <w:gridSpan w:val="2"/>
            <w:tcBorders>
              <w:top w:val="single" w:sz="4" w:space="0" w:color="000000"/>
              <w:left w:val="nil"/>
              <w:bottom w:val="single" w:sz="4" w:space="0" w:color="000000"/>
              <w:right w:val="single" w:sz="4" w:space="0" w:color="000000"/>
            </w:tcBorders>
            <w:noWrap/>
            <w:hideMark/>
          </w:tcPr>
          <w:p w:rsidR="001B431A" w:rsidRDefault="001B431A" w:rsidP="001B431A">
            <w:pPr>
              <w:spacing w:before="20" w:after="20" w:line="240" w:lineRule="auto"/>
              <w:jc w:val="both"/>
              <w:rPr>
                <w:rFonts w:cs="Arial"/>
                <w:bCs/>
                <w:sz w:val="20"/>
                <w:szCs w:val="20"/>
              </w:rPr>
            </w:pPr>
            <w:r>
              <w:rPr>
                <w:rFonts w:cs="Arial"/>
                <w:bCs/>
                <w:sz w:val="20"/>
                <w:szCs w:val="20"/>
              </w:rPr>
              <w:t>1.3. Estruturar, formalizar e implementar a coleta seletiva, atingindo 100% do município.</w:t>
            </w:r>
            <w:r>
              <w:rPr>
                <w:rFonts w:cs="Arial"/>
                <w:bCs/>
                <w:sz w:val="20"/>
                <w:szCs w:val="20"/>
              </w:rPr>
              <w:tab/>
            </w:r>
          </w:p>
        </w:tc>
        <w:tc>
          <w:tcPr>
            <w:tcW w:w="7232" w:type="dxa"/>
            <w:tcBorders>
              <w:top w:val="single" w:sz="4" w:space="0" w:color="000000"/>
              <w:left w:val="nil"/>
              <w:bottom w:val="single" w:sz="4" w:space="0" w:color="000000"/>
              <w:right w:val="single" w:sz="4" w:space="0" w:color="000000"/>
            </w:tcBorders>
            <w:noWrap/>
            <w:hideMark/>
          </w:tcPr>
          <w:p w:rsidR="001B431A" w:rsidRDefault="001B431A" w:rsidP="001B431A">
            <w:pPr>
              <w:spacing w:before="20" w:after="20" w:line="240" w:lineRule="auto"/>
              <w:jc w:val="both"/>
              <w:rPr>
                <w:rFonts w:cs="Arial"/>
                <w:bCs/>
                <w:sz w:val="20"/>
                <w:szCs w:val="20"/>
              </w:rPr>
            </w:pPr>
            <w:r>
              <w:rPr>
                <w:rFonts w:cs="Arial"/>
                <w:bCs/>
                <w:sz w:val="20"/>
                <w:szCs w:val="20"/>
              </w:rPr>
              <w:t>1.2. Atender com coleta convencional a 100% dos domicílios da zona rural de forma ininterrupta.</w:t>
            </w:r>
          </w:p>
          <w:p w:rsidR="001B431A" w:rsidRDefault="001B431A" w:rsidP="001B431A">
            <w:pPr>
              <w:spacing w:before="20" w:after="20" w:line="240" w:lineRule="auto"/>
              <w:jc w:val="both"/>
              <w:rPr>
                <w:rFonts w:cs="Arial"/>
                <w:bCs/>
                <w:sz w:val="20"/>
                <w:szCs w:val="20"/>
              </w:rPr>
            </w:pPr>
            <w:r>
              <w:rPr>
                <w:rFonts w:cs="Arial"/>
                <w:bCs/>
                <w:sz w:val="20"/>
                <w:szCs w:val="20"/>
              </w:rPr>
              <w:t>1.4. Criar mecanismos para manutenção preventiva e corretiva e para armazenamento e recuperação de dados sobre os procedimentos realizados.</w:t>
            </w:r>
          </w:p>
        </w:tc>
        <w:tc>
          <w:tcPr>
            <w:tcW w:w="2548" w:type="dxa"/>
            <w:tcBorders>
              <w:top w:val="single" w:sz="4" w:space="0" w:color="000000"/>
              <w:left w:val="nil"/>
              <w:bottom w:val="single" w:sz="4" w:space="0" w:color="000000"/>
              <w:right w:val="single" w:sz="4" w:space="0" w:color="000000"/>
            </w:tcBorders>
            <w:noWrap/>
          </w:tcPr>
          <w:p w:rsidR="001B431A" w:rsidRDefault="001B431A" w:rsidP="001B431A">
            <w:pPr>
              <w:spacing w:before="20" w:after="20" w:line="240" w:lineRule="auto"/>
              <w:jc w:val="both"/>
              <w:rPr>
                <w:rFonts w:cs="Arial"/>
                <w:bCs/>
                <w:sz w:val="20"/>
                <w:szCs w:val="20"/>
              </w:rPr>
            </w:pPr>
          </w:p>
        </w:tc>
      </w:tr>
    </w:tbl>
    <w:p w:rsidR="001B431A" w:rsidRDefault="001B431A" w:rsidP="001B431A">
      <w:pPr>
        <w:spacing w:line="240" w:lineRule="auto"/>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88"/>
        <w:gridCol w:w="6661"/>
        <w:gridCol w:w="2695"/>
        <w:gridCol w:w="1983"/>
        <w:gridCol w:w="1883"/>
      </w:tblGrid>
      <w:tr w:rsidR="001B431A" w:rsidTr="001B431A">
        <w:trPr>
          <w:cantSplit/>
          <w:trHeight w:val="20"/>
          <w:tblHeader/>
        </w:trPr>
        <w:tc>
          <w:tcPr>
            <w:tcW w:w="5000" w:type="pct"/>
            <w:gridSpan w:val="5"/>
            <w:tcBorders>
              <w:top w:val="single" w:sz="4" w:space="0" w:color="auto"/>
              <w:left w:val="single" w:sz="4" w:space="0" w:color="auto"/>
              <w:bottom w:val="single" w:sz="4" w:space="0" w:color="auto"/>
              <w:right w:val="single" w:sz="4" w:space="0" w:color="auto"/>
            </w:tcBorders>
            <w:shd w:val="clear" w:color="auto" w:fill="C0C0C0"/>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PROGRAMAS E AÇÕES</w:t>
            </w:r>
          </w:p>
        </w:tc>
      </w:tr>
      <w:tr w:rsidR="001B431A" w:rsidTr="001B431A">
        <w:trPr>
          <w:cantSplit/>
          <w:trHeight w:val="20"/>
          <w:tblHeader/>
        </w:trPr>
        <w:tc>
          <w:tcPr>
            <w:tcW w:w="50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CÓDIGO</w:t>
            </w:r>
          </w:p>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(s/o/m/a)*</w:t>
            </w:r>
          </w:p>
        </w:tc>
        <w:tc>
          <w:tcPr>
            <w:tcW w:w="22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DESCRIÇÃO</w:t>
            </w:r>
          </w:p>
        </w:tc>
        <w:tc>
          <w:tcPr>
            <w:tcW w:w="91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ind w:firstLine="72"/>
              <w:jc w:val="center"/>
              <w:rPr>
                <w:rFonts w:eastAsia="Times New Roman" w:cs="Arial"/>
                <w:b/>
                <w:bCs/>
                <w:sz w:val="20"/>
                <w:szCs w:val="20"/>
                <w:lang w:eastAsia="pt-BR"/>
              </w:rPr>
            </w:pPr>
            <w:r>
              <w:rPr>
                <w:rFonts w:eastAsia="Times New Roman" w:cs="Arial"/>
                <w:b/>
                <w:bCs/>
                <w:sz w:val="20"/>
                <w:szCs w:val="20"/>
                <w:lang w:eastAsia="pt-BR"/>
              </w:rPr>
              <w:t>Período de desenvolvimento da ação</w:t>
            </w:r>
          </w:p>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(ano)</w:t>
            </w:r>
          </w:p>
        </w:tc>
        <w:tc>
          <w:tcPr>
            <w:tcW w:w="67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ind w:left="64" w:firstLine="8"/>
              <w:jc w:val="center"/>
              <w:rPr>
                <w:rFonts w:eastAsia="Times New Roman" w:cs="Arial"/>
                <w:b/>
                <w:bCs/>
                <w:sz w:val="20"/>
                <w:szCs w:val="20"/>
                <w:lang w:eastAsia="pt-BR"/>
              </w:rPr>
            </w:pPr>
            <w:r>
              <w:rPr>
                <w:rFonts w:eastAsia="Times New Roman" w:cs="Arial"/>
                <w:b/>
                <w:bCs/>
                <w:sz w:val="20"/>
                <w:szCs w:val="20"/>
                <w:lang w:eastAsia="pt-BR"/>
              </w:rPr>
              <w:t>Custo total na moeda de 2017</w:t>
            </w:r>
          </w:p>
          <w:p w:rsidR="001B431A" w:rsidRDefault="001B431A" w:rsidP="001B431A">
            <w:pPr>
              <w:spacing w:before="20" w:after="20" w:line="240" w:lineRule="auto"/>
              <w:contextualSpacing/>
              <w:jc w:val="center"/>
              <w:rPr>
                <w:rFonts w:eastAsia="Times New Roman" w:cs="Arial"/>
                <w:b/>
                <w:bCs/>
                <w:sz w:val="20"/>
                <w:szCs w:val="20"/>
                <w:lang w:eastAsia="pt-BR"/>
              </w:rPr>
            </w:pPr>
            <w:r>
              <w:rPr>
                <w:rFonts w:eastAsia="Times New Roman" w:cs="Arial"/>
                <w:b/>
                <w:bCs/>
                <w:sz w:val="20"/>
                <w:szCs w:val="20"/>
                <w:lang w:eastAsia="pt-BR"/>
              </w:rPr>
              <w:t>(R$)</w:t>
            </w:r>
          </w:p>
        </w:tc>
        <w:tc>
          <w:tcPr>
            <w:tcW w:w="64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ind w:left="64" w:firstLine="8"/>
              <w:jc w:val="center"/>
              <w:rPr>
                <w:rFonts w:eastAsia="Times New Roman" w:cs="Arial"/>
                <w:b/>
                <w:bCs/>
                <w:sz w:val="20"/>
                <w:szCs w:val="20"/>
                <w:lang w:eastAsia="pt-BR"/>
              </w:rPr>
            </w:pPr>
            <w:r>
              <w:rPr>
                <w:rFonts w:eastAsia="Times New Roman" w:cs="Arial"/>
                <w:b/>
                <w:bCs/>
                <w:sz w:val="20"/>
                <w:szCs w:val="20"/>
                <w:lang w:eastAsia="pt-BR"/>
              </w:rPr>
              <w:t>Responsável pela ação</w:t>
            </w:r>
          </w:p>
        </w:tc>
      </w:tr>
      <w:tr w:rsidR="001B431A" w:rsidTr="001B431A">
        <w:trPr>
          <w:cantSplit/>
          <w:trHeight w:val="624"/>
        </w:trPr>
        <w:tc>
          <w:tcPr>
            <w:tcW w:w="50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4.1.1.01</w:t>
            </w:r>
          </w:p>
        </w:tc>
        <w:tc>
          <w:tcPr>
            <w:tcW w:w="226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810C89">
            <w:pPr>
              <w:pStyle w:val="Estilo1"/>
              <w:numPr>
                <w:ilvl w:val="0"/>
                <w:numId w:val="111"/>
              </w:numPr>
              <w:tabs>
                <w:tab w:val="left" w:pos="45"/>
                <w:tab w:val="left" w:pos="780"/>
              </w:tabs>
              <w:spacing w:before="20" w:after="20"/>
              <w:ind w:left="777" w:hanging="425"/>
            </w:pPr>
            <w:r>
              <w:t xml:space="preserve"> Identificar trechos e/ou zonas com coleta ineficiente.</w:t>
            </w:r>
          </w:p>
        </w:tc>
        <w:tc>
          <w:tcPr>
            <w:tcW w:w="91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w:t>
            </w:r>
          </w:p>
        </w:tc>
        <w:tc>
          <w:tcPr>
            <w:tcW w:w="674"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1</w:t>
            </w:r>
            <w:r w:rsidRPr="007E1F54">
              <w:rPr>
                <w:rFonts w:eastAsia="Times New Roman" w:cs="Arial"/>
                <w:sz w:val="20"/>
                <w:szCs w:val="20"/>
                <w:lang w:eastAsia="pt-BR"/>
              </w:rPr>
              <w:t>.365,65</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624"/>
        </w:trPr>
        <w:tc>
          <w:tcPr>
            <w:tcW w:w="50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4.1.1.02</w:t>
            </w:r>
          </w:p>
        </w:tc>
        <w:tc>
          <w:tcPr>
            <w:tcW w:w="226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 xml:space="preserve"> Estudar melhor rota para veículos coletores.</w:t>
            </w:r>
          </w:p>
        </w:tc>
        <w:tc>
          <w:tcPr>
            <w:tcW w:w="91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w:t>
            </w:r>
          </w:p>
        </w:tc>
        <w:tc>
          <w:tcPr>
            <w:tcW w:w="674"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1</w:t>
            </w:r>
            <w:r w:rsidRPr="007E1F54">
              <w:rPr>
                <w:rFonts w:eastAsia="Times New Roman" w:cs="Arial"/>
                <w:sz w:val="20"/>
                <w:szCs w:val="20"/>
                <w:lang w:eastAsia="pt-BR"/>
              </w:rPr>
              <w:t>.365,65</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624"/>
        </w:trPr>
        <w:tc>
          <w:tcPr>
            <w:tcW w:w="50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4.1.1.03</w:t>
            </w:r>
          </w:p>
        </w:tc>
        <w:tc>
          <w:tcPr>
            <w:tcW w:w="226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 xml:space="preserve"> Elaborar estudo de densidade e fluxo populacional.</w:t>
            </w:r>
          </w:p>
        </w:tc>
        <w:tc>
          <w:tcPr>
            <w:tcW w:w="91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1º-2º</w:t>
            </w:r>
          </w:p>
        </w:tc>
        <w:tc>
          <w:tcPr>
            <w:tcW w:w="674"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1</w:t>
            </w:r>
            <w:r w:rsidRPr="007E1F54">
              <w:rPr>
                <w:rFonts w:eastAsia="Times New Roman" w:cs="Arial"/>
                <w:sz w:val="20"/>
                <w:szCs w:val="20"/>
                <w:lang w:eastAsia="pt-BR"/>
              </w:rPr>
              <w:t>.365,65</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680"/>
        </w:trPr>
        <w:tc>
          <w:tcPr>
            <w:tcW w:w="50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4.1.4.04</w:t>
            </w:r>
          </w:p>
        </w:tc>
        <w:tc>
          <w:tcPr>
            <w:tcW w:w="226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 xml:space="preserve"> Implantar programas e ações de capacitação técnica, voltados para implantação e operacionalização do sistema.</w:t>
            </w:r>
          </w:p>
        </w:tc>
        <w:tc>
          <w:tcPr>
            <w:tcW w:w="91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1º-8º</w:t>
            </w:r>
          </w:p>
        </w:tc>
        <w:tc>
          <w:tcPr>
            <w:tcW w:w="674"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3.166,00</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680"/>
        </w:trPr>
        <w:tc>
          <w:tcPr>
            <w:tcW w:w="50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4.1.3.05</w:t>
            </w:r>
          </w:p>
        </w:tc>
        <w:tc>
          <w:tcPr>
            <w:tcW w:w="226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 xml:space="preserve"> Reestruturar Programa de Coleta Seletiva, incluindo projeto de logística (coleta e destinação), infraestrutura, mão de obra e divulgação.</w:t>
            </w:r>
          </w:p>
        </w:tc>
        <w:tc>
          <w:tcPr>
            <w:tcW w:w="91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1º-8º</w:t>
            </w:r>
          </w:p>
        </w:tc>
        <w:tc>
          <w:tcPr>
            <w:tcW w:w="674"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sidRPr="007E1F54">
              <w:rPr>
                <w:rFonts w:eastAsia="Times New Roman" w:cs="Arial"/>
                <w:sz w:val="20"/>
                <w:szCs w:val="20"/>
                <w:lang w:eastAsia="pt-BR"/>
              </w:rPr>
              <w:t>341,41</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680"/>
        </w:trPr>
        <w:tc>
          <w:tcPr>
            <w:tcW w:w="50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lastRenderedPageBreak/>
              <w:t>4.1.3.06</w:t>
            </w:r>
          </w:p>
        </w:tc>
        <w:tc>
          <w:tcPr>
            <w:tcW w:w="226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 xml:space="preserve"> Ampliar as atividades do Programa de Coleta Seletiva para todo o município.</w:t>
            </w:r>
          </w:p>
        </w:tc>
        <w:tc>
          <w:tcPr>
            <w:tcW w:w="91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1º-8º</w:t>
            </w:r>
          </w:p>
        </w:tc>
        <w:tc>
          <w:tcPr>
            <w:tcW w:w="674"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933.600,00</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680"/>
        </w:trPr>
        <w:tc>
          <w:tcPr>
            <w:tcW w:w="50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4.1.3.07</w:t>
            </w:r>
          </w:p>
        </w:tc>
        <w:tc>
          <w:tcPr>
            <w:tcW w:w="226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 xml:space="preserve"> Sensibilizar os geradores para a separação dos resíduos em três tipos distintos (compostável, reciclável e rejeito doméstico) na fonte de geração.</w:t>
            </w:r>
          </w:p>
        </w:tc>
        <w:tc>
          <w:tcPr>
            <w:tcW w:w="91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1º-8º</w:t>
            </w:r>
          </w:p>
        </w:tc>
        <w:tc>
          <w:tcPr>
            <w:tcW w:w="674"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6.720,00</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680"/>
        </w:trPr>
        <w:tc>
          <w:tcPr>
            <w:tcW w:w="50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4.1.3.08</w:t>
            </w:r>
          </w:p>
        </w:tc>
        <w:tc>
          <w:tcPr>
            <w:tcW w:w="226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 xml:space="preserve"> Ampliar a coleta seletiva, incluindo toda a área urbana e áreas rurais, mensurando esses materiais coletados.</w:t>
            </w:r>
          </w:p>
        </w:tc>
        <w:tc>
          <w:tcPr>
            <w:tcW w:w="91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1º-8º</w:t>
            </w:r>
          </w:p>
        </w:tc>
        <w:tc>
          <w:tcPr>
            <w:tcW w:w="674"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402.000,00</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680"/>
        </w:trPr>
        <w:tc>
          <w:tcPr>
            <w:tcW w:w="50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4.1.2.09</w:t>
            </w:r>
          </w:p>
        </w:tc>
        <w:tc>
          <w:tcPr>
            <w:tcW w:w="226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 xml:space="preserve"> Implantar Pontos de Entrega Voluntária (PEVs) de materiais recicláveis, com recipientes acondicionadores, em locais estratégicos e prédios públicos.</w:t>
            </w:r>
          </w:p>
        </w:tc>
        <w:tc>
          <w:tcPr>
            <w:tcW w:w="91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1º-12º</w:t>
            </w:r>
          </w:p>
        </w:tc>
        <w:tc>
          <w:tcPr>
            <w:tcW w:w="674"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19.000,00</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680"/>
        </w:trPr>
        <w:tc>
          <w:tcPr>
            <w:tcW w:w="50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4.1.3.10</w:t>
            </w:r>
          </w:p>
        </w:tc>
        <w:tc>
          <w:tcPr>
            <w:tcW w:w="226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Elaborar projeto de ampliação da UTC.</w:t>
            </w:r>
          </w:p>
        </w:tc>
        <w:tc>
          <w:tcPr>
            <w:tcW w:w="91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1º-8º</w:t>
            </w:r>
          </w:p>
        </w:tc>
        <w:tc>
          <w:tcPr>
            <w:tcW w:w="674"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jc w:val="right"/>
              <w:rPr>
                <w:rFonts w:eastAsia="Times New Roman" w:cs="Arial"/>
                <w:sz w:val="20"/>
                <w:szCs w:val="20"/>
                <w:lang w:eastAsia="pt-BR"/>
              </w:rPr>
            </w:pPr>
            <w:r w:rsidRPr="000C3D76">
              <w:rPr>
                <w:rFonts w:eastAsia="Times New Roman" w:cs="Arial"/>
                <w:sz w:val="20"/>
                <w:szCs w:val="20"/>
                <w:lang w:eastAsia="pt-BR"/>
              </w:rPr>
              <w:t>36.000,00</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680"/>
        </w:trPr>
        <w:tc>
          <w:tcPr>
            <w:tcW w:w="50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4.1.3.11</w:t>
            </w:r>
          </w:p>
        </w:tc>
        <w:tc>
          <w:tcPr>
            <w:tcW w:w="226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Ampliar a UTC para atendimento das metas do PMSB.</w:t>
            </w:r>
          </w:p>
        </w:tc>
        <w:tc>
          <w:tcPr>
            <w:tcW w:w="91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1º-8º</w:t>
            </w:r>
          </w:p>
        </w:tc>
        <w:tc>
          <w:tcPr>
            <w:tcW w:w="674"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655.644,00</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680"/>
        </w:trPr>
        <w:tc>
          <w:tcPr>
            <w:tcW w:w="50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4.1.3.12</w:t>
            </w:r>
          </w:p>
        </w:tc>
        <w:tc>
          <w:tcPr>
            <w:tcW w:w="226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Desenvolver trabalhos de conscientização com a população sobre a importância da compostagem, instruindo, por meio de cartilhas e cursos, como deve ocorrer a separação e acondicionamento do material orgânico.</w:t>
            </w:r>
          </w:p>
        </w:tc>
        <w:tc>
          <w:tcPr>
            <w:tcW w:w="91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1º-8º</w:t>
            </w:r>
          </w:p>
        </w:tc>
        <w:tc>
          <w:tcPr>
            <w:tcW w:w="674"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6.720,00</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680"/>
        </w:trPr>
        <w:tc>
          <w:tcPr>
            <w:tcW w:w="50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4.1.3.13</w:t>
            </w:r>
          </w:p>
        </w:tc>
        <w:tc>
          <w:tcPr>
            <w:tcW w:w="226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Realizar estudos para incentivar a criação de sistema de compostagem caseira, principalmente na zona rural, inclusive com concessão de benefícios por parte do poder público.</w:t>
            </w:r>
          </w:p>
        </w:tc>
        <w:tc>
          <w:tcPr>
            <w:tcW w:w="91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1º-8º</w:t>
            </w:r>
          </w:p>
        </w:tc>
        <w:tc>
          <w:tcPr>
            <w:tcW w:w="674"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50.496,00</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680"/>
        </w:trPr>
        <w:tc>
          <w:tcPr>
            <w:tcW w:w="50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4.1.3.14</w:t>
            </w:r>
          </w:p>
        </w:tc>
        <w:tc>
          <w:tcPr>
            <w:tcW w:w="226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Analisar a viabilidade de elaborar projeto de implantação de hortas comunitárias em bairros do município.</w:t>
            </w:r>
          </w:p>
        </w:tc>
        <w:tc>
          <w:tcPr>
            <w:tcW w:w="91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1º-8º</w:t>
            </w:r>
          </w:p>
        </w:tc>
        <w:tc>
          <w:tcPr>
            <w:tcW w:w="674"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sidRPr="007E1F54">
              <w:rPr>
                <w:rFonts w:eastAsia="Times New Roman" w:cs="Arial"/>
                <w:sz w:val="20"/>
                <w:szCs w:val="20"/>
                <w:lang w:eastAsia="pt-BR"/>
              </w:rPr>
              <w:t>3.414,12</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680"/>
        </w:trPr>
        <w:tc>
          <w:tcPr>
            <w:tcW w:w="50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lastRenderedPageBreak/>
              <w:t>4.1.4.15</w:t>
            </w:r>
          </w:p>
        </w:tc>
        <w:tc>
          <w:tcPr>
            <w:tcW w:w="226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Implementar ações preventivas e corretivas, incluindo programa de monitoramento.</w:t>
            </w:r>
          </w:p>
        </w:tc>
        <w:tc>
          <w:tcPr>
            <w:tcW w:w="91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1º-12º</w:t>
            </w:r>
          </w:p>
        </w:tc>
        <w:tc>
          <w:tcPr>
            <w:tcW w:w="674"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3.414,12</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680"/>
        </w:trPr>
        <w:tc>
          <w:tcPr>
            <w:tcW w:w="50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4.1.2.16</w:t>
            </w:r>
          </w:p>
        </w:tc>
        <w:tc>
          <w:tcPr>
            <w:tcW w:w="226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Instalar containers em locais mais próximos à população rural, e não somente nas extremidades da área urbana.</w:t>
            </w:r>
          </w:p>
        </w:tc>
        <w:tc>
          <w:tcPr>
            <w:tcW w:w="91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1º-20º</w:t>
            </w:r>
          </w:p>
        </w:tc>
        <w:tc>
          <w:tcPr>
            <w:tcW w:w="674"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28.500,00</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680"/>
        </w:trPr>
        <w:tc>
          <w:tcPr>
            <w:tcW w:w="50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4.1.2.17</w:t>
            </w:r>
          </w:p>
        </w:tc>
        <w:tc>
          <w:tcPr>
            <w:tcW w:w="226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Estabelecer uma rota de coleta regular na área rural.</w:t>
            </w:r>
          </w:p>
        </w:tc>
        <w:tc>
          <w:tcPr>
            <w:tcW w:w="91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1º-12º</w:t>
            </w:r>
          </w:p>
        </w:tc>
        <w:tc>
          <w:tcPr>
            <w:tcW w:w="674"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sidRPr="007E1F54">
              <w:rPr>
                <w:rFonts w:eastAsia="Times New Roman" w:cs="Arial"/>
                <w:sz w:val="20"/>
                <w:szCs w:val="20"/>
                <w:lang w:eastAsia="pt-BR"/>
              </w:rPr>
              <w:t>1.257.228,23</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680"/>
        </w:trPr>
        <w:tc>
          <w:tcPr>
            <w:tcW w:w="50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4.1.2.18</w:t>
            </w:r>
          </w:p>
        </w:tc>
        <w:tc>
          <w:tcPr>
            <w:tcW w:w="226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Aumentar o quadro de colaboradores das áreas mais deficitárias do setor, como a coleta de resíduos sólidos na área rural, contratando mais funcionários sempre que necessário.</w:t>
            </w:r>
          </w:p>
        </w:tc>
        <w:tc>
          <w:tcPr>
            <w:tcW w:w="91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1º-12º</w:t>
            </w:r>
          </w:p>
        </w:tc>
        <w:tc>
          <w:tcPr>
            <w:tcW w:w="674"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sidRPr="00F828C3">
              <w:rPr>
                <w:rFonts w:eastAsia="Times New Roman" w:cs="Arial"/>
                <w:sz w:val="20"/>
                <w:szCs w:val="20"/>
                <w:lang w:eastAsia="pt-BR"/>
              </w:rPr>
              <w:t>3.326.400,00</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680"/>
        </w:trPr>
        <w:tc>
          <w:tcPr>
            <w:tcW w:w="50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4.1.3.19</w:t>
            </w:r>
          </w:p>
        </w:tc>
        <w:tc>
          <w:tcPr>
            <w:tcW w:w="226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 xml:space="preserve"> Implementar mecanismos para criação de fontes de negócio, emprego e renda, mediante a valorização dos resíduos sólidos.</w:t>
            </w:r>
          </w:p>
        </w:tc>
        <w:tc>
          <w:tcPr>
            <w:tcW w:w="91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20"/>
                <w:szCs w:val="20"/>
                <w:lang w:eastAsia="pt-BR"/>
              </w:rPr>
              <w:t>1º-20º</w:t>
            </w:r>
          </w:p>
        </w:tc>
        <w:tc>
          <w:tcPr>
            <w:tcW w:w="674"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sidRPr="007E1F54">
              <w:rPr>
                <w:rFonts w:eastAsia="Times New Roman" w:cs="Arial"/>
                <w:sz w:val="20"/>
                <w:szCs w:val="20"/>
                <w:lang w:eastAsia="pt-BR"/>
              </w:rPr>
              <w:t>27.312,93</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680"/>
        </w:trPr>
        <w:tc>
          <w:tcPr>
            <w:tcW w:w="50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4.1.3.20</w:t>
            </w:r>
          </w:p>
        </w:tc>
        <w:tc>
          <w:tcPr>
            <w:tcW w:w="226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Garantir funcionamento das instalações da UTC com toda a infraestrutura necessária, aumentando gradativamente a capacidade até atender a toda a população.</w:t>
            </w:r>
          </w:p>
        </w:tc>
        <w:tc>
          <w:tcPr>
            <w:tcW w:w="91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20"/>
                <w:szCs w:val="20"/>
                <w:lang w:eastAsia="pt-BR"/>
              </w:rPr>
              <w:t>1º-20º</w:t>
            </w:r>
          </w:p>
        </w:tc>
        <w:tc>
          <w:tcPr>
            <w:tcW w:w="674"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3.600.000,00</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680"/>
        </w:trPr>
        <w:tc>
          <w:tcPr>
            <w:tcW w:w="50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4.1.2.21</w:t>
            </w:r>
          </w:p>
        </w:tc>
        <w:tc>
          <w:tcPr>
            <w:tcW w:w="226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Equipar a UTC com máquinas (prensas, trituradores, esteiras), veículos e EPIs para os trabalhadores, manter esses equipamentos e realizar capacitação dos catadores para realização adequada da coleta seletiva.</w:t>
            </w:r>
          </w:p>
        </w:tc>
        <w:tc>
          <w:tcPr>
            <w:tcW w:w="91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20"/>
                <w:szCs w:val="20"/>
                <w:lang w:eastAsia="pt-BR"/>
              </w:rPr>
              <w:t>1º-20º</w:t>
            </w:r>
          </w:p>
        </w:tc>
        <w:tc>
          <w:tcPr>
            <w:tcW w:w="674"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187.832,00</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680"/>
        </w:trPr>
        <w:tc>
          <w:tcPr>
            <w:tcW w:w="50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4.1.2.22</w:t>
            </w:r>
          </w:p>
        </w:tc>
        <w:tc>
          <w:tcPr>
            <w:tcW w:w="226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Atualizar cadastro para controle de depósitos, aparistas e sucateiro.</w:t>
            </w:r>
          </w:p>
        </w:tc>
        <w:tc>
          <w:tcPr>
            <w:tcW w:w="91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1º-20º</w:t>
            </w:r>
          </w:p>
        </w:tc>
        <w:tc>
          <w:tcPr>
            <w:tcW w:w="674"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sidRPr="007E1F54">
              <w:rPr>
                <w:rFonts w:eastAsia="Times New Roman" w:cs="Arial"/>
                <w:sz w:val="20"/>
                <w:szCs w:val="20"/>
                <w:lang w:eastAsia="pt-BR"/>
              </w:rPr>
              <w:t>68.282,33</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bl>
    <w:p w:rsidR="001B431A" w:rsidRPr="005F6482" w:rsidRDefault="001B431A" w:rsidP="001B431A">
      <w:pPr>
        <w:pStyle w:val="Fonte"/>
        <w:rPr>
          <w:lang w:eastAsia="x-none"/>
        </w:rPr>
      </w:pPr>
      <w:r>
        <w:t xml:space="preserve">**(s/o/m/a) = nº do setor / nº do objetivo / nº da meta / nº da ação. / </w:t>
      </w:r>
      <w:r>
        <w:rPr>
          <w:rFonts w:cs="Arial"/>
          <w:color w:val="000000"/>
          <w:sz w:val="19"/>
          <w:szCs w:val="19"/>
        </w:rPr>
        <w:t>*Dependente de outras ações que possuem custos próprios estimados.</w:t>
      </w:r>
    </w:p>
    <w:p w:rsidR="001B431A" w:rsidRDefault="001B431A" w:rsidP="001B431A">
      <w:pPr>
        <w:pStyle w:val="Legenda"/>
      </w:pPr>
      <w:r>
        <w:rPr>
          <w:b w:val="0"/>
          <w:sz w:val="22"/>
        </w:rPr>
        <w:br w:type="page"/>
      </w:r>
      <w:bookmarkStart w:id="1007" w:name="_Toc498594143"/>
      <w:bookmarkStart w:id="1008" w:name="_Toc491681735"/>
      <w:bookmarkStart w:id="1009" w:name="_Toc488050772"/>
      <w:bookmarkStart w:id="1010" w:name="_Toc441048139"/>
      <w:bookmarkStart w:id="1011" w:name="_Toc378944493"/>
      <w:bookmarkStart w:id="1012" w:name="_Toc374612862"/>
      <w:bookmarkStart w:id="1013" w:name="_Toc365616703"/>
      <w:bookmarkStart w:id="1014" w:name="_Toc505788353"/>
      <w:bookmarkStart w:id="1015" w:name="_Toc509935861"/>
      <w:r>
        <w:lastRenderedPageBreak/>
        <w:t xml:space="preserve">Quadro </w:t>
      </w:r>
      <w:r w:rsidR="000A1C78">
        <w:fldChar w:fldCharType="begin"/>
      </w:r>
      <w:r w:rsidR="000A1C78">
        <w:instrText xml:space="preserve"> SEQ Quadro \* ARABIC </w:instrText>
      </w:r>
      <w:r w:rsidR="000A1C78">
        <w:fldChar w:fldCharType="separate"/>
      </w:r>
      <w:r w:rsidR="001B481B">
        <w:rPr>
          <w:noProof/>
        </w:rPr>
        <w:t>84</w:t>
      </w:r>
      <w:r w:rsidR="000A1C78">
        <w:rPr>
          <w:noProof/>
        </w:rPr>
        <w:fldChar w:fldCharType="end"/>
      </w:r>
      <w:r>
        <w:t xml:space="preserve"> - Programas e ações propostos relacionados ao setor de limpeza urbana e manejo de resíduos sólidos - Objetivo 2</w:t>
      </w:r>
      <w:bookmarkEnd w:id="1007"/>
      <w:bookmarkEnd w:id="1008"/>
      <w:bookmarkEnd w:id="1009"/>
      <w:bookmarkEnd w:id="1010"/>
      <w:bookmarkEnd w:id="1011"/>
      <w:bookmarkEnd w:id="1012"/>
      <w:bookmarkEnd w:id="1013"/>
      <w:bookmarkEnd w:id="1014"/>
      <w:bookmarkEnd w:id="1015"/>
    </w:p>
    <w:tbl>
      <w:tblPr>
        <w:tblW w:w="14412" w:type="dxa"/>
        <w:jc w:val="center"/>
        <w:tblLayout w:type="fixed"/>
        <w:tblCellMar>
          <w:left w:w="70" w:type="dxa"/>
          <w:right w:w="70" w:type="dxa"/>
        </w:tblCellMar>
        <w:tblLook w:val="04A0" w:firstRow="1" w:lastRow="0" w:firstColumn="1" w:lastColumn="0" w:noHBand="0" w:noVBand="1"/>
      </w:tblPr>
      <w:tblGrid>
        <w:gridCol w:w="2040"/>
        <w:gridCol w:w="320"/>
        <w:gridCol w:w="6739"/>
        <w:gridCol w:w="1551"/>
        <w:gridCol w:w="1845"/>
        <w:gridCol w:w="1917"/>
      </w:tblGrid>
      <w:tr w:rsidR="001B431A" w:rsidTr="001B431A">
        <w:trPr>
          <w:trHeight w:val="105"/>
          <w:jc w:val="center"/>
        </w:trPr>
        <w:tc>
          <w:tcPr>
            <w:tcW w:w="708" w:type="pct"/>
            <w:tcBorders>
              <w:top w:val="single" w:sz="4" w:space="0" w:color="auto"/>
              <w:left w:val="single" w:sz="4" w:space="0" w:color="000000"/>
              <w:bottom w:val="single" w:sz="4" w:space="0" w:color="000000"/>
              <w:right w:val="single" w:sz="4" w:space="0" w:color="000000"/>
            </w:tcBorders>
            <w:shd w:val="clear" w:color="auto" w:fill="C0C0C0"/>
            <w:vAlign w:val="center"/>
            <w:hideMark/>
          </w:tcPr>
          <w:p w:rsidR="001B431A" w:rsidRDefault="001B431A" w:rsidP="001B431A">
            <w:pPr>
              <w:spacing w:line="240" w:lineRule="auto"/>
              <w:rPr>
                <w:rFonts w:eastAsia="Times New Roman" w:cs="Arial"/>
                <w:b/>
                <w:bCs/>
                <w:sz w:val="20"/>
                <w:szCs w:val="20"/>
                <w:lang w:eastAsia="pt-BR"/>
              </w:rPr>
            </w:pPr>
            <w:r>
              <w:rPr>
                <w:rFonts w:eastAsia="Times New Roman" w:cs="Arial"/>
                <w:b/>
                <w:bCs/>
                <w:sz w:val="20"/>
                <w:szCs w:val="20"/>
                <w:lang w:eastAsia="pt-BR"/>
              </w:rPr>
              <w:t>SETOR</w:t>
            </w:r>
          </w:p>
        </w:tc>
        <w:tc>
          <w:tcPr>
            <w:tcW w:w="111" w:type="pct"/>
            <w:tcBorders>
              <w:top w:val="single" w:sz="4" w:space="0" w:color="auto"/>
              <w:left w:val="nil"/>
              <w:bottom w:val="single" w:sz="4" w:space="0" w:color="000000"/>
              <w:right w:val="single" w:sz="4" w:space="0" w:color="000000"/>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w:t>
            </w:r>
          </w:p>
        </w:tc>
        <w:tc>
          <w:tcPr>
            <w:tcW w:w="4181" w:type="pct"/>
            <w:gridSpan w:val="4"/>
            <w:tcBorders>
              <w:top w:val="single" w:sz="4" w:space="0" w:color="000000"/>
              <w:left w:val="nil"/>
              <w:bottom w:val="single" w:sz="4" w:space="0" w:color="000000"/>
              <w:right w:val="single" w:sz="4" w:space="0" w:color="000000"/>
            </w:tcBorders>
            <w:hideMark/>
          </w:tcPr>
          <w:p w:rsidR="001B431A" w:rsidRDefault="001B431A" w:rsidP="001B431A">
            <w:pPr>
              <w:spacing w:line="240" w:lineRule="auto"/>
              <w:rPr>
                <w:rFonts w:eastAsia="Times New Roman" w:cs="Arial"/>
                <w:sz w:val="20"/>
                <w:szCs w:val="20"/>
                <w:lang w:eastAsia="pt-BR"/>
              </w:rPr>
            </w:pPr>
            <w:r>
              <w:rPr>
                <w:rFonts w:eastAsia="Times New Roman" w:cs="Arial"/>
                <w:sz w:val="20"/>
                <w:szCs w:val="20"/>
                <w:lang w:eastAsia="pt-BR"/>
              </w:rPr>
              <w:t>Limpeza Urbana e Manejo de Resíduos Sólidos.</w:t>
            </w:r>
          </w:p>
        </w:tc>
      </w:tr>
      <w:tr w:rsidR="001B431A" w:rsidTr="001B431A">
        <w:trPr>
          <w:trHeight w:val="222"/>
          <w:jc w:val="center"/>
        </w:trPr>
        <w:tc>
          <w:tcPr>
            <w:tcW w:w="708" w:type="pct"/>
            <w:tcBorders>
              <w:top w:val="single" w:sz="4" w:space="0" w:color="auto"/>
              <w:left w:val="single" w:sz="4" w:space="0" w:color="000000"/>
              <w:bottom w:val="single" w:sz="4" w:space="0" w:color="000000"/>
              <w:right w:val="single" w:sz="4" w:space="0" w:color="000000"/>
            </w:tcBorders>
            <w:shd w:val="clear" w:color="auto" w:fill="C0C0C0"/>
            <w:vAlign w:val="center"/>
            <w:hideMark/>
          </w:tcPr>
          <w:p w:rsidR="001B431A" w:rsidRDefault="001B431A" w:rsidP="001B431A">
            <w:pPr>
              <w:spacing w:line="240" w:lineRule="auto"/>
              <w:rPr>
                <w:rFonts w:eastAsia="Times New Roman" w:cs="Arial"/>
                <w:b/>
                <w:bCs/>
                <w:sz w:val="20"/>
                <w:szCs w:val="20"/>
                <w:lang w:eastAsia="pt-BR"/>
              </w:rPr>
            </w:pPr>
            <w:r>
              <w:rPr>
                <w:rFonts w:eastAsia="Times New Roman" w:cs="Arial"/>
                <w:b/>
                <w:bCs/>
                <w:sz w:val="20"/>
                <w:szCs w:val="20"/>
                <w:lang w:eastAsia="pt-BR"/>
              </w:rPr>
              <w:t>OBJETIVO</w:t>
            </w:r>
          </w:p>
        </w:tc>
        <w:tc>
          <w:tcPr>
            <w:tcW w:w="111" w:type="pct"/>
            <w:tcBorders>
              <w:top w:val="single" w:sz="4" w:space="0" w:color="auto"/>
              <w:left w:val="nil"/>
              <w:bottom w:val="single" w:sz="4" w:space="0" w:color="000000"/>
              <w:right w:val="single" w:sz="4" w:space="0" w:color="000000"/>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2</w:t>
            </w:r>
          </w:p>
        </w:tc>
        <w:tc>
          <w:tcPr>
            <w:tcW w:w="4181" w:type="pct"/>
            <w:gridSpan w:val="4"/>
            <w:tcBorders>
              <w:top w:val="single" w:sz="4" w:space="0" w:color="000000"/>
              <w:left w:val="nil"/>
              <w:bottom w:val="single" w:sz="4" w:space="0" w:color="000000"/>
              <w:right w:val="single" w:sz="4" w:space="0" w:color="000000"/>
            </w:tcBorders>
            <w:hideMark/>
          </w:tcPr>
          <w:p w:rsidR="001B431A" w:rsidRDefault="001B431A" w:rsidP="001B431A">
            <w:pPr>
              <w:spacing w:line="240" w:lineRule="auto"/>
              <w:rPr>
                <w:rFonts w:eastAsia="Times New Roman" w:cs="Arial"/>
                <w:sz w:val="20"/>
                <w:szCs w:val="20"/>
                <w:lang w:eastAsia="pt-BR"/>
              </w:rPr>
            </w:pPr>
            <w:r>
              <w:rPr>
                <w:rFonts w:eastAsia="Times New Roman" w:cs="Arial"/>
                <w:bCs/>
                <w:sz w:val="20"/>
                <w:szCs w:val="20"/>
              </w:rPr>
              <w:t>Ampliar e otimizar a cobertura dos serviços de limpeza urbana</w:t>
            </w:r>
          </w:p>
        </w:tc>
      </w:tr>
      <w:tr w:rsidR="001B431A" w:rsidTr="001B431A">
        <w:trPr>
          <w:trHeight w:val="222"/>
          <w:jc w:val="center"/>
        </w:trPr>
        <w:tc>
          <w:tcPr>
            <w:tcW w:w="708" w:type="pct"/>
            <w:tcBorders>
              <w:top w:val="single" w:sz="4" w:space="0" w:color="auto"/>
              <w:left w:val="single" w:sz="4" w:space="0" w:color="000000"/>
              <w:bottom w:val="single" w:sz="4" w:space="0" w:color="000000"/>
              <w:right w:val="single" w:sz="4" w:space="0" w:color="000000"/>
            </w:tcBorders>
            <w:shd w:val="clear" w:color="auto" w:fill="C0C0C0"/>
            <w:vAlign w:val="center"/>
            <w:hideMark/>
          </w:tcPr>
          <w:p w:rsidR="001B431A" w:rsidRDefault="001B431A" w:rsidP="001B431A">
            <w:pPr>
              <w:spacing w:before="20" w:after="20" w:line="240" w:lineRule="auto"/>
              <w:contextualSpacing/>
              <w:rPr>
                <w:rFonts w:eastAsia="Times New Roman" w:cs="Arial"/>
                <w:b/>
                <w:bCs/>
                <w:sz w:val="20"/>
                <w:szCs w:val="20"/>
                <w:lang w:eastAsia="pt-BR"/>
              </w:rPr>
            </w:pPr>
            <w:r>
              <w:rPr>
                <w:rFonts w:eastAsia="Times New Roman" w:cs="Arial"/>
                <w:b/>
                <w:bCs/>
                <w:sz w:val="20"/>
                <w:szCs w:val="20"/>
                <w:lang w:eastAsia="pt-BR"/>
              </w:rPr>
              <w:t>INDICADORES DE MONITORAMENTO</w:t>
            </w:r>
          </w:p>
        </w:tc>
        <w:tc>
          <w:tcPr>
            <w:tcW w:w="4292" w:type="pct"/>
            <w:gridSpan w:val="5"/>
            <w:tcBorders>
              <w:top w:val="single" w:sz="4" w:space="0" w:color="auto"/>
              <w:left w:val="nil"/>
              <w:bottom w:val="single" w:sz="4" w:space="0" w:color="000000"/>
              <w:right w:val="single" w:sz="4" w:space="0" w:color="000000"/>
            </w:tcBorders>
            <w:vAlign w:val="center"/>
            <w:hideMark/>
          </w:tcPr>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Extensão varrida anualmente por extensão total de vias.</w:t>
            </w:r>
          </w:p>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Índice da área atendida com serviços de capina e roçagem.</w:t>
            </w:r>
          </w:p>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Índice de prestação de serviços de poda e corte da arborização.</w:t>
            </w:r>
          </w:p>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Porcentagem do total de resíduos de poda e capina, roçagem e raspagem que é enviada para a compostagem.</w:t>
            </w:r>
          </w:p>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Volume de resíduos dispostos no aterro (em metros cúbicos).</w:t>
            </w:r>
          </w:p>
        </w:tc>
      </w:tr>
      <w:tr w:rsidR="001B431A" w:rsidTr="001B431A">
        <w:trPr>
          <w:trHeight w:val="270"/>
          <w:jc w:val="center"/>
        </w:trPr>
        <w:tc>
          <w:tcPr>
            <w:tcW w:w="5000" w:type="pct"/>
            <w:gridSpan w:val="6"/>
            <w:tcBorders>
              <w:top w:val="single" w:sz="4" w:space="0" w:color="000000"/>
              <w:left w:val="single" w:sz="4" w:space="0" w:color="000000"/>
              <w:bottom w:val="single" w:sz="4" w:space="0" w:color="000000"/>
              <w:right w:val="single" w:sz="4" w:space="0" w:color="000000"/>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PRAZO DE ENTREGA DA META (ANOS)</w:t>
            </w:r>
          </w:p>
        </w:tc>
      </w:tr>
      <w:tr w:rsidR="001B431A" w:rsidTr="001B431A">
        <w:trPr>
          <w:trHeight w:val="255"/>
          <w:jc w:val="center"/>
        </w:trPr>
        <w:tc>
          <w:tcPr>
            <w:tcW w:w="3157" w:type="pct"/>
            <w:gridSpan w:val="3"/>
            <w:tcBorders>
              <w:top w:val="single" w:sz="4" w:space="0" w:color="000000"/>
              <w:left w:val="single" w:sz="4" w:space="0" w:color="000000"/>
              <w:bottom w:val="single" w:sz="4" w:space="0" w:color="000000"/>
              <w:right w:val="single" w:sz="4" w:space="0" w:color="000000"/>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IMEDIATO (0 a 3)</w:t>
            </w:r>
          </w:p>
        </w:tc>
        <w:tc>
          <w:tcPr>
            <w:tcW w:w="538" w:type="pct"/>
            <w:tcBorders>
              <w:top w:val="single" w:sz="4" w:space="0" w:color="000000"/>
              <w:left w:val="nil"/>
              <w:bottom w:val="single" w:sz="4" w:space="0" w:color="000000"/>
              <w:right w:val="single" w:sz="4" w:space="0" w:color="000000"/>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CURTO (4 a 8)</w:t>
            </w:r>
          </w:p>
        </w:tc>
        <w:tc>
          <w:tcPr>
            <w:tcW w:w="640" w:type="pct"/>
            <w:tcBorders>
              <w:top w:val="single" w:sz="4" w:space="0" w:color="000000"/>
              <w:left w:val="nil"/>
              <w:bottom w:val="single" w:sz="4" w:space="0" w:color="000000"/>
              <w:right w:val="single" w:sz="4" w:space="0" w:color="000000"/>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MÉDIO (9 a 12)</w:t>
            </w:r>
          </w:p>
        </w:tc>
        <w:tc>
          <w:tcPr>
            <w:tcW w:w="665" w:type="pct"/>
            <w:tcBorders>
              <w:top w:val="single" w:sz="4" w:space="0" w:color="000000"/>
              <w:left w:val="nil"/>
              <w:bottom w:val="single" w:sz="4" w:space="0" w:color="000000"/>
              <w:right w:val="single" w:sz="4" w:space="0" w:color="000000"/>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LONGO (13 a 20)</w:t>
            </w:r>
          </w:p>
        </w:tc>
      </w:tr>
      <w:tr w:rsidR="001B431A" w:rsidTr="001B431A">
        <w:trPr>
          <w:trHeight w:val="537"/>
          <w:jc w:val="center"/>
        </w:trPr>
        <w:tc>
          <w:tcPr>
            <w:tcW w:w="3157" w:type="pct"/>
            <w:gridSpan w:val="3"/>
            <w:tcBorders>
              <w:top w:val="single" w:sz="4" w:space="0" w:color="000000"/>
              <w:left w:val="single" w:sz="4" w:space="0" w:color="000000"/>
              <w:bottom w:val="single" w:sz="4" w:space="0" w:color="000000"/>
              <w:right w:val="single" w:sz="4" w:space="0" w:color="000000"/>
            </w:tcBorders>
            <w:noWrap/>
            <w:hideMark/>
          </w:tcPr>
          <w:p w:rsidR="001B431A" w:rsidRDefault="001B431A" w:rsidP="001B431A">
            <w:pPr>
              <w:spacing w:before="20" w:after="20" w:line="240" w:lineRule="auto"/>
              <w:jc w:val="both"/>
              <w:rPr>
                <w:rFonts w:cs="Arial"/>
                <w:bCs/>
                <w:sz w:val="20"/>
                <w:szCs w:val="20"/>
              </w:rPr>
            </w:pPr>
            <w:r>
              <w:rPr>
                <w:rFonts w:cs="Arial"/>
                <w:bCs/>
                <w:sz w:val="20"/>
                <w:szCs w:val="20"/>
              </w:rPr>
              <w:t>2.1. Executar serviços de varrição, poda, capina, roçagem e raspagem em 100% das áreas públicas das zonas urbanas passíveis dos serviços.</w:t>
            </w:r>
          </w:p>
          <w:p w:rsidR="001B431A" w:rsidRDefault="001B431A" w:rsidP="001B431A">
            <w:pPr>
              <w:spacing w:before="20" w:after="20" w:line="240" w:lineRule="auto"/>
              <w:jc w:val="both"/>
              <w:rPr>
                <w:rFonts w:cs="Arial"/>
                <w:bCs/>
                <w:sz w:val="20"/>
                <w:szCs w:val="20"/>
              </w:rPr>
            </w:pPr>
            <w:r>
              <w:rPr>
                <w:rFonts w:cs="Arial"/>
                <w:bCs/>
                <w:sz w:val="20"/>
                <w:szCs w:val="20"/>
              </w:rPr>
              <w:t>2.2. Estabelecer sistematização e periodicidade dos serviços de forma a garantir a limpeza da cidade.</w:t>
            </w:r>
          </w:p>
        </w:tc>
        <w:tc>
          <w:tcPr>
            <w:tcW w:w="538" w:type="pct"/>
            <w:tcBorders>
              <w:top w:val="single" w:sz="4" w:space="0" w:color="000000"/>
              <w:left w:val="nil"/>
              <w:bottom w:val="single" w:sz="4" w:space="0" w:color="000000"/>
              <w:right w:val="single" w:sz="4" w:space="0" w:color="000000"/>
            </w:tcBorders>
            <w:noWrap/>
            <w:hideMark/>
          </w:tcPr>
          <w:p w:rsidR="001B431A" w:rsidRDefault="001B431A" w:rsidP="001B431A">
            <w:pPr>
              <w:spacing w:line="240" w:lineRule="auto"/>
              <w:rPr>
                <w:rFonts w:ascii="Calibri" w:hAnsi="Calibri"/>
                <w:sz w:val="20"/>
                <w:szCs w:val="20"/>
                <w:lang w:eastAsia="pt-BR"/>
              </w:rPr>
            </w:pPr>
          </w:p>
        </w:tc>
        <w:tc>
          <w:tcPr>
            <w:tcW w:w="640" w:type="pct"/>
            <w:tcBorders>
              <w:top w:val="single" w:sz="4" w:space="0" w:color="000000"/>
              <w:left w:val="nil"/>
              <w:bottom w:val="single" w:sz="4" w:space="0" w:color="000000"/>
              <w:right w:val="single" w:sz="4" w:space="0" w:color="000000"/>
            </w:tcBorders>
            <w:noWrap/>
            <w:hideMark/>
          </w:tcPr>
          <w:p w:rsidR="001B431A" w:rsidRDefault="001B431A" w:rsidP="001B431A">
            <w:pPr>
              <w:spacing w:line="240" w:lineRule="auto"/>
              <w:rPr>
                <w:rFonts w:ascii="Calibri" w:hAnsi="Calibri"/>
                <w:sz w:val="20"/>
                <w:szCs w:val="20"/>
                <w:lang w:eastAsia="pt-BR"/>
              </w:rPr>
            </w:pPr>
          </w:p>
        </w:tc>
        <w:tc>
          <w:tcPr>
            <w:tcW w:w="665" w:type="pct"/>
            <w:tcBorders>
              <w:top w:val="single" w:sz="4" w:space="0" w:color="000000"/>
              <w:left w:val="nil"/>
              <w:bottom w:val="single" w:sz="4" w:space="0" w:color="auto"/>
              <w:right w:val="single" w:sz="4" w:space="0" w:color="000000"/>
            </w:tcBorders>
            <w:noWrap/>
            <w:hideMark/>
          </w:tcPr>
          <w:p w:rsidR="001B431A" w:rsidRDefault="001B431A" w:rsidP="001B431A">
            <w:pPr>
              <w:spacing w:line="240" w:lineRule="auto"/>
              <w:rPr>
                <w:rFonts w:ascii="Calibri" w:hAnsi="Calibri"/>
                <w:sz w:val="20"/>
                <w:szCs w:val="20"/>
                <w:lang w:eastAsia="pt-BR"/>
              </w:rPr>
            </w:pPr>
          </w:p>
        </w:tc>
      </w:tr>
    </w:tbl>
    <w:p w:rsidR="001B431A" w:rsidRDefault="001B431A" w:rsidP="001B431A">
      <w:pPr>
        <w:rPr>
          <w:sz w:val="2"/>
          <w:szCs w:val="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63"/>
        <w:gridCol w:w="8079"/>
        <w:gridCol w:w="2127"/>
        <w:gridCol w:w="1559"/>
        <w:gridCol w:w="1598"/>
      </w:tblGrid>
      <w:tr w:rsidR="001B431A" w:rsidTr="001B431A">
        <w:trPr>
          <w:trHeight w:val="20"/>
          <w:tblHeader/>
          <w:jc w:val="center"/>
        </w:trPr>
        <w:tc>
          <w:tcPr>
            <w:tcW w:w="14426" w:type="dxa"/>
            <w:gridSpan w:val="5"/>
            <w:shd w:val="clear" w:color="auto" w:fill="C0C0C0"/>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PROGRAMAS E AÇÕES</w:t>
            </w:r>
          </w:p>
        </w:tc>
      </w:tr>
      <w:tr w:rsidR="001B431A" w:rsidTr="001B431A">
        <w:trPr>
          <w:trHeight w:val="20"/>
          <w:tblHeader/>
          <w:jc w:val="center"/>
        </w:trPr>
        <w:tc>
          <w:tcPr>
            <w:tcW w:w="1063" w:type="dxa"/>
            <w:shd w:val="clear" w:color="auto" w:fill="C0C0C0"/>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CÓDIGO</w:t>
            </w:r>
          </w:p>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(s/o/m/a)*</w:t>
            </w:r>
          </w:p>
        </w:tc>
        <w:tc>
          <w:tcPr>
            <w:tcW w:w="8079" w:type="dxa"/>
            <w:shd w:val="clear" w:color="auto" w:fill="C0C0C0"/>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DESCRIÇÃO</w:t>
            </w:r>
          </w:p>
        </w:tc>
        <w:tc>
          <w:tcPr>
            <w:tcW w:w="2127" w:type="dxa"/>
            <w:shd w:val="clear" w:color="auto" w:fill="C0C0C0"/>
            <w:vAlign w:val="center"/>
            <w:hideMark/>
          </w:tcPr>
          <w:p w:rsidR="001B431A" w:rsidRDefault="001B431A" w:rsidP="001B431A">
            <w:pPr>
              <w:spacing w:line="240" w:lineRule="auto"/>
              <w:ind w:firstLine="72"/>
              <w:jc w:val="center"/>
              <w:rPr>
                <w:rFonts w:eastAsia="Times New Roman" w:cs="Arial"/>
                <w:b/>
                <w:bCs/>
                <w:sz w:val="20"/>
                <w:szCs w:val="20"/>
                <w:lang w:eastAsia="pt-BR"/>
              </w:rPr>
            </w:pPr>
            <w:r>
              <w:rPr>
                <w:rFonts w:eastAsia="Times New Roman" w:cs="Arial"/>
                <w:b/>
                <w:bCs/>
                <w:sz w:val="20"/>
                <w:szCs w:val="20"/>
                <w:lang w:eastAsia="pt-BR"/>
              </w:rPr>
              <w:t>Período de desenvolvimento da ação</w:t>
            </w:r>
          </w:p>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(ano)</w:t>
            </w:r>
          </w:p>
        </w:tc>
        <w:tc>
          <w:tcPr>
            <w:tcW w:w="1559" w:type="dxa"/>
            <w:shd w:val="clear" w:color="auto" w:fill="C0C0C0"/>
            <w:vAlign w:val="center"/>
            <w:hideMark/>
          </w:tcPr>
          <w:p w:rsidR="001B431A" w:rsidRDefault="001B431A" w:rsidP="001B431A">
            <w:pPr>
              <w:spacing w:line="240" w:lineRule="auto"/>
              <w:ind w:left="64" w:firstLine="8"/>
              <w:jc w:val="center"/>
              <w:rPr>
                <w:rFonts w:eastAsia="Times New Roman" w:cs="Arial"/>
                <w:b/>
                <w:bCs/>
                <w:sz w:val="20"/>
                <w:szCs w:val="20"/>
                <w:lang w:eastAsia="pt-BR"/>
              </w:rPr>
            </w:pPr>
            <w:r>
              <w:rPr>
                <w:rFonts w:eastAsia="Times New Roman" w:cs="Arial"/>
                <w:b/>
                <w:bCs/>
                <w:sz w:val="20"/>
                <w:szCs w:val="20"/>
                <w:lang w:eastAsia="pt-BR"/>
              </w:rPr>
              <w:t>Custo total na moeda de 2017</w:t>
            </w:r>
          </w:p>
          <w:p w:rsidR="001B431A" w:rsidRDefault="001B431A" w:rsidP="001B431A">
            <w:pPr>
              <w:spacing w:before="20" w:after="20" w:line="240" w:lineRule="auto"/>
              <w:contextualSpacing/>
              <w:jc w:val="center"/>
              <w:rPr>
                <w:rFonts w:eastAsia="Times New Roman" w:cs="Arial"/>
                <w:b/>
                <w:bCs/>
                <w:sz w:val="20"/>
                <w:szCs w:val="20"/>
                <w:lang w:eastAsia="pt-BR"/>
              </w:rPr>
            </w:pPr>
            <w:r>
              <w:rPr>
                <w:rFonts w:eastAsia="Times New Roman" w:cs="Arial"/>
                <w:b/>
                <w:bCs/>
                <w:sz w:val="20"/>
                <w:szCs w:val="20"/>
                <w:lang w:eastAsia="pt-BR"/>
              </w:rPr>
              <w:t>(R$)</w:t>
            </w:r>
          </w:p>
        </w:tc>
        <w:tc>
          <w:tcPr>
            <w:tcW w:w="1598" w:type="dxa"/>
            <w:shd w:val="clear" w:color="auto" w:fill="C0C0C0"/>
            <w:vAlign w:val="center"/>
            <w:hideMark/>
          </w:tcPr>
          <w:p w:rsidR="001B431A" w:rsidRDefault="001B431A" w:rsidP="001B431A">
            <w:pPr>
              <w:spacing w:line="240" w:lineRule="auto"/>
              <w:ind w:left="64" w:firstLine="8"/>
              <w:jc w:val="center"/>
              <w:rPr>
                <w:rFonts w:eastAsia="Times New Roman" w:cs="Arial"/>
                <w:b/>
                <w:bCs/>
                <w:sz w:val="20"/>
                <w:szCs w:val="20"/>
                <w:lang w:eastAsia="pt-BR"/>
              </w:rPr>
            </w:pPr>
            <w:r>
              <w:rPr>
                <w:rFonts w:eastAsia="Times New Roman" w:cs="Arial"/>
                <w:b/>
                <w:bCs/>
                <w:sz w:val="20"/>
                <w:szCs w:val="20"/>
                <w:lang w:eastAsia="pt-BR"/>
              </w:rPr>
              <w:t>Responsável pela ação</w:t>
            </w:r>
          </w:p>
        </w:tc>
      </w:tr>
      <w:tr w:rsidR="001B431A" w:rsidTr="001B431A">
        <w:trPr>
          <w:trHeight w:val="907"/>
          <w:jc w:val="center"/>
        </w:trPr>
        <w:tc>
          <w:tcPr>
            <w:tcW w:w="1063" w:type="dxa"/>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4.2.1.23</w:t>
            </w:r>
          </w:p>
        </w:tc>
        <w:tc>
          <w:tcPr>
            <w:tcW w:w="8079" w:type="dxa"/>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Ampliar a área atendida pelo serviço de varrição, utilizando uma frequência mínima adequada à realidade local.</w:t>
            </w:r>
          </w:p>
        </w:tc>
        <w:tc>
          <w:tcPr>
            <w:tcW w:w="2127" w:type="dxa"/>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w:t>
            </w:r>
          </w:p>
        </w:tc>
        <w:tc>
          <w:tcPr>
            <w:tcW w:w="1559" w:type="dxa"/>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66.000,00</w:t>
            </w:r>
          </w:p>
        </w:tc>
        <w:tc>
          <w:tcPr>
            <w:tcW w:w="1598" w:type="dxa"/>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907"/>
          <w:jc w:val="center"/>
        </w:trPr>
        <w:tc>
          <w:tcPr>
            <w:tcW w:w="1063" w:type="dxa"/>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4.2.2.24</w:t>
            </w:r>
          </w:p>
        </w:tc>
        <w:tc>
          <w:tcPr>
            <w:tcW w:w="8079" w:type="dxa"/>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Implantar programa de sensibilização e conscientização da população quanto à limpeza das vias urbanas, com o objetivo de reduzir problemas de obstrução da rede de drenagem em função do acúmulo de lixo nesses sistemas.</w:t>
            </w:r>
          </w:p>
        </w:tc>
        <w:tc>
          <w:tcPr>
            <w:tcW w:w="2127" w:type="dxa"/>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1º-3º</w:t>
            </w:r>
          </w:p>
        </w:tc>
        <w:tc>
          <w:tcPr>
            <w:tcW w:w="1559" w:type="dxa"/>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7.560,00</w:t>
            </w:r>
          </w:p>
        </w:tc>
        <w:tc>
          <w:tcPr>
            <w:tcW w:w="1598" w:type="dxa"/>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907"/>
          <w:jc w:val="center"/>
        </w:trPr>
        <w:tc>
          <w:tcPr>
            <w:tcW w:w="1063" w:type="dxa"/>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4.2.2.25</w:t>
            </w:r>
          </w:p>
        </w:tc>
        <w:tc>
          <w:tcPr>
            <w:tcW w:w="8079" w:type="dxa"/>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Ampliar serviços de capina, roçagem e raspagem, de forma a atender todo o município e considerar o incremento necessário com a expansão urbana e criação de novas áreas verdes.</w:t>
            </w:r>
          </w:p>
        </w:tc>
        <w:tc>
          <w:tcPr>
            <w:tcW w:w="2127" w:type="dxa"/>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1º-3º</w:t>
            </w:r>
          </w:p>
        </w:tc>
        <w:tc>
          <w:tcPr>
            <w:tcW w:w="1559" w:type="dxa"/>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198.000,00</w:t>
            </w:r>
          </w:p>
        </w:tc>
        <w:tc>
          <w:tcPr>
            <w:tcW w:w="1598" w:type="dxa"/>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907"/>
          <w:jc w:val="center"/>
        </w:trPr>
        <w:tc>
          <w:tcPr>
            <w:tcW w:w="1063" w:type="dxa"/>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lastRenderedPageBreak/>
              <w:t>4.2.2.26</w:t>
            </w:r>
          </w:p>
        </w:tc>
        <w:tc>
          <w:tcPr>
            <w:tcW w:w="8079" w:type="dxa"/>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Adquirir cestos para o acondicionamento dos resíduos, destinados ao uso dos pedestres.</w:t>
            </w:r>
          </w:p>
        </w:tc>
        <w:tc>
          <w:tcPr>
            <w:tcW w:w="2127" w:type="dxa"/>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1º-3º</w:t>
            </w:r>
          </w:p>
        </w:tc>
        <w:tc>
          <w:tcPr>
            <w:tcW w:w="1559" w:type="dxa"/>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40.000,00</w:t>
            </w:r>
          </w:p>
        </w:tc>
        <w:tc>
          <w:tcPr>
            <w:tcW w:w="1598" w:type="dxa"/>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907"/>
          <w:jc w:val="center"/>
        </w:trPr>
        <w:tc>
          <w:tcPr>
            <w:tcW w:w="1063" w:type="dxa"/>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4.2.2.27</w:t>
            </w:r>
          </w:p>
        </w:tc>
        <w:tc>
          <w:tcPr>
            <w:tcW w:w="8079" w:type="dxa"/>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Implementar programas continuados de treinamento junto aos varredores e à população, instruindo quais os tipos de materiais que serão recolhidos pelo sistema de varrição.</w:t>
            </w:r>
          </w:p>
        </w:tc>
        <w:tc>
          <w:tcPr>
            <w:tcW w:w="2127" w:type="dxa"/>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1º-3º</w:t>
            </w:r>
          </w:p>
        </w:tc>
        <w:tc>
          <w:tcPr>
            <w:tcW w:w="1559" w:type="dxa"/>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3.166,00</w:t>
            </w:r>
          </w:p>
        </w:tc>
        <w:tc>
          <w:tcPr>
            <w:tcW w:w="1598" w:type="dxa"/>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907"/>
          <w:jc w:val="center"/>
        </w:trPr>
        <w:tc>
          <w:tcPr>
            <w:tcW w:w="1063" w:type="dxa"/>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4.2.3.28</w:t>
            </w:r>
          </w:p>
        </w:tc>
        <w:tc>
          <w:tcPr>
            <w:tcW w:w="8079" w:type="dxa"/>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Implementar mecanismos operacionais e de conscientização, que regulem o envio dos materiais recolhidos na poda e capina para a compostagem municipal.</w:t>
            </w:r>
          </w:p>
        </w:tc>
        <w:tc>
          <w:tcPr>
            <w:tcW w:w="2127" w:type="dxa"/>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1º-3º</w:t>
            </w:r>
          </w:p>
        </w:tc>
        <w:tc>
          <w:tcPr>
            <w:tcW w:w="1559" w:type="dxa"/>
            <w:vAlign w:val="center"/>
            <w:hideMark/>
          </w:tcPr>
          <w:p w:rsidR="001B431A" w:rsidRDefault="001B431A" w:rsidP="001B431A">
            <w:pPr>
              <w:spacing w:line="240" w:lineRule="auto"/>
              <w:jc w:val="right"/>
              <w:rPr>
                <w:rFonts w:eastAsia="Times New Roman" w:cs="Arial"/>
                <w:sz w:val="20"/>
                <w:szCs w:val="20"/>
                <w:lang w:eastAsia="pt-BR"/>
              </w:rPr>
            </w:pPr>
            <w:r w:rsidRPr="007E1F54">
              <w:rPr>
                <w:rFonts w:eastAsia="Times New Roman" w:cs="Arial"/>
                <w:sz w:val="20"/>
                <w:szCs w:val="20"/>
                <w:lang w:eastAsia="pt-BR"/>
              </w:rPr>
              <w:t>30.727,05</w:t>
            </w:r>
          </w:p>
        </w:tc>
        <w:tc>
          <w:tcPr>
            <w:tcW w:w="1598" w:type="dxa"/>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 / Câmara Municipal</w:t>
            </w:r>
          </w:p>
        </w:tc>
      </w:tr>
    </w:tbl>
    <w:p w:rsidR="001B431A" w:rsidRDefault="001B431A" w:rsidP="001B431A">
      <w:pPr>
        <w:pStyle w:val="Fonte"/>
      </w:pPr>
      <w:bookmarkStart w:id="1016" w:name="_Ref365550554"/>
      <w:bookmarkStart w:id="1017" w:name="_Toc378944494"/>
      <w:bookmarkStart w:id="1018" w:name="_Toc374612863"/>
      <w:bookmarkStart w:id="1019" w:name="_Toc365616704"/>
      <w:r>
        <w:t>*(s/o/m/a) = nº do setor / nº do objetivo / nº da meta / nº da ação.</w:t>
      </w:r>
    </w:p>
    <w:p w:rsidR="001B431A" w:rsidRDefault="001B431A" w:rsidP="001B431A">
      <w:pPr>
        <w:pStyle w:val="Legenda"/>
        <w:rPr>
          <w:rFonts w:eastAsia="Calibri"/>
          <w:lang w:eastAsia="en-US"/>
        </w:rPr>
      </w:pPr>
      <w:r>
        <w:rPr>
          <w:sz w:val="22"/>
          <w:lang w:eastAsia="pt-BR"/>
        </w:rPr>
        <w:br w:type="page"/>
      </w:r>
      <w:bookmarkStart w:id="1020" w:name="_Toc498594144"/>
      <w:bookmarkStart w:id="1021" w:name="_Toc491681736"/>
      <w:bookmarkStart w:id="1022" w:name="_Toc488050773"/>
      <w:bookmarkStart w:id="1023" w:name="_Toc441048140"/>
      <w:bookmarkStart w:id="1024" w:name="_Toc505788354"/>
      <w:bookmarkStart w:id="1025" w:name="_Toc509935862"/>
      <w:bookmarkEnd w:id="1016"/>
      <w:r>
        <w:lastRenderedPageBreak/>
        <w:t xml:space="preserve">Quadro </w:t>
      </w:r>
      <w:r w:rsidR="000A1C78">
        <w:fldChar w:fldCharType="begin"/>
      </w:r>
      <w:r w:rsidR="000A1C78">
        <w:instrText xml:space="preserve"> SEQ Quadro \* ARABIC </w:instrText>
      </w:r>
      <w:r w:rsidR="000A1C78">
        <w:fldChar w:fldCharType="separate"/>
      </w:r>
      <w:r w:rsidR="001B481B">
        <w:rPr>
          <w:noProof/>
        </w:rPr>
        <w:t>85</w:t>
      </w:r>
      <w:r w:rsidR="000A1C78">
        <w:rPr>
          <w:noProof/>
        </w:rPr>
        <w:fldChar w:fldCharType="end"/>
      </w:r>
      <w:r>
        <w:t xml:space="preserve"> - Programas e ações propostos relacionados ao setor de limpeza urbana e manejo de resíduos sólidos - Objetivo 3</w:t>
      </w:r>
      <w:bookmarkEnd w:id="1017"/>
      <w:bookmarkEnd w:id="1018"/>
      <w:bookmarkEnd w:id="1019"/>
      <w:bookmarkEnd w:id="1020"/>
      <w:bookmarkEnd w:id="1021"/>
      <w:bookmarkEnd w:id="1022"/>
      <w:bookmarkEnd w:id="1023"/>
      <w:bookmarkEnd w:id="1024"/>
      <w:bookmarkEnd w:id="1025"/>
    </w:p>
    <w:tbl>
      <w:tblPr>
        <w:tblW w:w="14895" w:type="dxa"/>
        <w:jc w:val="center"/>
        <w:tblLayout w:type="fixed"/>
        <w:tblCellMar>
          <w:left w:w="70" w:type="dxa"/>
          <w:right w:w="70" w:type="dxa"/>
        </w:tblCellMar>
        <w:tblLook w:val="04A0" w:firstRow="1" w:lastRow="0" w:firstColumn="1" w:lastColumn="0" w:noHBand="0" w:noVBand="1"/>
      </w:tblPr>
      <w:tblGrid>
        <w:gridCol w:w="2054"/>
        <w:gridCol w:w="283"/>
        <w:gridCol w:w="2551"/>
        <w:gridCol w:w="1558"/>
        <w:gridCol w:w="4392"/>
        <w:gridCol w:w="4057"/>
      </w:tblGrid>
      <w:tr w:rsidR="001B431A" w:rsidTr="001B431A">
        <w:trPr>
          <w:trHeight w:val="20"/>
          <w:jc w:val="center"/>
        </w:trPr>
        <w:tc>
          <w:tcPr>
            <w:tcW w:w="2055" w:type="dxa"/>
            <w:tcBorders>
              <w:top w:val="single" w:sz="4" w:space="0" w:color="auto"/>
              <w:left w:val="single" w:sz="4" w:space="0" w:color="000000"/>
              <w:bottom w:val="single" w:sz="4" w:space="0" w:color="000000"/>
              <w:right w:val="single" w:sz="4" w:space="0" w:color="000000"/>
            </w:tcBorders>
            <w:shd w:val="clear" w:color="auto" w:fill="C0C0C0"/>
            <w:vAlign w:val="center"/>
            <w:hideMark/>
          </w:tcPr>
          <w:p w:rsidR="001B431A" w:rsidRDefault="001B431A" w:rsidP="001B431A">
            <w:pPr>
              <w:spacing w:line="240" w:lineRule="auto"/>
              <w:rPr>
                <w:rFonts w:eastAsia="Times New Roman" w:cs="Arial"/>
                <w:b/>
                <w:bCs/>
                <w:sz w:val="20"/>
                <w:szCs w:val="20"/>
                <w:lang w:eastAsia="pt-BR"/>
              </w:rPr>
            </w:pPr>
            <w:r>
              <w:rPr>
                <w:rFonts w:eastAsia="Times New Roman" w:cs="Arial"/>
                <w:b/>
                <w:bCs/>
                <w:sz w:val="20"/>
                <w:szCs w:val="20"/>
                <w:lang w:eastAsia="pt-BR"/>
              </w:rPr>
              <w:t>SETOR</w:t>
            </w:r>
          </w:p>
        </w:tc>
        <w:tc>
          <w:tcPr>
            <w:tcW w:w="283" w:type="dxa"/>
            <w:tcBorders>
              <w:top w:val="single" w:sz="4" w:space="0" w:color="auto"/>
              <w:left w:val="nil"/>
              <w:bottom w:val="single" w:sz="4" w:space="0" w:color="000000"/>
              <w:right w:val="single" w:sz="4" w:space="0" w:color="000000"/>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w:t>
            </w:r>
          </w:p>
        </w:tc>
        <w:tc>
          <w:tcPr>
            <w:tcW w:w="12564" w:type="dxa"/>
            <w:gridSpan w:val="4"/>
            <w:tcBorders>
              <w:top w:val="single" w:sz="4" w:space="0" w:color="000000"/>
              <w:left w:val="nil"/>
              <w:bottom w:val="single" w:sz="4" w:space="0" w:color="000000"/>
              <w:right w:val="single" w:sz="4" w:space="0" w:color="000000"/>
            </w:tcBorders>
            <w:hideMark/>
          </w:tcPr>
          <w:p w:rsidR="001B431A" w:rsidRDefault="001B431A" w:rsidP="001B431A">
            <w:pPr>
              <w:spacing w:line="240" w:lineRule="auto"/>
              <w:rPr>
                <w:rFonts w:eastAsia="Times New Roman" w:cs="Arial"/>
                <w:sz w:val="20"/>
                <w:szCs w:val="20"/>
                <w:lang w:eastAsia="pt-BR"/>
              </w:rPr>
            </w:pPr>
            <w:r>
              <w:rPr>
                <w:rFonts w:eastAsia="Times New Roman" w:cs="Arial"/>
                <w:sz w:val="20"/>
                <w:szCs w:val="20"/>
                <w:lang w:eastAsia="pt-BR"/>
              </w:rPr>
              <w:t>Limpeza Urbana e Manejo de Resíduos Sólidos.</w:t>
            </w:r>
          </w:p>
        </w:tc>
      </w:tr>
      <w:tr w:rsidR="001B431A" w:rsidTr="001B431A">
        <w:trPr>
          <w:trHeight w:val="20"/>
          <w:jc w:val="center"/>
        </w:trPr>
        <w:tc>
          <w:tcPr>
            <w:tcW w:w="2055" w:type="dxa"/>
            <w:tcBorders>
              <w:top w:val="single" w:sz="4" w:space="0" w:color="auto"/>
              <w:left w:val="single" w:sz="4" w:space="0" w:color="000000"/>
              <w:bottom w:val="single" w:sz="4" w:space="0" w:color="000000"/>
              <w:right w:val="single" w:sz="4" w:space="0" w:color="000000"/>
            </w:tcBorders>
            <w:shd w:val="clear" w:color="auto" w:fill="C0C0C0"/>
            <w:vAlign w:val="center"/>
            <w:hideMark/>
          </w:tcPr>
          <w:p w:rsidR="001B431A" w:rsidRDefault="001B431A" w:rsidP="001B431A">
            <w:pPr>
              <w:spacing w:line="240" w:lineRule="auto"/>
              <w:rPr>
                <w:rFonts w:eastAsia="Times New Roman" w:cs="Arial"/>
                <w:b/>
                <w:bCs/>
                <w:sz w:val="20"/>
                <w:szCs w:val="20"/>
                <w:lang w:eastAsia="pt-BR"/>
              </w:rPr>
            </w:pPr>
            <w:r>
              <w:rPr>
                <w:rFonts w:eastAsia="Times New Roman" w:cs="Arial"/>
                <w:b/>
                <w:bCs/>
                <w:sz w:val="20"/>
                <w:szCs w:val="20"/>
                <w:lang w:eastAsia="pt-BR"/>
              </w:rPr>
              <w:t>OBJETIVO</w:t>
            </w:r>
          </w:p>
        </w:tc>
        <w:tc>
          <w:tcPr>
            <w:tcW w:w="283" w:type="dxa"/>
            <w:tcBorders>
              <w:top w:val="single" w:sz="4" w:space="0" w:color="auto"/>
              <w:left w:val="nil"/>
              <w:bottom w:val="single" w:sz="4" w:space="0" w:color="000000"/>
              <w:right w:val="single" w:sz="4" w:space="0" w:color="000000"/>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3</w:t>
            </w:r>
          </w:p>
        </w:tc>
        <w:tc>
          <w:tcPr>
            <w:tcW w:w="12564" w:type="dxa"/>
            <w:gridSpan w:val="4"/>
            <w:tcBorders>
              <w:top w:val="single" w:sz="4" w:space="0" w:color="000000"/>
              <w:left w:val="nil"/>
              <w:bottom w:val="single" w:sz="4" w:space="0" w:color="000000"/>
              <w:right w:val="single" w:sz="4" w:space="0" w:color="000000"/>
            </w:tcBorders>
            <w:hideMark/>
          </w:tcPr>
          <w:p w:rsidR="001B431A" w:rsidRDefault="001B431A" w:rsidP="001B431A">
            <w:pPr>
              <w:spacing w:line="240" w:lineRule="auto"/>
              <w:rPr>
                <w:rFonts w:eastAsia="Times New Roman" w:cs="Arial"/>
                <w:sz w:val="20"/>
                <w:szCs w:val="20"/>
                <w:lang w:eastAsia="pt-BR"/>
              </w:rPr>
            </w:pPr>
            <w:r>
              <w:rPr>
                <w:rFonts w:eastAsia="Times New Roman" w:cs="Arial"/>
                <w:bCs/>
                <w:sz w:val="20"/>
                <w:szCs w:val="20"/>
              </w:rPr>
              <w:t>Reduzir o envio de resíduos recicláveis e passíveis de compostagem ao local de disposição final (aterro sanitário).</w:t>
            </w:r>
          </w:p>
        </w:tc>
      </w:tr>
      <w:tr w:rsidR="001B431A" w:rsidTr="001B431A">
        <w:trPr>
          <w:trHeight w:val="20"/>
          <w:jc w:val="center"/>
        </w:trPr>
        <w:tc>
          <w:tcPr>
            <w:tcW w:w="2055" w:type="dxa"/>
            <w:tcBorders>
              <w:top w:val="single" w:sz="4" w:space="0" w:color="auto"/>
              <w:left w:val="single" w:sz="4" w:space="0" w:color="000000"/>
              <w:bottom w:val="single" w:sz="4" w:space="0" w:color="000000"/>
              <w:right w:val="single" w:sz="4" w:space="0" w:color="000000"/>
            </w:tcBorders>
            <w:shd w:val="clear" w:color="auto" w:fill="C0C0C0"/>
            <w:vAlign w:val="center"/>
            <w:hideMark/>
          </w:tcPr>
          <w:p w:rsidR="001B431A" w:rsidRDefault="001B431A" w:rsidP="001B431A">
            <w:pPr>
              <w:spacing w:before="20" w:after="20" w:line="240" w:lineRule="auto"/>
              <w:contextualSpacing/>
              <w:rPr>
                <w:rFonts w:eastAsia="Times New Roman" w:cs="Arial"/>
                <w:b/>
                <w:bCs/>
                <w:sz w:val="20"/>
                <w:szCs w:val="20"/>
                <w:lang w:eastAsia="pt-BR"/>
              </w:rPr>
            </w:pPr>
            <w:r>
              <w:rPr>
                <w:rFonts w:eastAsia="Times New Roman" w:cs="Arial"/>
                <w:b/>
                <w:bCs/>
                <w:sz w:val="20"/>
                <w:szCs w:val="20"/>
                <w:lang w:eastAsia="pt-BR"/>
              </w:rPr>
              <w:t>INDICADORES DE MONITORAMENTO</w:t>
            </w:r>
          </w:p>
        </w:tc>
        <w:tc>
          <w:tcPr>
            <w:tcW w:w="12847" w:type="dxa"/>
            <w:gridSpan w:val="5"/>
            <w:tcBorders>
              <w:top w:val="single" w:sz="4" w:space="0" w:color="auto"/>
              <w:left w:val="nil"/>
              <w:bottom w:val="single" w:sz="4" w:space="0" w:color="000000"/>
              <w:right w:val="single" w:sz="4" w:space="0" w:color="000000"/>
            </w:tcBorders>
            <w:vAlign w:val="center"/>
            <w:hideMark/>
          </w:tcPr>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Porcentagem do total de resíduos recicláveis que é disposta em aterro sanitário.</w:t>
            </w:r>
          </w:p>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Porcentagem de resíduos compostáveis presentes entre os resíduos sólidos dispostos em aterro sanitário.</w:t>
            </w:r>
          </w:p>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Índice de comercialização de materiais recicláveis.</w:t>
            </w:r>
          </w:p>
        </w:tc>
      </w:tr>
      <w:tr w:rsidR="001B431A" w:rsidTr="001B431A">
        <w:trPr>
          <w:trHeight w:val="20"/>
          <w:jc w:val="center"/>
        </w:trPr>
        <w:tc>
          <w:tcPr>
            <w:tcW w:w="14902" w:type="dxa"/>
            <w:gridSpan w:val="6"/>
            <w:tcBorders>
              <w:top w:val="single" w:sz="4" w:space="0" w:color="000000"/>
              <w:left w:val="single" w:sz="4" w:space="0" w:color="000000"/>
              <w:bottom w:val="single" w:sz="4" w:space="0" w:color="000000"/>
              <w:right w:val="single" w:sz="4" w:space="0" w:color="000000"/>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PRAZO DE ENTREGA DA META (ANOS)</w:t>
            </w:r>
          </w:p>
        </w:tc>
      </w:tr>
      <w:tr w:rsidR="001B431A" w:rsidTr="001B431A">
        <w:trPr>
          <w:trHeight w:val="20"/>
          <w:jc w:val="center"/>
        </w:trPr>
        <w:tc>
          <w:tcPr>
            <w:tcW w:w="4890" w:type="dxa"/>
            <w:gridSpan w:val="3"/>
            <w:tcBorders>
              <w:top w:val="single" w:sz="4" w:space="0" w:color="000000"/>
              <w:left w:val="single" w:sz="4" w:space="0" w:color="000000"/>
              <w:bottom w:val="single" w:sz="4" w:space="0" w:color="000000"/>
              <w:right w:val="single" w:sz="4" w:space="0" w:color="000000"/>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IMEDIATO (0 a 3)</w:t>
            </w:r>
          </w:p>
        </w:tc>
        <w:tc>
          <w:tcPr>
            <w:tcW w:w="1559" w:type="dxa"/>
            <w:tcBorders>
              <w:top w:val="single" w:sz="4" w:space="0" w:color="000000"/>
              <w:left w:val="nil"/>
              <w:bottom w:val="single" w:sz="4" w:space="0" w:color="000000"/>
              <w:right w:val="single" w:sz="4" w:space="0" w:color="000000"/>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CURTO (4 a 8)</w:t>
            </w:r>
          </w:p>
        </w:tc>
        <w:tc>
          <w:tcPr>
            <w:tcW w:w="4394" w:type="dxa"/>
            <w:tcBorders>
              <w:top w:val="single" w:sz="4" w:space="0" w:color="000000"/>
              <w:left w:val="nil"/>
              <w:bottom w:val="single" w:sz="4" w:space="0" w:color="000000"/>
              <w:right w:val="single" w:sz="4" w:space="0" w:color="000000"/>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MÉDIO (9 a 12)</w:t>
            </w:r>
          </w:p>
        </w:tc>
        <w:tc>
          <w:tcPr>
            <w:tcW w:w="4059" w:type="dxa"/>
            <w:tcBorders>
              <w:top w:val="single" w:sz="4" w:space="0" w:color="000000"/>
              <w:left w:val="nil"/>
              <w:bottom w:val="single" w:sz="4" w:space="0" w:color="000000"/>
              <w:right w:val="single" w:sz="4" w:space="0" w:color="000000"/>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LONGO (13 a 20)</w:t>
            </w:r>
          </w:p>
        </w:tc>
      </w:tr>
      <w:tr w:rsidR="001B431A" w:rsidTr="001B431A">
        <w:trPr>
          <w:trHeight w:val="20"/>
          <w:jc w:val="center"/>
        </w:trPr>
        <w:tc>
          <w:tcPr>
            <w:tcW w:w="4890" w:type="dxa"/>
            <w:gridSpan w:val="3"/>
            <w:tcBorders>
              <w:top w:val="single" w:sz="4" w:space="0" w:color="000000"/>
              <w:left w:val="single" w:sz="4" w:space="0" w:color="000000"/>
              <w:bottom w:val="single" w:sz="4" w:space="0" w:color="000000"/>
              <w:right w:val="single" w:sz="4" w:space="0" w:color="000000"/>
            </w:tcBorders>
            <w:noWrap/>
            <w:hideMark/>
          </w:tcPr>
          <w:p w:rsidR="001B431A" w:rsidRDefault="001B431A" w:rsidP="001B431A">
            <w:pPr>
              <w:spacing w:before="20" w:after="20" w:line="240" w:lineRule="auto"/>
              <w:jc w:val="both"/>
              <w:rPr>
                <w:rFonts w:cs="Arial"/>
                <w:bCs/>
                <w:sz w:val="20"/>
                <w:szCs w:val="20"/>
              </w:rPr>
            </w:pPr>
            <w:r>
              <w:rPr>
                <w:rFonts w:cs="Arial"/>
                <w:bCs/>
                <w:sz w:val="20"/>
                <w:szCs w:val="20"/>
              </w:rPr>
              <w:t>3.1. Instituir campanhas periódicas de sensibilização ambiental para separação de resíduos sólidos.</w:t>
            </w:r>
          </w:p>
        </w:tc>
        <w:tc>
          <w:tcPr>
            <w:tcW w:w="1559" w:type="dxa"/>
            <w:tcBorders>
              <w:top w:val="single" w:sz="4" w:space="0" w:color="000000"/>
              <w:left w:val="nil"/>
              <w:bottom w:val="single" w:sz="4" w:space="0" w:color="000000"/>
              <w:right w:val="single" w:sz="4" w:space="0" w:color="000000"/>
            </w:tcBorders>
            <w:noWrap/>
            <w:hideMark/>
          </w:tcPr>
          <w:p w:rsidR="001B431A" w:rsidRDefault="001B431A" w:rsidP="001B431A">
            <w:pPr>
              <w:spacing w:line="240" w:lineRule="auto"/>
              <w:rPr>
                <w:rFonts w:ascii="Calibri" w:hAnsi="Calibri"/>
                <w:sz w:val="20"/>
                <w:szCs w:val="20"/>
                <w:lang w:eastAsia="pt-BR"/>
              </w:rPr>
            </w:pPr>
          </w:p>
        </w:tc>
        <w:tc>
          <w:tcPr>
            <w:tcW w:w="4394" w:type="dxa"/>
            <w:tcBorders>
              <w:top w:val="single" w:sz="4" w:space="0" w:color="000000"/>
              <w:left w:val="nil"/>
              <w:bottom w:val="single" w:sz="4" w:space="0" w:color="000000"/>
              <w:right w:val="single" w:sz="4" w:space="0" w:color="000000"/>
            </w:tcBorders>
            <w:noWrap/>
            <w:hideMark/>
          </w:tcPr>
          <w:p w:rsidR="001B431A" w:rsidRDefault="001B431A" w:rsidP="001B431A">
            <w:pPr>
              <w:spacing w:before="20" w:after="20" w:line="240" w:lineRule="auto"/>
              <w:jc w:val="both"/>
              <w:rPr>
                <w:rFonts w:cs="Arial"/>
                <w:bCs/>
                <w:sz w:val="20"/>
                <w:szCs w:val="20"/>
              </w:rPr>
            </w:pPr>
            <w:r>
              <w:rPr>
                <w:rFonts w:cs="Arial"/>
                <w:bCs/>
                <w:sz w:val="20"/>
                <w:szCs w:val="20"/>
              </w:rPr>
              <w:t>3.2. Aumentar a taxa de reaproveitamento de materiais recicláveis e compostáveis para 70%.</w:t>
            </w:r>
          </w:p>
        </w:tc>
        <w:tc>
          <w:tcPr>
            <w:tcW w:w="4059" w:type="dxa"/>
            <w:tcBorders>
              <w:top w:val="single" w:sz="4" w:space="0" w:color="000000"/>
              <w:left w:val="nil"/>
              <w:bottom w:val="single" w:sz="4" w:space="0" w:color="000000"/>
              <w:right w:val="single" w:sz="4" w:space="0" w:color="000000"/>
            </w:tcBorders>
            <w:noWrap/>
            <w:hideMark/>
          </w:tcPr>
          <w:p w:rsidR="001B431A" w:rsidRDefault="001B431A" w:rsidP="001B431A">
            <w:pPr>
              <w:spacing w:before="20" w:after="20" w:line="240" w:lineRule="auto"/>
              <w:jc w:val="both"/>
              <w:rPr>
                <w:rFonts w:cs="Arial"/>
                <w:bCs/>
                <w:sz w:val="20"/>
                <w:szCs w:val="20"/>
              </w:rPr>
            </w:pPr>
            <w:r>
              <w:rPr>
                <w:rFonts w:cs="Arial"/>
                <w:bCs/>
                <w:sz w:val="20"/>
                <w:szCs w:val="20"/>
              </w:rPr>
              <w:t>3.3. Atingir e manter total aproveitamento de materiais recicláveis e compostáveis.</w:t>
            </w:r>
          </w:p>
        </w:tc>
      </w:tr>
    </w:tbl>
    <w:p w:rsidR="001B431A" w:rsidRDefault="001B431A" w:rsidP="001B431A">
      <w:pPr>
        <w:rPr>
          <w:sz w:val="10"/>
          <w:szCs w:val="10"/>
        </w:rPr>
      </w:pPr>
    </w:p>
    <w:tbl>
      <w:tblPr>
        <w:tblW w:w="5059" w:type="pct"/>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7"/>
        <w:gridCol w:w="7653"/>
        <w:gridCol w:w="1983"/>
        <w:gridCol w:w="1703"/>
        <w:gridCol w:w="2268"/>
      </w:tblGrid>
      <w:tr w:rsidR="001B431A" w:rsidTr="001B431A">
        <w:trPr>
          <w:trHeight w:val="70"/>
        </w:trPr>
        <w:tc>
          <w:tcPr>
            <w:tcW w:w="5000" w:type="pct"/>
            <w:gridSpan w:val="5"/>
            <w:tcBorders>
              <w:top w:val="single" w:sz="4" w:space="0" w:color="auto"/>
              <w:left w:val="single" w:sz="4" w:space="0" w:color="auto"/>
              <w:bottom w:val="single" w:sz="4" w:space="0" w:color="auto"/>
              <w:right w:val="single" w:sz="4" w:space="0" w:color="auto"/>
            </w:tcBorders>
            <w:shd w:val="clear" w:color="auto" w:fill="C0C0C0"/>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PROGRAMAS E AÇÕES</w:t>
            </w:r>
          </w:p>
        </w:tc>
      </w:tr>
      <w:tr w:rsidR="001B431A" w:rsidTr="001B431A">
        <w:trPr>
          <w:trHeight w:val="70"/>
        </w:trPr>
        <w:tc>
          <w:tcPr>
            <w:tcW w:w="42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CÓDIGO</w:t>
            </w:r>
          </w:p>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(s/o/m/a)*</w:t>
            </w:r>
          </w:p>
        </w:tc>
        <w:tc>
          <w:tcPr>
            <w:tcW w:w="257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DESCRIÇÃO</w:t>
            </w:r>
          </w:p>
        </w:tc>
        <w:tc>
          <w:tcPr>
            <w:tcW w:w="66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ind w:firstLine="72"/>
              <w:jc w:val="center"/>
              <w:rPr>
                <w:rFonts w:eastAsia="Times New Roman" w:cs="Arial"/>
                <w:b/>
                <w:bCs/>
                <w:sz w:val="20"/>
                <w:szCs w:val="20"/>
                <w:lang w:eastAsia="pt-BR"/>
              </w:rPr>
            </w:pPr>
            <w:r>
              <w:rPr>
                <w:rFonts w:eastAsia="Times New Roman" w:cs="Arial"/>
                <w:b/>
                <w:bCs/>
                <w:sz w:val="20"/>
                <w:szCs w:val="20"/>
                <w:lang w:eastAsia="pt-BR"/>
              </w:rPr>
              <w:t>Período de desenvolvimento da ação</w:t>
            </w:r>
          </w:p>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(ano)</w:t>
            </w:r>
          </w:p>
        </w:tc>
        <w:tc>
          <w:tcPr>
            <w:tcW w:w="57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ind w:left="64" w:firstLine="8"/>
              <w:jc w:val="center"/>
              <w:rPr>
                <w:rFonts w:eastAsia="Times New Roman" w:cs="Arial"/>
                <w:b/>
                <w:bCs/>
                <w:sz w:val="20"/>
                <w:szCs w:val="20"/>
                <w:lang w:eastAsia="pt-BR"/>
              </w:rPr>
            </w:pPr>
            <w:r>
              <w:rPr>
                <w:rFonts w:eastAsia="Times New Roman" w:cs="Arial"/>
                <w:b/>
                <w:bCs/>
                <w:sz w:val="20"/>
                <w:szCs w:val="20"/>
                <w:lang w:eastAsia="pt-BR"/>
              </w:rPr>
              <w:t>Custo total na moeda de 2017</w:t>
            </w:r>
          </w:p>
          <w:p w:rsidR="001B431A" w:rsidRDefault="001B431A" w:rsidP="001B431A">
            <w:pPr>
              <w:spacing w:before="20" w:after="20" w:line="240" w:lineRule="auto"/>
              <w:contextualSpacing/>
              <w:jc w:val="center"/>
              <w:rPr>
                <w:rFonts w:eastAsia="Times New Roman" w:cs="Arial"/>
                <w:b/>
                <w:bCs/>
                <w:sz w:val="20"/>
                <w:szCs w:val="20"/>
                <w:lang w:eastAsia="pt-BR"/>
              </w:rPr>
            </w:pPr>
            <w:r>
              <w:rPr>
                <w:rFonts w:eastAsia="Times New Roman" w:cs="Arial"/>
                <w:b/>
                <w:bCs/>
                <w:sz w:val="20"/>
                <w:szCs w:val="20"/>
                <w:lang w:eastAsia="pt-BR"/>
              </w:rPr>
              <w:t>(R$)</w:t>
            </w:r>
          </w:p>
        </w:tc>
        <w:tc>
          <w:tcPr>
            <w:tcW w:w="76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ind w:left="64" w:firstLine="8"/>
              <w:jc w:val="center"/>
              <w:rPr>
                <w:rFonts w:eastAsia="Times New Roman" w:cs="Arial"/>
                <w:b/>
                <w:bCs/>
                <w:sz w:val="20"/>
                <w:szCs w:val="20"/>
                <w:lang w:eastAsia="pt-BR"/>
              </w:rPr>
            </w:pPr>
            <w:r>
              <w:rPr>
                <w:rFonts w:eastAsia="Times New Roman" w:cs="Arial"/>
                <w:b/>
                <w:bCs/>
                <w:sz w:val="20"/>
                <w:szCs w:val="20"/>
                <w:lang w:eastAsia="pt-BR"/>
              </w:rPr>
              <w:t>Responsável pela ação</w:t>
            </w:r>
          </w:p>
        </w:tc>
      </w:tr>
      <w:tr w:rsidR="001B431A" w:rsidTr="001B431A">
        <w:trPr>
          <w:trHeight w:val="218"/>
        </w:trPr>
        <w:tc>
          <w:tcPr>
            <w:tcW w:w="429"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4.3.1.29</w:t>
            </w:r>
          </w:p>
        </w:tc>
        <w:tc>
          <w:tcPr>
            <w:tcW w:w="2571"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Implantar programas de educação ambiental, focando no consumo consciente, no princípio dos 3Rs (reduzir o consumo, reutilizar materiais e reciclar, seguindo essa sequência de ações), na importância da segregação na fonte geradora, na reciclagem de materiais e na compostagem de resíduos orgânicos, incentivando o direcionamento desses materiais para destinações finais ambientalmente sustentáveis.</w:t>
            </w:r>
          </w:p>
        </w:tc>
        <w:tc>
          <w:tcPr>
            <w:tcW w:w="66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w:t>
            </w:r>
          </w:p>
        </w:tc>
        <w:tc>
          <w:tcPr>
            <w:tcW w:w="57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3.414,12</w:t>
            </w:r>
          </w:p>
        </w:tc>
        <w:tc>
          <w:tcPr>
            <w:tcW w:w="76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429"/>
        </w:trPr>
        <w:tc>
          <w:tcPr>
            <w:tcW w:w="429"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4.3.1.30</w:t>
            </w:r>
          </w:p>
        </w:tc>
        <w:tc>
          <w:tcPr>
            <w:tcW w:w="2571"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 xml:space="preserve">Desenvolver programas que beneficiem a população com benfeitorias no município e propiciem lazer aos munícipes, sendo esses associados e proporcionados com recursos financeiros advindos das ações relacionadas à reciclagem e compostagem de materiais. </w:t>
            </w:r>
          </w:p>
        </w:tc>
        <w:tc>
          <w:tcPr>
            <w:tcW w:w="66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w:t>
            </w:r>
          </w:p>
        </w:tc>
        <w:tc>
          <w:tcPr>
            <w:tcW w:w="57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5.121,18</w:t>
            </w:r>
          </w:p>
        </w:tc>
        <w:tc>
          <w:tcPr>
            <w:tcW w:w="76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429"/>
        </w:trPr>
        <w:tc>
          <w:tcPr>
            <w:tcW w:w="429"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4.3.2.31</w:t>
            </w:r>
          </w:p>
        </w:tc>
        <w:tc>
          <w:tcPr>
            <w:tcW w:w="2571"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Implementar um programa para a participação dos grupos interessados, em especial de cooperativas ou outras formas de associação de catadores de materiais reutilizáveis e recicláveis.</w:t>
            </w:r>
          </w:p>
        </w:tc>
        <w:tc>
          <w:tcPr>
            <w:tcW w:w="66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1º-12º</w:t>
            </w:r>
          </w:p>
        </w:tc>
        <w:tc>
          <w:tcPr>
            <w:tcW w:w="57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6.828,23 </w:t>
            </w:r>
          </w:p>
        </w:tc>
        <w:tc>
          <w:tcPr>
            <w:tcW w:w="76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 / Câmara Municipal</w:t>
            </w:r>
          </w:p>
        </w:tc>
      </w:tr>
      <w:tr w:rsidR="001B431A" w:rsidTr="001B431A">
        <w:trPr>
          <w:trHeight w:val="429"/>
        </w:trPr>
        <w:tc>
          <w:tcPr>
            <w:tcW w:w="429"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4.3.3.32</w:t>
            </w:r>
          </w:p>
        </w:tc>
        <w:tc>
          <w:tcPr>
            <w:tcW w:w="2571"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Operar o sistema de metas progressivas de redução da disposição final de massa de lixo em aterro sanitário.</w:t>
            </w:r>
          </w:p>
        </w:tc>
        <w:tc>
          <w:tcPr>
            <w:tcW w:w="66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1º-20º</w:t>
            </w:r>
          </w:p>
        </w:tc>
        <w:tc>
          <w:tcPr>
            <w:tcW w:w="57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6.828,23 </w:t>
            </w:r>
          </w:p>
        </w:tc>
        <w:tc>
          <w:tcPr>
            <w:tcW w:w="76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bl>
    <w:p w:rsidR="001B431A" w:rsidRDefault="001B431A" w:rsidP="001B431A">
      <w:pPr>
        <w:pStyle w:val="Fonte"/>
      </w:pPr>
      <w:r>
        <w:t>*(s/o/m/a) = nº do setor / nº do objetivo / nº da meta / nº da ação.</w:t>
      </w:r>
    </w:p>
    <w:p w:rsidR="001B431A" w:rsidRDefault="001B431A" w:rsidP="001B431A">
      <w:pPr>
        <w:pStyle w:val="Legenda"/>
        <w:rPr>
          <w:rFonts w:eastAsia="Calibri"/>
          <w:lang w:eastAsia="en-US"/>
        </w:rPr>
      </w:pPr>
      <w:bookmarkStart w:id="1026" w:name="_Toc498594145"/>
      <w:bookmarkStart w:id="1027" w:name="_Toc491681737"/>
      <w:bookmarkStart w:id="1028" w:name="_Toc488050774"/>
      <w:bookmarkStart w:id="1029" w:name="_Toc441048141"/>
      <w:bookmarkStart w:id="1030" w:name="_Toc381346818"/>
      <w:bookmarkStart w:id="1031" w:name="_Toc381344861"/>
      <w:bookmarkStart w:id="1032" w:name="_Toc505788355"/>
      <w:bookmarkStart w:id="1033" w:name="_Toc509935863"/>
      <w:r>
        <w:lastRenderedPageBreak/>
        <w:t xml:space="preserve">Quadro </w:t>
      </w:r>
      <w:r w:rsidR="000A1C78">
        <w:fldChar w:fldCharType="begin"/>
      </w:r>
      <w:r w:rsidR="000A1C78">
        <w:instrText xml:space="preserve"> SEQ Quadro \* ARABIC </w:instrText>
      </w:r>
      <w:r w:rsidR="000A1C78">
        <w:fldChar w:fldCharType="separate"/>
      </w:r>
      <w:r w:rsidR="001B481B">
        <w:rPr>
          <w:noProof/>
        </w:rPr>
        <w:t>86</w:t>
      </w:r>
      <w:r w:rsidR="000A1C78">
        <w:rPr>
          <w:noProof/>
        </w:rPr>
        <w:fldChar w:fldCharType="end"/>
      </w:r>
      <w:r>
        <w:t xml:space="preserve"> - Programas e ações propostos relacionados ao setor de limpeza urbana e manejo de resíduos sólidos - Objetivo 4</w:t>
      </w:r>
      <w:bookmarkEnd w:id="1026"/>
      <w:bookmarkEnd w:id="1027"/>
      <w:bookmarkEnd w:id="1028"/>
      <w:bookmarkEnd w:id="1029"/>
      <w:bookmarkEnd w:id="1030"/>
      <w:bookmarkEnd w:id="1031"/>
      <w:bookmarkEnd w:id="1032"/>
      <w:bookmarkEnd w:id="1033"/>
    </w:p>
    <w:tbl>
      <w:tblPr>
        <w:tblW w:w="14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71"/>
        <w:gridCol w:w="425"/>
        <w:gridCol w:w="284"/>
        <w:gridCol w:w="1559"/>
        <w:gridCol w:w="7798"/>
        <w:gridCol w:w="2608"/>
      </w:tblGrid>
      <w:tr w:rsidR="001B431A" w:rsidTr="001B431A">
        <w:trPr>
          <w:trHeight w:val="20"/>
          <w:jc w:val="center"/>
        </w:trPr>
        <w:tc>
          <w:tcPr>
            <w:tcW w:w="207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rPr>
                <w:rFonts w:eastAsia="Times New Roman" w:cs="Arial"/>
                <w:b/>
                <w:bCs/>
                <w:sz w:val="19"/>
                <w:szCs w:val="19"/>
                <w:lang w:eastAsia="pt-BR"/>
              </w:rPr>
            </w:pPr>
            <w:r>
              <w:rPr>
                <w:rFonts w:eastAsia="Times New Roman" w:cs="Arial"/>
                <w:b/>
                <w:bCs/>
                <w:sz w:val="19"/>
                <w:szCs w:val="19"/>
                <w:lang w:eastAsia="pt-BR"/>
              </w:rPr>
              <w:t>SETOR</w:t>
            </w:r>
          </w:p>
        </w:tc>
        <w:tc>
          <w:tcPr>
            <w:tcW w:w="425"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4</w:t>
            </w:r>
          </w:p>
        </w:tc>
        <w:tc>
          <w:tcPr>
            <w:tcW w:w="12246" w:type="dxa"/>
            <w:gridSpan w:val="4"/>
            <w:tcBorders>
              <w:top w:val="single" w:sz="4" w:space="0" w:color="auto"/>
              <w:left w:val="single" w:sz="4" w:space="0" w:color="auto"/>
              <w:bottom w:val="single" w:sz="4" w:space="0" w:color="auto"/>
              <w:right w:val="single" w:sz="4" w:space="0" w:color="auto"/>
            </w:tcBorders>
            <w:hideMark/>
          </w:tcPr>
          <w:p w:rsidR="001B431A" w:rsidRDefault="001B431A" w:rsidP="001B431A">
            <w:pPr>
              <w:spacing w:line="240" w:lineRule="auto"/>
              <w:rPr>
                <w:rFonts w:eastAsia="Times New Roman" w:cs="Arial"/>
                <w:sz w:val="19"/>
                <w:szCs w:val="19"/>
                <w:lang w:eastAsia="pt-BR"/>
              </w:rPr>
            </w:pPr>
            <w:r>
              <w:rPr>
                <w:rFonts w:eastAsia="Times New Roman" w:cs="Arial"/>
                <w:sz w:val="19"/>
                <w:szCs w:val="19"/>
                <w:lang w:eastAsia="pt-BR"/>
              </w:rPr>
              <w:t>Limpeza Urbana e Manejo de Resíduos Sólidos.</w:t>
            </w:r>
          </w:p>
        </w:tc>
      </w:tr>
      <w:tr w:rsidR="001B431A" w:rsidTr="001B431A">
        <w:trPr>
          <w:trHeight w:val="20"/>
          <w:jc w:val="center"/>
        </w:trPr>
        <w:tc>
          <w:tcPr>
            <w:tcW w:w="207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rPr>
                <w:rFonts w:eastAsia="Times New Roman" w:cs="Arial"/>
                <w:b/>
                <w:bCs/>
                <w:sz w:val="19"/>
                <w:szCs w:val="19"/>
                <w:lang w:eastAsia="pt-BR"/>
              </w:rPr>
            </w:pPr>
            <w:r>
              <w:rPr>
                <w:rFonts w:eastAsia="Times New Roman" w:cs="Arial"/>
                <w:b/>
                <w:bCs/>
                <w:sz w:val="19"/>
                <w:szCs w:val="19"/>
                <w:lang w:eastAsia="pt-BR"/>
              </w:rPr>
              <w:t>OBJETIVO</w:t>
            </w:r>
          </w:p>
        </w:tc>
        <w:tc>
          <w:tcPr>
            <w:tcW w:w="425"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4</w:t>
            </w:r>
          </w:p>
        </w:tc>
        <w:tc>
          <w:tcPr>
            <w:tcW w:w="12246" w:type="dxa"/>
            <w:gridSpan w:val="4"/>
            <w:tcBorders>
              <w:top w:val="single" w:sz="4" w:space="0" w:color="auto"/>
              <w:left w:val="single" w:sz="4" w:space="0" w:color="auto"/>
              <w:bottom w:val="single" w:sz="4" w:space="0" w:color="auto"/>
              <w:right w:val="single" w:sz="4" w:space="0" w:color="auto"/>
            </w:tcBorders>
            <w:hideMark/>
          </w:tcPr>
          <w:p w:rsidR="001B431A" w:rsidRDefault="001B431A" w:rsidP="001B431A">
            <w:pPr>
              <w:spacing w:line="240" w:lineRule="auto"/>
              <w:rPr>
                <w:rFonts w:eastAsia="Times New Roman" w:cs="Arial"/>
                <w:sz w:val="19"/>
                <w:szCs w:val="19"/>
                <w:lang w:eastAsia="pt-BR"/>
              </w:rPr>
            </w:pPr>
            <w:r>
              <w:rPr>
                <w:rFonts w:eastAsia="Times New Roman" w:cs="Arial"/>
                <w:bCs/>
                <w:sz w:val="19"/>
                <w:szCs w:val="19"/>
              </w:rPr>
              <w:t>Implementar manejo de resíduos sólidos urbanos.</w:t>
            </w:r>
          </w:p>
        </w:tc>
      </w:tr>
      <w:tr w:rsidR="001B431A" w:rsidTr="001B431A">
        <w:trPr>
          <w:trHeight w:val="20"/>
          <w:jc w:val="center"/>
        </w:trPr>
        <w:tc>
          <w:tcPr>
            <w:tcW w:w="207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before="20" w:after="20" w:line="240" w:lineRule="auto"/>
              <w:contextualSpacing/>
              <w:rPr>
                <w:rFonts w:eastAsia="Times New Roman" w:cs="Arial"/>
                <w:b/>
                <w:bCs/>
                <w:sz w:val="20"/>
                <w:szCs w:val="20"/>
                <w:lang w:eastAsia="pt-BR"/>
              </w:rPr>
            </w:pPr>
            <w:r>
              <w:rPr>
                <w:rFonts w:eastAsia="Times New Roman" w:cs="Arial"/>
                <w:b/>
                <w:bCs/>
                <w:sz w:val="20"/>
                <w:szCs w:val="20"/>
                <w:lang w:eastAsia="pt-BR"/>
              </w:rPr>
              <w:t>INDICADORES DE MONITORAMENTO</w:t>
            </w:r>
          </w:p>
        </w:tc>
        <w:tc>
          <w:tcPr>
            <w:tcW w:w="12671" w:type="dxa"/>
            <w:gridSpan w:val="5"/>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Autossuficiência financeira da Prefeitura com o manejo de resíduos sólidos urbanos.</w:t>
            </w:r>
          </w:p>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Custo unitário médio do serviço de manejo de resíduos sólidos urbanos.</w:t>
            </w:r>
          </w:p>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Porcentagem de grandes geradores que utilizam o serviço de coleta convencional de resíduos.</w:t>
            </w:r>
          </w:p>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Existência de mapa atualizado da rota de movimentação de resíduos sólidos urbanos.</w:t>
            </w:r>
          </w:p>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Existência de mecanismos econômicos para remuneração e cobrança dos serviços prestados e incentivo econômico à reciclagem.</w:t>
            </w:r>
          </w:p>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Existência de Plano de Resíduos de Construção Civil e periodicidade de revisão.</w:t>
            </w:r>
          </w:p>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Existência e funcionamento adequado da logística reversa para os resíduos especiais.</w:t>
            </w:r>
          </w:p>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Pontos de disposição irregular de resíduos de construção civil.</w:t>
            </w:r>
          </w:p>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 xml:space="preserve">Massa de RCC </w:t>
            </w:r>
            <w:r w:rsidRPr="002F3363">
              <w:rPr>
                <w:rFonts w:eastAsia="Times New Roman" w:cs="Arial"/>
                <w:i/>
                <w:sz w:val="20"/>
                <w:szCs w:val="20"/>
                <w:lang w:eastAsia="pt-BR"/>
              </w:rPr>
              <w:t>per capita</w:t>
            </w:r>
            <w:r>
              <w:rPr>
                <w:rFonts w:eastAsia="Times New Roman" w:cs="Arial"/>
                <w:sz w:val="20"/>
                <w:szCs w:val="20"/>
                <w:lang w:eastAsia="pt-BR"/>
              </w:rPr>
              <w:t xml:space="preserve"> em relação à população urbana (kg/hab.dia).</w:t>
            </w:r>
          </w:p>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Percentual de Resíduos da Construção Civil (RCC) coletado de forma regular.</w:t>
            </w:r>
          </w:p>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Índice de resposta às informações de resíduos sólidos do SNIS (%).</w:t>
            </w:r>
          </w:p>
        </w:tc>
      </w:tr>
      <w:tr w:rsidR="001B431A" w:rsidTr="001B431A">
        <w:trPr>
          <w:trHeight w:val="20"/>
          <w:tblHeader/>
          <w:jc w:val="center"/>
        </w:trPr>
        <w:tc>
          <w:tcPr>
            <w:tcW w:w="14742" w:type="dxa"/>
            <w:gridSpan w:val="6"/>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B431A" w:rsidRDefault="001B431A" w:rsidP="001B431A">
            <w:pPr>
              <w:spacing w:line="240" w:lineRule="auto"/>
              <w:jc w:val="center"/>
              <w:rPr>
                <w:rFonts w:eastAsia="Times New Roman" w:cs="Arial"/>
                <w:b/>
                <w:bCs/>
                <w:sz w:val="19"/>
                <w:szCs w:val="19"/>
                <w:lang w:eastAsia="pt-BR"/>
              </w:rPr>
            </w:pPr>
            <w:r>
              <w:rPr>
                <w:rFonts w:cs="Arial"/>
                <w:sz w:val="19"/>
                <w:szCs w:val="19"/>
              </w:rPr>
              <w:br w:type="page"/>
            </w:r>
            <w:r>
              <w:rPr>
                <w:rFonts w:eastAsia="Times New Roman" w:cs="Arial"/>
                <w:b/>
                <w:bCs/>
                <w:sz w:val="20"/>
                <w:szCs w:val="20"/>
                <w:lang w:eastAsia="pt-BR"/>
              </w:rPr>
              <w:t>PRAZO DE ENTREGA DA META (ANOS)</w:t>
            </w:r>
          </w:p>
        </w:tc>
      </w:tr>
      <w:tr w:rsidR="001B431A" w:rsidTr="001B431A">
        <w:trPr>
          <w:trHeight w:val="20"/>
          <w:jc w:val="center"/>
        </w:trPr>
        <w:tc>
          <w:tcPr>
            <w:tcW w:w="2780" w:type="dxa"/>
            <w:gridSpan w:val="3"/>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IMEDIATO (0 a 3)</w:t>
            </w:r>
          </w:p>
        </w:tc>
        <w:tc>
          <w:tcPr>
            <w:tcW w:w="155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CURTO (4 a 8)</w:t>
            </w:r>
          </w:p>
        </w:tc>
        <w:tc>
          <w:tcPr>
            <w:tcW w:w="7796"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MÉDIO (9 a 12)</w:t>
            </w:r>
          </w:p>
        </w:tc>
        <w:tc>
          <w:tcPr>
            <w:tcW w:w="2607"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LONGO (13 a 20)</w:t>
            </w:r>
          </w:p>
        </w:tc>
      </w:tr>
      <w:tr w:rsidR="001B431A" w:rsidTr="001B431A">
        <w:trPr>
          <w:trHeight w:val="20"/>
          <w:jc w:val="center"/>
        </w:trPr>
        <w:tc>
          <w:tcPr>
            <w:tcW w:w="2780" w:type="dxa"/>
            <w:gridSpan w:val="3"/>
            <w:tcBorders>
              <w:top w:val="single" w:sz="4" w:space="0" w:color="auto"/>
              <w:left w:val="single" w:sz="4" w:space="0" w:color="auto"/>
              <w:bottom w:val="single" w:sz="4" w:space="0" w:color="auto"/>
              <w:right w:val="single" w:sz="4" w:space="0" w:color="auto"/>
            </w:tcBorders>
            <w:noWrap/>
            <w:hideMark/>
          </w:tcPr>
          <w:p w:rsidR="001B431A" w:rsidRDefault="001B431A" w:rsidP="001B431A">
            <w:pPr>
              <w:spacing w:before="20" w:after="20" w:line="240" w:lineRule="auto"/>
              <w:jc w:val="both"/>
              <w:rPr>
                <w:rFonts w:cs="Arial"/>
                <w:bCs/>
                <w:sz w:val="20"/>
                <w:szCs w:val="20"/>
              </w:rPr>
            </w:pPr>
            <w:r>
              <w:rPr>
                <w:rFonts w:cs="Arial"/>
                <w:bCs/>
                <w:sz w:val="20"/>
                <w:szCs w:val="20"/>
              </w:rPr>
              <w:t>4.1. Ter reduzido a zero o percentual de grandes geradores que utilizam o serviço de coleta convencional de resíduos e que não pagam pelo serviço.</w:t>
            </w:r>
          </w:p>
        </w:tc>
        <w:tc>
          <w:tcPr>
            <w:tcW w:w="1559" w:type="dxa"/>
            <w:tcBorders>
              <w:top w:val="single" w:sz="4" w:space="0" w:color="auto"/>
              <w:left w:val="single" w:sz="4" w:space="0" w:color="auto"/>
              <w:bottom w:val="single" w:sz="4" w:space="0" w:color="auto"/>
              <w:right w:val="single" w:sz="4" w:space="0" w:color="auto"/>
            </w:tcBorders>
            <w:noWrap/>
            <w:hideMark/>
          </w:tcPr>
          <w:p w:rsidR="001B431A" w:rsidRDefault="001B431A" w:rsidP="001B431A">
            <w:pPr>
              <w:spacing w:before="20" w:after="20" w:line="240" w:lineRule="auto"/>
              <w:jc w:val="both"/>
              <w:rPr>
                <w:rFonts w:cs="Arial"/>
                <w:bCs/>
                <w:sz w:val="20"/>
                <w:szCs w:val="20"/>
              </w:rPr>
            </w:pPr>
            <w:r>
              <w:rPr>
                <w:rFonts w:cs="Arial"/>
                <w:bCs/>
                <w:sz w:val="20"/>
                <w:szCs w:val="20"/>
              </w:rPr>
              <w:t>4.6. Otimização da rota de coleta e transporte de RSU.</w:t>
            </w:r>
          </w:p>
        </w:tc>
        <w:tc>
          <w:tcPr>
            <w:tcW w:w="7796" w:type="dxa"/>
            <w:tcBorders>
              <w:top w:val="single" w:sz="4" w:space="0" w:color="auto"/>
              <w:left w:val="single" w:sz="4" w:space="0" w:color="auto"/>
              <w:bottom w:val="single" w:sz="4" w:space="0" w:color="auto"/>
              <w:right w:val="single" w:sz="4" w:space="0" w:color="auto"/>
            </w:tcBorders>
            <w:noWrap/>
            <w:hideMark/>
          </w:tcPr>
          <w:p w:rsidR="001B431A" w:rsidRDefault="001B431A" w:rsidP="001B431A">
            <w:pPr>
              <w:spacing w:before="20" w:after="20" w:line="240" w:lineRule="auto"/>
              <w:jc w:val="both"/>
              <w:rPr>
                <w:rFonts w:cs="Arial"/>
                <w:bCs/>
                <w:sz w:val="20"/>
                <w:szCs w:val="20"/>
              </w:rPr>
            </w:pPr>
            <w:r>
              <w:rPr>
                <w:rFonts w:cs="Arial"/>
                <w:bCs/>
                <w:sz w:val="20"/>
                <w:szCs w:val="20"/>
              </w:rPr>
              <w:t>4.2. Fomentar e fiscalizar a implementação de pontos de recebimento de resíduos especiais (logística reversa).</w:t>
            </w:r>
          </w:p>
          <w:p w:rsidR="001B431A" w:rsidRDefault="001B431A" w:rsidP="001B431A">
            <w:pPr>
              <w:spacing w:before="20" w:after="20" w:line="240" w:lineRule="auto"/>
              <w:jc w:val="both"/>
              <w:rPr>
                <w:rFonts w:cs="Arial"/>
                <w:bCs/>
                <w:sz w:val="20"/>
                <w:szCs w:val="20"/>
              </w:rPr>
            </w:pPr>
            <w:r>
              <w:rPr>
                <w:rFonts w:cs="Arial"/>
                <w:bCs/>
                <w:sz w:val="20"/>
                <w:szCs w:val="20"/>
              </w:rPr>
              <w:t>4.3. Ter implementadas ações para reduzir a zero o número de pontos de disposição irregular de RCCs e de resíduos volumosos.</w:t>
            </w:r>
          </w:p>
          <w:p w:rsidR="001B431A" w:rsidRDefault="001B431A" w:rsidP="001B431A">
            <w:pPr>
              <w:spacing w:before="20" w:after="20" w:line="240" w:lineRule="auto"/>
              <w:jc w:val="both"/>
              <w:rPr>
                <w:rFonts w:cs="Arial"/>
                <w:bCs/>
                <w:sz w:val="20"/>
                <w:szCs w:val="20"/>
              </w:rPr>
            </w:pPr>
            <w:r>
              <w:rPr>
                <w:rFonts w:cs="Arial"/>
                <w:bCs/>
                <w:sz w:val="20"/>
                <w:szCs w:val="20"/>
              </w:rPr>
              <w:t>4.4. Ter reduzido em 100% a disposição inadequada de resíduos agrossilvopastoris, incluindo embalagens de agrotóxicos, e de serviços de transporte.</w:t>
            </w:r>
          </w:p>
        </w:tc>
        <w:tc>
          <w:tcPr>
            <w:tcW w:w="2607" w:type="dxa"/>
            <w:tcBorders>
              <w:top w:val="single" w:sz="4" w:space="0" w:color="auto"/>
              <w:left w:val="single" w:sz="4" w:space="0" w:color="auto"/>
              <w:bottom w:val="single" w:sz="4" w:space="0" w:color="auto"/>
              <w:right w:val="single" w:sz="4" w:space="0" w:color="auto"/>
            </w:tcBorders>
            <w:noWrap/>
            <w:hideMark/>
          </w:tcPr>
          <w:p w:rsidR="001B431A" w:rsidRDefault="001B431A" w:rsidP="001B431A">
            <w:pPr>
              <w:spacing w:before="20" w:after="20" w:line="240" w:lineRule="auto"/>
              <w:jc w:val="both"/>
              <w:rPr>
                <w:rFonts w:cs="Arial"/>
                <w:bCs/>
                <w:sz w:val="20"/>
                <w:szCs w:val="20"/>
              </w:rPr>
            </w:pPr>
            <w:r>
              <w:rPr>
                <w:rFonts w:cs="Arial"/>
                <w:bCs/>
                <w:sz w:val="20"/>
                <w:szCs w:val="20"/>
              </w:rPr>
              <w:t>4.5. Possuir mecanismo econômico para remuneração e cobrança dos serviços prestados e incentivo econômico à reciclagem.</w:t>
            </w:r>
          </w:p>
        </w:tc>
      </w:tr>
    </w:tbl>
    <w:p w:rsidR="001B431A" w:rsidRDefault="001B431A" w:rsidP="001B431A">
      <w:pPr>
        <w:rPr>
          <w:sz w:val="10"/>
          <w:szCs w:val="1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47"/>
        <w:gridCol w:w="7370"/>
        <w:gridCol w:w="2124"/>
        <w:gridCol w:w="1986"/>
        <w:gridCol w:w="1883"/>
      </w:tblGrid>
      <w:tr w:rsidR="001B431A" w:rsidTr="001B431A">
        <w:trPr>
          <w:cantSplit/>
          <w:trHeight w:val="20"/>
          <w:tblHeade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PROGRAMAS E AÇÕES</w:t>
            </w:r>
          </w:p>
        </w:tc>
      </w:tr>
      <w:tr w:rsidR="001B431A" w:rsidTr="001B431A">
        <w:trPr>
          <w:cantSplit/>
          <w:trHeight w:val="20"/>
          <w:tblHeader/>
          <w:jc w:val="center"/>
        </w:trPr>
        <w:tc>
          <w:tcPr>
            <w:tcW w:w="458"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jc w:val="center"/>
              <w:rPr>
                <w:rFonts w:eastAsia="Times New Roman" w:cs="Arial"/>
                <w:b/>
                <w:bCs/>
                <w:sz w:val="19"/>
                <w:szCs w:val="19"/>
                <w:lang w:eastAsia="pt-BR"/>
              </w:rPr>
            </w:pPr>
            <w:r>
              <w:rPr>
                <w:rFonts w:eastAsia="Times New Roman" w:cs="Arial"/>
                <w:b/>
                <w:bCs/>
                <w:sz w:val="19"/>
                <w:szCs w:val="19"/>
                <w:lang w:eastAsia="pt-BR"/>
              </w:rPr>
              <w:t>CÓDIGO</w:t>
            </w:r>
          </w:p>
          <w:p w:rsidR="001B431A" w:rsidRDefault="001B431A" w:rsidP="001B431A">
            <w:pPr>
              <w:spacing w:line="240" w:lineRule="auto"/>
              <w:jc w:val="center"/>
              <w:rPr>
                <w:rFonts w:eastAsia="Times New Roman" w:cs="Arial"/>
                <w:b/>
                <w:bCs/>
                <w:sz w:val="19"/>
                <w:szCs w:val="19"/>
                <w:lang w:eastAsia="pt-BR"/>
              </w:rPr>
            </w:pPr>
            <w:r>
              <w:rPr>
                <w:rFonts w:eastAsia="Times New Roman" w:cs="Arial"/>
                <w:b/>
                <w:bCs/>
                <w:sz w:val="19"/>
                <w:szCs w:val="19"/>
                <w:lang w:eastAsia="pt-BR"/>
              </w:rPr>
              <w:t>(s/o/m/a)*</w:t>
            </w:r>
          </w:p>
        </w:tc>
        <w:tc>
          <w:tcPr>
            <w:tcW w:w="250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jc w:val="center"/>
              <w:rPr>
                <w:rFonts w:eastAsia="Times New Roman" w:cs="Arial"/>
                <w:b/>
                <w:bCs/>
                <w:sz w:val="19"/>
                <w:szCs w:val="19"/>
                <w:lang w:eastAsia="pt-BR"/>
              </w:rPr>
            </w:pPr>
            <w:r>
              <w:rPr>
                <w:rFonts w:eastAsia="Times New Roman" w:cs="Arial"/>
                <w:b/>
                <w:bCs/>
                <w:sz w:val="19"/>
                <w:szCs w:val="19"/>
                <w:lang w:eastAsia="pt-BR"/>
              </w:rPr>
              <w:t>DESCRIÇÃO</w:t>
            </w:r>
          </w:p>
        </w:tc>
        <w:tc>
          <w:tcPr>
            <w:tcW w:w="72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ind w:firstLine="72"/>
              <w:jc w:val="center"/>
              <w:rPr>
                <w:rFonts w:eastAsia="Times New Roman" w:cs="Arial"/>
                <w:b/>
                <w:bCs/>
                <w:sz w:val="20"/>
                <w:szCs w:val="20"/>
                <w:lang w:eastAsia="pt-BR"/>
              </w:rPr>
            </w:pPr>
            <w:r>
              <w:rPr>
                <w:rFonts w:eastAsia="Times New Roman" w:cs="Arial"/>
                <w:b/>
                <w:bCs/>
                <w:sz w:val="20"/>
                <w:szCs w:val="20"/>
                <w:lang w:eastAsia="pt-BR"/>
              </w:rPr>
              <w:t>Período de desenvolvimento da ação</w:t>
            </w:r>
          </w:p>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(ano)</w:t>
            </w:r>
          </w:p>
        </w:tc>
        <w:tc>
          <w:tcPr>
            <w:tcW w:w="67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ind w:left="64" w:firstLine="8"/>
              <w:jc w:val="center"/>
              <w:rPr>
                <w:rFonts w:eastAsia="Times New Roman" w:cs="Arial"/>
                <w:b/>
                <w:bCs/>
                <w:sz w:val="20"/>
                <w:szCs w:val="20"/>
                <w:lang w:eastAsia="pt-BR"/>
              </w:rPr>
            </w:pPr>
            <w:r>
              <w:rPr>
                <w:rFonts w:eastAsia="Times New Roman" w:cs="Arial"/>
                <w:b/>
                <w:bCs/>
                <w:sz w:val="20"/>
                <w:szCs w:val="20"/>
                <w:lang w:eastAsia="pt-BR"/>
              </w:rPr>
              <w:t>Custo total na moeda de 2017</w:t>
            </w:r>
          </w:p>
          <w:p w:rsidR="001B431A" w:rsidRDefault="001B431A" w:rsidP="001B431A">
            <w:pPr>
              <w:spacing w:before="20" w:after="20" w:line="240" w:lineRule="auto"/>
              <w:contextualSpacing/>
              <w:jc w:val="center"/>
              <w:rPr>
                <w:rFonts w:eastAsia="Times New Roman" w:cs="Arial"/>
                <w:b/>
                <w:bCs/>
                <w:sz w:val="20"/>
                <w:szCs w:val="20"/>
                <w:lang w:eastAsia="pt-BR"/>
              </w:rPr>
            </w:pPr>
            <w:r>
              <w:rPr>
                <w:rFonts w:eastAsia="Times New Roman" w:cs="Arial"/>
                <w:b/>
                <w:bCs/>
                <w:sz w:val="20"/>
                <w:szCs w:val="20"/>
                <w:lang w:eastAsia="pt-BR"/>
              </w:rPr>
              <w:t>(R$)</w:t>
            </w:r>
          </w:p>
        </w:tc>
        <w:tc>
          <w:tcPr>
            <w:tcW w:w="64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ind w:left="64" w:firstLine="8"/>
              <w:jc w:val="center"/>
              <w:rPr>
                <w:rFonts w:eastAsia="Times New Roman" w:cs="Arial"/>
                <w:b/>
                <w:bCs/>
                <w:sz w:val="20"/>
                <w:szCs w:val="20"/>
                <w:lang w:eastAsia="pt-BR"/>
              </w:rPr>
            </w:pPr>
            <w:r>
              <w:rPr>
                <w:rFonts w:eastAsia="Times New Roman" w:cs="Arial"/>
                <w:b/>
                <w:bCs/>
                <w:sz w:val="20"/>
                <w:szCs w:val="20"/>
                <w:lang w:eastAsia="pt-BR"/>
              </w:rPr>
              <w:t>Responsável pela ação</w:t>
            </w:r>
          </w:p>
        </w:tc>
      </w:tr>
      <w:tr w:rsidR="001B431A" w:rsidTr="001B431A">
        <w:trPr>
          <w:cantSplit/>
          <w:trHeight w:val="79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4.4.1.33</w:t>
            </w:r>
          </w:p>
        </w:tc>
        <w:tc>
          <w:tcPr>
            <w:tcW w:w="2505"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Implantar sistema de cadastro de grandes geradores.</w:t>
            </w:r>
          </w:p>
        </w:tc>
        <w:tc>
          <w:tcPr>
            <w:tcW w:w="72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w:t>
            </w:r>
          </w:p>
        </w:tc>
        <w:tc>
          <w:tcPr>
            <w:tcW w:w="675"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 6.828,23 </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79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lastRenderedPageBreak/>
              <w:t>4.4.1.34</w:t>
            </w:r>
          </w:p>
        </w:tc>
        <w:tc>
          <w:tcPr>
            <w:tcW w:w="2505"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Estabelecer parceria com a Associação Comercial e Industrial para oferecimento de cursos de orientação de gerentes e proprietários de estabelecimentos comerciais sobre a disposição dos resíduos gerados e das taxas aplicáveis.</w:t>
            </w:r>
          </w:p>
        </w:tc>
        <w:tc>
          <w:tcPr>
            <w:tcW w:w="72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w:t>
            </w:r>
          </w:p>
        </w:tc>
        <w:tc>
          <w:tcPr>
            <w:tcW w:w="675"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 5.121,18</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79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4.4.2.35</w:t>
            </w:r>
          </w:p>
        </w:tc>
        <w:tc>
          <w:tcPr>
            <w:tcW w:w="2505"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Criar cadastro de geradores comerciais e industriais e identificar quais geram resíduos passíveis de logística reversa.</w:t>
            </w:r>
          </w:p>
        </w:tc>
        <w:tc>
          <w:tcPr>
            <w:tcW w:w="72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1º-12º</w:t>
            </w:r>
          </w:p>
        </w:tc>
        <w:tc>
          <w:tcPr>
            <w:tcW w:w="675"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 6.828,23 </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79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4.4.2.36</w:t>
            </w:r>
          </w:p>
        </w:tc>
        <w:tc>
          <w:tcPr>
            <w:tcW w:w="2505"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Elaborar e implementar programas individuais de coleta de óleos lubrificantes, pilhas e baterias e lâmpadas fluorescentes em parceria com comerciantes do município e com fornecedores dos setores correspondentes.</w:t>
            </w:r>
          </w:p>
        </w:tc>
        <w:tc>
          <w:tcPr>
            <w:tcW w:w="72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1º-12º</w:t>
            </w:r>
          </w:p>
        </w:tc>
        <w:tc>
          <w:tcPr>
            <w:tcW w:w="675"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 18.906,73</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79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4.4.2.37</w:t>
            </w:r>
          </w:p>
        </w:tc>
        <w:tc>
          <w:tcPr>
            <w:tcW w:w="2505"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Elaborar e implementar projeto de reaproveitamento e destinação de aparelhos eletrônicos envolvendo a população.</w:t>
            </w:r>
          </w:p>
        </w:tc>
        <w:tc>
          <w:tcPr>
            <w:tcW w:w="72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1º-12º</w:t>
            </w:r>
          </w:p>
        </w:tc>
        <w:tc>
          <w:tcPr>
            <w:tcW w:w="675"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 18.906,73</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79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4.4.2.38</w:t>
            </w:r>
          </w:p>
        </w:tc>
        <w:tc>
          <w:tcPr>
            <w:tcW w:w="2505"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Criar um cadastro dos estabelecimentos a receberem os resíduos especiais e medicamentos vencidos e informar a população acerca desses.</w:t>
            </w:r>
          </w:p>
        </w:tc>
        <w:tc>
          <w:tcPr>
            <w:tcW w:w="72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1º-12º</w:t>
            </w:r>
          </w:p>
        </w:tc>
        <w:tc>
          <w:tcPr>
            <w:tcW w:w="675"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 18.906,73</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79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4.4.2.39</w:t>
            </w:r>
          </w:p>
        </w:tc>
        <w:tc>
          <w:tcPr>
            <w:tcW w:w="2505"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 xml:space="preserve">Contratar empresa para elaborar o Plano Municipal Integrado de Gerenciamento de Resíduos da Construção Civil (RCC) de acordo com a Resolução CONAMA n° 307/2002. </w:t>
            </w:r>
          </w:p>
        </w:tc>
        <w:tc>
          <w:tcPr>
            <w:tcW w:w="72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1º-12º</w:t>
            </w:r>
          </w:p>
        </w:tc>
        <w:tc>
          <w:tcPr>
            <w:tcW w:w="675"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 141.138,90</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79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4.4.2.40</w:t>
            </w:r>
          </w:p>
        </w:tc>
        <w:tc>
          <w:tcPr>
            <w:tcW w:w="2505"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Identificar e encerrar pontos de acúmulo de RCC.</w:t>
            </w:r>
          </w:p>
        </w:tc>
        <w:tc>
          <w:tcPr>
            <w:tcW w:w="72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1º-12º</w:t>
            </w:r>
          </w:p>
        </w:tc>
        <w:tc>
          <w:tcPr>
            <w:tcW w:w="675"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20.484,70 </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79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4.4.2.41</w:t>
            </w:r>
          </w:p>
        </w:tc>
        <w:tc>
          <w:tcPr>
            <w:tcW w:w="2505"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Incluir no Programa de Educação Ambiental a divulgação da localização do ponto de coleta de embalagens de defensivos agrícolas, para envolver os pequenos produtores rurais e de serviços de transporte.</w:t>
            </w:r>
          </w:p>
        </w:tc>
        <w:tc>
          <w:tcPr>
            <w:tcW w:w="72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1º-12º</w:t>
            </w:r>
          </w:p>
        </w:tc>
        <w:tc>
          <w:tcPr>
            <w:tcW w:w="675"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20.484,70 </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79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lastRenderedPageBreak/>
              <w:t>4.4.3.42</w:t>
            </w:r>
          </w:p>
        </w:tc>
        <w:tc>
          <w:tcPr>
            <w:tcW w:w="2505"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Realizar cadastro dos geradores de resíduos agrossilvopastoris, para criar um perfil do gerador rural do município.</w:t>
            </w:r>
          </w:p>
        </w:tc>
        <w:tc>
          <w:tcPr>
            <w:tcW w:w="72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1º-12º</w:t>
            </w:r>
          </w:p>
        </w:tc>
        <w:tc>
          <w:tcPr>
            <w:tcW w:w="675"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3.414,12</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79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4.4.3.43</w:t>
            </w:r>
          </w:p>
        </w:tc>
        <w:tc>
          <w:tcPr>
            <w:tcW w:w="2505"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Elaborar projeto e implantar ponto de coleta e de gestão adequada das embalagens de defensivos agrícolas e resíduos de serviços de transporte.</w:t>
            </w:r>
          </w:p>
        </w:tc>
        <w:tc>
          <w:tcPr>
            <w:tcW w:w="72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1º-12º</w:t>
            </w:r>
          </w:p>
        </w:tc>
        <w:tc>
          <w:tcPr>
            <w:tcW w:w="675"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 17.070,58</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79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4.4.4.44</w:t>
            </w:r>
          </w:p>
        </w:tc>
        <w:tc>
          <w:tcPr>
            <w:tcW w:w="2505"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Elaborar estudo para cobrança de taxas e/ou tarifas decorrentes da prestação de serviço público de manejo de resíduos sólidos urbanos, a partir de variáveis como: destinação dos resíduos coletados; peso ou volume médio coletado por habitante ou por domicílio. Esse estudo deve ser elaborado com base nos resultados do estudo de geração per capita de resíduos sólidos.</w:t>
            </w:r>
          </w:p>
        </w:tc>
        <w:tc>
          <w:tcPr>
            <w:tcW w:w="72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1º-12º</w:t>
            </w:r>
          </w:p>
        </w:tc>
        <w:tc>
          <w:tcPr>
            <w:tcW w:w="675"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 27.667,81</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79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4.4.4.45</w:t>
            </w:r>
          </w:p>
        </w:tc>
        <w:tc>
          <w:tcPr>
            <w:tcW w:w="2505"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Definir critérios para cobrança de serviços de coleta e tratamento de resíduos diferenciados.</w:t>
            </w:r>
          </w:p>
        </w:tc>
        <w:tc>
          <w:tcPr>
            <w:tcW w:w="72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1º-12º</w:t>
            </w:r>
          </w:p>
        </w:tc>
        <w:tc>
          <w:tcPr>
            <w:tcW w:w="675"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sidRPr="007E1F54">
              <w:rPr>
                <w:rFonts w:eastAsia="Times New Roman" w:cs="Arial"/>
                <w:sz w:val="19"/>
                <w:szCs w:val="19"/>
                <w:lang w:eastAsia="pt-BR"/>
              </w:rPr>
              <w:t>5.533,56</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 / Câmara Municipal</w:t>
            </w:r>
          </w:p>
        </w:tc>
      </w:tr>
      <w:tr w:rsidR="001B431A" w:rsidTr="001B431A">
        <w:trPr>
          <w:cantSplit/>
          <w:trHeight w:val="79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4.4.4.46</w:t>
            </w:r>
          </w:p>
        </w:tc>
        <w:tc>
          <w:tcPr>
            <w:tcW w:w="2505"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Efetuar um levantamento das zonas de geração de resíduos (zonas residenciais, comerciais, setores de concentração de lixo público, área de lazer etc.), com respectivas densidades populacionais, tipificação urbanística (informações sobre avenidas, ruas, tipos de pavimentação, extensão, declividade, sentidos e intensidade de tráfego, áreas de difícil acesso etc.).</w:t>
            </w:r>
          </w:p>
        </w:tc>
        <w:tc>
          <w:tcPr>
            <w:tcW w:w="72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1º-12º</w:t>
            </w:r>
          </w:p>
        </w:tc>
        <w:tc>
          <w:tcPr>
            <w:tcW w:w="675"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 13.656,47</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79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4.4.5.47</w:t>
            </w:r>
          </w:p>
        </w:tc>
        <w:tc>
          <w:tcPr>
            <w:tcW w:w="2505"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Realizar um estudo da movimentação dos resíduos, por tipologia, desde sua geração no território municipal, visando à identificação do trajeto mais curto e mais seguro, até a destinação final.</w:t>
            </w:r>
          </w:p>
        </w:tc>
        <w:tc>
          <w:tcPr>
            <w:tcW w:w="72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1º-20º</w:t>
            </w:r>
          </w:p>
        </w:tc>
        <w:tc>
          <w:tcPr>
            <w:tcW w:w="675"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 13.656,47</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79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lastRenderedPageBreak/>
              <w:t>4.4.5.48</w:t>
            </w:r>
          </w:p>
        </w:tc>
        <w:tc>
          <w:tcPr>
            <w:tcW w:w="2505"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Definir os veículos coletores para cada zona, tomando por base informações seguras sobre a quantidade e as características dos resíduos a serem coletados e transportados, formas de acondicionamento dos resíduos, condições de acesso aos pontos de coleta etc.</w:t>
            </w:r>
          </w:p>
        </w:tc>
        <w:tc>
          <w:tcPr>
            <w:tcW w:w="72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1º-20º</w:t>
            </w:r>
          </w:p>
        </w:tc>
        <w:tc>
          <w:tcPr>
            <w:tcW w:w="675"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3.414,12</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79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4.4.6.49</w:t>
            </w:r>
          </w:p>
        </w:tc>
        <w:tc>
          <w:tcPr>
            <w:tcW w:w="2505"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Elaborar mapa da rota de movimentação de RSU otimizada.</w:t>
            </w:r>
          </w:p>
        </w:tc>
        <w:tc>
          <w:tcPr>
            <w:tcW w:w="72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1º-8º</w:t>
            </w:r>
          </w:p>
        </w:tc>
        <w:tc>
          <w:tcPr>
            <w:tcW w:w="675"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10.925,17</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79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4.4.6.50</w:t>
            </w:r>
          </w:p>
        </w:tc>
        <w:tc>
          <w:tcPr>
            <w:tcW w:w="2505"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Atualizar mapa da rota de movimentação de RSU otimizada.</w:t>
            </w:r>
          </w:p>
        </w:tc>
        <w:tc>
          <w:tcPr>
            <w:tcW w:w="72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1º-20º</w:t>
            </w:r>
          </w:p>
        </w:tc>
        <w:tc>
          <w:tcPr>
            <w:tcW w:w="675"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 27.312,93</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cantSplit/>
          <w:trHeight w:val="79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4.4.6.51</w:t>
            </w:r>
          </w:p>
        </w:tc>
        <w:tc>
          <w:tcPr>
            <w:tcW w:w="2505"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Realizar anualmente o planejamento das receitas e das despesas do setor de resíduos sólidos, especificando os gastos por atividade.</w:t>
            </w:r>
          </w:p>
        </w:tc>
        <w:tc>
          <w:tcPr>
            <w:tcW w:w="72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1º-20º</w:t>
            </w:r>
          </w:p>
        </w:tc>
        <w:tc>
          <w:tcPr>
            <w:tcW w:w="675"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 27.312,93</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bl>
    <w:p w:rsidR="001B431A" w:rsidRPr="00870ED6" w:rsidRDefault="001B431A" w:rsidP="001B431A">
      <w:pPr>
        <w:pStyle w:val="Fonte"/>
      </w:pPr>
      <w:r w:rsidRPr="00870ED6">
        <w:t xml:space="preserve">*(s/o/m/a) = nº do setor / nº do objetivo / nº da meta / nº da ação. </w:t>
      </w:r>
    </w:p>
    <w:p w:rsidR="001B431A" w:rsidRDefault="001B431A" w:rsidP="001B431A">
      <w:pPr>
        <w:pStyle w:val="Legenda"/>
      </w:pPr>
      <w:r>
        <w:rPr>
          <w:b w:val="0"/>
        </w:rPr>
        <w:br w:type="page"/>
      </w:r>
      <w:bookmarkStart w:id="1034" w:name="_Toc498594146"/>
      <w:bookmarkStart w:id="1035" w:name="_Toc491681738"/>
      <w:bookmarkStart w:id="1036" w:name="_Toc488050775"/>
      <w:bookmarkStart w:id="1037" w:name="_Toc441048142"/>
      <w:bookmarkStart w:id="1038" w:name="_Toc505788356"/>
      <w:bookmarkStart w:id="1039" w:name="_Toc509935864"/>
      <w:r>
        <w:lastRenderedPageBreak/>
        <w:t xml:space="preserve">Quadro </w:t>
      </w:r>
      <w:r w:rsidR="000A1C78">
        <w:fldChar w:fldCharType="begin"/>
      </w:r>
      <w:r w:rsidR="000A1C78">
        <w:instrText xml:space="preserve"> SEQ Quadro \* ARABIC </w:instrText>
      </w:r>
      <w:r w:rsidR="000A1C78">
        <w:fldChar w:fldCharType="separate"/>
      </w:r>
      <w:r w:rsidR="001B481B">
        <w:rPr>
          <w:noProof/>
        </w:rPr>
        <w:t>87</w:t>
      </w:r>
      <w:r w:rsidR="000A1C78">
        <w:rPr>
          <w:noProof/>
        </w:rPr>
        <w:fldChar w:fldCharType="end"/>
      </w:r>
      <w:r>
        <w:t xml:space="preserve"> - Programas e ações propostos relacionados ao setor de limpeza urbana e manejo de resíduos sólidos - Objetivo 5</w:t>
      </w:r>
      <w:bookmarkEnd w:id="1034"/>
      <w:bookmarkEnd w:id="1035"/>
      <w:bookmarkEnd w:id="1036"/>
      <w:bookmarkEnd w:id="1037"/>
      <w:bookmarkEnd w:id="1038"/>
      <w:bookmarkEnd w:id="1039"/>
    </w:p>
    <w:tbl>
      <w:tblPr>
        <w:tblW w:w="14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29"/>
        <w:gridCol w:w="89"/>
        <w:gridCol w:w="288"/>
        <w:gridCol w:w="7563"/>
        <w:gridCol w:w="1701"/>
        <w:gridCol w:w="3175"/>
      </w:tblGrid>
      <w:tr w:rsidR="001B431A" w:rsidTr="001B431A">
        <w:trPr>
          <w:trHeight w:val="20"/>
          <w:jc w:val="center"/>
        </w:trPr>
        <w:tc>
          <w:tcPr>
            <w:tcW w:w="2018" w:type="dxa"/>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rPr>
                <w:rFonts w:eastAsia="Times New Roman" w:cs="Arial"/>
                <w:b/>
                <w:bCs/>
                <w:sz w:val="20"/>
                <w:szCs w:val="20"/>
                <w:lang w:eastAsia="pt-BR"/>
              </w:rPr>
            </w:pPr>
            <w:r>
              <w:rPr>
                <w:rFonts w:eastAsia="Times New Roman" w:cs="Arial"/>
                <w:b/>
                <w:bCs/>
                <w:sz w:val="20"/>
                <w:szCs w:val="20"/>
                <w:lang w:eastAsia="pt-BR"/>
              </w:rPr>
              <w:t>SETOR</w:t>
            </w:r>
          </w:p>
        </w:tc>
        <w:tc>
          <w:tcPr>
            <w:tcW w:w="28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w:t>
            </w:r>
          </w:p>
        </w:tc>
        <w:tc>
          <w:tcPr>
            <w:tcW w:w="12436" w:type="dxa"/>
            <w:gridSpan w:val="3"/>
            <w:tcBorders>
              <w:top w:val="single" w:sz="4" w:space="0" w:color="auto"/>
              <w:left w:val="single" w:sz="4" w:space="0" w:color="auto"/>
              <w:bottom w:val="single" w:sz="4" w:space="0" w:color="auto"/>
              <w:right w:val="single" w:sz="4" w:space="0" w:color="auto"/>
            </w:tcBorders>
            <w:hideMark/>
          </w:tcPr>
          <w:p w:rsidR="001B431A" w:rsidRDefault="001B431A" w:rsidP="001B431A">
            <w:pPr>
              <w:spacing w:line="240" w:lineRule="auto"/>
              <w:rPr>
                <w:rFonts w:eastAsia="Times New Roman" w:cs="Arial"/>
                <w:sz w:val="20"/>
                <w:szCs w:val="20"/>
                <w:lang w:eastAsia="pt-BR"/>
              </w:rPr>
            </w:pPr>
            <w:r>
              <w:rPr>
                <w:rFonts w:eastAsia="Times New Roman" w:cs="Arial"/>
                <w:sz w:val="20"/>
                <w:szCs w:val="20"/>
                <w:lang w:eastAsia="pt-BR"/>
              </w:rPr>
              <w:t>Limpeza Urbana e Manejo de Resíduos Sólidos.</w:t>
            </w:r>
          </w:p>
        </w:tc>
      </w:tr>
      <w:tr w:rsidR="001B431A" w:rsidTr="001B431A">
        <w:trPr>
          <w:trHeight w:val="20"/>
          <w:jc w:val="center"/>
        </w:trPr>
        <w:tc>
          <w:tcPr>
            <w:tcW w:w="2018" w:type="dxa"/>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rPr>
                <w:rFonts w:eastAsia="Times New Roman" w:cs="Arial"/>
                <w:b/>
                <w:bCs/>
                <w:sz w:val="20"/>
                <w:szCs w:val="20"/>
                <w:lang w:eastAsia="pt-BR"/>
              </w:rPr>
            </w:pPr>
            <w:r>
              <w:rPr>
                <w:rFonts w:eastAsia="Times New Roman" w:cs="Arial"/>
                <w:b/>
                <w:bCs/>
                <w:sz w:val="20"/>
                <w:szCs w:val="20"/>
                <w:lang w:eastAsia="pt-BR"/>
              </w:rPr>
              <w:t>OBJETIVO</w:t>
            </w:r>
          </w:p>
        </w:tc>
        <w:tc>
          <w:tcPr>
            <w:tcW w:w="28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5</w:t>
            </w:r>
          </w:p>
        </w:tc>
        <w:tc>
          <w:tcPr>
            <w:tcW w:w="12436" w:type="dxa"/>
            <w:gridSpan w:val="3"/>
            <w:tcBorders>
              <w:top w:val="single" w:sz="4" w:space="0" w:color="auto"/>
              <w:left w:val="single" w:sz="4" w:space="0" w:color="auto"/>
              <w:bottom w:val="single" w:sz="4" w:space="0" w:color="auto"/>
              <w:right w:val="single" w:sz="4" w:space="0" w:color="auto"/>
            </w:tcBorders>
            <w:hideMark/>
          </w:tcPr>
          <w:p w:rsidR="001B431A" w:rsidRDefault="001B431A" w:rsidP="001B431A">
            <w:pPr>
              <w:spacing w:line="240" w:lineRule="auto"/>
              <w:rPr>
                <w:rFonts w:eastAsia="Times New Roman" w:cs="Arial"/>
                <w:sz w:val="20"/>
                <w:szCs w:val="20"/>
                <w:lang w:eastAsia="pt-BR"/>
              </w:rPr>
            </w:pPr>
            <w:r>
              <w:rPr>
                <w:rFonts w:eastAsia="Times New Roman" w:cs="Arial"/>
                <w:sz w:val="20"/>
                <w:szCs w:val="20"/>
                <w:lang w:eastAsia="pt-BR"/>
              </w:rPr>
              <w:t>Regulamentar procedimentos de Gestão Integrada de Resíduos Sólidos, a partir de legislação específica.</w:t>
            </w:r>
          </w:p>
        </w:tc>
      </w:tr>
      <w:tr w:rsidR="001B431A" w:rsidTr="001B431A">
        <w:trPr>
          <w:trHeight w:val="20"/>
          <w:jc w:val="center"/>
        </w:trPr>
        <w:tc>
          <w:tcPr>
            <w:tcW w:w="2018" w:type="dxa"/>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before="20" w:after="20" w:line="240" w:lineRule="auto"/>
              <w:contextualSpacing/>
              <w:rPr>
                <w:rFonts w:eastAsia="Times New Roman" w:cs="Arial"/>
                <w:b/>
                <w:bCs/>
                <w:sz w:val="20"/>
                <w:szCs w:val="20"/>
                <w:lang w:eastAsia="pt-BR"/>
              </w:rPr>
            </w:pPr>
            <w:r>
              <w:rPr>
                <w:rFonts w:eastAsia="Times New Roman" w:cs="Arial"/>
                <w:b/>
                <w:bCs/>
                <w:sz w:val="20"/>
                <w:szCs w:val="20"/>
                <w:lang w:eastAsia="pt-BR"/>
              </w:rPr>
              <w:t>INDICADORES DE MONITORAMENTO</w:t>
            </w:r>
          </w:p>
        </w:tc>
        <w:tc>
          <w:tcPr>
            <w:tcW w:w="12724" w:type="dxa"/>
            <w:gridSpan w:val="4"/>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Número de instrumentos legais relacionados ao sistema de limpeza urbana e manejo de resíduos sólidos publicadas no município.</w:t>
            </w:r>
          </w:p>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Taxa de regularização ambiental.</w:t>
            </w:r>
          </w:p>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Porcentagem de geradores com entrega do Plano de Gerenciamento de Resíduos Sólidos (PGRS) em dia.</w:t>
            </w:r>
          </w:p>
        </w:tc>
      </w:tr>
      <w:tr w:rsidR="001B431A" w:rsidTr="001B431A">
        <w:trPr>
          <w:trHeight w:val="20"/>
          <w:jc w:val="center"/>
        </w:trPr>
        <w:tc>
          <w:tcPr>
            <w:tcW w:w="14742" w:type="dxa"/>
            <w:gridSpan w:val="6"/>
            <w:tcBorders>
              <w:top w:val="single" w:sz="4" w:space="0" w:color="auto"/>
              <w:left w:val="single" w:sz="4" w:space="0" w:color="auto"/>
              <w:bottom w:val="single" w:sz="4" w:space="0" w:color="auto"/>
              <w:right w:val="single" w:sz="4" w:space="0" w:color="auto"/>
            </w:tcBorders>
            <w:shd w:val="clear" w:color="auto" w:fill="C0C0C0"/>
            <w:noWrap/>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PRAZO DE ENTREGA DA META (ANOS)</w:t>
            </w:r>
          </w:p>
        </w:tc>
      </w:tr>
      <w:tr w:rsidR="001B431A" w:rsidTr="001B431A">
        <w:trPr>
          <w:trHeight w:val="20"/>
          <w:jc w:val="center"/>
        </w:trPr>
        <w:tc>
          <w:tcPr>
            <w:tcW w:w="1929"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IMEDIATO (0 a 3)</w:t>
            </w:r>
          </w:p>
        </w:tc>
        <w:tc>
          <w:tcPr>
            <w:tcW w:w="7938" w:type="dxa"/>
            <w:gridSpan w:val="3"/>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CURTO (4 a 8)</w:t>
            </w:r>
          </w:p>
        </w:tc>
        <w:tc>
          <w:tcPr>
            <w:tcW w:w="1701"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MÉDIO (9 a 12)</w:t>
            </w:r>
          </w:p>
        </w:tc>
        <w:tc>
          <w:tcPr>
            <w:tcW w:w="3174" w:type="dxa"/>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LONGO (13 a 20)</w:t>
            </w:r>
          </w:p>
        </w:tc>
      </w:tr>
      <w:tr w:rsidR="001B431A" w:rsidTr="001B431A">
        <w:trPr>
          <w:trHeight w:val="20"/>
          <w:jc w:val="center"/>
        </w:trPr>
        <w:tc>
          <w:tcPr>
            <w:tcW w:w="1929" w:type="dxa"/>
            <w:tcBorders>
              <w:top w:val="single" w:sz="4" w:space="0" w:color="auto"/>
              <w:left w:val="single" w:sz="4" w:space="0" w:color="auto"/>
              <w:bottom w:val="single" w:sz="4" w:space="0" w:color="auto"/>
              <w:right w:val="single" w:sz="4" w:space="0" w:color="auto"/>
            </w:tcBorders>
            <w:noWrap/>
            <w:hideMark/>
          </w:tcPr>
          <w:p w:rsidR="001B431A" w:rsidRDefault="001B431A" w:rsidP="001B431A">
            <w:pPr>
              <w:spacing w:line="240" w:lineRule="auto"/>
              <w:rPr>
                <w:rFonts w:ascii="Calibri" w:hAnsi="Calibri"/>
                <w:sz w:val="20"/>
                <w:szCs w:val="20"/>
                <w:lang w:eastAsia="pt-BR"/>
              </w:rPr>
            </w:pPr>
          </w:p>
        </w:tc>
        <w:tc>
          <w:tcPr>
            <w:tcW w:w="7938" w:type="dxa"/>
            <w:gridSpan w:val="3"/>
            <w:tcBorders>
              <w:top w:val="single" w:sz="4" w:space="0" w:color="auto"/>
              <w:left w:val="single" w:sz="4" w:space="0" w:color="auto"/>
              <w:bottom w:val="single" w:sz="4" w:space="0" w:color="auto"/>
              <w:right w:val="single" w:sz="4" w:space="0" w:color="auto"/>
            </w:tcBorders>
            <w:noWrap/>
            <w:hideMark/>
          </w:tcPr>
          <w:p w:rsidR="001B431A" w:rsidRDefault="001B431A" w:rsidP="001B431A">
            <w:pPr>
              <w:spacing w:before="20" w:after="20" w:line="240" w:lineRule="auto"/>
              <w:jc w:val="both"/>
              <w:rPr>
                <w:rFonts w:cs="Arial"/>
                <w:bCs/>
                <w:sz w:val="20"/>
                <w:szCs w:val="20"/>
              </w:rPr>
            </w:pPr>
            <w:r>
              <w:rPr>
                <w:rFonts w:cs="Arial"/>
                <w:bCs/>
                <w:sz w:val="20"/>
                <w:szCs w:val="20"/>
              </w:rPr>
              <w:t>5.1. Revisão e atualização das leis promulgadas frente à PNRS.</w:t>
            </w:r>
          </w:p>
          <w:p w:rsidR="001B431A" w:rsidRDefault="001B431A" w:rsidP="001B431A">
            <w:pPr>
              <w:spacing w:before="20" w:after="20" w:line="240" w:lineRule="auto"/>
              <w:jc w:val="both"/>
              <w:rPr>
                <w:rFonts w:cs="Arial"/>
                <w:bCs/>
                <w:sz w:val="20"/>
                <w:szCs w:val="20"/>
              </w:rPr>
            </w:pPr>
            <w:r>
              <w:rPr>
                <w:rFonts w:cs="Arial"/>
                <w:bCs/>
                <w:sz w:val="20"/>
                <w:szCs w:val="20"/>
              </w:rPr>
              <w:t>5.2. Ter regulamentado o sistema de coleta seletiva.</w:t>
            </w:r>
          </w:p>
          <w:p w:rsidR="001B431A" w:rsidRDefault="001B431A" w:rsidP="001B431A">
            <w:pPr>
              <w:spacing w:before="20" w:after="20" w:line="240" w:lineRule="auto"/>
              <w:jc w:val="both"/>
              <w:rPr>
                <w:rFonts w:cs="Arial"/>
                <w:bCs/>
                <w:sz w:val="20"/>
                <w:szCs w:val="20"/>
              </w:rPr>
            </w:pPr>
            <w:r>
              <w:rPr>
                <w:rFonts w:cs="Arial"/>
                <w:bCs/>
                <w:sz w:val="20"/>
                <w:szCs w:val="20"/>
              </w:rPr>
              <w:t>5.3. Ter regulamentado o gerenciamento de resíduos da construção civil.</w:t>
            </w:r>
          </w:p>
          <w:p w:rsidR="001B431A" w:rsidRDefault="001B431A" w:rsidP="001B431A">
            <w:pPr>
              <w:spacing w:before="20" w:after="20" w:line="240" w:lineRule="auto"/>
              <w:jc w:val="both"/>
              <w:rPr>
                <w:rFonts w:cs="Arial"/>
                <w:bCs/>
                <w:sz w:val="20"/>
                <w:szCs w:val="20"/>
              </w:rPr>
            </w:pPr>
            <w:r>
              <w:rPr>
                <w:rFonts w:cs="Arial"/>
                <w:bCs/>
                <w:sz w:val="20"/>
                <w:szCs w:val="20"/>
              </w:rPr>
              <w:t>5.4 Ter regulamentada a entrega anual do PGRS e de seu conteúdo mínimo.</w:t>
            </w:r>
          </w:p>
          <w:p w:rsidR="001B431A" w:rsidRDefault="001B431A" w:rsidP="001B431A">
            <w:pPr>
              <w:spacing w:before="20" w:after="20" w:line="240" w:lineRule="auto"/>
              <w:jc w:val="both"/>
              <w:rPr>
                <w:rFonts w:cs="Arial"/>
                <w:bCs/>
                <w:sz w:val="20"/>
                <w:szCs w:val="20"/>
              </w:rPr>
            </w:pPr>
            <w:r>
              <w:rPr>
                <w:rFonts w:cs="Arial"/>
                <w:bCs/>
                <w:sz w:val="20"/>
                <w:szCs w:val="20"/>
              </w:rPr>
              <w:t>5.5 Ter regulamentada a diferenciação entre pequenos e grandes geradores.</w:t>
            </w:r>
          </w:p>
          <w:p w:rsidR="001B431A" w:rsidRDefault="001B431A" w:rsidP="001B431A">
            <w:pPr>
              <w:spacing w:before="20" w:after="20" w:line="240" w:lineRule="auto"/>
              <w:jc w:val="both"/>
              <w:rPr>
                <w:rFonts w:cs="Arial"/>
                <w:bCs/>
                <w:sz w:val="20"/>
                <w:szCs w:val="20"/>
              </w:rPr>
            </w:pPr>
            <w:r>
              <w:rPr>
                <w:rFonts w:cs="Arial"/>
                <w:bCs/>
                <w:sz w:val="20"/>
                <w:szCs w:val="20"/>
              </w:rPr>
              <w:t>5.6 Ter regulamentadas as regras e penalidades para a disposição de resíduos sólidos.</w:t>
            </w:r>
          </w:p>
          <w:p w:rsidR="001B431A" w:rsidRDefault="001B431A" w:rsidP="001B431A">
            <w:pPr>
              <w:spacing w:before="20" w:after="20" w:line="240" w:lineRule="auto"/>
              <w:jc w:val="both"/>
              <w:rPr>
                <w:rFonts w:cs="Arial"/>
                <w:bCs/>
                <w:sz w:val="20"/>
                <w:szCs w:val="20"/>
              </w:rPr>
            </w:pPr>
            <w:r>
              <w:rPr>
                <w:rFonts w:cs="Arial"/>
                <w:bCs/>
                <w:sz w:val="20"/>
                <w:szCs w:val="20"/>
              </w:rPr>
              <w:t xml:space="preserve">5.7 Ter regulamentada a coleta de resíduos especiais (logística reversa). </w:t>
            </w:r>
          </w:p>
          <w:p w:rsidR="001B431A" w:rsidRDefault="001B431A" w:rsidP="001B431A">
            <w:pPr>
              <w:spacing w:before="20" w:after="20" w:line="240" w:lineRule="auto"/>
              <w:jc w:val="both"/>
              <w:rPr>
                <w:rFonts w:cs="Arial"/>
                <w:bCs/>
                <w:sz w:val="20"/>
                <w:szCs w:val="20"/>
              </w:rPr>
            </w:pPr>
            <w:r>
              <w:rPr>
                <w:rFonts w:cs="Arial"/>
                <w:bCs/>
                <w:sz w:val="20"/>
                <w:szCs w:val="20"/>
              </w:rPr>
              <w:t xml:space="preserve">5.8 </w:t>
            </w:r>
            <w:r>
              <w:rPr>
                <w:bCs/>
                <w:sz w:val="20"/>
              </w:rPr>
              <w:t>Ter uma gestão do sistema de resíduos que seja eficiente e integrada.</w:t>
            </w:r>
          </w:p>
        </w:tc>
        <w:tc>
          <w:tcPr>
            <w:tcW w:w="1701" w:type="dxa"/>
            <w:tcBorders>
              <w:top w:val="single" w:sz="4" w:space="0" w:color="auto"/>
              <w:left w:val="single" w:sz="4" w:space="0" w:color="auto"/>
              <w:bottom w:val="single" w:sz="4" w:space="0" w:color="auto"/>
              <w:right w:val="single" w:sz="4" w:space="0" w:color="auto"/>
            </w:tcBorders>
            <w:noWrap/>
          </w:tcPr>
          <w:p w:rsidR="001B431A" w:rsidRDefault="001B431A" w:rsidP="001B431A">
            <w:pPr>
              <w:spacing w:before="20" w:after="20" w:line="240" w:lineRule="auto"/>
              <w:jc w:val="both"/>
              <w:rPr>
                <w:rFonts w:cs="Arial"/>
                <w:bCs/>
                <w:sz w:val="20"/>
                <w:szCs w:val="20"/>
              </w:rPr>
            </w:pPr>
          </w:p>
        </w:tc>
        <w:tc>
          <w:tcPr>
            <w:tcW w:w="3174" w:type="dxa"/>
            <w:tcBorders>
              <w:top w:val="single" w:sz="4" w:space="0" w:color="auto"/>
              <w:left w:val="single" w:sz="4" w:space="0" w:color="auto"/>
              <w:bottom w:val="single" w:sz="4" w:space="0" w:color="auto"/>
              <w:right w:val="single" w:sz="4" w:space="0" w:color="auto"/>
            </w:tcBorders>
            <w:noWrap/>
          </w:tcPr>
          <w:p w:rsidR="001B431A" w:rsidRDefault="001B431A" w:rsidP="001B431A">
            <w:pPr>
              <w:spacing w:before="20" w:after="20" w:line="240" w:lineRule="auto"/>
              <w:jc w:val="both"/>
              <w:rPr>
                <w:rFonts w:cs="Arial"/>
                <w:bCs/>
                <w:sz w:val="20"/>
                <w:szCs w:val="20"/>
              </w:rPr>
            </w:pPr>
          </w:p>
        </w:tc>
      </w:tr>
    </w:tbl>
    <w:p w:rsidR="001B431A" w:rsidRDefault="001B431A" w:rsidP="001B431A">
      <w:pPr>
        <w:rPr>
          <w:sz w:val="10"/>
          <w:szCs w:val="1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67"/>
        <w:gridCol w:w="8363"/>
        <w:gridCol w:w="1418"/>
        <w:gridCol w:w="1701"/>
        <w:gridCol w:w="1598"/>
      </w:tblGrid>
      <w:tr w:rsidR="001B431A" w:rsidTr="001B431A">
        <w:trPr>
          <w:trHeight w:val="340"/>
          <w:tblHeader/>
          <w:jc w:val="center"/>
        </w:trPr>
        <w:tc>
          <w:tcPr>
            <w:tcW w:w="14747" w:type="dxa"/>
            <w:gridSpan w:val="5"/>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PROGRAMAS E AÇÕES</w:t>
            </w:r>
          </w:p>
        </w:tc>
      </w:tr>
      <w:tr w:rsidR="001B431A" w:rsidTr="001B431A">
        <w:trPr>
          <w:trHeight w:val="340"/>
          <w:tblHeader/>
          <w:jc w:val="center"/>
        </w:trPr>
        <w:tc>
          <w:tcPr>
            <w:tcW w:w="166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CÓDIGO</w:t>
            </w:r>
          </w:p>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(s/o/m/a)*</w:t>
            </w:r>
          </w:p>
        </w:tc>
        <w:tc>
          <w:tcPr>
            <w:tcW w:w="8363"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DESCRIÇÃO</w:t>
            </w:r>
          </w:p>
        </w:tc>
        <w:tc>
          <w:tcPr>
            <w:tcW w:w="1418"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ind w:firstLine="72"/>
              <w:jc w:val="center"/>
              <w:rPr>
                <w:rFonts w:eastAsia="Times New Roman" w:cs="Arial"/>
                <w:b/>
                <w:bCs/>
                <w:sz w:val="20"/>
                <w:szCs w:val="20"/>
                <w:lang w:eastAsia="pt-BR"/>
              </w:rPr>
            </w:pPr>
            <w:r>
              <w:rPr>
                <w:rFonts w:eastAsia="Times New Roman" w:cs="Arial"/>
                <w:b/>
                <w:bCs/>
                <w:sz w:val="20"/>
                <w:szCs w:val="20"/>
                <w:lang w:eastAsia="pt-BR"/>
              </w:rPr>
              <w:t>Período de desenvolvimento da ação</w:t>
            </w:r>
          </w:p>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(ano)</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ind w:left="64" w:firstLine="8"/>
              <w:jc w:val="center"/>
              <w:rPr>
                <w:rFonts w:eastAsia="Times New Roman" w:cs="Arial"/>
                <w:b/>
                <w:bCs/>
                <w:sz w:val="20"/>
                <w:szCs w:val="20"/>
                <w:lang w:eastAsia="pt-BR"/>
              </w:rPr>
            </w:pPr>
            <w:r>
              <w:rPr>
                <w:rFonts w:eastAsia="Times New Roman" w:cs="Arial"/>
                <w:b/>
                <w:bCs/>
                <w:sz w:val="20"/>
                <w:szCs w:val="20"/>
                <w:lang w:eastAsia="pt-BR"/>
              </w:rPr>
              <w:t>Custo total na moeda de 2017</w:t>
            </w:r>
          </w:p>
          <w:p w:rsidR="001B431A" w:rsidRDefault="001B431A" w:rsidP="001B431A">
            <w:pPr>
              <w:spacing w:before="20" w:after="20" w:line="240" w:lineRule="auto"/>
              <w:contextualSpacing/>
              <w:jc w:val="center"/>
              <w:rPr>
                <w:rFonts w:eastAsia="Times New Roman" w:cs="Arial"/>
                <w:b/>
                <w:bCs/>
                <w:sz w:val="20"/>
                <w:szCs w:val="20"/>
                <w:lang w:eastAsia="pt-BR"/>
              </w:rPr>
            </w:pPr>
            <w:r>
              <w:rPr>
                <w:rFonts w:eastAsia="Times New Roman" w:cs="Arial"/>
                <w:b/>
                <w:bCs/>
                <w:sz w:val="20"/>
                <w:szCs w:val="20"/>
                <w:lang w:eastAsia="pt-BR"/>
              </w:rPr>
              <w:t>(R$)</w:t>
            </w:r>
          </w:p>
        </w:tc>
        <w:tc>
          <w:tcPr>
            <w:tcW w:w="1598"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ind w:left="64" w:firstLine="8"/>
              <w:jc w:val="center"/>
              <w:rPr>
                <w:rFonts w:eastAsia="Times New Roman" w:cs="Arial"/>
                <w:b/>
                <w:bCs/>
                <w:sz w:val="20"/>
                <w:szCs w:val="20"/>
                <w:lang w:eastAsia="pt-BR"/>
              </w:rPr>
            </w:pPr>
            <w:r>
              <w:rPr>
                <w:rFonts w:eastAsia="Times New Roman" w:cs="Arial"/>
                <w:b/>
                <w:bCs/>
                <w:sz w:val="20"/>
                <w:szCs w:val="20"/>
                <w:lang w:eastAsia="pt-BR"/>
              </w:rPr>
              <w:t>Responsável pela ação</w:t>
            </w:r>
          </w:p>
        </w:tc>
      </w:tr>
      <w:tr w:rsidR="001B431A" w:rsidTr="001B431A">
        <w:trPr>
          <w:trHeight w:val="737"/>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4.5.1.52</w:t>
            </w:r>
          </w:p>
        </w:tc>
        <w:tc>
          <w:tcPr>
            <w:tcW w:w="8363" w:type="dxa"/>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Criar lei que estabeleça a Política Municipal de Resíduos Sólidos.</w:t>
            </w:r>
          </w:p>
        </w:tc>
        <w:tc>
          <w:tcPr>
            <w:tcW w:w="141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1º- 8º</w:t>
            </w:r>
          </w:p>
        </w:tc>
        <w:tc>
          <w:tcPr>
            <w:tcW w:w="1701"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18.906,73</w:t>
            </w:r>
          </w:p>
        </w:tc>
        <w:tc>
          <w:tcPr>
            <w:tcW w:w="159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 / Câmara Municipal</w:t>
            </w:r>
          </w:p>
        </w:tc>
      </w:tr>
      <w:tr w:rsidR="001B431A" w:rsidTr="001B431A">
        <w:trPr>
          <w:trHeight w:val="737"/>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4.5.1.53</w:t>
            </w:r>
          </w:p>
        </w:tc>
        <w:tc>
          <w:tcPr>
            <w:tcW w:w="8363" w:type="dxa"/>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Criar regulamentação para posturas relativas às matérias de higiene, limpeza, segurança e outros procedimentos públicos relacionados aos resíduos sólidos, bem como os relativos à sua segregação, acondicionamento, disposição para coleta, transporte e destinação, disciplinando aspectos da responsabilidade compartilhada e dos sistemas de logística reversa.</w:t>
            </w:r>
          </w:p>
        </w:tc>
        <w:tc>
          <w:tcPr>
            <w:tcW w:w="141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1º- 8º</w:t>
            </w:r>
          </w:p>
        </w:tc>
        <w:tc>
          <w:tcPr>
            <w:tcW w:w="1701"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18.906,73</w:t>
            </w:r>
          </w:p>
        </w:tc>
        <w:tc>
          <w:tcPr>
            <w:tcW w:w="159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 / Câmara Municipal</w:t>
            </w:r>
          </w:p>
        </w:tc>
      </w:tr>
      <w:tr w:rsidR="001B431A" w:rsidTr="001B431A">
        <w:trPr>
          <w:trHeight w:val="737"/>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lastRenderedPageBreak/>
              <w:t>4.5.1.54</w:t>
            </w:r>
          </w:p>
        </w:tc>
        <w:tc>
          <w:tcPr>
            <w:tcW w:w="8363" w:type="dxa"/>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Criar regulamento para disciplinar a operação de transportadores e receptores de resíduos privados (transportadores de entulhos, resíduos de saúde, resíduos industriais, sucateiros e ferros-velhos e outros).</w:t>
            </w:r>
          </w:p>
        </w:tc>
        <w:tc>
          <w:tcPr>
            <w:tcW w:w="141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1º- 8º</w:t>
            </w:r>
          </w:p>
        </w:tc>
        <w:tc>
          <w:tcPr>
            <w:tcW w:w="1701"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18.906,73</w:t>
            </w:r>
          </w:p>
        </w:tc>
        <w:tc>
          <w:tcPr>
            <w:tcW w:w="159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 / Câmara Municipal</w:t>
            </w:r>
          </w:p>
        </w:tc>
      </w:tr>
      <w:tr w:rsidR="001B431A" w:rsidTr="001B431A">
        <w:trPr>
          <w:trHeight w:val="737"/>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4.5.1.55</w:t>
            </w:r>
          </w:p>
        </w:tc>
        <w:tc>
          <w:tcPr>
            <w:tcW w:w="8363" w:type="dxa"/>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Criar regulamento para estabelecer procedimentos para a mobilização e trânsito de cargas perigosas no município ou na região.</w:t>
            </w:r>
          </w:p>
        </w:tc>
        <w:tc>
          <w:tcPr>
            <w:tcW w:w="141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1º- 8º</w:t>
            </w:r>
          </w:p>
        </w:tc>
        <w:tc>
          <w:tcPr>
            <w:tcW w:w="1701"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18.906,73</w:t>
            </w:r>
          </w:p>
        </w:tc>
        <w:tc>
          <w:tcPr>
            <w:tcW w:w="159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 / Câmara Municipal</w:t>
            </w:r>
          </w:p>
        </w:tc>
      </w:tr>
      <w:tr w:rsidR="001B431A" w:rsidTr="001B431A">
        <w:trPr>
          <w:trHeight w:val="737"/>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4.5.1.56</w:t>
            </w:r>
          </w:p>
        </w:tc>
        <w:tc>
          <w:tcPr>
            <w:tcW w:w="8363" w:type="dxa"/>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Criar regulamento para definição dos instrumentos e normas de incentivo ao surgimento de novos negócios com resíduos.</w:t>
            </w:r>
          </w:p>
        </w:tc>
        <w:tc>
          <w:tcPr>
            <w:tcW w:w="141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1º- 8º</w:t>
            </w:r>
          </w:p>
        </w:tc>
        <w:tc>
          <w:tcPr>
            <w:tcW w:w="1701"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18.906,73</w:t>
            </w:r>
          </w:p>
        </w:tc>
        <w:tc>
          <w:tcPr>
            <w:tcW w:w="159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 / Câmara Municipal</w:t>
            </w:r>
          </w:p>
        </w:tc>
      </w:tr>
      <w:tr w:rsidR="001B431A" w:rsidTr="001B431A">
        <w:trPr>
          <w:trHeight w:val="737"/>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4.5.1.57</w:t>
            </w:r>
          </w:p>
        </w:tc>
        <w:tc>
          <w:tcPr>
            <w:tcW w:w="8363" w:type="dxa"/>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Criar legislação para definição do órgão colegiado, as representações e a competência para participação no controle social dos serviços públicos de limpeza urbana e manejo de resíduos.</w:t>
            </w:r>
          </w:p>
        </w:tc>
        <w:tc>
          <w:tcPr>
            <w:tcW w:w="141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1º- 8º</w:t>
            </w:r>
          </w:p>
        </w:tc>
        <w:tc>
          <w:tcPr>
            <w:tcW w:w="1701"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18.906,73</w:t>
            </w:r>
          </w:p>
        </w:tc>
        <w:tc>
          <w:tcPr>
            <w:tcW w:w="159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 / Câmara Municipal</w:t>
            </w:r>
          </w:p>
        </w:tc>
      </w:tr>
      <w:tr w:rsidR="001B431A" w:rsidTr="001B431A">
        <w:trPr>
          <w:trHeight w:val="737"/>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4.5.1.58</w:t>
            </w:r>
          </w:p>
        </w:tc>
        <w:tc>
          <w:tcPr>
            <w:tcW w:w="8363" w:type="dxa"/>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Avaliar a legislação municipal existente, com o propósito de identificar lacunas ainda não regulamentadas, inconsistências internas e outras complementações necessárias.</w:t>
            </w:r>
          </w:p>
        </w:tc>
        <w:tc>
          <w:tcPr>
            <w:tcW w:w="141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1º- 8º</w:t>
            </w:r>
          </w:p>
        </w:tc>
        <w:tc>
          <w:tcPr>
            <w:tcW w:w="1701"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18.906,73</w:t>
            </w:r>
          </w:p>
        </w:tc>
        <w:tc>
          <w:tcPr>
            <w:tcW w:w="159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 / Câmara Municipal</w:t>
            </w:r>
          </w:p>
        </w:tc>
      </w:tr>
      <w:tr w:rsidR="001B431A" w:rsidTr="001B431A">
        <w:trPr>
          <w:trHeight w:val="737"/>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4.5.1.59</w:t>
            </w:r>
          </w:p>
        </w:tc>
        <w:tc>
          <w:tcPr>
            <w:tcW w:w="8363" w:type="dxa"/>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Revisar e atualizar as leis promulgadas frente à PNRS.</w:t>
            </w:r>
          </w:p>
        </w:tc>
        <w:tc>
          <w:tcPr>
            <w:tcW w:w="141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1º- 8º</w:t>
            </w:r>
          </w:p>
        </w:tc>
        <w:tc>
          <w:tcPr>
            <w:tcW w:w="1701"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18.906,73</w:t>
            </w:r>
          </w:p>
        </w:tc>
        <w:tc>
          <w:tcPr>
            <w:tcW w:w="159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 / Câmara Municipal</w:t>
            </w:r>
          </w:p>
        </w:tc>
      </w:tr>
      <w:tr w:rsidR="001B431A" w:rsidTr="001B431A">
        <w:trPr>
          <w:trHeight w:val="737"/>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4.5.2.60</w:t>
            </w:r>
          </w:p>
        </w:tc>
        <w:tc>
          <w:tcPr>
            <w:tcW w:w="8363" w:type="dxa"/>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Realizar os estudos técnicos necessários para adequação e regulamentação do sistema de coleta seletiva em termos operacionais.</w:t>
            </w:r>
          </w:p>
        </w:tc>
        <w:tc>
          <w:tcPr>
            <w:tcW w:w="141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1º- 8º</w:t>
            </w:r>
          </w:p>
        </w:tc>
        <w:tc>
          <w:tcPr>
            <w:tcW w:w="1701"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6.828,23 </w:t>
            </w:r>
          </w:p>
        </w:tc>
        <w:tc>
          <w:tcPr>
            <w:tcW w:w="159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 / Câmara Municipal</w:t>
            </w:r>
          </w:p>
        </w:tc>
      </w:tr>
      <w:tr w:rsidR="001B431A" w:rsidTr="001B431A">
        <w:trPr>
          <w:trHeight w:val="737"/>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lastRenderedPageBreak/>
              <w:t>4.5.2.61</w:t>
            </w:r>
          </w:p>
        </w:tc>
        <w:tc>
          <w:tcPr>
            <w:tcW w:w="8363" w:type="dxa"/>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Criar regulamento que exija a separação dos resíduos domiciliares na fonte.</w:t>
            </w:r>
          </w:p>
        </w:tc>
        <w:tc>
          <w:tcPr>
            <w:tcW w:w="141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1º- 8º</w:t>
            </w:r>
          </w:p>
        </w:tc>
        <w:tc>
          <w:tcPr>
            <w:tcW w:w="1701"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18.906,73</w:t>
            </w:r>
          </w:p>
        </w:tc>
        <w:tc>
          <w:tcPr>
            <w:tcW w:w="159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 / Câmara Municipal</w:t>
            </w:r>
          </w:p>
        </w:tc>
      </w:tr>
      <w:tr w:rsidR="001B431A" w:rsidTr="001B431A">
        <w:trPr>
          <w:trHeight w:val="737"/>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4.5.3.62</w:t>
            </w:r>
          </w:p>
        </w:tc>
        <w:tc>
          <w:tcPr>
            <w:tcW w:w="8363" w:type="dxa"/>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Criar legislação e regulamento que definam o conceito de grande e pequeno gerador de RCC e de resíduos volumosos, articulando a autorização de construção/reforma da Prefeitura Municipal com o cadastro dos geradores, estabelecendo procedimentos para exercício das responsabilidades de ambos e criando mecanismos para erradicar a disposição irregular de RCC e de resíduos volumosos, como por exemplo, a aplicação de multas.</w:t>
            </w:r>
          </w:p>
        </w:tc>
        <w:tc>
          <w:tcPr>
            <w:tcW w:w="141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1º- 8º</w:t>
            </w:r>
          </w:p>
        </w:tc>
        <w:tc>
          <w:tcPr>
            <w:tcW w:w="1701"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18.906,73</w:t>
            </w:r>
          </w:p>
        </w:tc>
        <w:tc>
          <w:tcPr>
            <w:tcW w:w="159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 / Câmara Municipal</w:t>
            </w:r>
          </w:p>
        </w:tc>
      </w:tr>
      <w:tr w:rsidR="001B431A" w:rsidTr="001B431A">
        <w:trPr>
          <w:trHeight w:val="737"/>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4.5.4.63</w:t>
            </w:r>
          </w:p>
        </w:tc>
        <w:tc>
          <w:tcPr>
            <w:tcW w:w="8363" w:type="dxa"/>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Criar regulamento que exija a entrega do PGRS, definindo como data limite o dia 30/03 do ano seguinte ao de referência.</w:t>
            </w:r>
          </w:p>
        </w:tc>
        <w:tc>
          <w:tcPr>
            <w:tcW w:w="141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1º- 8º</w:t>
            </w:r>
          </w:p>
        </w:tc>
        <w:tc>
          <w:tcPr>
            <w:tcW w:w="1701"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18.906,73</w:t>
            </w:r>
          </w:p>
        </w:tc>
        <w:tc>
          <w:tcPr>
            <w:tcW w:w="159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 / Câmara Municipal</w:t>
            </w:r>
          </w:p>
        </w:tc>
      </w:tr>
      <w:tr w:rsidR="001B431A" w:rsidTr="001B431A">
        <w:trPr>
          <w:trHeight w:val="737"/>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4.5.4.64</w:t>
            </w:r>
          </w:p>
        </w:tc>
        <w:tc>
          <w:tcPr>
            <w:tcW w:w="8363" w:type="dxa"/>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Criar regulamento para estabelecer procedimentos relativos aos Planos de Gerenciamento que precisam ser recepcionados e analisados no âmbito local.</w:t>
            </w:r>
          </w:p>
        </w:tc>
        <w:tc>
          <w:tcPr>
            <w:tcW w:w="141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1º- 8º</w:t>
            </w:r>
          </w:p>
        </w:tc>
        <w:tc>
          <w:tcPr>
            <w:tcW w:w="1701"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18.906,73</w:t>
            </w:r>
          </w:p>
        </w:tc>
        <w:tc>
          <w:tcPr>
            <w:tcW w:w="159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 / Câmara Municipal</w:t>
            </w:r>
          </w:p>
        </w:tc>
      </w:tr>
      <w:tr w:rsidR="001B431A" w:rsidTr="001B431A">
        <w:trPr>
          <w:trHeight w:val="737"/>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4.5.5.65</w:t>
            </w:r>
          </w:p>
        </w:tc>
        <w:tc>
          <w:tcPr>
            <w:tcW w:w="8363" w:type="dxa"/>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Criar regulamento que diferencie pequenos geradores dos médios e grandes geradores, atribuindo-lhes suas responsabilidades.</w:t>
            </w:r>
          </w:p>
        </w:tc>
        <w:tc>
          <w:tcPr>
            <w:tcW w:w="141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1º- 8º</w:t>
            </w:r>
          </w:p>
        </w:tc>
        <w:tc>
          <w:tcPr>
            <w:tcW w:w="1701"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18.906,73</w:t>
            </w:r>
          </w:p>
        </w:tc>
        <w:tc>
          <w:tcPr>
            <w:tcW w:w="159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 / Câmara Municipal</w:t>
            </w:r>
          </w:p>
        </w:tc>
      </w:tr>
      <w:tr w:rsidR="001B431A" w:rsidTr="001B431A">
        <w:trPr>
          <w:trHeight w:val="737"/>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4.5.6.66</w:t>
            </w:r>
          </w:p>
        </w:tc>
        <w:tc>
          <w:tcPr>
            <w:tcW w:w="8363" w:type="dxa"/>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Melhorar a eficiência do sistema de manutenção e limpeza de lotes particulares, através da criação de lei ou decreto específico regulamentando o sistema de execução dos serviços, bem como advertências e cobranças de valores/multas a serem aplicados ao proprietário dos lotes particulares.</w:t>
            </w:r>
          </w:p>
        </w:tc>
        <w:tc>
          <w:tcPr>
            <w:tcW w:w="141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1º- 8º</w:t>
            </w:r>
          </w:p>
        </w:tc>
        <w:tc>
          <w:tcPr>
            <w:tcW w:w="1701"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18.906,73</w:t>
            </w:r>
          </w:p>
        </w:tc>
        <w:tc>
          <w:tcPr>
            <w:tcW w:w="159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 / Câmara Municipal</w:t>
            </w:r>
          </w:p>
        </w:tc>
      </w:tr>
      <w:tr w:rsidR="001B431A" w:rsidTr="001B431A">
        <w:trPr>
          <w:trHeight w:val="964"/>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lastRenderedPageBreak/>
              <w:t>4.5.7.67</w:t>
            </w:r>
          </w:p>
        </w:tc>
        <w:tc>
          <w:tcPr>
            <w:tcW w:w="8363" w:type="dxa"/>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Criar legislação para regulamentar a logística reversa em nível municipal, versando sobre a entrega, por parte da população, e o recebimento, por parte dos estabelecimentos comerciais e industriais, dos resíduos especiais, como medicamentos vencidos, pilhas e baterias, eletroeletrônicos e lâmpadas fluorescentes.</w:t>
            </w:r>
          </w:p>
        </w:tc>
        <w:tc>
          <w:tcPr>
            <w:tcW w:w="141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1º- 8º</w:t>
            </w:r>
          </w:p>
        </w:tc>
        <w:tc>
          <w:tcPr>
            <w:tcW w:w="1701"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18.906,73</w:t>
            </w:r>
          </w:p>
        </w:tc>
        <w:tc>
          <w:tcPr>
            <w:tcW w:w="159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 / Câmara Municipal</w:t>
            </w:r>
          </w:p>
        </w:tc>
      </w:tr>
      <w:tr w:rsidR="001B431A" w:rsidTr="001B431A">
        <w:trPr>
          <w:trHeight w:val="567"/>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4.5.7.68</w:t>
            </w:r>
          </w:p>
        </w:tc>
        <w:tc>
          <w:tcPr>
            <w:tcW w:w="8363" w:type="dxa"/>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Criar um cadastro, por tipologia de resíduos, com os locais para disposição dos materiais passíveis de logística reversa.</w:t>
            </w:r>
          </w:p>
        </w:tc>
        <w:tc>
          <w:tcPr>
            <w:tcW w:w="141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1º- 8º</w:t>
            </w:r>
          </w:p>
        </w:tc>
        <w:tc>
          <w:tcPr>
            <w:tcW w:w="1701"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18.906,73</w:t>
            </w:r>
          </w:p>
        </w:tc>
        <w:tc>
          <w:tcPr>
            <w:tcW w:w="159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 / Câmara Municipal</w:t>
            </w:r>
          </w:p>
        </w:tc>
      </w:tr>
      <w:tr w:rsidR="001B431A" w:rsidTr="001B431A">
        <w:trPr>
          <w:trHeight w:val="567"/>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4.5.7.69</w:t>
            </w:r>
          </w:p>
        </w:tc>
        <w:tc>
          <w:tcPr>
            <w:tcW w:w="8363" w:type="dxa"/>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Regulamentar tarifações a serem cobradas pela Prefeitura Municipal, caso ela assuma a recepção dos resíduos passíveis de logística reversa.</w:t>
            </w:r>
          </w:p>
        </w:tc>
        <w:tc>
          <w:tcPr>
            <w:tcW w:w="141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1º- 8º</w:t>
            </w:r>
          </w:p>
        </w:tc>
        <w:tc>
          <w:tcPr>
            <w:tcW w:w="1701"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18.906,73</w:t>
            </w:r>
          </w:p>
        </w:tc>
        <w:tc>
          <w:tcPr>
            <w:tcW w:w="159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 / Câmara Municipal</w:t>
            </w:r>
          </w:p>
        </w:tc>
      </w:tr>
      <w:tr w:rsidR="001B431A" w:rsidTr="001B431A">
        <w:trPr>
          <w:trHeight w:val="567"/>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4.5.8.70</w:t>
            </w:r>
          </w:p>
        </w:tc>
        <w:tc>
          <w:tcPr>
            <w:tcW w:w="8363" w:type="dxa"/>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Atualizar continuamente o SMIS - Sistema Municipal de Informações em Saneamento, com indicadores de natureza administrativa, operacional, financeira, de planejamento estratégico e de sustentabilidade etc.</w:t>
            </w:r>
          </w:p>
        </w:tc>
        <w:tc>
          <w:tcPr>
            <w:tcW w:w="141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1º- 20º</w:t>
            </w:r>
          </w:p>
        </w:tc>
        <w:tc>
          <w:tcPr>
            <w:tcW w:w="1701"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w:t>
            </w:r>
          </w:p>
        </w:tc>
        <w:tc>
          <w:tcPr>
            <w:tcW w:w="159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567"/>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before="20" w:after="20" w:line="240" w:lineRule="auto"/>
              <w:jc w:val="center"/>
              <w:rPr>
                <w:rFonts w:eastAsia="Times New Roman" w:cs="Arial"/>
                <w:sz w:val="20"/>
                <w:szCs w:val="20"/>
                <w:lang w:eastAsia="pt-BR"/>
              </w:rPr>
            </w:pPr>
            <w:r>
              <w:rPr>
                <w:rFonts w:eastAsia="Times New Roman" w:cs="Arial"/>
                <w:sz w:val="20"/>
                <w:szCs w:val="20"/>
                <w:lang w:eastAsia="pt-BR"/>
              </w:rPr>
              <w:t>4.5.8.71</w:t>
            </w:r>
          </w:p>
        </w:tc>
        <w:tc>
          <w:tcPr>
            <w:tcW w:w="8363" w:type="dxa"/>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Elaborar Plano de Emergência e Contingência contemplando todo o sistema de limpeza urbana e manejo dos resíduos sólidos do município</w:t>
            </w:r>
          </w:p>
        </w:tc>
        <w:tc>
          <w:tcPr>
            <w:tcW w:w="141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1º- 8º</w:t>
            </w:r>
          </w:p>
        </w:tc>
        <w:tc>
          <w:tcPr>
            <w:tcW w:w="1701"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20.484,70 </w:t>
            </w:r>
          </w:p>
        </w:tc>
        <w:tc>
          <w:tcPr>
            <w:tcW w:w="159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567"/>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before="20" w:after="20" w:line="240" w:lineRule="auto"/>
              <w:jc w:val="center"/>
              <w:rPr>
                <w:rFonts w:eastAsia="Times New Roman" w:cs="Arial"/>
                <w:sz w:val="20"/>
                <w:szCs w:val="20"/>
                <w:lang w:eastAsia="pt-BR"/>
              </w:rPr>
            </w:pPr>
            <w:r>
              <w:rPr>
                <w:rFonts w:eastAsia="Times New Roman" w:cs="Arial"/>
                <w:sz w:val="20"/>
                <w:szCs w:val="20"/>
                <w:lang w:eastAsia="pt-BR"/>
              </w:rPr>
              <w:t>4.5.8.72</w:t>
            </w:r>
          </w:p>
        </w:tc>
        <w:tc>
          <w:tcPr>
            <w:tcW w:w="8363" w:type="dxa"/>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Manter Plano de Emergência e Contingência atualizado</w:t>
            </w:r>
          </w:p>
        </w:tc>
        <w:tc>
          <w:tcPr>
            <w:tcW w:w="141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1º- 20º</w:t>
            </w:r>
          </w:p>
        </w:tc>
        <w:tc>
          <w:tcPr>
            <w:tcW w:w="1701"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27.312,93</w:t>
            </w:r>
          </w:p>
        </w:tc>
        <w:tc>
          <w:tcPr>
            <w:tcW w:w="1598" w:type="dxa"/>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bl>
    <w:p w:rsidR="001B431A" w:rsidRPr="005F6482" w:rsidRDefault="001B431A" w:rsidP="001B431A">
      <w:pPr>
        <w:pStyle w:val="Fonte"/>
        <w:rPr>
          <w:lang w:eastAsia="x-none"/>
        </w:rPr>
      </w:pPr>
      <w:r>
        <w:t xml:space="preserve">**(s/o/m/a) = nº do setor / nº do objetivo / nº da meta / nº da ação. / </w:t>
      </w:r>
      <w:r>
        <w:rPr>
          <w:rFonts w:cs="Arial"/>
          <w:color w:val="000000"/>
          <w:sz w:val="19"/>
          <w:szCs w:val="19"/>
        </w:rPr>
        <w:t>*Dependente de outras ações que possuem custos próprios estimados.</w:t>
      </w:r>
    </w:p>
    <w:p w:rsidR="001B431A" w:rsidRDefault="001B431A" w:rsidP="001B431A">
      <w:pPr>
        <w:pStyle w:val="Legenda"/>
        <w:rPr>
          <w:rFonts w:eastAsia="Calibri"/>
          <w:lang w:eastAsia="en-US"/>
        </w:rPr>
      </w:pPr>
      <w:r>
        <w:rPr>
          <w:b w:val="0"/>
          <w:sz w:val="22"/>
          <w:lang w:eastAsia="pt-BR"/>
        </w:rPr>
        <w:br w:type="page"/>
      </w:r>
      <w:bookmarkStart w:id="1040" w:name="_Toc498594147"/>
      <w:bookmarkStart w:id="1041" w:name="_Toc491681739"/>
      <w:bookmarkStart w:id="1042" w:name="_Toc488050776"/>
      <w:bookmarkStart w:id="1043" w:name="_Toc441048143"/>
      <w:bookmarkStart w:id="1044" w:name="_Toc505788357"/>
      <w:bookmarkStart w:id="1045" w:name="_Toc509935865"/>
      <w:r>
        <w:lastRenderedPageBreak/>
        <w:t xml:space="preserve">Quadro </w:t>
      </w:r>
      <w:r w:rsidR="000A1C78">
        <w:fldChar w:fldCharType="begin"/>
      </w:r>
      <w:r w:rsidR="000A1C78">
        <w:instrText xml:space="preserve"> SEQ Quadro \* ARABIC </w:instrText>
      </w:r>
      <w:r w:rsidR="000A1C78">
        <w:fldChar w:fldCharType="separate"/>
      </w:r>
      <w:r w:rsidR="001B481B">
        <w:rPr>
          <w:noProof/>
        </w:rPr>
        <w:t>88</w:t>
      </w:r>
      <w:r w:rsidR="000A1C78">
        <w:rPr>
          <w:noProof/>
        </w:rPr>
        <w:fldChar w:fldCharType="end"/>
      </w:r>
      <w:r>
        <w:t xml:space="preserve"> - Programas e ações propostos relacionados ao setor de limpeza urbana e manejo de resíduos sólidos - Objetivo 6</w:t>
      </w:r>
      <w:bookmarkEnd w:id="1040"/>
      <w:bookmarkEnd w:id="1041"/>
      <w:bookmarkEnd w:id="1042"/>
      <w:bookmarkEnd w:id="1043"/>
      <w:bookmarkEnd w:id="1044"/>
      <w:bookmarkEnd w:id="1045"/>
    </w:p>
    <w:tbl>
      <w:tblPr>
        <w:tblW w:w="14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91"/>
        <w:gridCol w:w="426"/>
        <w:gridCol w:w="1278"/>
        <w:gridCol w:w="3543"/>
        <w:gridCol w:w="1986"/>
        <w:gridCol w:w="5164"/>
      </w:tblGrid>
      <w:tr w:rsidR="001B431A" w:rsidTr="001B431A">
        <w:trPr>
          <w:trHeight w:val="284"/>
          <w:jc w:val="center"/>
        </w:trPr>
        <w:tc>
          <w:tcPr>
            <w:tcW w:w="78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rPr>
                <w:rFonts w:eastAsia="Times New Roman" w:cs="Arial"/>
                <w:b/>
                <w:bCs/>
                <w:sz w:val="20"/>
                <w:szCs w:val="20"/>
                <w:lang w:eastAsia="pt-BR"/>
              </w:rPr>
            </w:pPr>
            <w:r>
              <w:rPr>
                <w:rFonts w:eastAsia="Times New Roman" w:cs="Arial"/>
                <w:b/>
                <w:bCs/>
                <w:sz w:val="20"/>
                <w:szCs w:val="20"/>
                <w:lang w:eastAsia="pt-BR"/>
              </w:rPr>
              <w:t>SETOR</w:t>
            </w:r>
          </w:p>
        </w:tc>
        <w:tc>
          <w:tcPr>
            <w:tcW w:w="145"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w:t>
            </w:r>
          </w:p>
        </w:tc>
        <w:tc>
          <w:tcPr>
            <w:tcW w:w="4074" w:type="pct"/>
            <w:gridSpan w:val="4"/>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rPr>
                <w:rFonts w:eastAsia="Times New Roman" w:cs="Arial"/>
                <w:sz w:val="20"/>
                <w:szCs w:val="20"/>
                <w:lang w:eastAsia="pt-BR"/>
              </w:rPr>
            </w:pPr>
            <w:r>
              <w:rPr>
                <w:rFonts w:eastAsia="Times New Roman" w:cs="Arial"/>
                <w:sz w:val="20"/>
                <w:szCs w:val="20"/>
                <w:lang w:eastAsia="pt-BR"/>
              </w:rPr>
              <w:t>Limpeza Urbana e Manejo de Resíduos Sólidos.</w:t>
            </w:r>
          </w:p>
        </w:tc>
      </w:tr>
      <w:tr w:rsidR="001B431A" w:rsidTr="001B431A">
        <w:trPr>
          <w:trHeight w:val="284"/>
          <w:jc w:val="center"/>
        </w:trPr>
        <w:tc>
          <w:tcPr>
            <w:tcW w:w="78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rPr>
                <w:rFonts w:eastAsia="Times New Roman" w:cs="Arial"/>
                <w:b/>
                <w:bCs/>
                <w:sz w:val="20"/>
                <w:szCs w:val="20"/>
                <w:lang w:eastAsia="pt-BR"/>
              </w:rPr>
            </w:pPr>
            <w:r>
              <w:rPr>
                <w:rFonts w:eastAsia="Times New Roman" w:cs="Arial"/>
                <w:b/>
                <w:bCs/>
                <w:sz w:val="20"/>
                <w:szCs w:val="20"/>
                <w:lang w:eastAsia="pt-BR"/>
              </w:rPr>
              <w:t>OBJETIVO</w:t>
            </w:r>
          </w:p>
        </w:tc>
        <w:tc>
          <w:tcPr>
            <w:tcW w:w="145"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6</w:t>
            </w:r>
          </w:p>
        </w:tc>
        <w:tc>
          <w:tcPr>
            <w:tcW w:w="4074" w:type="pct"/>
            <w:gridSpan w:val="4"/>
            <w:tcBorders>
              <w:top w:val="single" w:sz="4" w:space="0" w:color="auto"/>
              <w:left w:val="single" w:sz="4" w:space="0" w:color="auto"/>
              <w:bottom w:val="single" w:sz="4" w:space="0" w:color="auto"/>
              <w:right w:val="single" w:sz="4" w:space="0" w:color="auto"/>
            </w:tcBorders>
            <w:hideMark/>
          </w:tcPr>
          <w:p w:rsidR="001B431A" w:rsidRDefault="001B431A" w:rsidP="001B431A">
            <w:pPr>
              <w:spacing w:line="240" w:lineRule="auto"/>
              <w:rPr>
                <w:rFonts w:eastAsia="Times New Roman" w:cs="Arial"/>
                <w:sz w:val="20"/>
                <w:szCs w:val="20"/>
                <w:lang w:eastAsia="pt-BR"/>
              </w:rPr>
            </w:pPr>
            <w:r>
              <w:rPr>
                <w:rFonts w:eastAsia="Times New Roman" w:cs="Arial"/>
                <w:bCs/>
                <w:sz w:val="20"/>
                <w:szCs w:val="20"/>
              </w:rPr>
              <w:t>Atender à legislação ambiental aplicável ao gerenciamento de resíduos sólidos.</w:t>
            </w:r>
          </w:p>
        </w:tc>
      </w:tr>
      <w:tr w:rsidR="001B431A" w:rsidTr="001B431A">
        <w:trPr>
          <w:trHeight w:val="284"/>
          <w:jc w:val="center"/>
        </w:trPr>
        <w:tc>
          <w:tcPr>
            <w:tcW w:w="78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before="20" w:after="20" w:line="240" w:lineRule="auto"/>
              <w:contextualSpacing/>
              <w:rPr>
                <w:rFonts w:eastAsia="Times New Roman" w:cs="Arial"/>
                <w:b/>
                <w:bCs/>
                <w:sz w:val="20"/>
                <w:szCs w:val="20"/>
                <w:lang w:eastAsia="pt-BR"/>
              </w:rPr>
            </w:pPr>
            <w:r>
              <w:rPr>
                <w:rFonts w:eastAsia="Times New Roman" w:cs="Arial"/>
                <w:b/>
                <w:bCs/>
                <w:sz w:val="20"/>
                <w:szCs w:val="20"/>
                <w:lang w:eastAsia="pt-BR"/>
              </w:rPr>
              <w:t>INDICADORES DE MONITORAMENTO</w:t>
            </w:r>
          </w:p>
        </w:tc>
        <w:tc>
          <w:tcPr>
            <w:tcW w:w="4220" w:type="pct"/>
            <w:gridSpan w:val="5"/>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Quantidade de empreendimentos licenciados.</w:t>
            </w:r>
          </w:p>
        </w:tc>
      </w:tr>
      <w:tr w:rsidR="001B431A" w:rsidTr="001B431A">
        <w:trPr>
          <w:trHeight w:val="270"/>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C0C0C0"/>
            <w:noWrap/>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PRAZO DE ENTREGA DA META (ANOS)</w:t>
            </w:r>
          </w:p>
        </w:tc>
      </w:tr>
      <w:tr w:rsidR="001B431A" w:rsidTr="001B431A">
        <w:trPr>
          <w:trHeight w:val="255"/>
          <w:jc w:val="center"/>
        </w:trPr>
        <w:tc>
          <w:tcPr>
            <w:tcW w:w="1360" w:type="pct"/>
            <w:gridSpan w:val="3"/>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IMEDIATO (0 a 3)</w:t>
            </w:r>
          </w:p>
        </w:tc>
        <w:tc>
          <w:tcPr>
            <w:tcW w:w="1206" w:type="pct"/>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CURTO (4 a 8)</w:t>
            </w:r>
          </w:p>
        </w:tc>
        <w:tc>
          <w:tcPr>
            <w:tcW w:w="676" w:type="pct"/>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MÉDIO (9 a 12)</w:t>
            </w:r>
          </w:p>
        </w:tc>
        <w:tc>
          <w:tcPr>
            <w:tcW w:w="1758" w:type="pct"/>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LONGO (13 a 20)</w:t>
            </w:r>
          </w:p>
        </w:tc>
      </w:tr>
      <w:tr w:rsidR="001B431A" w:rsidTr="001B431A">
        <w:trPr>
          <w:trHeight w:val="537"/>
          <w:jc w:val="center"/>
        </w:trPr>
        <w:tc>
          <w:tcPr>
            <w:tcW w:w="1360" w:type="pct"/>
            <w:gridSpan w:val="3"/>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1B431A">
            <w:pPr>
              <w:spacing w:before="20" w:after="20" w:line="240" w:lineRule="auto"/>
              <w:rPr>
                <w:rFonts w:cs="Arial"/>
                <w:bCs/>
                <w:sz w:val="20"/>
                <w:szCs w:val="20"/>
              </w:rPr>
            </w:pPr>
            <w:r>
              <w:rPr>
                <w:rFonts w:cs="Arial"/>
                <w:bCs/>
                <w:sz w:val="20"/>
                <w:szCs w:val="20"/>
              </w:rPr>
              <w:t>6.1. Garantir a disposição final ambientalmente adequada de resíduos sólidos (eliminação de lixões e recuperação de áreas degradadas).</w:t>
            </w:r>
          </w:p>
        </w:tc>
        <w:tc>
          <w:tcPr>
            <w:tcW w:w="1206"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1B431A">
            <w:pPr>
              <w:spacing w:before="20" w:after="20" w:line="240" w:lineRule="auto"/>
              <w:rPr>
                <w:rFonts w:cs="Arial"/>
                <w:bCs/>
                <w:sz w:val="20"/>
                <w:szCs w:val="20"/>
              </w:rPr>
            </w:pPr>
            <w:r>
              <w:rPr>
                <w:rFonts w:cs="Arial"/>
                <w:bCs/>
                <w:sz w:val="20"/>
                <w:szCs w:val="20"/>
              </w:rPr>
              <w:t>6.2. Todas as licenças ambientais das atividades relacionadas ao gerenciamento de resíduos sólidos existentes regularizadas.</w:t>
            </w:r>
          </w:p>
        </w:tc>
        <w:tc>
          <w:tcPr>
            <w:tcW w:w="676" w:type="pct"/>
            <w:tcBorders>
              <w:top w:val="single" w:sz="4" w:space="0" w:color="auto"/>
              <w:left w:val="single" w:sz="4" w:space="0" w:color="auto"/>
              <w:bottom w:val="single" w:sz="4" w:space="0" w:color="auto"/>
              <w:right w:val="single" w:sz="4" w:space="0" w:color="auto"/>
            </w:tcBorders>
            <w:noWrap/>
            <w:vAlign w:val="center"/>
          </w:tcPr>
          <w:p w:rsidR="001B431A" w:rsidRDefault="001B431A" w:rsidP="001B431A">
            <w:pPr>
              <w:spacing w:before="20" w:after="20" w:line="240" w:lineRule="auto"/>
              <w:rPr>
                <w:rFonts w:cs="Arial"/>
                <w:bCs/>
                <w:sz w:val="20"/>
                <w:szCs w:val="20"/>
              </w:rPr>
            </w:pPr>
          </w:p>
        </w:tc>
        <w:tc>
          <w:tcPr>
            <w:tcW w:w="1758"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1B431A">
            <w:pPr>
              <w:spacing w:before="20" w:after="20" w:line="240" w:lineRule="auto"/>
              <w:rPr>
                <w:rFonts w:cs="Arial"/>
                <w:bCs/>
                <w:sz w:val="20"/>
                <w:szCs w:val="20"/>
              </w:rPr>
            </w:pPr>
            <w:r>
              <w:rPr>
                <w:rFonts w:cs="Arial"/>
                <w:bCs/>
                <w:sz w:val="20"/>
                <w:szCs w:val="20"/>
              </w:rPr>
              <w:t>6.3. Acompanhamento garantido da regularidade das licenças ambientais da infraestrutura existente e a serem instaladas relacionadas ao sistema de limpeza urbana e manejo de resíduos sólidos.</w:t>
            </w:r>
          </w:p>
        </w:tc>
      </w:tr>
    </w:tbl>
    <w:p w:rsidR="001B431A" w:rsidRDefault="001B431A" w:rsidP="001B431A">
      <w:pPr>
        <w:rPr>
          <w:sz w:val="2"/>
          <w:szCs w:val="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88"/>
        <w:gridCol w:w="8079"/>
        <w:gridCol w:w="1842"/>
        <w:gridCol w:w="1418"/>
        <w:gridCol w:w="1883"/>
      </w:tblGrid>
      <w:tr w:rsidR="001B431A" w:rsidTr="001B431A">
        <w:trPr>
          <w:trHeight w:val="340"/>
          <w:tblHeade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PROGRAMAS E AÇÕES</w:t>
            </w:r>
          </w:p>
        </w:tc>
      </w:tr>
      <w:tr w:rsidR="001B431A" w:rsidTr="001B431A">
        <w:trPr>
          <w:trHeight w:val="340"/>
          <w:tblHeader/>
          <w:jc w:val="center"/>
        </w:trPr>
        <w:tc>
          <w:tcPr>
            <w:tcW w:w="50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CÓDIGO</w:t>
            </w:r>
          </w:p>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(s/o/m/a)*</w:t>
            </w:r>
          </w:p>
        </w:tc>
        <w:tc>
          <w:tcPr>
            <w:tcW w:w="274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DESCRIÇÃO</w:t>
            </w:r>
          </w:p>
        </w:tc>
        <w:tc>
          <w:tcPr>
            <w:tcW w:w="62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ind w:firstLine="72"/>
              <w:jc w:val="center"/>
              <w:rPr>
                <w:rFonts w:eastAsia="Times New Roman" w:cs="Arial"/>
                <w:b/>
                <w:bCs/>
                <w:sz w:val="20"/>
                <w:szCs w:val="20"/>
                <w:lang w:eastAsia="pt-BR"/>
              </w:rPr>
            </w:pPr>
            <w:r>
              <w:rPr>
                <w:rFonts w:eastAsia="Times New Roman" w:cs="Arial"/>
                <w:b/>
                <w:bCs/>
                <w:sz w:val="20"/>
                <w:szCs w:val="20"/>
                <w:lang w:eastAsia="pt-BR"/>
              </w:rPr>
              <w:t>Período de desenvolvimento da ação</w:t>
            </w:r>
          </w:p>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(ano)</w:t>
            </w:r>
          </w:p>
        </w:tc>
        <w:tc>
          <w:tcPr>
            <w:tcW w:w="48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ind w:left="64" w:firstLine="8"/>
              <w:jc w:val="center"/>
              <w:rPr>
                <w:rFonts w:eastAsia="Times New Roman" w:cs="Arial"/>
                <w:b/>
                <w:bCs/>
                <w:sz w:val="20"/>
                <w:szCs w:val="20"/>
                <w:lang w:eastAsia="pt-BR"/>
              </w:rPr>
            </w:pPr>
            <w:r>
              <w:rPr>
                <w:rFonts w:eastAsia="Times New Roman" w:cs="Arial"/>
                <w:b/>
                <w:bCs/>
                <w:sz w:val="20"/>
                <w:szCs w:val="20"/>
                <w:lang w:eastAsia="pt-BR"/>
              </w:rPr>
              <w:t>Custo total na moeda de 2017</w:t>
            </w:r>
          </w:p>
          <w:p w:rsidR="001B431A" w:rsidRDefault="001B431A" w:rsidP="001B431A">
            <w:pPr>
              <w:spacing w:before="20" w:after="20" w:line="240" w:lineRule="auto"/>
              <w:contextualSpacing/>
              <w:jc w:val="center"/>
              <w:rPr>
                <w:rFonts w:eastAsia="Times New Roman" w:cs="Arial"/>
                <w:b/>
                <w:bCs/>
                <w:sz w:val="20"/>
                <w:szCs w:val="20"/>
                <w:lang w:eastAsia="pt-BR"/>
              </w:rPr>
            </w:pPr>
            <w:r>
              <w:rPr>
                <w:rFonts w:eastAsia="Times New Roman" w:cs="Arial"/>
                <w:b/>
                <w:bCs/>
                <w:sz w:val="20"/>
                <w:szCs w:val="20"/>
                <w:lang w:eastAsia="pt-BR"/>
              </w:rPr>
              <w:t>(R$)</w:t>
            </w:r>
          </w:p>
        </w:tc>
        <w:tc>
          <w:tcPr>
            <w:tcW w:w="64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ind w:left="64" w:firstLine="8"/>
              <w:jc w:val="center"/>
              <w:rPr>
                <w:rFonts w:eastAsia="Times New Roman" w:cs="Arial"/>
                <w:b/>
                <w:bCs/>
                <w:sz w:val="20"/>
                <w:szCs w:val="20"/>
                <w:lang w:eastAsia="pt-BR"/>
              </w:rPr>
            </w:pPr>
            <w:r>
              <w:rPr>
                <w:rFonts w:eastAsia="Times New Roman" w:cs="Arial"/>
                <w:b/>
                <w:bCs/>
                <w:sz w:val="20"/>
                <w:szCs w:val="20"/>
                <w:lang w:eastAsia="pt-BR"/>
              </w:rPr>
              <w:t>Responsável pela ação</w:t>
            </w:r>
          </w:p>
        </w:tc>
      </w:tr>
      <w:tr w:rsidR="001B431A" w:rsidTr="001B431A">
        <w:trPr>
          <w:trHeight w:val="340"/>
          <w:jc w:val="center"/>
        </w:trPr>
        <w:tc>
          <w:tcPr>
            <w:tcW w:w="50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4.6.1.73</w:t>
            </w:r>
          </w:p>
        </w:tc>
        <w:tc>
          <w:tcPr>
            <w:tcW w:w="2746"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Realizar o monitoramento ambiental das áreas dos lixões encerrados.</w:t>
            </w:r>
          </w:p>
        </w:tc>
        <w:tc>
          <w:tcPr>
            <w:tcW w:w="62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1º-20º</w:t>
            </w:r>
          </w:p>
        </w:tc>
        <w:tc>
          <w:tcPr>
            <w:tcW w:w="48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sidRPr="007E1F54">
              <w:rPr>
                <w:rFonts w:eastAsia="Times New Roman" w:cs="Arial"/>
                <w:sz w:val="20"/>
                <w:szCs w:val="20"/>
                <w:lang w:eastAsia="pt-BR"/>
              </w:rPr>
              <w:t>136.564,67</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340"/>
          <w:jc w:val="center"/>
        </w:trPr>
        <w:tc>
          <w:tcPr>
            <w:tcW w:w="50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4.6.2.74</w:t>
            </w:r>
          </w:p>
        </w:tc>
        <w:tc>
          <w:tcPr>
            <w:tcW w:w="2746"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Realizar o licenciamento e solicitar os certificados ambientais das unidades do sistema de resíduos sólidos em funcionamento que não possuem licenciamento, protocolando a solicitação no órgão ambiental.</w:t>
            </w:r>
          </w:p>
        </w:tc>
        <w:tc>
          <w:tcPr>
            <w:tcW w:w="62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1º-8º</w:t>
            </w:r>
          </w:p>
        </w:tc>
        <w:tc>
          <w:tcPr>
            <w:tcW w:w="48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27.312,93</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340"/>
          <w:jc w:val="center"/>
        </w:trPr>
        <w:tc>
          <w:tcPr>
            <w:tcW w:w="50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4.6.3.75</w:t>
            </w:r>
          </w:p>
        </w:tc>
        <w:tc>
          <w:tcPr>
            <w:tcW w:w="2746"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Realizar estudos técnicos para levantamento dos processos que serão implementados e que necessitarão de licenciamento e certificados ambientais.</w:t>
            </w:r>
          </w:p>
        </w:tc>
        <w:tc>
          <w:tcPr>
            <w:tcW w:w="62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1º-12º</w:t>
            </w:r>
          </w:p>
        </w:tc>
        <w:tc>
          <w:tcPr>
            <w:tcW w:w="48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27.312,93</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340"/>
          <w:jc w:val="center"/>
        </w:trPr>
        <w:tc>
          <w:tcPr>
            <w:tcW w:w="50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4.6.3.76</w:t>
            </w:r>
          </w:p>
        </w:tc>
        <w:tc>
          <w:tcPr>
            <w:tcW w:w="2746"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Realizar o licenciamento ambiental das áreas onde serão implantadas as unidades do sistema de gestão dos resíduos sólidos.</w:t>
            </w:r>
          </w:p>
        </w:tc>
        <w:tc>
          <w:tcPr>
            <w:tcW w:w="62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1º-20º</w:t>
            </w:r>
          </w:p>
        </w:tc>
        <w:tc>
          <w:tcPr>
            <w:tcW w:w="48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27.312,93</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340"/>
          <w:jc w:val="center"/>
        </w:trPr>
        <w:tc>
          <w:tcPr>
            <w:tcW w:w="50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4.6.3.77</w:t>
            </w:r>
          </w:p>
        </w:tc>
        <w:tc>
          <w:tcPr>
            <w:tcW w:w="2746"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Verificar os prazos de validade e promover estudos complementares para manutenção das licenças e certificados ambientais.</w:t>
            </w:r>
          </w:p>
        </w:tc>
        <w:tc>
          <w:tcPr>
            <w:tcW w:w="626"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1º-20º</w:t>
            </w:r>
          </w:p>
        </w:tc>
        <w:tc>
          <w:tcPr>
            <w:tcW w:w="482"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20"/>
                <w:szCs w:val="20"/>
                <w:lang w:eastAsia="pt-BR"/>
              </w:rPr>
            </w:pPr>
            <w:r>
              <w:rPr>
                <w:rFonts w:eastAsia="Times New Roman" w:cs="Arial"/>
                <w:sz w:val="20"/>
                <w:szCs w:val="20"/>
                <w:lang w:eastAsia="pt-BR"/>
              </w:rPr>
              <w:t xml:space="preserve"> 68.282,33</w:t>
            </w:r>
          </w:p>
        </w:tc>
        <w:tc>
          <w:tcPr>
            <w:tcW w:w="64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bl>
    <w:p w:rsidR="001B431A" w:rsidRPr="005F6482" w:rsidRDefault="001B431A" w:rsidP="001B431A">
      <w:pPr>
        <w:pStyle w:val="Fonte"/>
        <w:rPr>
          <w:lang w:eastAsia="x-none"/>
        </w:rPr>
      </w:pPr>
      <w:r>
        <w:t>*(s/o/m/a) = nº do setor / nº do objetivo / nº da meta / nº da ação.</w:t>
      </w:r>
    </w:p>
    <w:p w:rsidR="001B431A" w:rsidRDefault="001B431A" w:rsidP="001B431A">
      <w:pPr>
        <w:spacing w:before="120" w:after="120"/>
        <w:contextualSpacing/>
        <w:jc w:val="center"/>
        <w:rPr>
          <w:rFonts w:eastAsia="Times New Roman"/>
          <w:sz w:val="22"/>
          <w:lang w:eastAsia="pt-BR"/>
        </w:rPr>
      </w:pPr>
    </w:p>
    <w:p w:rsidR="001B431A" w:rsidRDefault="001B431A" w:rsidP="001B431A">
      <w:pPr>
        <w:pStyle w:val="Legenda"/>
        <w:rPr>
          <w:rFonts w:eastAsia="Calibri"/>
          <w:lang w:eastAsia="en-US"/>
        </w:rPr>
      </w:pPr>
      <w:r>
        <w:rPr>
          <w:b w:val="0"/>
          <w:sz w:val="22"/>
        </w:rPr>
        <w:br w:type="page"/>
      </w:r>
      <w:bookmarkStart w:id="1046" w:name="_Ref488226505"/>
      <w:bookmarkStart w:id="1047" w:name="_Toc498594148"/>
      <w:bookmarkStart w:id="1048" w:name="_Toc491681740"/>
      <w:bookmarkStart w:id="1049" w:name="_Toc488050777"/>
      <w:bookmarkStart w:id="1050" w:name="_Toc441048144"/>
      <w:bookmarkStart w:id="1051" w:name="_Toc505788358"/>
      <w:bookmarkStart w:id="1052" w:name="_Toc509935866"/>
      <w:r>
        <w:lastRenderedPageBreak/>
        <w:t xml:space="preserve">Quadro </w:t>
      </w:r>
      <w:r w:rsidR="000A1C78">
        <w:fldChar w:fldCharType="begin"/>
      </w:r>
      <w:r w:rsidR="000A1C78">
        <w:instrText xml:space="preserve"> SEQ Quadro \* ARABIC </w:instrText>
      </w:r>
      <w:r w:rsidR="000A1C78">
        <w:fldChar w:fldCharType="separate"/>
      </w:r>
      <w:r w:rsidR="001B481B">
        <w:rPr>
          <w:noProof/>
        </w:rPr>
        <w:t>89</w:t>
      </w:r>
      <w:r w:rsidR="000A1C78">
        <w:rPr>
          <w:noProof/>
        </w:rPr>
        <w:fldChar w:fldCharType="end"/>
      </w:r>
      <w:bookmarkEnd w:id="1046"/>
      <w:r>
        <w:t xml:space="preserve"> - Programas e ações propostos relacionados ao setor de limpeza urbana e manejo de resíduos sólidos - Objetivo 7</w:t>
      </w:r>
      <w:bookmarkEnd w:id="1047"/>
      <w:bookmarkEnd w:id="1048"/>
      <w:bookmarkEnd w:id="1049"/>
      <w:bookmarkEnd w:id="1050"/>
      <w:bookmarkEnd w:id="1051"/>
      <w:bookmarkEnd w:id="1052"/>
    </w:p>
    <w:tbl>
      <w:tblPr>
        <w:tblW w:w="14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70"/>
        <w:gridCol w:w="286"/>
        <w:gridCol w:w="5671"/>
        <w:gridCol w:w="2268"/>
        <w:gridCol w:w="2551"/>
        <w:gridCol w:w="1899"/>
      </w:tblGrid>
      <w:tr w:rsidR="001B431A" w:rsidTr="001B431A">
        <w:trPr>
          <w:trHeight w:val="20"/>
          <w:jc w:val="center"/>
        </w:trPr>
        <w:tc>
          <w:tcPr>
            <w:tcW w:w="70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rPr>
                <w:rFonts w:eastAsia="Times New Roman" w:cs="Arial"/>
                <w:b/>
                <w:bCs/>
                <w:sz w:val="19"/>
                <w:szCs w:val="19"/>
                <w:lang w:eastAsia="pt-BR"/>
              </w:rPr>
            </w:pPr>
            <w:r>
              <w:rPr>
                <w:rFonts w:eastAsia="Times New Roman" w:cs="Arial"/>
                <w:b/>
                <w:bCs/>
                <w:sz w:val="19"/>
                <w:szCs w:val="19"/>
                <w:lang w:eastAsia="pt-BR"/>
              </w:rPr>
              <w:t>SETOR</w:t>
            </w:r>
          </w:p>
        </w:tc>
        <w:tc>
          <w:tcPr>
            <w:tcW w:w="97"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4</w:t>
            </w:r>
          </w:p>
        </w:tc>
        <w:tc>
          <w:tcPr>
            <w:tcW w:w="4201" w:type="pct"/>
            <w:gridSpan w:val="4"/>
            <w:tcBorders>
              <w:top w:val="single" w:sz="4" w:space="0" w:color="auto"/>
              <w:left w:val="single" w:sz="4" w:space="0" w:color="auto"/>
              <w:bottom w:val="single" w:sz="4" w:space="0" w:color="auto"/>
              <w:right w:val="single" w:sz="4" w:space="0" w:color="auto"/>
            </w:tcBorders>
            <w:hideMark/>
          </w:tcPr>
          <w:p w:rsidR="001B431A" w:rsidRDefault="001B431A" w:rsidP="001B431A">
            <w:pPr>
              <w:spacing w:line="240" w:lineRule="auto"/>
              <w:rPr>
                <w:rFonts w:eastAsia="Times New Roman" w:cs="Arial"/>
                <w:sz w:val="19"/>
                <w:szCs w:val="19"/>
                <w:lang w:eastAsia="pt-BR"/>
              </w:rPr>
            </w:pPr>
            <w:r>
              <w:rPr>
                <w:rFonts w:eastAsia="Times New Roman" w:cs="Arial"/>
                <w:sz w:val="19"/>
                <w:szCs w:val="19"/>
                <w:lang w:eastAsia="pt-BR"/>
              </w:rPr>
              <w:t>Limpeza Urbana e Manejo de Resíduos Sólidos.</w:t>
            </w:r>
          </w:p>
        </w:tc>
      </w:tr>
      <w:tr w:rsidR="001B431A" w:rsidTr="001B431A">
        <w:trPr>
          <w:trHeight w:val="20"/>
          <w:jc w:val="center"/>
        </w:trPr>
        <w:tc>
          <w:tcPr>
            <w:tcW w:w="70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rPr>
                <w:rFonts w:eastAsia="Times New Roman" w:cs="Arial"/>
                <w:b/>
                <w:bCs/>
                <w:sz w:val="19"/>
                <w:szCs w:val="19"/>
                <w:lang w:eastAsia="pt-BR"/>
              </w:rPr>
            </w:pPr>
            <w:r>
              <w:rPr>
                <w:rFonts w:eastAsia="Times New Roman" w:cs="Arial"/>
                <w:b/>
                <w:bCs/>
                <w:sz w:val="19"/>
                <w:szCs w:val="19"/>
                <w:lang w:eastAsia="pt-BR"/>
              </w:rPr>
              <w:t>OBJETIVO</w:t>
            </w:r>
          </w:p>
        </w:tc>
        <w:tc>
          <w:tcPr>
            <w:tcW w:w="97"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7</w:t>
            </w:r>
          </w:p>
        </w:tc>
        <w:tc>
          <w:tcPr>
            <w:tcW w:w="4201" w:type="pct"/>
            <w:gridSpan w:val="4"/>
            <w:tcBorders>
              <w:top w:val="single" w:sz="4" w:space="0" w:color="auto"/>
              <w:left w:val="single" w:sz="4" w:space="0" w:color="auto"/>
              <w:bottom w:val="single" w:sz="4" w:space="0" w:color="auto"/>
              <w:right w:val="single" w:sz="4" w:space="0" w:color="auto"/>
            </w:tcBorders>
            <w:hideMark/>
          </w:tcPr>
          <w:p w:rsidR="001B431A" w:rsidRDefault="001B431A" w:rsidP="001B431A">
            <w:pPr>
              <w:spacing w:line="240" w:lineRule="auto"/>
              <w:rPr>
                <w:rFonts w:eastAsia="Times New Roman" w:cs="Arial"/>
                <w:sz w:val="19"/>
                <w:szCs w:val="19"/>
                <w:lang w:eastAsia="pt-BR"/>
              </w:rPr>
            </w:pPr>
            <w:r>
              <w:rPr>
                <w:rFonts w:eastAsia="Times New Roman" w:cs="Arial"/>
                <w:bCs/>
                <w:sz w:val="19"/>
                <w:szCs w:val="19"/>
              </w:rPr>
              <w:t>Garantir a mobilização social e canais de comunicação com a sociedade, além de promover ações para a avaliação periódica da percepção dos usuários e para a promoção de educação ambiental.</w:t>
            </w:r>
          </w:p>
        </w:tc>
      </w:tr>
      <w:tr w:rsidR="001B431A" w:rsidTr="001B431A">
        <w:trPr>
          <w:trHeight w:val="20"/>
          <w:jc w:val="center"/>
        </w:trPr>
        <w:tc>
          <w:tcPr>
            <w:tcW w:w="70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before="20" w:after="20" w:line="240" w:lineRule="auto"/>
              <w:contextualSpacing/>
              <w:rPr>
                <w:rFonts w:eastAsia="Times New Roman" w:cs="Arial"/>
                <w:b/>
                <w:bCs/>
                <w:sz w:val="20"/>
                <w:szCs w:val="20"/>
                <w:lang w:eastAsia="pt-BR"/>
              </w:rPr>
            </w:pPr>
            <w:r>
              <w:rPr>
                <w:rFonts w:eastAsia="Times New Roman" w:cs="Arial"/>
                <w:b/>
                <w:bCs/>
                <w:sz w:val="20"/>
                <w:szCs w:val="20"/>
                <w:lang w:eastAsia="pt-BR"/>
              </w:rPr>
              <w:t>INDICADORES DE MONITORAMENTO</w:t>
            </w:r>
          </w:p>
        </w:tc>
        <w:tc>
          <w:tcPr>
            <w:tcW w:w="4298" w:type="pct"/>
            <w:gridSpan w:val="5"/>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Número de eventos oficiais realizados no município por ano, voltados à conscientização da população sobre os resíduos sólidos.</w:t>
            </w:r>
          </w:p>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Existência de informações atualizadas, sistematizadas e disponibilizadas para a população.</w:t>
            </w:r>
          </w:p>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Participação da população através de canais específicos para gestão dos RSU.</w:t>
            </w:r>
          </w:p>
          <w:p w:rsidR="001B431A" w:rsidRDefault="001B431A" w:rsidP="001B431A">
            <w:pPr>
              <w:spacing w:line="240" w:lineRule="auto"/>
              <w:jc w:val="both"/>
              <w:rPr>
                <w:rFonts w:eastAsia="Times New Roman" w:cs="Arial"/>
                <w:sz w:val="20"/>
                <w:szCs w:val="20"/>
                <w:lang w:eastAsia="pt-BR"/>
              </w:rPr>
            </w:pPr>
            <w:r>
              <w:rPr>
                <w:rFonts w:eastAsia="Times New Roman" w:cs="Arial"/>
                <w:sz w:val="20"/>
                <w:szCs w:val="20"/>
                <w:lang w:eastAsia="pt-BR"/>
              </w:rPr>
              <w:t>Índice de respostas satisfatórias a reclamações.</w:t>
            </w:r>
          </w:p>
        </w:tc>
      </w:tr>
      <w:tr w:rsidR="001B431A" w:rsidTr="001B431A">
        <w:trPr>
          <w:trHeight w:val="20"/>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B431A" w:rsidRDefault="001B431A" w:rsidP="001B431A">
            <w:pPr>
              <w:spacing w:line="240" w:lineRule="auto"/>
              <w:jc w:val="center"/>
              <w:rPr>
                <w:rFonts w:eastAsia="Times New Roman" w:cs="Arial"/>
                <w:b/>
                <w:bCs/>
                <w:sz w:val="19"/>
                <w:szCs w:val="19"/>
                <w:lang w:eastAsia="pt-BR"/>
              </w:rPr>
            </w:pPr>
            <w:r>
              <w:rPr>
                <w:rFonts w:eastAsia="Times New Roman" w:cs="Arial"/>
                <w:b/>
                <w:bCs/>
                <w:sz w:val="20"/>
                <w:szCs w:val="20"/>
                <w:lang w:eastAsia="pt-BR"/>
              </w:rPr>
              <w:t>PRAZO DE ENTREGA DA META (ANOS)</w:t>
            </w:r>
          </w:p>
        </w:tc>
      </w:tr>
      <w:tr w:rsidR="001B431A" w:rsidTr="001B431A">
        <w:trPr>
          <w:trHeight w:val="20"/>
          <w:jc w:val="center"/>
        </w:trPr>
        <w:tc>
          <w:tcPr>
            <w:tcW w:w="2722" w:type="pct"/>
            <w:gridSpan w:val="3"/>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IMEDIATO (0 a 3)</w:t>
            </w:r>
          </w:p>
        </w:tc>
        <w:tc>
          <w:tcPr>
            <w:tcW w:w="769" w:type="pct"/>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CURTO (4 a 8)</w:t>
            </w:r>
          </w:p>
        </w:tc>
        <w:tc>
          <w:tcPr>
            <w:tcW w:w="865" w:type="pct"/>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MÉDIO (9 a 12)</w:t>
            </w:r>
          </w:p>
        </w:tc>
        <w:tc>
          <w:tcPr>
            <w:tcW w:w="644" w:type="pct"/>
            <w:tcBorders>
              <w:top w:val="single" w:sz="4" w:space="0" w:color="auto"/>
              <w:left w:val="single" w:sz="4" w:space="0" w:color="auto"/>
              <w:bottom w:val="single" w:sz="4" w:space="0" w:color="auto"/>
              <w:right w:val="single" w:sz="4" w:space="0" w:color="auto"/>
            </w:tcBorders>
            <w:shd w:val="clear" w:color="auto" w:fill="C0C0C0"/>
            <w:noWrap/>
            <w:vAlign w:val="center"/>
            <w:hideMark/>
          </w:tcPr>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LONGO (13 a 20)</w:t>
            </w:r>
          </w:p>
        </w:tc>
      </w:tr>
      <w:tr w:rsidR="001B431A" w:rsidTr="001B431A">
        <w:trPr>
          <w:trHeight w:val="20"/>
          <w:jc w:val="center"/>
        </w:trPr>
        <w:tc>
          <w:tcPr>
            <w:tcW w:w="2722" w:type="pct"/>
            <w:gridSpan w:val="3"/>
            <w:tcBorders>
              <w:top w:val="single" w:sz="4" w:space="0" w:color="auto"/>
              <w:left w:val="single" w:sz="4" w:space="0" w:color="auto"/>
              <w:bottom w:val="single" w:sz="4" w:space="0" w:color="auto"/>
              <w:right w:val="single" w:sz="4" w:space="0" w:color="auto"/>
            </w:tcBorders>
            <w:noWrap/>
            <w:hideMark/>
          </w:tcPr>
          <w:p w:rsidR="001B431A" w:rsidRDefault="001B431A" w:rsidP="001B431A">
            <w:pPr>
              <w:spacing w:before="20" w:after="20" w:line="240" w:lineRule="auto"/>
              <w:jc w:val="both"/>
              <w:rPr>
                <w:rFonts w:cs="Arial"/>
                <w:bCs/>
                <w:sz w:val="20"/>
                <w:szCs w:val="20"/>
              </w:rPr>
            </w:pPr>
            <w:r>
              <w:rPr>
                <w:rFonts w:cs="Arial"/>
                <w:bCs/>
                <w:sz w:val="20"/>
                <w:szCs w:val="20"/>
              </w:rPr>
              <w:t>7.1. Participação popular ativa na gestão de resíduos sólidos e no processo de tomada de decisão, com população instruída.</w:t>
            </w:r>
          </w:p>
          <w:p w:rsidR="001B431A" w:rsidRDefault="001B431A" w:rsidP="001B431A">
            <w:pPr>
              <w:spacing w:before="20" w:after="20" w:line="240" w:lineRule="auto"/>
              <w:jc w:val="both"/>
              <w:rPr>
                <w:rFonts w:cs="Arial"/>
                <w:bCs/>
                <w:sz w:val="20"/>
                <w:szCs w:val="20"/>
              </w:rPr>
            </w:pPr>
            <w:r>
              <w:rPr>
                <w:rFonts w:cs="Arial"/>
                <w:bCs/>
                <w:sz w:val="20"/>
                <w:szCs w:val="20"/>
              </w:rPr>
              <w:t>7.3. Possuir canais de comunicação com a população.</w:t>
            </w:r>
          </w:p>
          <w:p w:rsidR="001B431A" w:rsidRDefault="001B431A" w:rsidP="001B431A">
            <w:pPr>
              <w:spacing w:before="20" w:after="20" w:line="240" w:lineRule="auto"/>
              <w:jc w:val="both"/>
              <w:rPr>
                <w:rFonts w:cs="Arial"/>
                <w:bCs/>
                <w:sz w:val="20"/>
                <w:szCs w:val="20"/>
              </w:rPr>
            </w:pPr>
            <w:r>
              <w:rPr>
                <w:rFonts w:cs="Arial"/>
                <w:bCs/>
                <w:sz w:val="20"/>
                <w:szCs w:val="20"/>
              </w:rPr>
              <w:t>7.5. Desenvolver programas de educação ambiental que promovam atividades visando à sensibilização da população referente às questões de redução da geração, reutilização, reciclagem, responsabilidade pós-consumo e destinação ambientalmente adequada de resíduos sólidos.</w:t>
            </w:r>
          </w:p>
        </w:tc>
        <w:tc>
          <w:tcPr>
            <w:tcW w:w="769" w:type="pct"/>
            <w:tcBorders>
              <w:top w:val="single" w:sz="4" w:space="0" w:color="auto"/>
              <w:left w:val="single" w:sz="4" w:space="0" w:color="auto"/>
              <w:bottom w:val="single" w:sz="4" w:space="0" w:color="auto"/>
              <w:right w:val="single" w:sz="4" w:space="0" w:color="auto"/>
            </w:tcBorders>
            <w:noWrap/>
            <w:hideMark/>
          </w:tcPr>
          <w:p w:rsidR="001B431A" w:rsidRDefault="001B431A" w:rsidP="001B431A">
            <w:pPr>
              <w:spacing w:before="20" w:after="20" w:line="240" w:lineRule="auto"/>
              <w:jc w:val="both"/>
              <w:rPr>
                <w:rFonts w:cs="Arial"/>
                <w:bCs/>
                <w:sz w:val="20"/>
                <w:szCs w:val="20"/>
              </w:rPr>
            </w:pPr>
            <w:r>
              <w:rPr>
                <w:rFonts w:cs="Arial"/>
                <w:bCs/>
                <w:sz w:val="20"/>
                <w:szCs w:val="20"/>
              </w:rPr>
              <w:t>7.4. Alcançar respostas satisfatórias através dos mecanismos de avaliação da percepção dos usuários.</w:t>
            </w:r>
          </w:p>
        </w:tc>
        <w:tc>
          <w:tcPr>
            <w:tcW w:w="865" w:type="pct"/>
            <w:tcBorders>
              <w:top w:val="single" w:sz="4" w:space="0" w:color="auto"/>
              <w:left w:val="single" w:sz="4" w:space="0" w:color="auto"/>
              <w:bottom w:val="single" w:sz="4" w:space="0" w:color="auto"/>
              <w:right w:val="single" w:sz="4" w:space="0" w:color="auto"/>
            </w:tcBorders>
            <w:noWrap/>
            <w:hideMark/>
          </w:tcPr>
          <w:p w:rsidR="001B431A" w:rsidRDefault="001B431A" w:rsidP="001B431A">
            <w:pPr>
              <w:spacing w:before="20" w:after="20" w:line="240" w:lineRule="auto"/>
              <w:jc w:val="both"/>
              <w:rPr>
                <w:rFonts w:cs="Arial"/>
                <w:bCs/>
                <w:sz w:val="20"/>
                <w:szCs w:val="20"/>
              </w:rPr>
            </w:pPr>
            <w:r>
              <w:rPr>
                <w:rFonts w:cs="Arial"/>
                <w:bCs/>
                <w:sz w:val="20"/>
                <w:szCs w:val="20"/>
              </w:rPr>
              <w:t>7.2. População conscientizada sobre questões relativas à diminuição da geração, reutilização e reciclagem de resíduos.</w:t>
            </w:r>
          </w:p>
        </w:tc>
        <w:tc>
          <w:tcPr>
            <w:tcW w:w="644" w:type="pct"/>
            <w:tcBorders>
              <w:top w:val="single" w:sz="4" w:space="0" w:color="auto"/>
              <w:left w:val="single" w:sz="4" w:space="0" w:color="auto"/>
              <w:bottom w:val="single" w:sz="4" w:space="0" w:color="auto"/>
              <w:right w:val="single" w:sz="4" w:space="0" w:color="auto"/>
            </w:tcBorders>
            <w:noWrap/>
            <w:vAlign w:val="center"/>
          </w:tcPr>
          <w:p w:rsidR="001B431A" w:rsidRDefault="001B431A" w:rsidP="001B431A">
            <w:pPr>
              <w:spacing w:before="20" w:after="20" w:line="240" w:lineRule="auto"/>
              <w:jc w:val="both"/>
              <w:rPr>
                <w:rFonts w:cs="Arial"/>
                <w:bCs/>
                <w:sz w:val="19"/>
                <w:szCs w:val="19"/>
              </w:rPr>
            </w:pPr>
          </w:p>
        </w:tc>
      </w:tr>
    </w:tbl>
    <w:p w:rsidR="001B431A" w:rsidRDefault="001B431A" w:rsidP="001B431A">
      <w:pPr>
        <w:rPr>
          <w:sz w:val="2"/>
          <w:szCs w:val="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47"/>
        <w:gridCol w:w="8220"/>
        <w:gridCol w:w="1559"/>
        <w:gridCol w:w="1845"/>
        <w:gridCol w:w="1739"/>
      </w:tblGrid>
      <w:tr w:rsidR="001B431A" w:rsidTr="001B431A">
        <w:trPr>
          <w:trHeight w:val="20"/>
          <w:tblHeade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C0C0C0"/>
            <w:hideMark/>
          </w:tcPr>
          <w:p w:rsidR="001B431A" w:rsidRDefault="001B431A" w:rsidP="001B431A">
            <w:pPr>
              <w:spacing w:line="240" w:lineRule="auto"/>
              <w:jc w:val="center"/>
              <w:rPr>
                <w:rFonts w:eastAsia="Times New Roman" w:cs="Arial"/>
                <w:b/>
                <w:bCs/>
                <w:sz w:val="19"/>
                <w:szCs w:val="19"/>
                <w:lang w:eastAsia="pt-BR"/>
              </w:rPr>
            </w:pPr>
            <w:r>
              <w:rPr>
                <w:rFonts w:eastAsia="Times New Roman" w:cs="Arial"/>
                <w:b/>
                <w:bCs/>
                <w:sz w:val="19"/>
                <w:szCs w:val="19"/>
                <w:lang w:eastAsia="pt-BR"/>
              </w:rPr>
              <w:t>PROGRAMAS E AÇÕES</w:t>
            </w:r>
          </w:p>
        </w:tc>
      </w:tr>
      <w:tr w:rsidR="001B431A" w:rsidTr="001B431A">
        <w:trPr>
          <w:trHeight w:val="20"/>
          <w:tblHeader/>
          <w:jc w:val="center"/>
        </w:trPr>
        <w:tc>
          <w:tcPr>
            <w:tcW w:w="458"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jc w:val="center"/>
              <w:rPr>
                <w:rFonts w:eastAsia="Times New Roman" w:cs="Arial"/>
                <w:b/>
                <w:bCs/>
                <w:sz w:val="19"/>
                <w:szCs w:val="19"/>
                <w:lang w:eastAsia="pt-BR"/>
              </w:rPr>
            </w:pPr>
            <w:r>
              <w:rPr>
                <w:rFonts w:eastAsia="Times New Roman" w:cs="Arial"/>
                <w:b/>
                <w:bCs/>
                <w:sz w:val="19"/>
                <w:szCs w:val="19"/>
                <w:lang w:eastAsia="pt-BR"/>
              </w:rPr>
              <w:t>CÓDIGO</w:t>
            </w:r>
          </w:p>
          <w:p w:rsidR="001B431A" w:rsidRDefault="001B431A" w:rsidP="001B431A">
            <w:pPr>
              <w:spacing w:line="240" w:lineRule="auto"/>
              <w:jc w:val="center"/>
              <w:rPr>
                <w:rFonts w:eastAsia="Times New Roman" w:cs="Arial"/>
                <w:b/>
                <w:bCs/>
                <w:sz w:val="19"/>
                <w:szCs w:val="19"/>
                <w:lang w:eastAsia="pt-BR"/>
              </w:rPr>
            </w:pPr>
            <w:r>
              <w:rPr>
                <w:rFonts w:eastAsia="Times New Roman" w:cs="Arial"/>
                <w:b/>
                <w:bCs/>
                <w:sz w:val="19"/>
                <w:szCs w:val="19"/>
                <w:lang w:eastAsia="pt-BR"/>
              </w:rPr>
              <w:t>(s/o/m/a)*</w:t>
            </w:r>
          </w:p>
        </w:tc>
        <w:tc>
          <w:tcPr>
            <w:tcW w:w="279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jc w:val="center"/>
              <w:rPr>
                <w:rFonts w:eastAsia="Times New Roman" w:cs="Arial"/>
                <w:b/>
                <w:bCs/>
                <w:sz w:val="19"/>
                <w:szCs w:val="19"/>
                <w:lang w:eastAsia="pt-BR"/>
              </w:rPr>
            </w:pPr>
            <w:r>
              <w:rPr>
                <w:rFonts w:eastAsia="Times New Roman" w:cs="Arial"/>
                <w:b/>
                <w:bCs/>
                <w:sz w:val="19"/>
                <w:szCs w:val="19"/>
                <w:lang w:eastAsia="pt-BR"/>
              </w:rPr>
              <w:t>DESCRIÇÃO</w:t>
            </w:r>
          </w:p>
        </w:tc>
        <w:tc>
          <w:tcPr>
            <w:tcW w:w="53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ind w:firstLine="72"/>
              <w:jc w:val="center"/>
              <w:rPr>
                <w:rFonts w:eastAsia="Times New Roman" w:cs="Arial"/>
                <w:b/>
                <w:bCs/>
                <w:sz w:val="20"/>
                <w:szCs w:val="20"/>
                <w:lang w:eastAsia="pt-BR"/>
              </w:rPr>
            </w:pPr>
            <w:r>
              <w:rPr>
                <w:rFonts w:eastAsia="Times New Roman" w:cs="Arial"/>
                <w:b/>
                <w:bCs/>
                <w:sz w:val="20"/>
                <w:szCs w:val="20"/>
                <w:lang w:eastAsia="pt-BR"/>
              </w:rPr>
              <w:t>Período de desenvolvimento da ação</w:t>
            </w:r>
          </w:p>
          <w:p w:rsidR="001B431A" w:rsidRDefault="001B431A" w:rsidP="001B431A">
            <w:pPr>
              <w:spacing w:line="240" w:lineRule="auto"/>
              <w:jc w:val="center"/>
              <w:rPr>
                <w:rFonts w:eastAsia="Times New Roman" w:cs="Arial"/>
                <w:b/>
                <w:bCs/>
                <w:sz w:val="20"/>
                <w:szCs w:val="20"/>
                <w:lang w:eastAsia="pt-BR"/>
              </w:rPr>
            </w:pPr>
            <w:r>
              <w:rPr>
                <w:rFonts w:eastAsia="Times New Roman" w:cs="Arial"/>
                <w:b/>
                <w:bCs/>
                <w:sz w:val="20"/>
                <w:szCs w:val="20"/>
                <w:lang w:eastAsia="pt-BR"/>
              </w:rPr>
              <w:t>(ano)</w:t>
            </w:r>
          </w:p>
        </w:tc>
        <w:tc>
          <w:tcPr>
            <w:tcW w:w="62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ind w:left="64" w:firstLine="8"/>
              <w:jc w:val="center"/>
              <w:rPr>
                <w:rFonts w:eastAsia="Times New Roman" w:cs="Arial"/>
                <w:b/>
                <w:bCs/>
                <w:sz w:val="20"/>
                <w:szCs w:val="20"/>
                <w:lang w:eastAsia="pt-BR"/>
              </w:rPr>
            </w:pPr>
            <w:r>
              <w:rPr>
                <w:rFonts w:eastAsia="Times New Roman" w:cs="Arial"/>
                <w:b/>
                <w:bCs/>
                <w:sz w:val="20"/>
                <w:szCs w:val="20"/>
                <w:lang w:eastAsia="pt-BR"/>
              </w:rPr>
              <w:t>Custo total na moeda de 2017</w:t>
            </w:r>
          </w:p>
          <w:p w:rsidR="001B431A" w:rsidRDefault="001B431A" w:rsidP="001B431A">
            <w:pPr>
              <w:spacing w:before="20" w:after="20" w:line="240" w:lineRule="auto"/>
              <w:contextualSpacing/>
              <w:jc w:val="center"/>
              <w:rPr>
                <w:rFonts w:eastAsia="Times New Roman" w:cs="Arial"/>
                <w:b/>
                <w:bCs/>
                <w:sz w:val="20"/>
                <w:szCs w:val="20"/>
                <w:lang w:eastAsia="pt-BR"/>
              </w:rPr>
            </w:pPr>
            <w:r>
              <w:rPr>
                <w:rFonts w:eastAsia="Times New Roman" w:cs="Arial"/>
                <w:b/>
                <w:bCs/>
                <w:sz w:val="20"/>
                <w:szCs w:val="20"/>
                <w:lang w:eastAsia="pt-BR"/>
              </w:rPr>
              <w:t>(R$)</w:t>
            </w:r>
          </w:p>
        </w:tc>
        <w:tc>
          <w:tcPr>
            <w:tcW w:w="59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B431A" w:rsidRDefault="001B431A" w:rsidP="001B431A">
            <w:pPr>
              <w:spacing w:line="240" w:lineRule="auto"/>
              <w:ind w:left="64" w:firstLine="8"/>
              <w:jc w:val="center"/>
              <w:rPr>
                <w:rFonts w:eastAsia="Times New Roman" w:cs="Arial"/>
                <w:b/>
                <w:bCs/>
                <w:sz w:val="20"/>
                <w:szCs w:val="20"/>
                <w:lang w:eastAsia="pt-BR"/>
              </w:rPr>
            </w:pPr>
            <w:r>
              <w:rPr>
                <w:rFonts w:eastAsia="Times New Roman" w:cs="Arial"/>
                <w:b/>
                <w:bCs/>
                <w:sz w:val="20"/>
                <w:szCs w:val="20"/>
                <w:lang w:eastAsia="pt-BR"/>
              </w:rPr>
              <w:t>Responsável pela ação</w:t>
            </w:r>
          </w:p>
        </w:tc>
      </w:tr>
      <w:tr w:rsidR="001B431A" w:rsidTr="001B431A">
        <w:trPr>
          <w:trHeight w:val="45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4.7.1.78</w:t>
            </w:r>
          </w:p>
        </w:tc>
        <w:tc>
          <w:tcPr>
            <w:tcW w:w="279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Elaborar para o Programa Municipal de Educação Ambiental, informações específicas para o eixo de resíduos sólidos.</w:t>
            </w:r>
          </w:p>
        </w:tc>
        <w:tc>
          <w:tcPr>
            <w:tcW w:w="53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w:t>
            </w:r>
          </w:p>
        </w:tc>
        <w:tc>
          <w:tcPr>
            <w:tcW w:w="627"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 13.656,47</w:t>
            </w:r>
          </w:p>
        </w:tc>
        <w:tc>
          <w:tcPr>
            <w:tcW w:w="591"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45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4.7.1.79</w:t>
            </w:r>
          </w:p>
        </w:tc>
        <w:tc>
          <w:tcPr>
            <w:tcW w:w="279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Elaborar e implementar calendário de eventos de cunho ambiental com foco no eixo de resíduos sólidos.</w:t>
            </w:r>
          </w:p>
        </w:tc>
        <w:tc>
          <w:tcPr>
            <w:tcW w:w="53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w:t>
            </w:r>
          </w:p>
        </w:tc>
        <w:tc>
          <w:tcPr>
            <w:tcW w:w="627"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 6.828,23 </w:t>
            </w:r>
          </w:p>
        </w:tc>
        <w:tc>
          <w:tcPr>
            <w:tcW w:w="591"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45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4.7.1.80</w:t>
            </w:r>
          </w:p>
        </w:tc>
        <w:tc>
          <w:tcPr>
            <w:tcW w:w="279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Integrar programas de educação ambiental ao componente curricular, com apoio da Secretaria de Educação.</w:t>
            </w:r>
          </w:p>
        </w:tc>
        <w:tc>
          <w:tcPr>
            <w:tcW w:w="53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1º-2º</w:t>
            </w:r>
          </w:p>
        </w:tc>
        <w:tc>
          <w:tcPr>
            <w:tcW w:w="627"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 6.828,23 </w:t>
            </w:r>
          </w:p>
        </w:tc>
        <w:tc>
          <w:tcPr>
            <w:tcW w:w="591"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45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4.7.1.81</w:t>
            </w:r>
          </w:p>
        </w:tc>
        <w:tc>
          <w:tcPr>
            <w:tcW w:w="279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Apoiar e incentivar programas de educação ambiental na educação não formal (associações de bairro, igrejas, sindicatos, encontros da terceira idade, entre outros).</w:t>
            </w:r>
          </w:p>
        </w:tc>
        <w:tc>
          <w:tcPr>
            <w:tcW w:w="53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1º-20º</w:t>
            </w:r>
          </w:p>
        </w:tc>
        <w:tc>
          <w:tcPr>
            <w:tcW w:w="627"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 68.282,33</w:t>
            </w:r>
          </w:p>
        </w:tc>
        <w:tc>
          <w:tcPr>
            <w:tcW w:w="591"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45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4.7.1.82</w:t>
            </w:r>
          </w:p>
        </w:tc>
        <w:tc>
          <w:tcPr>
            <w:tcW w:w="279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Realizar treinamento com os catadores, para que os mesmos possam atuar como agentes multiplicadores das boas práticas ambientais.</w:t>
            </w:r>
          </w:p>
        </w:tc>
        <w:tc>
          <w:tcPr>
            <w:tcW w:w="53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1º-20º</w:t>
            </w:r>
          </w:p>
        </w:tc>
        <w:tc>
          <w:tcPr>
            <w:tcW w:w="627"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 8.400,00</w:t>
            </w:r>
          </w:p>
        </w:tc>
        <w:tc>
          <w:tcPr>
            <w:tcW w:w="591"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45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lastRenderedPageBreak/>
              <w:t>4.7.1.83</w:t>
            </w:r>
          </w:p>
        </w:tc>
        <w:tc>
          <w:tcPr>
            <w:tcW w:w="279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Realizar, quadrienalmente, avaliação do Programa de Educação Ambiental.</w:t>
            </w:r>
          </w:p>
        </w:tc>
        <w:tc>
          <w:tcPr>
            <w:tcW w:w="53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1º-20º</w:t>
            </w:r>
          </w:p>
        </w:tc>
        <w:tc>
          <w:tcPr>
            <w:tcW w:w="627"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sidRPr="007E1F54">
              <w:rPr>
                <w:rFonts w:eastAsia="Times New Roman" w:cs="Arial"/>
                <w:sz w:val="19"/>
                <w:szCs w:val="19"/>
                <w:lang w:eastAsia="pt-BR"/>
              </w:rPr>
              <w:t>273.129,33</w:t>
            </w:r>
          </w:p>
        </w:tc>
        <w:tc>
          <w:tcPr>
            <w:tcW w:w="591"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45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4.7.1.84</w:t>
            </w:r>
          </w:p>
        </w:tc>
        <w:tc>
          <w:tcPr>
            <w:tcW w:w="279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Instituir um programa permanente para a conscientização da população, exclusivamente sobre os resíduos sólidos.</w:t>
            </w:r>
          </w:p>
        </w:tc>
        <w:tc>
          <w:tcPr>
            <w:tcW w:w="53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w:t>
            </w:r>
          </w:p>
        </w:tc>
        <w:tc>
          <w:tcPr>
            <w:tcW w:w="627"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3.414,12</w:t>
            </w:r>
          </w:p>
        </w:tc>
        <w:tc>
          <w:tcPr>
            <w:tcW w:w="591"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45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4.7.1.85</w:t>
            </w:r>
          </w:p>
        </w:tc>
        <w:tc>
          <w:tcPr>
            <w:tcW w:w="279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Instruir a população, por meio da realização de cursos de capacitação, sobre a utilização dos serviços disponibilizados sobre resíduos.</w:t>
            </w:r>
          </w:p>
        </w:tc>
        <w:tc>
          <w:tcPr>
            <w:tcW w:w="53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1º-20º</w:t>
            </w:r>
          </w:p>
        </w:tc>
        <w:tc>
          <w:tcPr>
            <w:tcW w:w="627"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 6.332,00</w:t>
            </w:r>
          </w:p>
        </w:tc>
        <w:tc>
          <w:tcPr>
            <w:tcW w:w="591"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45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4.7.1.86</w:t>
            </w:r>
          </w:p>
        </w:tc>
        <w:tc>
          <w:tcPr>
            <w:tcW w:w="279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Promover a realização de reuniões e seminários para o esclarecimento quanto à destinação final dos resíduos sólidos do município.</w:t>
            </w:r>
          </w:p>
        </w:tc>
        <w:tc>
          <w:tcPr>
            <w:tcW w:w="53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1º-20º</w:t>
            </w:r>
          </w:p>
        </w:tc>
        <w:tc>
          <w:tcPr>
            <w:tcW w:w="627"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 48.314,00</w:t>
            </w:r>
          </w:p>
        </w:tc>
        <w:tc>
          <w:tcPr>
            <w:tcW w:w="591"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45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4.7.1.87</w:t>
            </w:r>
          </w:p>
        </w:tc>
        <w:tc>
          <w:tcPr>
            <w:tcW w:w="279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Realizar campanhas educativas permanentes tendo em vista a sensibilização e a conscientização popular acerca da importância da separação, acondicionamento e disposição adequada dos resíduos, bem como sobre o princípio dos 3 Rs (Reduzir, Reutilizar e Reciclar).</w:t>
            </w:r>
          </w:p>
        </w:tc>
        <w:tc>
          <w:tcPr>
            <w:tcW w:w="53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1º-20º</w:t>
            </w:r>
          </w:p>
        </w:tc>
        <w:tc>
          <w:tcPr>
            <w:tcW w:w="627"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 48.314,00</w:t>
            </w:r>
          </w:p>
        </w:tc>
        <w:tc>
          <w:tcPr>
            <w:tcW w:w="591"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45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4.7.2.88</w:t>
            </w:r>
          </w:p>
        </w:tc>
        <w:tc>
          <w:tcPr>
            <w:tcW w:w="279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Incentivar a separação dos materiais e sua valorização econômica. Para a correta separação dos resíduos podem ser concedidos descontos na tarifa, com benefícios para as atividades de triagem, diminuindo os custos envolvidos na coleta.</w:t>
            </w:r>
          </w:p>
        </w:tc>
        <w:tc>
          <w:tcPr>
            <w:tcW w:w="53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1º-20º</w:t>
            </w:r>
          </w:p>
        </w:tc>
        <w:tc>
          <w:tcPr>
            <w:tcW w:w="627"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 68.282,33</w:t>
            </w:r>
          </w:p>
        </w:tc>
        <w:tc>
          <w:tcPr>
            <w:tcW w:w="591"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45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4.7.2.89</w:t>
            </w:r>
          </w:p>
        </w:tc>
        <w:tc>
          <w:tcPr>
            <w:tcW w:w="279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Sistematizar as informações existentes relacionadas ao manejo de resíduos sólidos em banco de dados e levantar dados e informações que se fizerem necessários.</w:t>
            </w:r>
          </w:p>
        </w:tc>
        <w:tc>
          <w:tcPr>
            <w:tcW w:w="53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1º-20º</w:t>
            </w:r>
          </w:p>
        </w:tc>
        <w:tc>
          <w:tcPr>
            <w:tcW w:w="627"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 68.282,33</w:t>
            </w:r>
          </w:p>
        </w:tc>
        <w:tc>
          <w:tcPr>
            <w:tcW w:w="591"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850"/>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4.7.5.90</w:t>
            </w:r>
          </w:p>
        </w:tc>
        <w:tc>
          <w:tcPr>
            <w:tcW w:w="279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Alimentar a página do site oficial da Prefeitura ou da rede social ou, ainda, da conta de aplicativo de mensagens instantâneas, com informações atualizadas e pertinentes ao saneamento.</w:t>
            </w:r>
          </w:p>
        </w:tc>
        <w:tc>
          <w:tcPr>
            <w:tcW w:w="53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1º-20º</w:t>
            </w:r>
          </w:p>
        </w:tc>
        <w:tc>
          <w:tcPr>
            <w:tcW w:w="627"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 68.282,33</w:t>
            </w:r>
          </w:p>
        </w:tc>
        <w:tc>
          <w:tcPr>
            <w:tcW w:w="591"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850"/>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4.7.3.91</w:t>
            </w:r>
          </w:p>
        </w:tc>
        <w:tc>
          <w:tcPr>
            <w:tcW w:w="279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Realizar eventos públicos (como audiências) periodicamente, com o intuito de informar a população sobre a situação do manejo de resíduos sólidos no município e receber sugestões/reclamações.</w:t>
            </w:r>
          </w:p>
        </w:tc>
        <w:tc>
          <w:tcPr>
            <w:tcW w:w="53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1º-20º</w:t>
            </w:r>
          </w:p>
        </w:tc>
        <w:tc>
          <w:tcPr>
            <w:tcW w:w="627"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 48.314,00</w:t>
            </w:r>
          </w:p>
        </w:tc>
        <w:tc>
          <w:tcPr>
            <w:tcW w:w="591"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850"/>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lastRenderedPageBreak/>
              <w:t>4.7.5.92</w:t>
            </w:r>
          </w:p>
        </w:tc>
        <w:tc>
          <w:tcPr>
            <w:tcW w:w="279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Instruir a população, por meio da realização de cursos de capacitação, sobre a utilização dos serviços disponibilizados sobre resíduos.</w:t>
            </w:r>
          </w:p>
        </w:tc>
        <w:tc>
          <w:tcPr>
            <w:tcW w:w="53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1º-20º</w:t>
            </w:r>
          </w:p>
        </w:tc>
        <w:tc>
          <w:tcPr>
            <w:tcW w:w="627"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 6.332,00</w:t>
            </w:r>
          </w:p>
        </w:tc>
        <w:tc>
          <w:tcPr>
            <w:tcW w:w="591"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850"/>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4.7.3.93</w:t>
            </w:r>
          </w:p>
        </w:tc>
        <w:tc>
          <w:tcPr>
            <w:tcW w:w="279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Criar serviço de atendimento aos usuários, com procedimentos que viabilizem o acompanhamento das ações em relação às reclamações realizadas, atendendo às demandas de maneira rápida e eficiente.</w:t>
            </w:r>
          </w:p>
        </w:tc>
        <w:tc>
          <w:tcPr>
            <w:tcW w:w="53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1º-2º</w:t>
            </w:r>
          </w:p>
        </w:tc>
        <w:tc>
          <w:tcPr>
            <w:tcW w:w="627"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jc w:val="center"/>
              <w:rPr>
                <w:rFonts w:eastAsia="Times New Roman" w:cs="Arial"/>
                <w:sz w:val="20"/>
                <w:szCs w:val="20"/>
                <w:lang w:eastAsia="pt-BR"/>
              </w:rPr>
            </w:pPr>
            <w:r>
              <w:rPr>
                <w:rFonts w:eastAsia="Times New Roman" w:cs="Arial"/>
                <w:sz w:val="20"/>
                <w:szCs w:val="20"/>
                <w:lang w:eastAsia="pt-BR"/>
              </w:rPr>
              <w:t>*</w:t>
            </w:r>
          </w:p>
        </w:tc>
        <w:tc>
          <w:tcPr>
            <w:tcW w:w="591"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r w:rsidR="001B431A" w:rsidTr="001B431A">
        <w:trPr>
          <w:trHeight w:val="454"/>
          <w:jc w:val="center"/>
        </w:trPr>
        <w:tc>
          <w:tcPr>
            <w:tcW w:w="458"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4.7.4.94</w:t>
            </w:r>
          </w:p>
        </w:tc>
        <w:tc>
          <w:tcPr>
            <w:tcW w:w="2794" w:type="pct"/>
            <w:tcBorders>
              <w:top w:val="single" w:sz="4" w:space="0" w:color="auto"/>
              <w:left w:val="single" w:sz="4" w:space="0" w:color="auto"/>
              <w:bottom w:val="single" w:sz="4" w:space="0" w:color="auto"/>
              <w:right w:val="single" w:sz="4" w:space="0" w:color="auto"/>
            </w:tcBorders>
            <w:noWrap/>
            <w:vAlign w:val="center"/>
            <w:hideMark/>
          </w:tcPr>
          <w:p w:rsidR="001B431A" w:rsidRDefault="001B431A" w:rsidP="0066661F">
            <w:pPr>
              <w:pStyle w:val="Estilo1"/>
              <w:numPr>
                <w:ilvl w:val="0"/>
                <w:numId w:val="49"/>
              </w:numPr>
              <w:tabs>
                <w:tab w:val="left" w:pos="45"/>
                <w:tab w:val="left" w:pos="780"/>
              </w:tabs>
              <w:spacing w:before="20" w:after="20"/>
              <w:ind w:left="777" w:hanging="425"/>
            </w:pPr>
            <w:r>
              <w:t>Realizar periodicamente pesquisas de percepção e satisfação com a população para obter feedbacks dos serviços prestados, de maneira a verificar os pontos passíveis de melhorias.</w:t>
            </w:r>
          </w:p>
        </w:tc>
        <w:tc>
          <w:tcPr>
            <w:tcW w:w="530"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19"/>
                <w:szCs w:val="19"/>
                <w:lang w:eastAsia="pt-BR"/>
              </w:rPr>
            </w:pPr>
            <w:r>
              <w:rPr>
                <w:rFonts w:eastAsia="Times New Roman" w:cs="Arial"/>
                <w:sz w:val="19"/>
                <w:szCs w:val="19"/>
                <w:lang w:eastAsia="pt-BR"/>
              </w:rPr>
              <w:t>1º-20º</w:t>
            </w:r>
          </w:p>
        </w:tc>
        <w:tc>
          <w:tcPr>
            <w:tcW w:w="627"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right"/>
              <w:rPr>
                <w:rFonts w:eastAsia="Times New Roman" w:cs="Arial"/>
                <w:sz w:val="19"/>
                <w:szCs w:val="19"/>
                <w:lang w:eastAsia="pt-BR"/>
              </w:rPr>
            </w:pPr>
            <w:r>
              <w:rPr>
                <w:rFonts w:eastAsia="Times New Roman" w:cs="Arial"/>
                <w:sz w:val="19"/>
                <w:szCs w:val="19"/>
                <w:lang w:eastAsia="pt-BR"/>
              </w:rPr>
              <w:t xml:space="preserve"> 68.282,33</w:t>
            </w:r>
          </w:p>
        </w:tc>
        <w:tc>
          <w:tcPr>
            <w:tcW w:w="591" w:type="pct"/>
            <w:tcBorders>
              <w:top w:val="single" w:sz="4" w:space="0" w:color="auto"/>
              <w:left w:val="single" w:sz="4" w:space="0" w:color="auto"/>
              <w:bottom w:val="single" w:sz="4" w:space="0" w:color="auto"/>
              <w:right w:val="single" w:sz="4" w:space="0" w:color="auto"/>
            </w:tcBorders>
            <w:vAlign w:val="center"/>
            <w:hideMark/>
          </w:tcPr>
          <w:p w:rsidR="001B431A" w:rsidRDefault="001B431A" w:rsidP="001B431A">
            <w:pPr>
              <w:spacing w:line="240" w:lineRule="auto"/>
              <w:jc w:val="center"/>
              <w:rPr>
                <w:rFonts w:eastAsia="Times New Roman" w:cs="Arial"/>
                <w:sz w:val="20"/>
                <w:szCs w:val="20"/>
                <w:lang w:eastAsia="pt-BR"/>
              </w:rPr>
            </w:pPr>
            <w:r>
              <w:rPr>
                <w:rFonts w:eastAsia="Times New Roman" w:cs="Arial"/>
                <w:sz w:val="20"/>
                <w:szCs w:val="20"/>
                <w:lang w:eastAsia="pt-BR"/>
              </w:rPr>
              <w:t>Prefeitura Municipal</w:t>
            </w:r>
          </w:p>
        </w:tc>
      </w:tr>
    </w:tbl>
    <w:p w:rsidR="001B431A" w:rsidRDefault="001B431A" w:rsidP="001B431A">
      <w:pPr>
        <w:pStyle w:val="Fonte"/>
        <w:rPr>
          <w:rFonts w:cs="Arial"/>
          <w:color w:val="000000"/>
          <w:sz w:val="19"/>
          <w:szCs w:val="19"/>
        </w:rPr>
      </w:pPr>
      <w:r>
        <w:t xml:space="preserve">**(s/o/m/a) = nº do setor / nº do objetivo / nº da meta / nº da ação. </w:t>
      </w:r>
      <w:r>
        <w:rPr>
          <w:rFonts w:cs="Arial"/>
          <w:color w:val="000000"/>
          <w:sz w:val="19"/>
          <w:szCs w:val="19"/>
        </w:rPr>
        <w:t>*Dependente de outras ações que possuem custos próprios estimados.</w:t>
      </w:r>
    </w:p>
    <w:p w:rsidR="001B431A" w:rsidRDefault="001B431A" w:rsidP="001B431A">
      <w:pPr>
        <w:pStyle w:val="Fonte"/>
        <w:rPr>
          <w:rFonts w:cs="Arial"/>
          <w:color w:val="000000"/>
          <w:sz w:val="19"/>
          <w:szCs w:val="19"/>
        </w:rPr>
      </w:pPr>
    </w:p>
    <w:p w:rsidR="001B431A" w:rsidRDefault="001B431A" w:rsidP="001B431A">
      <w:pPr>
        <w:pStyle w:val="Fonte"/>
        <w:rPr>
          <w:rFonts w:cs="Arial"/>
          <w:color w:val="000000"/>
          <w:sz w:val="19"/>
          <w:szCs w:val="19"/>
        </w:rPr>
      </w:pPr>
    </w:p>
    <w:p w:rsidR="001B431A" w:rsidRDefault="001B431A" w:rsidP="001B431A">
      <w:pPr>
        <w:pStyle w:val="Fonte"/>
        <w:jc w:val="left"/>
        <w:rPr>
          <w:rFonts w:cs="Arial"/>
          <w:color w:val="000000"/>
          <w:sz w:val="19"/>
          <w:szCs w:val="19"/>
        </w:rPr>
        <w:sectPr w:rsidR="001B431A" w:rsidSect="001B431A">
          <w:footerReference w:type="default" r:id="rId72"/>
          <w:pgSz w:w="16838" w:h="11906" w:orient="landscape"/>
          <w:pgMar w:top="1418" w:right="1134" w:bottom="1134" w:left="1134" w:header="709" w:footer="709" w:gutter="0"/>
          <w:cols w:space="708"/>
          <w:docGrid w:linePitch="360"/>
        </w:sectPr>
      </w:pPr>
    </w:p>
    <w:p w:rsidR="000336E1" w:rsidRPr="00171D9D" w:rsidRDefault="000336E1" w:rsidP="00BC01B1">
      <w:pPr>
        <w:pStyle w:val="Ttulo3"/>
        <w:rPr>
          <w:color w:val="FF0000"/>
          <w:lang w:val="pt-BR"/>
        </w:rPr>
      </w:pPr>
      <w:bookmarkStart w:id="1053" w:name="_Toc509935566"/>
      <w:r w:rsidRPr="00171D9D">
        <w:lastRenderedPageBreak/>
        <w:t>Detalhamento de ações</w:t>
      </w:r>
      <w:bookmarkEnd w:id="997"/>
      <w:bookmarkEnd w:id="998"/>
      <w:bookmarkEnd w:id="1053"/>
      <w:r w:rsidR="008861C0" w:rsidRPr="00171D9D">
        <w:rPr>
          <w:lang w:val="pt-BR"/>
        </w:rPr>
        <w:t xml:space="preserve"> </w:t>
      </w:r>
    </w:p>
    <w:p w:rsidR="001B431A" w:rsidRPr="001B431A" w:rsidRDefault="001B431A" w:rsidP="00BC01B1">
      <w:pPr>
        <w:pStyle w:val="Ttulo4"/>
      </w:pPr>
      <w:bookmarkStart w:id="1054" w:name="_Toc399257190"/>
      <w:bookmarkStart w:id="1055" w:name="_Toc498352173"/>
      <w:bookmarkStart w:id="1056" w:name="_Toc509935567"/>
      <w:r w:rsidRPr="001B431A">
        <w:t>Mecanismos para criação de fontes de negócios, emprego e renda, mediante a valorização dos resíduos sólidos</w:t>
      </w:r>
      <w:bookmarkEnd w:id="1054"/>
      <w:bookmarkEnd w:id="1055"/>
      <w:bookmarkEnd w:id="1056"/>
    </w:p>
    <w:p w:rsidR="001B431A" w:rsidRPr="001B431A" w:rsidRDefault="001B431A" w:rsidP="001B431A">
      <w:pPr>
        <w:ind w:firstLine="708"/>
        <w:jc w:val="both"/>
        <w:rPr>
          <w:rFonts w:cs="Arial"/>
        </w:rPr>
      </w:pPr>
      <w:r w:rsidRPr="001B431A">
        <w:rPr>
          <w:rFonts w:cs="Arial"/>
        </w:rPr>
        <w:t xml:space="preserve">O município de </w:t>
      </w:r>
      <w:r w:rsidRPr="001B431A">
        <w:rPr>
          <w:rFonts w:cs="Arial"/>
          <w:szCs w:val="24"/>
          <w:lang w:eastAsia="pt-BR"/>
        </w:rPr>
        <w:t>Córrego Novo</w:t>
      </w:r>
      <w:r w:rsidRPr="001B431A">
        <w:rPr>
          <w:rFonts w:cs="Arial"/>
        </w:rPr>
        <w:t xml:space="preserve"> apresenta Programa de Coleta Seletiva e UTC (Usina de Triagem e Compostagem) que são mecanismos que garante emprego e renda mediante a valorização dos resíduos sólidos. Existem outros mecanismos, como por exemplo: existência estruturada de cooperativa(s) de reciclagem atuantes no município; extrusoras para reciclagem de plástico; e unidades de compostagem.</w:t>
      </w:r>
    </w:p>
    <w:p w:rsidR="001B431A" w:rsidRPr="001B431A" w:rsidRDefault="001B431A" w:rsidP="001B431A">
      <w:pPr>
        <w:ind w:firstLine="708"/>
        <w:jc w:val="both"/>
        <w:rPr>
          <w:rFonts w:cs="Arial"/>
        </w:rPr>
      </w:pPr>
      <w:r w:rsidRPr="001B431A">
        <w:rPr>
          <w:rFonts w:cs="Arial"/>
        </w:rPr>
        <w:t xml:space="preserve">Para a compreensão deste item, faz-se necessário apontar que a </w:t>
      </w:r>
      <w:r w:rsidRPr="001B431A">
        <w:rPr>
          <w:rFonts w:cs="Arial"/>
          <w:color w:val="000000"/>
        </w:rPr>
        <w:t>Politica Nacional de Resíduos Sólidos (</w:t>
      </w:r>
      <w:r w:rsidRPr="001B431A">
        <w:rPr>
          <w:rFonts w:cs="Arial"/>
        </w:rPr>
        <w:t>PNRS), através da Lei nº 12.305/2010, reconhece os resíduos reutilizáveis e recicláveis como bens econômicos e dotados de valor social, geradores de trabalho e renda. Além disso, preconiza em seu art. 19, inciso XII, a criação de mecanismos para a criação de fontes de negócios, emprego e renda, mediante a valorização dos resíduos sólidos.</w:t>
      </w:r>
    </w:p>
    <w:p w:rsidR="001B431A" w:rsidRPr="001B431A" w:rsidRDefault="001B431A" w:rsidP="001B431A">
      <w:pPr>
        <w:ind w:firstLine="708"/>
        <w:jc w:val="both"/>
        <w:rPr>
          <w:rFonts w:cs="Arial"/>
        </w:rPr>
      </w:pPr>
      <w:r w:rsidRPr="001B431A">
        <w:t xml:space="preserve">A coleta seletiva é essencial para a valorização dos resíduos, pois quando os resíduos são separados na fonte de geração evita-se a contaminação de alguns materiais, como plásticos e papéis, que perdem valor no mercado da reciclagem se estiverem contaminados. </w:t>
      </w:r>
      <w:r w:rsidRPr="001B431A">
        <w:rPr>
          <w:rFonts w:cs="Arial"/>
        </w:rPr>
        <w:t xml:space="preserve">De acordo com Dal Pont </w:t>
      </w:r>
      <w:r w:rsidRPr="001B431A">
        <w:rPr>
          <w:rFonts w:cs="Arial"/>
          <w:i/>
        </w:rPr>
        <w:t>et al</w:t>
      </w:r>
      <w:r w:rsidRPr="001B431A">
        <w:rPr>
          <w:rFonts w:cs="Arial"/>
        </w:rPr>
        <w:t xml:space="preserve">. (2013), uma forma de valorização dos resíduos em sistemas de coleta seletiva porta a porta com coleta diferenciada para materiais recicláveis consiste em segregar os materiais para ganhar valor no mercado, através de um </w:t>
      </w:r>
      <w:r w:rsidRPr="001B431A">
        <w:rPr>
          <w:rFonts w:cs="Arial"/>
          <w:i/>
        </w:rPr>
        <w:t>centro de separação e triagem</w:t>
      </w:r>
      <w:r w:rsidRPr="001B431A">
        <w:rPr>
          <w:rFonts w:cs="Arial"/>
        </w:rPr>
        <w:t>, sendo</w:t>
      </w:r>
      <w:r w:rsidRPr="001B431A">
        <w:t xml:space="preserve"> esses materiais </w:t>
      </w:r>
      <w:r w:rsidRPr="001B431A">
        <w:rPr>
          <w:rFonts w:cs="Arial"/>
        </w:rPr>
        <w:t>encaminhados para a cadeia de reciclagem até chegarem à indústria recicladora, onde voltam a ser matérias-primas para novos produtos.</w:t>
      </w:r>
    </w:p>
    <w:p w:rsidR="001B431A" w:rsidRPr="001B431A" w:rsidRDefault="001B431A" w:rsidP="001B431A">
      <w:pPr>
        <w:ind w:firstLine="708"/>
        <w:jc w:val="both"/>
      </w:pPr>
      <w:r w:rsidRPr="001B431A">
        <w:rPr>
          <w:rFonts w:cs="Arial"/>
        </w:rPr>
        <w:t>Destaca-se que é importante, também, que os catadores passem por processos de treinamento e capacitação, tornando-os aptos para a função. Dessa forma, é possível aumentar a capacidade operacional e gerencial de unidades de separação e triagem para segregar os materiais em subclasses, sempre visando agregar valor ao material para a venda</w:t>
      </w:r>
      <w:r w:rsidRPr="001B431A">
        <w:t xml:space="preserve">. Para tanto, alguns equipamentos podem ser adquiridos em Centrais de Triagem, tais como: fragmentador industrial de papel e equipamentos para o beneficiamento de plásticos. </w:t>
      </w:r>
    </w:p>
    <w:p w:rsidR="001B431A" w:rsidRPr="001B431A" w:rsidRDefault="001B431A" w:rsidP="001B431A">
      <w:pPr>
        <w:ind w:firstLine="708"/>
        <w:jc w:val="both"/>
      </w:pPr>
      <w:r w:rsidRPr="001B431A">
        <w:lastRenderedPageBreak/>
        <w:t xml:space="preserve">A valorização orgânica é outro tipo de geração de valor muito importante para os resíduos sólidos urbanos. Essa pode ser alcançada através da compostagem - que gera um composto orgânico rico em nutrientes - ou pela biometanização (geração de gás e fertilizante). Vale ressaltar que o composto proveniente dos resíduos domiciliares só poderá ser comercializado se possuir registro junto ao Ministério de Agricultura, Pecuária e Abastecimento (MAPA). De acordo com MAPA (2014), em um processo que demora em torno de um ano, já se consegue obter o registro do composto e o registro profissional. </w:t>
      </w:r>
    </w:p>
    <w:p w:rsidR="001B431A" w:rsidRPr="001B431A" w:rsidRDefault="001B431A" w:rsidP="001B431A">
      <w:pPr>
        <w:ind w:firstLine="708"/>
        <w:jc w:val="both"/>
      </w:pPr>
      <w:r w:rsidRPr="001B431A">
        <w:t>A utilização do composto orgânico proveniente dos resíduos domiciliares é recente no país, o que resulta na não existência de uma cultura desse hábito entre os agricultores, dificultando o escoamento e venda do mesmo. Apesar disso, este não pode ser fator limitante ou que exclua a possibilidade desse tipo de tratamento de resíduo orgânico. Uma das possibilidades para o escoamento do composto seria, no início, distribuir gratuitamente o composto para os agricultores da região, mostrando assim sua qualidade e introduzindo-o nos hábitos, para posteriormente, começar a cobrar pela venda do mesmo. Além dessa possibilidade, o composto também poderia ser utilizado nos estabelecimentos públicos, como praças, canteiros, jardins, hortas, etc.</w:t>
      </w:r>
    </w:p>
    <w:p w:rsidR="001B431A" w:rsidRPr="001B431A" w:rsidRDefault="001B431A" w:rsidP="001B431A">
      <w:pPr>
        <w:ind w:firstLine="708"/>
        <w:jc w:val="both"/>
      </w:pPr>
      <w:r w:rsidRPr="001B431A">
        <w:t>Vale também destacar a importância do aproveitamento do gás gerado nos aterros para a geração de energia elétrica, em conformidade com projetos de MDL – Mecanismos de Desenvolvimento Limpo.</w:t>
      </w:r>
    </w:p>
    <w:p w:rsidR="001B431A" w:rsidRPr="001B431A" w:rsidRDefault="001B431A" w:rsidP="001B431A">
      <w:pPr>
        <w:ind w:firstLine="708"/>
        <w:jc w:val="both"/>
        <w:rPr>
          <w:rFonts w:cs="Arial"/>
        </w:rPr>
      </w:pPr>
      <w:r w:rsidRPr="001B431A">
        <w:rPr>
          <w:rFonts w:cs="Arial"/>
        </w:rPr>
        <w:t>O Programa Cidades Sustentáveis (2013) afirma que é importante que o poder público, por meio dos gestores municipais, institua programas e ações de capacitação técnica e de educação ambiental, com a participação dos grupos interessados, em especial, das cooperativas e demais associações de catadores de materiais reutilizáveis e recicláveis, visando ao aprendizado de mecanismos para a criação de fontes de negócios, emprego e renda. Tal guia ainda afirma que:</w:t>
      </w:r>
    </w:p>
    <w:p w:rsidR="001B431A" w:rsidRPr="001B431A" w:rsidRDefault="001B431A" w:rsidP="001B431A">
      <w:pPr>
        <w:ind w:firstLine="708"/>
        <w:jc w:val="both"/>
        <w:rPr>
          <w:i/>
          <w:sz w:val="22"/>
        </w:rPr>
      </w:pPr>
      <w:r w:rsidRPr="001B431A">
        <w:rPr>
          <w:rFonts w:cs="Arial"/>
          <w:i/>
          <w:sz w:val="22"/>
        </w:rPr>
        <w:t>“(...) com a valorização dos resíduos sólidos, espera-se que surjam novos negócios, postos de trabalho e tecnologias. (…)”.</w:t>
      </w:r>
    </w:p>
    <w:p w:rsidR="001B431A" w:rsidRPr="001B431A" w:rsidRDefault="001B431A" w:rsidP="001B431A">
      <w:pPr>
        <w:ind w:firstLine="708"/>
        <w:jc w:val="both"/>
      </w:pPr>
      <w:r w:rsidRPr="001B431A">
        <w:t xml:space="preserve">Para que os resíduos sólidos reutilizáveis e recicláveis do município sejam reconhecidos como um bem econômico e de valor social, gerador de trabalho e renda é necessário o apoio e incentivo da administração pública às organizações de catadores </w:t>
      </w:r>
      <w:r w:rsidRPr="001B431A">
        <w:lastRenderedPageBreak/>
        <w:t>e aos catadores em processo de organização e a propositura de acordos setoriais que os incluam, a fim de criar uma cooperativa de catadores. Além disso, deve-se investir em infraestruturas para a coleta, triagem e beneficiamento de material reciclável. Deve haver também o incentivo da administração pública à indústria da reciclagem e compostagem, tendo em vista fomentar o uso de matérias-primas e insumos derivados de materiais orgânicos, reutilizáveis e reciclados e sensibilizar e conscientizar a população da importância da coleta seletiva a partir de projetos de educação ambiental.</w:t>
      </w:r>
    </w:p>
    <w:p w:rsidR="001B431A" w:rsidRPr="001B431A" w:rsidRDefault="001B431A" w:rsidP="001B431A">
      <w:pPr>
        <w:ind w:firstLine="709"/>
        <w:jc w:val="both"/>
        <w:rPr>
          <w:rFonts w:cs="Arial"/>
          <w:szCs w:val="24"/>
        </w:rPr>
      </w:pPr>
      <w:r w:rsidRPr="001B431A">
        <w:rPr>
          <w:rFonts w:cs="Arial"/>
          <w:szCs w:val="24"/>
        </w:rPr>
        <w:t>A reciclagem, beneficiamento e reutilização de resíduos da construção civil (RCC) em agregados e subprodutos de construção civil viabiliza a geração de trabalho e renda, apresentando-se como um interessante mecanismo de valorização de resíduos que pode ser estimulado pela administração pública.</w:t>
      </w:r>
    </w:p>
    <w:p w:rsidR="001B431A" w:rsidRPr="001B431A" w:rsidRDefault="001B431A" w:rsidP="001B431A">
      <w:pPr>
        <w:ind w:firstLine="709"/>
        <w:jc w:val="both"/>
        <w:rPr>
          <w:rFonts w:cs="Arial"/>
          <w:szCs w:val="24"/>
        </w:rPr>
      </w:pPr>
      <w:r w:rsidRPr="001B431A">
        <w:rPr>
          <w:rFonts w:cs="Arial"/>
          <w:szCs w:val="24"/>
        </w:rPr>
        <w:t xml:space="preserve">A transformação dos RCCs tem como objetivo não só o aspecto financeiro, mas também o ambiental, uma vez que reduz as disposições desse material em locais impróprios, os grandes volumes encaminhados para a disposição final e o número de viagens de transporte dos resíduos. </w:t>
      </w:r>
    </w:p>
    <w:p w:rsidR="001B431A" w:rsidRPr="001B431A" w:rsidRDefault="001B431A" w:rsidP="001B431A">
      <w:pPr>
        <w:ind w:firstLine="709"/>
        <w:jc w:val="both"/>
        <w:rPr>
          <w:rFonts w:cs="Arial"/>
          <w:szCs w:val="24"/>
        </w:rPr>
      </w:pPr>
      <w:r w:rsidRPr="001B431A">
        <w:rPr>
          <w:rFonts w:cs="Arial"/>
          <w:szCs w:val="24"/>
        </w:rPr>
        <w:t>O processo de reciclagem de resíduos da construção civil pode ser feito em usinas fixas de RCC ou unidades móveis instaladas nas próprias obras. Resumidamente, a reciclagem de RCC segue um processo que compreende as seguintes etapas:</w:t>
      </w:r>
    </w:p>
    <w:p w:rsidR="001B431A" w:rsidRPr="001B431A" w:rsidRDefault="001B431A" w:rsidP="0066661F">
      <w:pPr>
        <w:numPr>
          <w:ilvl w:val="0"/>
          <w:numId w:val="15"/>
        </w:numPr>
        <w:contextualSpacing/>
        <w:jc w:val="both"/>
        <w:rPr>
          <w:rFonts w:eastAsia="Times New Roman"/>
          <w:szCs w:val="24"/>
          <w:lang w:val="x-none" w:eastAsia="x-none"/>
        </w:rPr>
      </w:pPr>
      <w:r w:rsidRPr="001B431A">
        <w:rPr>
          <w:rFonts w:eastAsia="Times New Roman"/>
          <w:szCs w:val="24"/>
          <w:lang w:val="x-none" w:eastAsia="x-none"/>
        </w:rPr>
        <w:t>recepção do entulho;</w:t>
      </w:r>
    </w:p>
    <w:p w:rsidR="001B431A" w:rsidRPr="001B431A" w:rsidRDefault="001B431A" w:rsidP="0066661F">
      <w:pPr>
        <w:numPr>
          <w:ilvl w:val="0"/>
          <w:numId w:val="15"/>
        </w:numPr>
        <w:contextualSpacing/>
        <w:jc w:val="both"/>
        <w:rPr>
          <w:rFonts w:eastAsia="Times New Roman"/>
          <w:szCs w:val="24"/>
          <w:lang w:val="x-none" w:eastAsia="x-none"/>
        </w:rPr>
      </w:pPr>
      <w:r w:rsidRPr="001B431A">
        <w:rPr>
          <w:rFonts w:eastAsia="Times New Roman"/>
          <w:szCs w:val="24"/>
          <w:lang w:val="x-none" w:eastAsia="x-none"/>
        </w:rPr>
        <w:t xml:space="preserve">triagem manual (seleção dos resíduos </w:t>
      </w:r>
      <w:r w:rsidRPr="001B431A">
        <w:rPr>
          <w:rFonts w:eastAsia="Times New Roman"/>
          <w:i/>
          <w:szCs w:val="24"/>
          <w:lang w:val="x-none" w:eastAsia="x-none"/>
        </w:rPr>
        <w:t>Classe A</w:t>
      </w:r>
      <w:r w:rsidRPr="001B431A">
        <w:rPr>
          <w:rFonts w:eastAsia="Times New Roman"/>
          <w:szCs w:val="24"/>
          <w:lang w:val="x-none" w:eastAsia="x-none"/>
        </w:rPr>
        <w:t xml:space="preserve"> segundo a  Resolução CONAMA nº 307/2002);</w:t>
      </w:r>
    </w:p>
    <w:p w:rsidR="001B431A" w:rsidRPr="001B431A" w:rsidRDefault="001B431A" w:rsidP="0066661F">
      <w:pPr>
        <w:numPr>
          <w:ilvl w:val="0"/>
          <w:numId w:val="15"/>
        </w:numPr>
        <w:contextualSpacing/>
        <w:jc w:val="both"/>
        <w:rPr>
          <w:rFonts w:eastAsia="Times New Roman"/>
          <w:szCs w:val="24"/>
          <w:lang w:val="x-none" w:eastAsia="x-none"/>
        </w:rPr>
      </w:pPr>
      <w:r w:rsidRPr="001B431A">
        <w:rPr>
          <w:rFonts w:eastAsia="Times New Roman"/>
          <w:szCs w:val="24"/>
          <w:lang w:val="x-none" w:eastAsia="x-none"/>
        </w:rPr>
        <w:t>remoção dos materiais magnetizáveis;</w:t>
      </w:r>
    </w:p>
    <w:p w:rsidR="001B431A" w:rsidRPr="001B431A" w:rsidRDefault="001B431A" w:rsidP="0066661F">
      <w:pPr>
        <w:numPr>
          <w:ilvl w:val="0"/>
          <w:numId w:val="15"/>
        </w:numPr>
        <w:contextualSpacing/>
        <w:jc w:val="both"/>
        <w:rPr>
          <w:rFonts w:eastAsia="Times New Roman"/>
          <w:szCs w:val="24"/>
          <w:lang w:val="x-none" w:eastAsia="x-none"/>
        </w:rPr>
      </w:pPr>
      <w:r w:rsidRPr="001B431A">
        <w:rPr>
          <w:rFonts w:eastAsia="Times New Roman"/>
          <w:szCs w:val="24"/>
          <w:lang w:val="x-none" w:eastAsia="x-none"/>
        </w:rPr>
        <w:t>peneiramento (classificação por granulometria); e</w:t>
      </w:r>
    </w:p>
    <w:p w:rsidR="001B431A" w:rsidRPr="001B431A" w:rsidRDefault="001B431A" w:rsidP="0066661F">
      <w:pPr>
        <w:numPr>
          <w:ilvl w:val="0"/>
          <w:numId w:val="15"/>
        </w:numPr>
        <w:contextualSpacing/>
        <w:jc w:val="both"/>
        <w:rPr>
          <w:rFonts w:eastAsia="Times New Roman"/>
          <w:szCs w:val="24"/>
          <w:lang w:val="x-none" w:eastAsia="x-none"/>
        </w:rPr>
      </w:pPr>
      <w:r w:rsidRPr="001B431A">
        <w:rPr>
          <w:rFonts w:eastAsia="Times New Roman"/>
          <w:szCs w:val="24"/>
          <w:lang w:val="x-none" w:eastAsia="x-none"/>
        </w:rPr>
        <w:t>armazenamento do agregado reciclado.</w:t>
      </w:r>
    </w:p>
    <w:p w:rsidR="001B431A" w:rsidRPr="001B431A" w:rsidRDefault="001B431A" w:rsidP="001B431A">
      <w:pPr>
        <w:ind w:firstLine="709"/>
        <w:jc w:val="both"/>
        <w:rPr>
          <w:rFonts w:cs="Arial"/>
          <w:szCs w:val="24"/>
        </w:rPr>
      </w:pPr>
      <w:r w:rsidRPr="001B431A">
        <w:rPr>
          <w:rFonts w:cs="Arial"/>
          <w:szCs w:val="24"/>
        </w:rPr>
        <w:t xml:space="preserve">Essas etapas permitem que sejam obtidos agregados como: areia bica corrida, britas (0,1, 2, 3), rachão e brita reciclada que, segundo Degani (2003), quando devidamente selecionados, podem ter uma infinidade de aplicações, das quais se destacam: obras de drenagem; execução de contrapisos; agregados para a produção de concretos e argamassas; preenchimento de vazios em construções; preenchimento de valas de instalações; reforço de aterros; fabricação de blocos de concreto residual, </w:t>
      </w:r>
      <w:r w:rsidRPr="001B431A">
        <w:rPr>
          <w:rFonts w:cs="Arial"/>
          <w:szCs w:val="24"/>
        </w:rPr>
        <w:lastRenderedPageBreak/>
        <w:t>entre outros artefatos pré-moldados. Os agregados também podem ser processados e transformados em blocos e pisos para pavimentação, obtendo assim maiores ganhos com seu reaproveitamento.</w:t>
      </w:r>
    </w:p>
    <w:p w:rsidR="001B431A" w:rsidRPr="001B431A" w:rsidRDefault="001B431A" w:rsidP="001B431A">
      <w:pPr>
        <w:ind w:firstLine="709"/>
        <w:jc w:val="both"/>
        <w:rPr>
          <w:rFonts w:cs="Arial"/>
          <w:szCs w:val="24"/>
        </w:rPr>
      </w:pPr>
      <w:r w:rsidRPr="001B431A">
        <w:rPr>
          <w:rFonts w:cs="Arial"/>
          <w:szCs w:val="24"/>
        </w:rPr>
        <w:t>De acordo com Corrêa e Corrêa (2001), em seu estudo “Valoração de biossólidos como fertilizantes e condicionadores de solos”, a valorização da matéria orgânica do esgoto - proveniente de ETEs - pode se dar através da incorporação de biossólidos em solos como fontes de Nitrogênio, Fósforo e matéria orgânica, utilizando-se do método de mercado e de bens substitutos.</w:t>
      </w:r>
    </w:p>
    <w:p w:rsidR="001B431A" w:rsidRPr="001B431A" w:rsidRDefault="001B431A" w:rsidP="001B431A">
      <w:pPr>
        <w:ind w:firstLine="709"/>
        <w:jc w:val="both"/>
        <w:rPr>
          <w:rFonts w:cs="Arial"/>
          <w:szCs w:val="24"/>
        </w:rPr>
      </w:pPr>
      <w:r w:rsidRPr="001B431A">
        <w:rPr>
          <w:rFonts w:cs="Arial"/>
          <w:szCs w:val="24"/>
        </w:rPr>
        <w:t>A aplicação do composto produzido pode ser feita em canteiros de jardinagem e áreas verdes de responsabilidade da Prefeitura Municipal. Contudo, no caso da horticultura, seu manejo e aplicabilidade exigem maiores cuidados devido a questões sanitárias. Para que a valoração e o uso do lodo como forma de complemento de adubação ocorram de forma segura e sustentável, certas características e padrões de qualidade mínimos estabelecidos pela Resolução CONAMA n° 375/2006, que define critérios e procedimentos para o uso agrícola de lodos de esgotos gerados em ETEs, entre outras providências, precisam ser alcançados.</w:t>
      </w:r>
    </w:p>
    <w:p w:rsidR="001B431A" w:rsidRPr="001B431A" w:rsidRDefault="001B431A" w:rsidP="001B431A">
      <w:pPr>
        <w:ind w:firstLine="709"/>
        <w:jc w:val="both"/>
        <w:rPr>
          <w:rFonts w:cs="Arial"/>
          <w:szCs w:val="24"/>
        </w:rPr>
      </w:pPr>
      <w:r w:rsidRPr="001B431A">
        <w:rPr>
          <w:rFonts w:cs="Arial"/>
          <w:szCs w:val="24"/>
        </w:rPr>
        <w:t>Os gastos envolvidos nos processos podem variar de acordo com os tratamentos a que será submetido o lodo para alcançar os padrões estabelecidos pelo CONAMA, sendo então necessária uma avaliação para a verificação da viabilidade econômica do mecanismo a ser implementado.</w:t>
      </w:r>
    </w:p>
    <w:p w:rsidR="001B431A" w:rsidRPr="001B431A" w:rsidRDefault="001B431A" w:rsidP="00BC01B1">
      <w:pPr>
        <w:pStyle w:val="Ttulo4"/>
      </w:pPr>
      <w:bookmarkStart w:id="1057" w:name="_Toc498352174"/>
      <w:bookmarkStart w:id="1058" w:name="_Toc509935568"/>
      <w:r w:rsidRPr="001B431A">
        <w:t>Programa de inclusão de catadores organizados na coleta seletiva municipal</w:t>
      </w:r>
      <w:r w:rsidRPr="001B431A">
        <w:rPr>
          <w:vertAlign w:val="superscript"/>
        </w:rPr>
        <w:footnoteReference w:id="2"/>
      </w:r>
      <w:bookmarkEnd w:id="1057"/>
      <w:bookmarkEnd w:id="1058"/>
    </w:p>
    <w:p w:rsidR="001B431A" w:rsidRPr="001B431A" w:rsidRDefault="001B431A" w:rsidP="001B431A">
      <w:pPr>
        <w:autoSpaceDE w:val="0"/>
        <w:autoSpaceDN w:val="0"/>
        <w:adjustRightInd w:val="0"/>
        <w:ind w:firstLine="708"/>
        <w:jc w:val="both"/>
        <w:rPr>
          <w:rFonts w:cs="Arial"/>
          <w:color w:val="000000"/>
        </w:rPr>
      </w:pPr>
      <w:r w:rsidRPr="001B431A">
        <w:rPr>
          <w:rFonts w:cs="Arial"/>
          <w:color w:val="000000"/>
        </w:rPr>
        <w:t>O art.18, parágrafo 1º, da PNRS faz uma importante observação que é a priorização do acesso aos recursos da União aos municípios que implantarem a coleta seletiva com a participação de cooperativa ou de outras formas de associação de catadores de materiais reutilizáveis e recicláveis, formadas por pessoas físicas de baixa renda. Sendo assim, as orientações feitas neste programa têm como objetivo implantar a coleta seletiva utilizando-se da participação de catadores organizados, facilitando posteriormente o acesso a recursos.</w:t>
      </w:r>
    </w:p>
    <w:p w:rsidR="001B431A" w:rsidRPr="001B431A" w:rsidRDefault="001B431A" w:rsidP="001B431A">
      <w:pPr>
        <w:autoSpaceDE w:val="0"/>
        <w:autoSpaceDN w:val="0"/>
        <w:adjustRightInd w:val="0"/>
        <w:ind w:firstLine="708"/>
        <w:jc w:val="both"/>
        <w:rPr>
          <w:rFonts w:cs="Arial"/>
          <w:color w:val="000000"/>
        </w:rPr>
      </w:pPr>
      <w:r w:rsidRPr="001B431A">
        <w:rPr>
          <w:rFonts w:cs="Arial"/>
          <w:color w:val="000000"/>
        </w:rPr>
        <w:lastRenderedPageBreak/>
        <w:t>A coleta seletiva, os sistemas de logística reversa e outras formas de responsabilidade compartilhada pelo ciclo de vida dos produtos são hoje considerados instrumentos da PNRS.</w:t>
      </w:r>
    </w:p>
    <w:p w:rsidR="001B431A" w:rsidRPr="001B431A" w:rsidRDefault="001B431A" w:rsidP="001B431A">
      <w:pPr>
        <w:autoSpaceDE w:val="0"/>
        <w:autoSpaceDN w:val="0"/>
        <w:adjustRightInd w:val="0"/>
        <w:ind w:firstLine="708"/>
        <w:jc w:val="both"/>
        <w:rPr>
          <w:rFonts w:cs="Arial"/>
          <w:color w:val="000000"/>
        </w:rPr>
      </w:pPr>
      <w:r w:rsidRPr="001B431A">
        <w:rPr>
          <w:rFonts w:cs="Arial"/>
          <w:color w:val="000000"/>
        </w:rPr>
        <w:t xml:space="preserve">O art. 36 da PNRS responsabiliza o titular dos serviços públicos de limpeza urbana e de manejo de resíduos sólidos, quando há o Plano Municipal de Gestão Integrada de Resíduos Sólidos, para: </w:t>
      </w:r>
    </w:p>
    <w:p w:rsidR="001B431A" w:rsidRPr="001B431A" w:rsidRDefault="001B431A" w:rsidP="001B431A">
      <w:pPr>
        <w:autoSpaceDE w:val="0"/>
        <w:autoSpaceDN w:val="0"/>
        <w:adjustRightInd w:val="0"/>
        <w:spacing w:line="240" w:lineRule="auto"/>
        <w:ind w:left="2268"/>
        <w:rPr>
          <w:rFonts w:cs="Arial"/>
          <w:color w:val="000000"/>
          <w:sz w:val="22"/>
        </w:rPr>
      </w:pPr>
      <w:r w:rsidRPr="001B431A">
        <w:rPr>
          <w:rFonts w:cs="Arial"/>
          <w:color w:val="000000"/>
          <w:sz w:val="22"/>
        </w:rPr>
        <w:t xml:space="preserve">I - adotar procedimentos para reaproveitar os resíduos sólidos reutilizáveis e recicláveis oriundos dos serviços públicos de limpeza urbana e de manejo de resíduos sólidos; </w:t>
      </w:r>
    </w:p>
    <w:p w:rsidR="001B431A" w:rsidRPr="001B431A" w:rsidRDefault="001B431A" w:rsidP="001B431A">
      <w:pPr>
        <w:autoSpaceDE w:val="0"/>
        <w:autoSpaceDN w:val="0"/>
        <w:adjustRightInd w:val="0"/>
        <w:spacing w:line="240" w:lineRule="auto"/>
        <w:ind w:left="2268"/>
        <w:rPr>
          <w:rFonts w:cs="Arial"/>
          <w:color w:val="000000"/>
          <w:sz w:val="22"/>
        </w:rPr>
      </w:pPr>
      <w:r w:rsidRPr="001B431A">
        <w:rPr>
          <w:rFonts w:cs="Arial"/>
          <w:color w:val="000000"/>
          <w:sz w:val="22"/>
        </w:rPr>
        <w:t xml:space="preserve">II - estabelecer sistema de </w:t>
      </w:r>
      <w:r w:rsidRPr="001B431A">
        <w:rPr>
          <w:rFonts w:cs="Arial"/>
          <w:b/>
          <w:color w:val="000000"/>
          <w:sz w:val="22"/>
        </w:rPr>
        <w:t>coleta seletiva</w:t>
      </w:r>
      <w:r w:rsidRPr="001B431A">
        <w:rPr>
          <w:rFonts w:cs="Arial"/>
          <w:color w:val="000000"/>
          <w:sz w:val="22"/>
        </w:rPr>
        <w:t xml:space="preserve">; </w:t>
      </w:r>
    </w:p>
    <w:p w:rsidR="001B431A" w:rsidRPr="001B431A" w:rsidRDefault="001B431A" w:rsidP="001B431A">
      <w:pPr>
        <w:autoSpaceDE w:val="0"/>
        <w:autoSpaceDN w:val="0"/>
        <w:adjustRightInd w:val="0"/>
        <w:spacing w:line="240" w:lineRule="auto"/>
        <w:ind w:left="2268"/>
        <w:rPr>
          <w:rFonts w:cs="Arial"/>
          <w:color w:val="000000"/>
          <w:sz w:val="22"/>
        </w:rPr>
      </w:pPr>
      <w:r w:rsidRPr="001B431A">
        <w:rPr>
          <w:rFonts w:cs="Arial"/>
          <w:color w:val="000000"/>
          <w:sz w:val="22"/>
        </w:rPr>
        <w:t>III - articular com os agentes econômicos e sociais medidas para viabilizar o retorno ao ciclo produtivo dos resíduos sólidos reutilizáveis e recicláveis oriundos dos serviços de limpeza urbana e de manejo de resíduos sólidos.</w:t>
      </w:r>
    </w:p>
    <w:p w:rsidR="001B431A" w:rsidRPr="001B431A" w:rsidRDefault="001B431A" w:rsidP="001B431A">
      <w:pPr>
        <w:autoSpaceDE w:val="0"/>
        <w:autoSpaceDN w:val="0"/>
        <w:adjustRightInd w:val="0"/>
        <w:ind w:firstLine="708"/>
        <w:jc w:val="both"/>
        <w:rPr>
          <w:rFonts w:cs="Arial"/>
          <w:color w:val="000000"/>
        </w:rPr>
      </w:pPr>
      <w:r w:rsidRPr="001B431A">
        <w:rPr>
          <w:rFonts w:cs="Arial"/>
          <w:color w:val="000000"/>
        </w:rPr>
        <w:t xml:space="preserve">Segundo o art. 42 o poder público poderá instituir medidas indutoras e linhas de financiamento para atender, prioritariamente, às iniciativas de </w:t>
      </w:r>
      <w:r w:rsidRPr="001B431A">
        <w:rPr>
          <w:rFonts w:cs="Arial"/>
          <w:color w:val="000000"/>
          <w:szCs w:val="24"/>
        </w:rPr>
        <w:t>estruturação de sistemas de coleta seletiva e de logística reversa.</w:t>
      </w:r>
    </w:p>
    <w:p w:rsidR="001B431A" w:rsidRPr="001B431A" w:rsidRDefault="001B431A" w:rsidP="001B431A">
      <w:pPr>
        <w:autoSpaceDE w:val="0"/>
        <w:autoSpaceDN w:val="0"/>
        <w:adjustRightInd w:val="0"/>
        <w:ind w:firstLine="708"/>
        <w:jc w:val="both"/>
        <w:rPr>
          <w:rFonts w:cs="Arial"/>
          <w:color w:val="000000"/>
          <w:szCs w:val="24"/>
        </w:rPr>
      </w:pPr>
      <w:r w:rsidRPr="001B431A">
        <w:rPr>
          <w:rFonts w:cs="Arial"/>
          <w:color w:val="000000"/>
          <w:szCs w:val="24"/>
        </w:rPr>
        <w:t>Tanto a Lei nº 12.305/2010 (PNRS), quanto o Decreto nº 7.404/10 que a regulamenta incentivam a construção de modelos de gestão de resíduos que tenham a coleta seletiva como ação estruturante para trazer soluções de ordem econômica, ambiental e também para as questões ligadas à inclusão social e econômica dos catadores de materiais recicláveis.</w:t>
      </w:r>
    </w:p>
    <w:p w:rsidR="001B431A" w:rsidRPr="001B431A" w:rsidRDefault="001B431A" w:rsidP="001B431A">
      <w:pPr>
        <w:autoSpaceDE w:val="0"/>
        <w:autoSpaceDN w:val="0"/>
        <w:adjustRightInd w:val="0"/>
        <w:ind w:firstLine="708"/>
        <w:jc w:val="both"/>
        <w:rPr>
          <w:rFonts w:cs="Arial"/>
          <w:szCs w:val="24"/>
        </w:rPr>
      </w:pPr>
      <w:r w:rsidRPr="001B431A">
        <w:rPr>
          <w:rFonts w:cs="Arial"/>
          <w:color w:val="000000"/>
          <w:szCs w:val="24"/>
        </w:rPr>
        <w:t>A Lei nº 11.445/07 permite que o poder público contrate as associações e cooperativas de catadores de materiais recicláveis para realizar serviços de coleta seletiva no município com dispensa de licitação. O Decreto nº 7.217/10 regulamenta essa lei e considera que os catadores são prestadores de serviços públicos de manejo de resíduos sólidos e não apenas mão de obra terceirizada.</w:t>
      </w:r>
    </w:p>
    <w:p w:rsidR="001B431A" w:rsidRPr="001B431A" w:rsidRDefault="001B431A" w:rsidP="001B431A">
      <w:pPr>
        <w:autoSpaceDE w:val="0"/>
        <w:autoSpaceDN w:val="0"/>
        <w:adjustRightInd w:val="0"/>
        <w:ind w:firstLine="708"/>
        <w:jc w:val="both"/>
        <w:rPr>
          <w:rFonts w:cs="Arial"/>
          <w:color w:val="000000"/>
          <w:szCs w:val="24"/>
        </w:rPr>
      </w:pPr>
      <w:r w:rsidRPr="001B431A">
        <w:rPr>
          <w:rFonts w:cs="Arial"/>
          <w:color w:val="000000"/>
          <w:szCs w:val="24"/>
        </w:rPr>
        <w:t>Com essas normativas, os gestores públicos possuem base legal para formalizar a relação que possuem com associações e cooperativas de catadores de materiais recicláveis.</w:t>
      </w:r>
    </w:p>
    <w:p w:rsidR="001B431A" w:rsidRDefault="001B431A" w:rsidP="001B431A">
      <w:pPr>
        <w:autoSpaceDE w:val="0"/>
        <w:autoSpaceDN w:val="0"/>
        <w:adjustRightInd w:val="0"/>
        <w:ind w:firstLine="708"/>
        <w:jc w:val="both"/>
        <w:rPr>
          <w:rFonts w:cs="Arial"/>
          <w:color w:val="000000"/>
          <w:szCs w:val="24"/>
        </w:rPr>
      </w:pPr>
    </w:p>
    <w:p w:rsidR="00810C89" w:rsidRDefault="00810C89" w:rsidP="001B431A">
      <w:pPr>
        <w:autoSpaceDE w:val="0"/>
        <w:autoSpaceDN w:val="0"/>
        <w:adjustRightInd w:val="0"/>
        <w:ind w:firstLine="708"/>
        <w:jc w:val="both"/>
        <w:rPr>
          <w:rFonts w:cs="Arial"/>
          <w:color w:val="000000"/>
          <w:szCs w:val="24"/>
        </w:rPr>
      </w:pPr>
    </w:p>
    <w:p w:rsidR="00810C89" w:rsidRPr="001B431A" w:rsidRDefault="00810C89" w:rsidP="001B431A">
      <w:pPr>
        <w:autoSpaceDE w:val="0"/>
        <w:autoSpaceDN w:val="0"/>
        <w:adjustRightInd w:val="0"/>
        <w:ind w:firstLine="708"/>
        <w:jc w:val="both"/>
        <w:rPr>
          <w:rFonts w:cs="Arial"/>
          <w:color w:val="000000"/>
          <w:szCs w:val="24"/>
        </w:rPr>
      </w:pPr>
    </w:p>
    <w:p w:rsidR="001B431A" w:rsidRPr="001B431A" w:rsidRDefault="001B431A" w:rsidP="00BC01B1">
      <w:pPr>
        <w:pStyle w:val="Ttulo4"/>
      </w:pPr>
      <w:bookmarkStart w:id="1059" w:name="_Toc498352175"/>
      <w:bookmarkStart w:id="1060" w:name="_Toc509935569"/>
      <w:r w:rsidRPr="001B431A">
        <w:lastRenderedPageBreak/>
        <w:t>Como implantar coleta seletiva com participação dos catadores de materiais recicláveis nos municípios</w:t>
      </w:r>
      <w:bookmarkEnd w:id="1059"/>
      <w:bookmarkEnd w:id="1060"/>
    </w:p>
    <w:p w:rsidR="001B431A" w:rsidRPr="001B431A" w:rsidRDefault="001B431A" w:rsidP="001B431A">
      <w:pPr>
        <w:autoSpaceDE w:val="0"/>
        <w:autoSpaceDN w:val="0"/>
        <w:adjustRightInd w:val="0"/>
        <w:ind w:firstLine="708"/>
        <w:jc w:val="both"/>
        <w:rPr>
          <w:rFonts w:cs="Arial"/>
          <w:szCs w:val="24"/>
        </w:rPr>
      </w:pPr>
      <w:r w:rsidRPr="001B431A">
        <w:rPr>
          <w:rFonts w:cs="Arial"/>
          <w:color w:val="000000"/>
          <w:szCs w:val="24"/>
        </w:rPr>
        <w:t xml:space="preserve">Vários modelos de coleta seletiva são adotados no Brasil, mas, em linhas gerais, podem ser classificados em dois grandes grupos: coleta porta a porta, em que veículos específicos percorrem as ruas fazendo a coleta em cada domicílio; e coleta em pontos determinados para os quais a população leva os resíduos separados – os Pontos de Entrega Voluntária – PEVs ou Locais de Entrega Voluntária – LEVs – chamada de coleta ponto a ponto. </w:t>
      </w:r>
    </w:p>
    <w:p w:rsidR="001B431A" w:rsidRPr="001B431A" w:rsidRDefault="001B431A" w:rsidP="001B431A">
      <w:pPr>
        <w:autoSpaceDE w:val="0"/>
        <w:autoSpaceDN w:val="0"/>
        <w:adjustRightInd w:val="0"/>
        <w:ind w:firstLine="708"/>
        <w:jc w:val="both"/>
        <w:rPr>
          <w:rFonts w:cs="Arial"/>
          <w:color w:val="000000"/>
          <w:szCs w:val="24"/>
        </w:rPr>
      </w:pPr>
      <w:r w:rsidRPr="001B431A">
        <w:rPr>
          <w:rFonts w:cs="Arial"/>
          <w:color w:val="000000"/>
          <w:szCs w:val="24"/>
        </w:rPr>
        <w:t>O que é bom no modelo porta a porta? O contato direto com os usuários, a facilidade de verificar a adesão do usuário ao serviço e a dispensa de deslocamento do usuário ao PEV, ampliando as possibilidades de adesão, porém é inviável na zona rural. O que é bom no modelo dos Pontos de Entrega Voluntária – PEVs? A economia de custos de transporte, pois o caminhão não precisa parar a cada 20 ou 30 metros.</w:t>
      </w:r>
    </w:p>
    <w:p w:rsidR="001B431A" w:rsidRPr="001B431A" w:rsidRDefault="001B431A" w:rsidP="001B431A">
      <w:pPr>
        <w:autoSpaceDE w:val="0"/>
        <w:autoSpaceDN w:val="0"/>
        <w:adjustRightInd w:val="0"/>
        <w:ind w:firstLine="708"/>
        <w:jc w:val="both"/>
        <w:rPr>
          <w:rFonts w:cs="Arial"/>
          <w:color w:val="000000"/>
          <w:szCs w:val="24"/>
        </w:rPr>
      </w:pPr>
      <w:r w:rsidRPr="001B431A">
        <w:rPr>
          <w:rFonts w:cs="Arial"/>
          <w:color w:val="000000"/>
          <w:szCs w:val="24"/>
        </w:rPr>
        <w:t xml:space="preserve">Cada modalidade de coleta apresenta vantagens e desvantagens e os gestores devem fazer a escolha do modelo baseado nas características do município em questão. O modelo proposto ao </w:t>
      </w:r>
      <w:r w:rsidRPr="001B431A">
        <w:rPr>
          <w:rFonts w:cs="Arial"/>
          <w:szCs w:val="24"/>
        </w:rPr>
        <w:t xml:space="preserve">município de </w:t>
      </w:r>
      <w:r w:rsidRPr="001B431A">
        <w:rPr>
          <w:rFonts w:cs="Arial"/>
          <w:szCs w:val="24"/>
          <w:lang w:eastAsia="pt-BR"/>
        </w:rPr>
        <w:t>Córrego Novo</w:t>
      </w:r>
      <w:r w:rsidRPr="001B431A">
        <w:rPr>
          <w:rFonts w:cs="Arial"/>
          <w:szCs w:val="24"/>
        </w:rPr>
        <w:t xml:space="preserve"> busca equacionar a presença dos catadores no processo da coleta seletiva de forma organizada e estruturada, por meio de ações permanentes e duradouras, sob a responsabilidade</w:t>
      </w:r>
      <w:r w:rsidRPr="001B431A">
        <w:rPr>
          <w:rFonts w:cs="Arial"/>
          <w:color w:val="000000"/>
          <w:szCs w:val="24"/>
        </w:rPr>
        <w:t xml:space="preserve"> e apoio do município. Assim, o modelo de coleta porta a porta está sendo proposto como adequado para a zona urbana e o modelo de Pontos de Entregas Voluntárias (PEVs), adequados para a zona rural do município.</w:t>
      </w:r>
    </w:p>
    <w:p w:rsidR="001B431A" w:rsidRPr="001B431A" w:rsidRDefault="001B431A" w:rsidP="001B431A">
      <w:pPr>
        <w:autoSpaceDE w:val="0"/>
        <w:autoSpaceDN w:val="0"/>
        <w:adjustRightInd w:val="0"/>
        <w:ind w:firstLine="708"/>
        <w:jc w:val="both"/>
        <w:rPr>
          <w:rFonts w:cs="Arial"/>
          <w:color w:val="000000"/>
          <w:szCs w:val="24"/>
        </w:rPr>
      </w:pPr>
      <w:r w:rsidRPr="001B431A">
        <w:rPr>
          <w:rFonts w:cs="Arial"/>
          <w:color w:val="000000"/>
          <w:szCs w:val="24"/>
        </w:rPr>
        <w:t>A inclusão dos catadores é parte desse modelo (porta a porta): com carrinhos manuais ou veículos econômicos (dependendo das condições operacionais específicas), os catadores fazem a coleta de porta em porta, interagindo com os moradores, informando e ajudando a corrigir as imperfeições da segregação, levando os resíduos para pontos pré-definidos de acumulação temporária (onde não é feita a triagem).</w:t>
      </w:r>
    </w:p>
    <w:p w:rsidR="001B431A" w:rsidRPr="001B431A" w:rsidRDefault="001B431A" w:rsidP="001B431A">
      <w:pPr>
        <w:autoSpaceDE w:val="0"/>
        <w:autoSpaceDN w:val="0"/>
        <w:adjustRightInd w:val="0"/>
        <w:ind w:firstLine="708"/>
        <w:jc w:val="both"/>
        <w:rPr>
          <w:rFonts w:cs="Arial"/>
          <w:color w:val="000000"/>
          <w:szCs w:val="24"/>
        </w:rPr>
      </w:pPr>
      <w:r w:rsidRPr="001B431A">
        <w:rPr>
          <w:rFonts w:cs="Arial"/>
          <w:color w:val="000000"/>
          <w:szCs w:val="24"/>
        </w:rPr>
        <w:t xml:space="preserve">A combinação de uma atividade porta a porta de baixo custo com um transporte de “longa distância” permite reduzir sensivelmente os custos operacionais da coleta. Por outro lado, a qualidade dos resíduos segregados nas residências melhora consideravelmente com o contato direto do catador com os moradores, indicando </w:t>
      </w:r>
      <w:r w:rsidRPr="001B431A">
        <w:rPr>
          <w:rFonts w:cs="Arial"/>
          <w:color w:val="000000"/>
          <w:szCs w:val="24"/>
        </w:rPr>
        <w:lastRenderedPageBreak/>
        <w:t xml:space="preserve">problemas e buscando soluções em conjunto. O recolhimento semanal dos resíduos, ou duas vezes por semana, em geral, é suficiente no caso das áreas residenciais. No modelo de PEVs, os catadores são elementos sensibilizadores e atuam como conscientizadores das comunidades e podem atuar fomentando a adesão da comunidade rural ao modelo de entrega voluntária. </w:t>
      </w:r>
    </w:p>
    <w:p w:rsidR="001B431A" w:rsidRPr="001B431A" w:rsidRDefault="001B431A" w:rsidP="00BC01B1">
      <w:pPr>
        <w:pStyle w:val="Ttulo4"/>
      </w:pPr>
      <w:bookmarkStart w:id="1061" w:name="_Toc498352176"/>
      <w:bookmarkStart w:id="1062" w:name="_Toc509935570"/>
      <w:r w:rsidRPr="001B431A">
        <w:t>Etapas e metodologia para sua implantação</w:t>
      </w:r>
      <w:bookmarkEnd w:id="1061"/>
      <w:bookmarkEnd w:id="1062"/>
    </w:p>
    <w:p w:rsidR="001B431A" w:rsidRPr="001B431A" w:rsidRDefault="001B431A" w:rsidP="001B431A">
      <w:pPr>
        <w:autoSpaceDE w:val="0"/>
        <w:autoSpaceDN w:val="0"/>
        <w:adjustRightInd w:val="0"/>
        <w:ind w:firstLine="708"/>
        <w:jc w:val="both"/>
        <w:rPr>
          <w:rFonts w:cs="Arial"/>
          <w:szCs w:val="24"/>
        </w:rPr>
      </w:pPr>
      <w:r w:rsidRPr="001B431A">
        <w:rPr>
          <w:rFonts w:cs="Arial"/>
          <w:color w:val="000000"/>
          <w:szCs w:val="24"/>
        </w:rPr>
        <w:t>Há duas grande</w:t>
      </w:r>
      <w:r w:rsidRPr="001B431A">
        <w:rPr>
          <w:rFonts w:cs="Arial"/>
          <w:szCs w:val="24"/>
        </w:rPr>
        <w:t>s etapas na implantação da coleta seletiva: a etapa de planejamento e a de implantação propriamente dita.</w:t>
      </w:r>
    </w:p>
    <w:p w:rsidR="001B431A" w:rsidRPr="001B431A" w:rsidRDefault="001B431A" w:rsidP="0066661F">
      <w:pPr>
        <w:numPr>
          <w:ilvl w:val="0"/>
          <w:numId w:val="16"/>
        </w:numPr>
        <w:autoSpaceDE w:val="0"/>
        <w:autoSpaceDN w:val="0"/>
        <w:adjustRightInd w:val="0"/>
        <w:spacing w:before="240" w:after="240"/>
        <w:contextualSpacing/>
        <w:jc w:val="both"/>
        <w:rPr>
          <w:rFonts w:eastAsia="Times New Roman" w:cs="Arial"/>
          <w:szCs w:val="24"/>
          <w:lang w:val="x-none" w:eastAsia="x-none"/>
        </w:rPr>
      </w:pPr>
      <w:r w:rsidRPr="001B431A">
        <w:rPr>
          <w:rFonts w:eastAsia="Times New Roman" w:cs="Arial"/>
          <w:szCs w:val="24"/>
          <w:lang w:val="x-none" w:eastAsia="x-none"/>
        </w:rPr>
        <w:t>A etapa de planejamento está sendo feita durante a elaboração do PMSB</w:t>
      </w:r>
      <w:r w:rsidRPr="001B431A">
        <w:rPr>
          <w:rFonts w:eastAsia="Times New Roman" w:cs="Arial"/>
          <w:szCs w:val="24"/>
          <w:lang w:eastAsia="x-none"/>
        </w:rPr>
        <w:t>.</w:t>
      </w:r>
    </w:p>
    <w:p w:rsidR="001B431A" w:rsidRPr="001B431A" w:rsidRDefault="001B431A" w:rsidP="0066661F">
      <w:pPr>
        <w:numPr>
          <w:ilvl w:val="0"/>
          <w:numId w:val="16"/>
        </w:numPr>
        <w:autoSpaceDE w:val="0"/>
        <w:autoSpaceDN w:val="0"/>
        <w:adjustRightInd w:val="0"/>
        <w:spacing w:before="240" w:after="240"/>
        <w:contextualSpacing/>
        <w:jc w:val="both"/>
        <w:rPr>
          <w:rFonts w:eastAsia="Times New Roman" w:cs="Arial"/>
          <w:szCs w:val="24"/>
          <w:lang w:val="x-none" w:eastAsia="x-none"/>
        </w:rPr>
      </w:pPr>
      <w:r w:rsidRPr="001B431A">
        <w:rPr>
          <w:rFonts w:eastAsia="Times New Roman" w:cs="Arial"/>
          <w:szCs w:val="24"/>
          <w:lang w:val="x-none" w:eastAsia="x-none"/>
        </w:rPr>
        <w:t>A etapa de implantação compreende</w:t>
      </w:r>
      <w:r w:rsidRPr="001B431A">
        <w:rPr>
          <w:rFonts w:eastAsia="Times New Roman" w:cs="Arial"/>
          <w:szCs w:val="24"/>
          <w:lang w:eastAsia="x-none"/>
        </w:rPr>
        <w:t xml:space="preserve"> a </w:t>
      </w:r>
      <w:r w:rsidRPr="001B431A">
        <w:rPr>
          <w:rFonts w:eastAsia="Times New Roman" w:cs="Arial"/>
          <w:szCs w:val="24"/>
          <w:lang w:val="x-none" w:eastAsia="x-none"/>
        </w:rPr>
        <w:t>elaboração de projetos</w:t>
      </w:r>
      <w:r w:rsidRPr="001B431A">
        <w:rPr>
          <w:rFonts w:eastAsia="Times New Roman" w:cs="Arial"/>
          <w:szCs w:val="24"/>
          <w:lang w:eastAsia="x-none"/>
        </w:rPr>
        <w:t>,</w:t>
      </w:r>
      <w:r w:rsidRPr="001B431A">
        <w:rPr>
          <w:rFonts w:eastAsia="Times New Roman" w:cs="Arial"/>
          <w:szCs w:val="24"/>
          <w:lang w:val="x-none" w:eastAsia="x-none"/>
        </w:rPr>
        <w:t xml:space="preserve"> </w:t>
      </w:r>
      <w:r w:rsidRPr="001B431A">
        <w:rPr>
          <w:rFonts w:eastAsia="Times New Roman" w:cs="Arial"/>
          <w:szCs w:val="24"/>
          <w:lang w:eastAsia="x-none"/>
        </w:rPr>
        <w:t xml:space="preserve">a </w:t>
      </w:r>
      <w:r w:rsidRPr="001B431A">
        <w:rPr>
          <w:rFonts w:eastAsia="Times New Roman" w:cs="Arial"/>
          <w:szCs w:val="24"/>
          <w:lang w:val="x-none" w:eastAsia="x-none"/>
        </w:rPr>
        <w:t>realização de obras</w:t>
      </w:r>
      <w:r w:rsidRPr="001B431A">
        <w:rPr>
          <w:rFonts w:eastAsia="Times New Roman" w:cs="Arial"/>
          <w:szCs w:val="24"/>
          <w:lang w:eastAsia="x-none"/>
        </w:rPr>
        <w:t>,</w:t>
      </w:r>
      <w:r w:rsidRPr="001B431A">
        <w:rPr>
          <w:rFonts w:eastAsia="Times New Roman" w:cs="Arial"/>
          <w:szCs w:val="24"/>
          <w:lang w:val="x-none" w:eastAsia="x-none"/>
        </w:rPr>
        <w:t xml:space="preserve"> </w:t>
      </w:r>
      <w:r w:rsidRPr="001B431A">
        <w:rPr>
          <w:rFonts w:eastAsia="Times New Roman" w:cs="Arial"/>
          <w:szCs w:val="24"/>
          <w:lang w:eastAsia="x-none"/>
        </w:rPr>
        <w:t xml:space="preserve">a </w:t>
      </w:r>
      <w:r w:rsidRPr="001B431A">
        <w:rPr>
          <w:rFonts w:eastAsia="Times New Roman" w:cs="Arial"/>
          <w:szCs w:val="24"/>
          <w:lang w:val="x-none" w:eastAsia="x-none"/>
        </w:rPr>
        <w:t>aquisição de veículos, equipamentos e materiais</w:t>
      </w:r>
      <w:r w:rsidRPr="001B431A">
        <w:rPr>
          <w:rFonts w:eastAsia="Times New Roman" w:cs="Arial"/>
          <w:szCs w:val="24"/>
          <w:lang w:eastAsia="x-none"/>
        </w:rPr>
        <w:t xml:space="preserve">, a </w:t>
      </w:r>
      <w:r w:rsidRPr="001B431A">
        <w:rPr>
          <w:rFonts w:eastAsia="Times New Roman" w:cs="Arial"/>
          <w:szCs w:val="24"/>
          <w:lang w:val="x-none" w:eastAsia="x-none"/>
        </w:rPr>
        <w:t xml:space="preserve">estruturação de grupos de catadores e </w:t>
      </w:r>
      <w:r w:rsidRPr="001B431A">
        <w:rPr>
          <w:rFonts w:eastAsia="Times New Roman" w:cs="Arial"/>
          <w:szCs w:val="24"/>
          <w:lang w:eastAsia="x-none"/>
        </w:rPr>
        <w:t xml:space="preserve">o </w:t>
      </w:r>
      <w:r w:rsidRPr="001B431A">
        <w:rPr>
          <w:rFonts w:eastAsia="Times New Roman" w:cs="Arial"/>
          <w:szCs w:val="24"/>
          <w:lang w:val="x-none" w:eastAsia="x-none"/>
        </w:rPr>
        <w:t>apoio à sua organização</w:t>
      </w:r>
      <w:r w:rsidRPr="001B431A">
        <w:rPr>
          <w:rFonts w:eastAsia="Times New Roman" w:cs="Arial"/>
          <w:szCs w:val="24"/>
          <w:lang w:eastAsia="x-none"/>
        </w:rPr>
        <w:t xml:space="preserve">, a </w:t>
      </w:r>
      <w:r w:rsidRPr="001B431A">
        <w:rPr>
          <w:rFonts w:eastAsia="Times New Roman" w:cs="Arial"/>
          <w:szCs w:val="24"/>
          <w:lang w:val="x-none" w:eastAsia="x-none"/>
        </w:rPr>
        <w:t>sensibilização e mobilização dos geradores de resíduos</w:t>
      </w:r>
      <w:r w:rsidRPr="001B431A">
        <w:rPr>
          <w:rFonts w:eastAsia="Times New Roman" w:cs="Arial"/>
          <w:szCs w:val="24"/>
          <w:lang w:eastAsia="x-none"/>
        </w:rPr>
        <w:t xml:space="preserve">, a </w:t>
      </w:r>
      <w:r w:rsidRPr="001B431A">
        <w:rPr>
          <w:rFonts w:eastAsia="Times New Roman" w:cs="Arial"/>
          <w:szCs w:val="24"/>
          <w:lang w:val="x-none" w:eastAsia="x-none"/>
        </w:rPr>
        <w:t>capacitação das equipes envolvidas</w:t>
      </w:r>
      <w:r w:rsidRPr="001B431A">
        <w:rPr>
          <w:rFonts w:eastAsia="Times New Roman" w:cs="Arial"/>
          <w:szCs w:val="24"/>
          <w:lang w:eastAsia="x-none"/>
        </w:rPr>
        <w:t xml:space="preserve">, a </w:t>
      </w:r>
      <w:r w:rsidRPr="001B431A">
        <w:rPr>
          <w:rFonts w:eastAsia="Times New Roman" w:cs="Arial"/>
          <w:szCs w:val="24"/>
          <w:lang w:val="x-none" w:eastAsia="x-none"/>
        </w:rPr>
        <w:t>articulação de parcerias</w:t>
      </w:r>
      <w:r w:rsidRPr="001B431A">
        <w:rPr>
          <w:rFonts w:eastAsia="Times New Roman" w:cs="Arial"/>
          <w:szCs w:val="24"/>
          <w:lang w:eastAsia="x-none"/>
        </w:rPr>
        <w:t xml:space="preserve">, </w:t>
      </w:r>
      <w:r w:rsidRPr="001B431A">
        <w:rPr>
          <w:rFonts w:eastAsia="Times New Roman" w:cs="Arial"/>
          <w:szCs w:val="24"/>
          <w:lang w:val="x-none" w:eastAsia="x-none"/>
        </w:rPr>
        <w:t>operação da coleta e operação das unidades de triagem.</w:t>
      </w:r>
    </w:p>
    <w:p w:rsidR="001B431A" w:rsidRPr="001B431A" w:rsidRDefault="001B431A" w:rsidP="001B431A">
      <w:pPr>
        <w:autoSpaceDE w:val="0"/>
        <w:autoSpaceDN w:val="0"/>
        <w:adjustRightInd w:val="0"/>
        <w:ind w:firstLine="708"/>
        <w:jc w:val="both"/>
        <w:rPr>
          <w:rFonts w:cs="Arial"/>
          <w:szCs w:val="24"/>
        </w:rPr>
      </w:pPr>
      <w:r w:rsidRPr="001B431A">
        <w:rPr>
          <w:rFonts w:cs="Arial"/>
          <w:szCs w:val="24"/>
        </w:rPr>
        <w:t xml:space="preserve">Durante o planejamento é necessário ponderar algumas informações do diagnóstico do município: </w:t>
      </w:r>
    </w:p>
    <w:p w:rsidR="001B431A" w:rsidRPr="001B431A" w:rsidRDefault="001B431A" w:rsidP="0066661F">
      <w:pPr>
        <w:numPr>
          <w:ilvl w:val="0"/>
          <w:numId w:val="17"/>
        </w:numPr>
        <w:autoSpaceDE w:val="0"/>
        <w:autoSpaceDN w:val="0"/>
        <w:adjustRightInd w:val="0"/>
        <w:spacing w:before="240" w:after="240"/>
        <w:contextualSpacing/>
        <w:jc w:val="both"/>
        <w:rPr>
          <w:rFonts w:eastAsia="Times New Roman" w:cs="Arial"/>
          <w:szCs w:val="24"/>
          <w:lang w:val="x-none" w:eastAsia="x-none"/>
        </w:rPr>
      </w:pPr>
      <w:r w:rsidRPr="001B431A">
        <w:rPr>
          <w:rFonts w:eastAsia="Times New Roman" w:cs="Arial"/>
          <w:szCs w:val="24"/>
          <w:lang w:val="x-none" w:eastAsia="x-none"/>
        </w:rPr>
        <w:t xml:space="preserve">O município de </w:t>
      </w:r>
      <w:r w:rsidRPr="001B431A">
        <w:rPr>
          <w:rFonts w:eastAsia="Times New Roman" w:cs="Arial"/>
          <w:szCs w:val="24"/>
          <w:lang w:eastAsia="x-none"/>
        </w:rPr>
        <w:t>Córrego Novo</w:t>
      </w:r>
      <w:r w:rsidRPr="001B431A">
        <w:rPr>
          <w:rFonts w:eastAsia="Times New Roman" w:cs="Arial"/>
          <w:szCs w:val="24"/>
          <w:lang w:val="x-none" w:eastAsia="x-none"/>
        </w:rPr>
        <w:t xml:space="preserve"> produz </w:t>
      </w:r>
      <w:r w:rsidRPr="001B431A">
        <w:rPr>
          <w:rFonts w:eastAsia="Times New Roman" w:cs="Arial"/>
          <w:szCs w:val="24"/>
          <w:lang w:eastAsia="x-none"/>
        </w:rPr>
        <w:t xml:space="preserve">1,61 </w:t>
      </w:r>
      <w:r w:rsidRPr="001B431A">
        <w:rPr>
          <w:rFonts w:eastAsia="Times New Roman" w:cs="Arial"/>
          <w:szCs w:val="24"/>
          <w:lang w:val="x-none" w:eastAsia="x-none"/>
        </w:rPr>
        <w:t xml:space="preserve">ton/dia de resíduos sólidos na zona urbana e </w:t>
      </w:r>
      <w:r w:rsidRPr="001B431A">
        <w:rPr>
          <w:rFonts w:eastAsia="Times New Roman" w:cs="Arial"/>
          <w:szCs w:val="24"/>
          <w:lang w:eastAsia="x-none"/>
        </w:rPr>
        <w:t xml:space="preserve">0,72 </w:t>
      </w:r>
      <w:r w:rsidRPr="001B431A">
        <w:rPr>
          <w:rFonts w:eastAsia="Times New Roman" w:cs="Arial"/>
          <w:szCs w:val="24"/>
          <w:lang w:val="x-none" w:eastAsia="x-none"/>
        </w:rPr>
        <w:t>ton/dia na zona rural</w:t>
      </w:r>
      <w:r w:rsidRPr="001B431A">
        <w:rPr>
          <w:rFonts w:eastAsia="Times New Roman" w:cs="Arial"/>
          <w:szCs w:val="24"/>
          <w:lang w:eastAsia="x-none"/>
        </w:rPr>
        <w:t>, conforme a projeção de demanda do Produto 4</w:t>
      </w:r>
      <w:r w:rsidRPr="001B431A">
        <w:rPr>
          <w:rFonts w:eastAsia="Times New Roman" w:cs="Arial"/>
          <w:szCs w:val="24"/>
          <w:lang w:val="x-none" w:eastAsia="x-none"/>
        </w:rPr>
        <w:t xml:space="preserve">. Desses, segundo </w:t>
      </w:r>
      <w:r w:rsidRPr="001B431A">
        <w:rPr>
          <w:rFonts w:eastAsia="Times New Roman" w:cs="Arial"/>
          <w:szCs w:val="24"/>
          <w:lang w:eastAsia="x-none"/>
        </w:rPr>
        <w:t xml:space="preserve">a </w:t>
      </w:r>
      <w:r w:rsidRPr="001B431A">
        <w:rPr>
          <w:rFonts w:eastAsia="Times New Roman" w:cs="Arial"/>
          <w:szCs w:val="24"/>
          <w:lang w:val="x-none" w:eastAsia="x-none"/>
        </w:rPr>
        <w:t>composição gravimétrica</w:t>
      </w:r>
      <w:r w:rsidRPr="001B431A">
        <w:rPr>
          <w:rFonts w:eastAsia="Times New Roman" w:cs="Arial"/>
          <w:szCs w:val="24"/>
          <w:lang w:eastAsia="x-none"/>
        </w:rPr>
        <w:t xml:space="preserve"> apresentada no</w:t>
      </w:r>
      <w:r w:rsidRPr="001B431A">
        <w:rPr>
          <w:rFonts w:eastAsia="Times New Roman" w:cs="Arial"/>
          <w:szCs w:val="24"/>
          <w:lang w:val="x-none" w:eastAsia="x-none"/>
        </w:rPr>
        <w:t xml:space="preserve"> PMGIRS (2015) apresentou, 3</w:t>
      </w:r>
      <w:r w:rsidRPr="001B431A">
        <w:rPr>
          <w:rFonts w:eastAsia="Times New Roman" w:cs="Arial"/>
          <w:szCs w:val="24"/>
          <w:lang w:eastAsia="x-none"/>
        </w:rPr>
        <w:t>5</w:t>
      </w:r>
      <w:r w:rsidRPr="001B431A">
        <w:rPr>
          <w:rFonts w:eastAsia="Times New Roman" w:cs="Arial"/>
          <w:szCs w:val="24"/>
          <w:lang w:val="x-none" w:eastAsia="x-none"/>
        </w:rPr>
        <w:t>,9</w:t>
      </w:r>
      <w:r w:rsidRPr="001B431A">
        <w:rPr>
          <w:rFonts w:eastAsia="Times New Roman" w:cs="Arial"/>
          <w:szCs w:val="24"/>
          <w:lang w:eastAsia="x-none"/>
        </w:rPr>
        <w:t>4</w:t>
      </w:r>
      <w:r w:rsidRPr="001B431A">
        <w:rPr>
          <w:rFonts w:eastAsia="Times New Roman" w:cs="Arial"/>
          <w:szCs w:val="24"/>
          <w:lang w:val="x-none" w:eastAsia="x-none"/>
        </w:rPr>
        <w:t>% são considerados resíduos secos passíveis de</w:t>
      </w:r>
      <w:r w:rsidRPr="001B431A">
        <w:rPr>
          <w:rFonts w:eastAsia="Times New Roman" w:cs="Arial"/>
          <w:szCs w:val="24"/>
          <w:lang w:eastAsia="x-none"/>
        </w:rPr>
        <w:t xml:space="preserve"> </w:t>
      </w:r>
      <w:r w:rsidRPr="001B431A">
        <w:rPr>
          <w:rFonts w:eastAsia="Times New Roman" w:cs="Arial"/>
          <w:szCs w:val="24"/>
          <w:lang w:val="x-none" w:eastAsia="x-none"/>
        </w:rPr>
        <w:t>reciclagem</w:t>
      </w:r>
      <w:r w:rsidRPr="001B431A">
        <w:rPr>
          <w:rFonts w:eastAsia="Times New Roman" w:cs="Arial"/>
          <w:szCs w:val="24"/>
          <w:lang w:eastAsia="x-none"/>
        </w:rPr>
        <w:t>.</w:t>
      </w:r>
    </w:p>
    <w:p w:rsidR="001B431A" w:rsidRPr="001B431A" w:rsidRDefault="001B431A" w:rsidP="0066661F">
      <w:pPr>
        <w:numPr>
          <w:ilvl w:val="0"/>
          <w:numId w:val="17"/>
        </w:numPr>
        <w:autoSpaceDE w:val="0"/>
        <w:autoSpaceDN w:val="0"/>
        <w:adjustRightInd w:val="0"/>
        <w:spacing w:before="240" w:after="240"/>
        <w:contextualSpacing/>
        <w:jc w:val="both"/>
        <w:rPr>
          <w:rFonts w:eastAsia="Times New Roman" w:cs="Arial"/>
          <w:szCs w:val="24"/>
          <w:lang w:val="x-none" w:eastAsia="x-none"/>
        </w:rPr>
      </w:pPr>
      <w:r w:rsidRPr="001B431A">
        <w:rPr>
          <w:rFonts w:eastAsia="Times New Roman" w:cs="Arial"/>
          <w:szCs w:val="24"/>
          <w:lang w:val="x-none" w:eastAsia="x-none"/>
        </w:rPr>
        <w:t xml:space="preserve">Considerando uma densidade média de 48kg/m³ para os resíduos recicláveis secos domiciliares, e utilizando a fórmula d = m/V , são gerados diariamente </w:t>
      </w:r>
      <w:r w:rsidRPr="001B431A">
        <w:rPr>
          <w:rFonts w:eastAsia="Times New Roman" w:cs="Arial"/>
          <w:szCs w:val="24"/>
          <w:lang w:eastAsia="x-none"/>
        </w:rPr>
        <w:t>12</w:t>
      </w:r>
      <w:r w:rsidRPr="001B431A">
        <w:rPr>
          <w:rFonts w:eastAsia="Times New Roman" w:cs="Arial"/>
          <w:szCs w:val="24"/>
          <w:lang w:val="x-none" w:eastAsia="x-none"/>
        </w:rPr>
        <w:t>,</w:t>
      </w:r>
      <w:r w:rsidRPr="001B431A">
        <w:rPr>
          <w:rFonts w:eastAsia="Times New Roman" w:cs="Arial"/>
          <w:szCs w:val="24"/>
          <w:lang w:eastAsia="x-none"/>
        </w:rPr>
        <w:t>03</w:t>
      </w:r>
      <w:r w:rsidRPr="001B431A">
        <w:rPr>
          <w:rFonts w:eastAsia="Times New Roman" w:cs="Arial"/>
          <w:szCs w:val="24"/>
          <w:lang w:val="x-none" w:eastAsia="x-none"/>
        </w:rPr>
        <w:t xml:space="preserve">m³ de recicláveis secos na zona urbana e </w:t>
      </w:r>
      <w:r w:rsidRPr="001B431A">
        <w:rPr>
          <w:rFonts w:eastAsia="Times New Roman" w:cs="Arial"/>
          <w:szCs w:val="24"/>
          <w:lang w:eastAsia="x-none"/>
        </w:rPr>
        <w:t>5,36</w:t>
      </w:r>
      <w:r w:rsidRPr="001B431A">
        <w:rPr>
          <w:rFonts w:eastAsia="Times New Roman" w:cs="Arial"/>
          <w:szCs w:val="24"/>
          <w:lang w:val="x-none" w:eastAsia="x-none"/>
        </w:rPr>
        <w:t xml:space="preserve">m³ na zona rural, o que significaria transportar respectivamente </w:t>
      </w:r>
      <w:r w:rsidRPr="001B431A">
        <w:rPr>
          <w:rFonts w:eastAsia="Times New Roman" w:cs="Arial"/>
          <w:szCs w:val="24"/>
          <w:lang w:eastAsia="x-none"/>
        </w:rPr>
        <w:t>84,19</w:t>
      </w:r>
      <w:r w:rsidRPr="001B431A">
        <w:rPr>
          <w:rFonts w:eastAsia="Times New Roman" w:cs="Arial"/>
          <w:szCs w:val="24"/>
          <w:lang w:val="x-none" w:eastAsia="x-none"/>
        </w:rPr>
        <w:t xml:space="preserve">m³ e </w:t>
      </w:r>
      <w:r w:rsidRPr="001B431A">
        <w:rPr>
          <w:rFonts w:eastAsia="Times New Roman" w:cs="Arial"/>
          <w:szCs w:val="24"/>
          <w:lang w:eastAsia="x-none"/>
        </w:rPr>
        <w:t>37</w:t>
      </w:r>
      <w:r w:rsidRPr="001B431A">
        <w:rPr>
          <w:rFonts w:eastAsia="Times New Roman" w:cs="Arial"/>
          <w:szCs w:val="24"/>
          <w:lang w:val="x-none" w:eastAsia="x-none"/>
        </w:rPr>
        <w:t>,4</w:t>
      </w:r>
      <w:r w:rsidRPr="001B431A">
        <w:rPr>
          <w:rFonts w:eastAsia="Times New Roman" w:cs="Arial"/>
          <w:szCs w:val="24"/>
          <w:lang w:eastAsia="x-none"/>
        </w:rPr>
        <w:t>9</w:t>
      </w:r>
      <w:r w:rsidRPr="001B431A">
        <w:rPr>
          <w:rFonts w:eastAsia="Times New Roman" w:cs="Arial"/>
          <w:szCs w:val="24"/>
          <w:lang w:val="x-none" w:eastAsia="x-none"/>
        </w:rPr>
        <w:t>m³ por semana, considerando que a coleta seja feita no intervalo de sete dias.</w:t>
      </w:r>
    </w:p>
    <w:p w:rsidR="001B431A" w:rsidRPr="001B431A" w:rsidRDefault="001B431A" w:rsidP="0066661F">
      <w:pPr>
        <w:numPr>
          <w:ilvl w:val="0"/>
          <w:numId w:val="17"/>
        </w:numPr>
        <w:autoSpaceDE w:val="0"/>
        <w:autoSpaceDN w:val="0"/>
        <w:adjustRightInd w:val="0"/>
        <w:spacing w:before="240" w:after="240"/>
        <w:contextualSpacing/>
        <w:jc w:val="both"/>
        <w:rPr>
          <w:rFonts w:eastAsia="Times New Roman" w:cs="Arial"/>
          <w:szCs w:val="24"/>
          <w:lang w:val="x-none" w:eastAsia="x-none"/>
        </w:rPr>
      </w:pPr>
      <w:r w:rsidRPr="001B431A">
        <w:rPr>
          <w:rFonts w:eastAsia="Times New Roman" w:cs="Arial"/>
          <w:szCs w:val="24"/>
          <w:lang w:val="x-none" w:eastAsia="x-none"/>
        </w:rPr>
        <w:t>Também é importante saber se há catadores atuando nos municípios, quantos são e em que condições trabalham - se trabalham de forma individual ou familiar ou em associações e cooperativas. Cada c</w:t>
      </w:r>
      <w:r w:rsidRPr="001B431A">
        <w:rPr>
          <w:rFonts w:eastAsia="Times New Roman" w:cs="Arial"/>
          <w:szCs w:val="24"/>
          <w:lang w:eastAsia="x-none"/>
        </w:rPr>
        <w:t>atador</w:t>
      </w:r>
      <w:r w:rsidRPr="001B431A">
        <w:rPr>
          <w:rFonts w:eastAsia="Times New Roman" w:cs="Arial"/>
          <w:szCs w:val="24"/>
          <w:lang w:val="x-none" w:eastAsia="x-none"/>
        </w:rPr>
        <w:t xml:space="preserve"> </w:t>
      </w:r>
      <w:r w:rsidRPr="001B431A">
        <w:rPr>
          <w:rFonts w:eastAsia="Times New Roman" w:cs="Arial"/>
          <w:szCs w:val="24"/>
          <w:lang w:val="x-none" w:eastAsia="x-none"/>
        </w:rPr>
        <w:lastRenderedPageBreak/>
        <w:t>com um carrinho manual consegue recolher até 160</w:t>
      </w:r>
      <w:r w:rsidRPr="001B431A">
        <w:rPr>
          <w:rFonts w:eastAsia="Times New Roman" w:cs="Arial"/>
          <w:szCs w:val="24"/>
          <w:lang w:eastAsia="x-none"/>
        </w:rPr>
        <w:t>k</w:t>
      </w:r>
      <w:r w:rsidRPr="001B431A">
        <w:rPr>
          <w:rFonts w:eastAsia="Times New Roman" w:cs="Arial"/>
          <w:szCs w:val="24"/>
          <w:lang w:val="x-none" w:eastAsia="x-none"/>
        </w:rPr>
        <w:t>g/dia</w:t>
      </w:r>
      <w:r w:rsidRPr="001B431A">
        <w:rPr>
          <w:rFonts w:eastAsia="Times New Roman" w:cs="Arial"/>
          <w:szCs w:val="24"/>
          <w:lang w:eastAsia="x-none"/>
        </w:rPr>
        <w:t xml:space="preserve"> de resíduos recicláveis. Em 2038, quando a meta de reaproveitamento de recicláveis atingir 100% no município, serão necessários 6 catadores, considerando dividir o município em 2 setores (3 catadores/setor/dia).</w:t>
      </w:r>
    </w:p>
    <w:p w:rsidR="001B431A" w:rsidRPr="001B431A" w:rsidRDefault="001B431A" w:rsidP="0066661F">
      <w:pPr>
        <w:numPr>
          <w:ilvl w:val="0"/>
          <w:numId w:val="17"/>
        </w:numPr>
        <w:autoSpaceDE w:val="0"/>
        <w:autoSpaceDN w:val="0"/>
        <w:adjustRightInd w:val="0"/>
        <w:spacing w:before="240" w:after="240"/>
        <w:contextualSpacing/>
        <w:jc w:val="both"/>
        <w:rPr>
          <w:rFonts w:eastAsia="Times New Roman" w:cs="Arial"/>
          <w:color w:val="000000"/>
          <w:szCs w:val="24"/>
          <w:lang w:val="x-none" w:eastAsia="x-none"/>
        </w:rPr>
      </w:pPr>
      <w:r w:rsidRPr="001B431A">
        <w:rPr>
          <w:rFonts w:eastAsia="Times New Roman" w:cs="Arial"/>
          <w:szCs w:val="24"/>
          <w:lang w:val="x-none" w:eastAsia="x-none"/>
        </w:rPr>
        <w:t xml:space="preserve">No caso dos catadores organizados em associações e cooperativas, é necessário saber como funcionam </w:t>
      </w:r>
      <w:r w:rsidRPr="001B431A">
        <w:rPr>
          <w:rFonts w:eastAsia="Times New Roman" w:cs="Arial"/>
          <w:color w:val="000000"/>
          <w:szCs w:val="24"/>
          <w:lang w:val="x-none" w:eastAsia="x-none"/>
        </w:rPr>
        <w:t>essas organizações, quantos catadores trabalham na coleta e quantos na triagem, qual a capacidade de processamento de material, qual a renda obtida mensalmente, de quais equipamentos dispõem para coleta e para processamento dos recicláveis, quem são os principais compradores, em que condições são comercializados os resíduos (se soltos ou prensados, com que padrão, com que grau de separação), qual a estrutura administrativa e qual apoio recebem.</w:t>
      </w:r>
    </w:p>
    <w:p w:rsidR="001B431A" w:rsidRPr="001B431A" w:rsidRDefault="001B431A" w:rsidP="001B431A">
      <w:pPr>
        <w:autoSpaceDE w:val="0"/>
        <w:autoSpaceDN w:val="0"/>
        <w:adjustRightInd w:val="0"/>
        <w:ind w:firstLine="708"/>
        <w:jc w:val="both"/>
        <w:rPr>
          <w:rFonts w:cs="Arial"/>
          <w:color w:val="000000"/>
          <w:szCs w:val="24"/>
        </w:rPr>
      </w:pPr>
      <w:r w:rsidRPr="001B431A">
        <w:rPr>
          <w:rFonts w:cs="Arial"/>
          <w:color w:val="000000"/>
          <w:szCs w:val="24"/>
        </w:rPr>
        <w:t xml:space="preserve">A implantação da coleta seletiva no âmbito do município deverá ser orientada por um Programa de Coleta Seletiva, que pode comportar três subprojetos: um Projeto de Coleta e Triagem de Materiais Recicláveis, um Projeto de Inclusão dos Catadores e um Projeto de Mobilização Social e Educação Ambiental. Esses três projetos são intrinsicamente dependentes. </w:t>
      </w:r>
    </w:p>
    <w:p w:rsidR="001B431A" w:rsidRPr="001B431A" w:rsidRDefault="001B431A" w:rsidP="001B431A">
      <w:pPr>
        <w:autoSpaceDE w:val="0"/>
        <w:autoSpaceDN w:val="0"/>
        <w:adjustRightInd w:val="0"/>
        <w:ind w:firstLine="708"/>
        <w:jc w:val="both"/>
        <w:rPr>
          <w:rFonts w:cs="Arial"/>
          <w:color w:val="000000"/>
          <w:szCs w:val="24"/>
        </w:rPr>
      </w:pPr>
      <w:r w:rsidRPr="001B431A">
        <w:rPr>
          <w:rFonts w:cs="Arial"/>
          <w:color w:val="000000"/>
          <w:szCs w:val="24"/>
        </w:rPr>
        <w:t>As ações do Programa de Coleta Seletiva também exigem forte interação da equipe do município e uma série de ações operacionais. São elas: estruturação das cidades em setores de coleta seletiva a partir dos mapas e cadastros de geradores; planejamento da logística de transporte com soluções para a coleta porta a porta e para o transporte dos resíduos das áreas de acumulação temporária até os galpões de triagem; instalação de uma unidade de acumulação temporária e de área para triagem de forma a permitir o processamento dos materiais e seu escoamento; organização de grupos locais de coleta e apoio aos grupos de catadores organizados para a gestão do negócio, auxiliando sua capacitação para melhoria dos resultados na valorização dos resíduos; mobilização social e educação da população em torno do conceito da redução dos resíduos a serem aterrados e do aproveitamento dos resíduos sólidos; e planejamento do envolvimento da população, domicílio por domicílio, com os grupos locais de coleta e agentes de saúde.</w:t>
      </w:r>
    </w:p>
    <w:p w:rsidR="001B431A" w:rsidRPr="001B431A" w:rsidRDefault="001B431A" w:rsidP="00BC01B1">
      <w:pPr>
        <w:pStyle w:val="Ttulo5"/>
      </w:pPr>
      <w:bookmarkStart w:id="1063" w:name="_Toc498352177"/>
      <w:bookmarkStart w:id="1064" w:name="_Toc509935571"/>
      <w:r w:rsidRPr="001B431A">
        <w:lastRenderedPageBreak/>
        <w:t>Projeto de Coleta e Triagem de Materiais Recicláveis</w:t>
      </w:r>
      <w:bookmarkEnd w:id="1063"/>
      <w:bookmarkEnd w:id="1064"/>
    </w:p>
    <w:p w:rsidR="001B431A" w:rsidRPr="001B431A" w:rsidRDefault="001B431A" w:rsidP="001B431A">
      <w:pPr>
        <w:autoSpaceDE w:val="0"/>
        <w:autoSpaceDN w:val="0"/>
        <w:adjustRightInd w:val="0"/>
        <w:ind w:firstLine="709"/>
        <w:jc w:val="both"/>
        <w:rPr>
          <w:rFonts w:cs="Arial"/>
          <w:szCs w:val="24"/>
        </w:rPr>
      </w:pPr>
      <w:r w:rsidRPr="001B431A">
        <w:rPr>
          <w:rFonts w:cs="Arial"/>
          <w:color w:val="000000"/>
          <w:szCs w:val="24"/>
        </w:rPr>
        <w:t xml:space="preserve">O Projeto de Coleta e Triagem de Materiais Recicláveis se encarregará da elaboração da setorização e do traçado dos roteiros de coleta, do estudo da logística de transporte e da frota, do estudo e definição da localização das unidades de recepção provisória dos resíduos e dos galpões de triagem, do seu dimensionamento, do estudo da operação interna e dos fluxos de materiais nos galpões, da escolha de equipamentos de coleta e processamento dos materiais e da proposição de rotinas operacionais na coleta e </w:t>
      </w:r>
      <w:r w:rsidRPr="001B431A">
        <w:rPr>
          <w:rFonts w:cs="Arial"/>
          <w:szCs w:val="24"/>
        </w:rPr>
        <w:t>na triagem. São três as ações principais:</w:t>
      </w:r>
    </w:p>
    <w:p w:rsidR="001B431A" w:rsidRPr="001B431A" w:rsidRDefault="001B431A" w:rsidP="001B431A">
      <w:pPr>
        <w:autoSpaceDE w:val="0"/>
        <w:autoSpaceDN w:val="0"/>
        <w:adjustRightInd w:val="0"/>
        <w:spacing w:before="120" w:after="120"/>
        <w:jc w:val="both"/>
        <w:rPr>
          <w:rFonts w:cs="Arial"/>
          <w:bCs/>
          <w:szCs w:val="24"/>
        </w:rPr>
      </w:pPr>
      <w:r w:rsidRPr="001B431A">
        <w:rPr>
          <w:rFonts w:cs="Arial"/>
          <w:bCs/>
          <w:szCs w:val="24"/>
        </w:rPr>
        <w:t xml:space="preserve">a) </w:t>
      </w:r>
      <w:r w:rsidRPr="001B431A">
        <w:rPr>
          <w:rFonts w:cs="Arial"/>
          <w:bCs/>
          <w:i/>
          <w:szCs w:val="24"/>
        </w:rPr>
        <w:t>Setorização do município para a coleta</w:t>
      </w:r>
    </w:p>
    <w:p w:rsidR="001B431A" w:rsidRPr="001B431A" w:rsidRDefault="001B431A" w:rsidP="001B431A">
      <w:pPr>
        <w:autoSpaceDE w:val="0"/>
        <w:autoSpaceDN w:val="0"/>
        <w:adjustRightInd w:val="0"/>
        <w:ind w:firstLine="708"/>
        <w:jc w:val="both"/>
        <w:rPr>
          <w:rFonts w:cs="Arial"/>
          <w:szCs w:val="24"/>
        </w:rPr>
      </w:pPr>
      <w:r w:rsidRPr="001B431A">
        <w:rPr>
          <w:rFonts w:cs="Arial"/>
          <w:szCs w:val="24"/>
        </w:rPr>
        <w:t>A setorização da coleta deverá ser estruturada para atingir o maior número de habitantes. Como o município possui um número relevante de habitantes na zona rural (30,81%), a estruturação deverá ocorrer em duas zonas, na zona rural e na zona urbana.</w:t>
      </w:r>
    </w:p>
    <w:p w:rsidR="001B431A" w:rsidRPr="001B431A" w:rsidRDefault="001B431A" w:rsidP="001B431A">
      <w:pPr>
        <w:autoSpaceDE w:val="0"/>
        <w:autoSpaceDN w:val="0"/>
        <w:adjustRightInd w:val="0"/>
        <w:ind w:firstLine="708"/>
        <w:jc w:val="both"/>
        <w:rPr>
          <w:rFonts w:cs="Arial"/>
          <w:szCs w:val="24"/>
        </w:rPr>
      </w:pPr>
      <w:r w:rsidRPr="001B431A">
        <w:rPr>
          <w:rFonts w:cs="Arial"/>
          <w:szCs w:val="24"/>
        </w:rPr>
        <w:t xml:space="preserve">Na zona urbana, a estruturação dos setores é mais fácil devido à densidade, e deve ser feita pensando na coleta porta a porta, com pontos de acumulação temporária que devem </w:t>
      </w:r>
      <w:r w:rsidRPr="001B431A">
        <w:rPr>
          <w:rFonts w:cs="Arial"/>
          <w:color w:val="000000"/>
          <w:szCs w:val="24"/>
        </w:rPr>
        <w:t>ser instalados para permitir a coleta num raio de 1,5 km.</w:t>
      </w:r>
    </w:p>
    <w:p w:rsidR="001B431A" w:rsidRPr="001B431A" w:rsidRDefault="001B431A" w:rsidP="001B431A">
      <w:pPr>
        <w:autoSpaceDE w:val="0"/>
        <w:autoSpaceDN w:val="0"/>
        <w:adjustRightInd w:val="0"/>
        <w:ind w:firstLine="708"/>
        <w:jc w:val="both"/>
        <w:rPr>
          <w:rFonts w:cs="Arial"/>
          <w:szCs w:val="24"/>
        </w:rPr>
      </w:pPr>
      <w:r w:rsidRPr="001B431A">
        <w:rPr>
          <w:rFonts w:cs="Arial"/>
          <w:szCs w:val="24"/>
        </w:rPr>
        <w:t>Na zona rural, devido à dificuldade de acesso, a coleta deve ser quinzenal ou mensal e para facilitar a implantação devem ser instalados Pontos de Entregas Voluntárias (PEVs) em locais específicos e onde a população possa eventualmente acessar, como igrejas e capelas. Exemplo disso é o caso do município de Rolândia no PR, que tem um perfil rural, e que para implementar a coleta na zona rural instalou PEVs em  nove capelas do município.</w:t>
      </w:r>
    </w:p>
    <w:p w:rsidR="001B431A" w:rsidRPr="001B431A" w:rsidRDefault="001B431A" w:rsidP="001B431A">
      <w:pPr>
        <w:autoSpaceDE w:val="0"/>
        <w:autoSpaceDN w:val="0"/>
        <w:adjustRightInd w:val="0"/>
        <w:spacing w:before="120" w:after="120"/>
        <w:jc w:val="both"/>
        <w:rPr>
          <w:rFonts w:cs="Arial"/>
          <w:bCs/>
          <w:szCs w:val="24"/>
        </w:rPr>
      </w:pPr>
      <w:r w:rsidRPr="001B431A">
        <w:rPr>
          <w:rFonts w:cs="Arial"/>
          <w:bCs/>
          <w:szCs w:val="24"/>
        </w:rPr>
        <w:t xml:space="preserve">b) </w:t>
      </w:r>
      <w:r w:rsidRPr="001B431A">
        <w:rPr>
          <w:rFonts w:cs="Arial"/>
          <w:bCs/>
          <w:i/>
          <w:szCs w:val="24"/>
        </w:rPr>
        <w:t>Planejamento da logística de transporte</w:t>
      </w:r>
    </w:p>
    <w:p w:rsidR="001B431A" w:rsidRPr="001B431A" w:rsidRDefault="001B431A" w:rsidP="001B431A">
      <w:pPr>
        <w:autoSpaceDE w:val="0"/>
        <w:autoSpaceDN w:val="0"/>
        <w:adjustRightInd w:val="0"/>
        <w:ind w:firstLine="708"/>
        <w:jc w:val="both"/>
        <w:rPr>
          <w:rFonts w:cs="Arial"/>
          <w:color w:val="000000"/>
          <w:szCs w:val="24"/>
        </w:rPr>
      </w:pPr>
      <w:r w:rsidRPr="001B431A">
        <w:rPr>
          <w:rFonts w:cs="Arial"/>
          <w:color w:val="000000"/>
          <w:szCs w:val="24"/>
        </w:rPr>
        <w:t>Para o planejamento da logística de transporte é preciso estabelecer alguns parâmetros:</w:t>
      </w:r>
    </w:p>
    <w:p w:rsidR="001B431A" w:rsidRPr="001B431A" w:rsidRDefault="001B431A" w:rsidP="0066661F">
      <w:pPr>
        <w:numPr>
          <w:ilvl w:val="0"/>
          <w:numId w:val="18"/>
        </w:numPr>
        <w:autoSpaceDE w:val="0"/>
        <w:autoSpaceDN w:val="0"/>
        <w:adjustRightInd w:val="0"/>
        <w:spacing w:before="240" w:after="240"/>
        <w:contextualSpacing/>
        <w:jc w:val="both"/>
        <w:rPr>
          <w:rFonts w:eastAsia="Times New Roman" w:cs="Arial"/>
          <w:color w:val="000000"/>
          <w:szCs w:val="24"/>
          <w:lang w:val="x-none" w:eastAsia="x-none"/>
        </w:rPr>
      </w:pPr>
      <w:r w:rsidRPr="001B431A">
        <w:rPr>
          <w:rFonts w:eastAsia="Times New Roman" w:cs="Arial"/>
          <w:color w:val="000000"/>
          <w:szCs w:val="24"/>
          <w:lang w:val="x-none" w:eastAsia="x-none"/>
        </w:rPr>
        <w:t>A velocidade de coleta não varia com diferentes tipos de veículos, pois é dada pela velocidade de abordagem do catador em cada residência. Admite-se que, no modelo proposto para zona urbana, a velocidade média de coleta seja de 4 km/h</w:t>
      </w:r>
      <w:r w:rsidRPr="001B431A">
        <w:rPr>
          <w:rFonts w:eastAsia="Times New Roman" w:cs="Arial"/>
          <w:color w:val="000000"/>
          <w:szCs w:val="24"/>
          <w:lang w:eastAsia="x-none"/>
        </w:rPr>
        <w:t xml:space="preserve"> </w:t>
      </w:r>
      <w:r w:rsidRPr="001B431A">
        <w:rPr>
          <w:rFonts w:eastAsia="Times New Roman" w:cs="Arial"/>
          <w:color w:val="000000"/>
          <w:szCs w:val="24"/>
          <w:lang w:val="x-none" w:eastAsia="x-none"/>
        </w:rPr>
        <w:t xml:space="preserve">e a velocidade de transporte dos caminhões que levam resíduos dos </w:t>
      </w:r>
      <w:r w:rsidRPr="001B431A">
        <w:rPr>
          <w:rFonts w:eastAsia="Times New Roman" w:cs="Arial"/>
          <w:color w:val="000000"/>
          <w:szCs w:val="24"/>
          <w:lang w:val="x-none" w:eastAsia="x-none"/>
        </w:rPr>
        <w:lastRenderedPageBreak/>
        <w:t>pontos de acumulação temporária aos galpões de triagem deve ser considerada como de 40 km/h, em média.</w:t>
      </w:r>
    </w:p>
    <w:p w:rsidR="001B431A" w:rsidRPr="001B431A" w:rsidRDefault="001B431A" w:rsidP="0066661F">
      <w:pPr>
        <w:numPr>
          <w:ilvl w:val="0"/>
          <w:numId w:val="18"/>
        </w:numPr>
        <w:autoSpaceDE w:val="0"/>
        <w:autoSpaceDN w:val="0"/>
        <w:adjustRightInd w:val="0"/>
        <w:spacing w:before="240" w:after="240"/>
        <w:contextualSpacing/>
        <w:jc w:val="both"/>
        <w:rPr>
          <w:rFonts w:eastAsia="Times New Roman" w:cs="Arial"/>
          <w:szCs w:val="24"/>
          <w:lang w:val="x-none" w:eastAsia="x-none"/>
        </w:rPr>
      </w:pPr>
      <w:r w:rsidRPr="001B431A">
        <w:rPr>
          <w:rFonts w:eastAsia="Times New Roman" w:cs="Arial"/>
          <w:color w:val="000000"/>
          <w:szCs w:val="24"/>
          <w:lang w:val="x-none" w:eastAsia="x-none"/>
        </w:rPr>
        <w:t xml:space="preserve">A capacidade de transporte varia segundo o tipo de veículo: moto com carreta ou carrinho elétrico, 4 m³; Kombi com gaiola, até 8 m³; e caminhão baú ou com gaiola, 32 m³. A escolha dos veículos a serem utilizados na etapa da coleta porta a porta depende das condições </w:t>
      </w:r>
      <w:r w:rsidRPr="001B431A">
        <w:rPr>
          <w:rFonts w:eastAsia="Times New Roman" w:cs="Arial"/>
          <w:szCs w:val="24"/>
          <w:lang w:val="x-none" w:eastAsia="x-none"/>
        </w:rPr>
        <w:t>topográficas e da logística necessária</w:t>
      </w:r>
      <w:r w:rsidRPr="001B431A">
        <w:rPr>
          <w:rFonts w:eastAsia="Times New Roman" w:cs="Arial"/>
          <w:szCs w:val="24"/>
          <w:lang w:eastAsia="x-none"/>
        </w:rPr>
        <w:t>.</w:t>
      </w:r>
    </w:p>
    <w:p w:rsidR="001B431A" w:rsidRPr="001B431A" w:rsidRDefault="001B431A" w:rsidP="0066661F">
      <w:pPr>
        <w:numPr>
          <w:ilvl w:val="0"/>
          <w:numId w:val="18"/>
        </w:numPr>
        <w:autoSpaceDE w:val="0"/>
        <w:autoSpaceDN w:val="0"/>
        <w:adjustRightInd w:val="0"/>
        <w:spacing w:before="240" w:after="240"/>
        <w:contextualSpacing/>
        <w:jc w:val="both"/>
        <w:rPr>
          <w:rFonts w:eastAsia="Times New Roman" w:cs="Arial"/>
          <w:szCs w:val="24"/>
          <w:lang w:val="x-none" w:eastAsia="x-none"/>
        </w:rPr>
      </w:pPr>
      <w:r w:rsidRPr="001B431A">
        <w:rPr>
          <w:rFonts w:eastAsia="Times New Roman" w:cs="Arial"/>
          <w:szCs w:val="24"/>
          <w:lang w:eastAsia="x-none"/>
        </w:rPr>
        <w:t>Segundo a meta estabelecida neste PMSB, a</w:t>
      </w:r>
      <w:r w:rsidRPr="001B431A">
        <w:rPr>
          <w:rFonts w:eastAsia="Times New Roman" w:cs="Arial"/>
          <w:szCs w:val="24"/>
          <w:lang w:val="x-none" w:eastAsia="x-none"/>
        </w:rPr>
        <w:t xml:space="preserve"> quantidade de material a ser </w:t>
      </w:r>
      <w:r w:rsidRPr="001B431A">
        <w:rPr>
          <w:rFonts w:eastAsia="Times New Roman" w:cs="Arial"/>
          <w:szCs w:val="24"/>
          <w:lang w:eastAsia="x-none"/>
        </w:rPr>
        <w:t xml:space="preserve">reaproveitado chegará a </w:t>
      </w:r>
      <w:r w:rsidRPr="001B431A">
        <w:rPr>
          <w:rFonts w:eastAsia="Times New Roman" w:cs="Arial"/>
          <w:szCs w:val="24"/>
          <w:lang w:val="x-none" w:eastAsia="x-none"/>
        </w:rPr>
        <w:t>100% em 203</w:t>
      </w:r>
      <w:r w:rsidRPr="001B431A">
        <w:rPr>
          <w:rFonts w:eastAsia="Times New Roman" w:cs="Arial"/>
          <w:szCs w:val="24"/>
          <w:lang w:eastAsia="x-none"/>
        </w:rPr>
        <w:t>8</w:t>
      </w:r>
      <w:r w:rsidRPr="001B431A">
        <w:rPr>
          <w:rFonts w:eastAsia="Times New Roman" w:cs="Arial"/>
          <w:szCs w:val="24"/>
          <w:lang w:val="x-none" w:eastAsia="x-none"/>
        </w:rPr>
        <w:t>.</w:t>
      </w:r>
      <w:r w:rsidRPr="001B431A">
        <w:rPr>
          <w:rFonts w:eastAsia="Times New Roman" w:cs="Arial"/>
          <w:szCs w:val="24"/>
          <w:lang w:eastAsia="x-none"/>
        </w:rPr>
        <w:t xml:space="preserve"> </w:t>
      </w:r>
    </w:p>
    <w:p w:rsidR="001B431A" w:rsidRPr="001B431A" w:rsidRDefault="001B431A" w:rsidP="0066661F">
      <w:pPr>
        <w:numPr>
          <w:ilvl w:val="0"/>
          <w:numId w:val="18"/>
        </w:numPr>
        <w:autoSpaceDE w:val="0"/>
        <w:autoSpaceDN w:val="0"/>
        <w:adjustRightInd w:val="0"/>
        <w:spacing w:before="240" w:after="240"/>
        <w:contextualSpacing/>
        <w:jc w:val="both"/>
        <w:rPr>
          <w:rFonts w:eastAsia="Times New Roman" w:cs="Arial"/>
          <w:szCs w:val="24"/>
          <w:lang w:val="x-none" w:eastAsia="x-none"/>
        </w:rPr>
      </w:pPr>
      <w:r w:rsidRPr="001B431A">
        <w:rPr>
          <w:rFonts w:eastAsia="Times New Roman" w:cs="Arial"/>
          <w:szCs w:val="24"/>
          <w:lang w:val="x-none" w:eastAsia="x-none"/>
        </w:rPr>
        <w:t>A capacidade dos veículos deve ser planejada com foco no aumento do material  a ser coletado e de forma que atenda tanto</w:t>
      </w:r>
      <w:r w:rsidRPr="001B431A">
        <w:rPr>
          <w:rFonts w:eastAsia="Times New Roman" w:cs="Arial"/>
          <w:color w:val="000000"/>
          <w:szCs w:val="24"/>
          <w:lang w:val="x-none" w:eastAsia="x-none"/>
        </w:rPr>
        <w:t xml:space="preserve"> </w:t>
      </w:r>
      <w:r w:rsidRPr="001B431A">
        <w:rPr>
          <w:rFonts w:eastAsia="Times New Roman" w:cs="Arial"/>
          <w:color w:val="000000"/>
          <w:szCs w:val="24"/>
          <w:lang w:eastAsia="x-none"/>
        </w:rPr>
        <w:t>à</w:t>
      </w:r>
      <w:r w:rsidRPr="001B431A">
        <w:rPr>
          <w:rFonts w:eastAsia="Times New Roman" w:cs="Arial"/>
          <w:color w:val="000000"/>
          <w:szCs w:val="24"/>
          <w:lang w:val="x-none" w:eastAsia="x-none"/>
        </w:rPr>
        <w:t xml:space="preserve"> zona rural quanto </w:t>
      </w:r>
      <w:r w:rsidRPr="001B431A">
        <w:rPr>
          <w:rFonts w:eastAsia="Times New Roman" w:cs="Arial"/>
          <w:color w:val="000000"/>
          <w:szCs w:val="24"/>
          <w:lang w:eastAsia="x-none"/>
        </w:rPr>
        <w:t>à</w:t>
      </w:r>
      <w:r w:rsidRPr="001B431A">
        <w:rPr>
          <w:rFonts w:eastAsia="Times New Roman" w:cs="Arial"/>
          <w:color w:val="000000"/>
          <w:szCs w:val="24"/>
          <w:lang w:val="x-none" w:eastAsia="x-none"/>
        </w:rPr>
        <w:t xml:space="preserve"> zona urbana.</w:t>
      </w:r>
    </w:p>
    <w:p w:rsidR="001B431A" w:rsidRPr="001B431A" w:rsidRDefault="001B431A" w:rsidP="0066661F">
      <w:pPr>
        <w:numPr>
          <w:ilvl w:val="0"/>
          <w:numId w:val="18"/>
        </w:numPr>
        <w:autoSpaceDE w:val="0"/>
        <w:autoSpaceDN w:val="0"/>
        <w:adjustRightInd w:val="0"/>
        <w:spacing w:before="240" w:after="240"/>
        <w:contextualSpacing/>
        <w:jc w:val="both"/>
        <w:rPr>
          <w:rFonts w:eastAsia="Times New Roman" w:cs="Arial"/>
          <w:color w:val="000000"/>
          <w:szCs w:val="24"/>
          <w:lang w:val="x-none" w:eastAsia="x-none"/>
        </w:rPr>
      </w:pPr>
      <w:r w:rsidRPr="001B431A">
        <w:rPr>
          <w:rFonts w:eastAsia="Times New Roman" w:cs="Arial"/>
          <w:color w:val="000000"/>
          <w:szCs w:val="24"/>
          <w:lang w:eastAsia="x-none"/>
        </w:rPr>
        <w:t xml:space="preserve">O </w:t>
      </w:r>
      <w:r w:rsidRPr="001B431A">
        <w:rPr>
          <w:rFonts w:eastAsia="Times New Roman" w:cs="Arial"/>
          <w:color w:val="000000"/>
          <w:szCs w:val="24"/>
          <w:lang w:val="x-none" w:eastAsia="x-none"/>
        </w:rPr>
        <w:t xml:space="preserve">custo da coleta com transporte será menor à medida que se ampliar a quantidade de material coletado num determinado roteiro, pois os veículos circulam com menor ociosidade. Por esta razão, é conveniente que o ritmo de implantação respeite um processo de “universalização por setor”, ou seja, é melhor completar a implantação da coleta em um setor, operando com toda a capacidade os veículos e os pontos de acumulação temporária, </w:t>
      </w:r>
      <w:r w:rsidRPr="001B431A">
        <w:rPr>
          <w:rFonts w:eastAsia="Times New Roman" w:cs="Arial"/>
          <w:color w:val="000000"/>
          <w:szCs w:val="24"/>
          <w:lang w:eastAsia="x-none"/>
        </w:rPr>
        <w:t xml:space="preserve">em vez de </w:t>
      </w:r>
      <w:r w:rsidRPr="001B431A">
        <w:rPr>
          <w:rFonts w:eastAsia="Times New Roman" w:cs="Arial"/>
          <w:color w:val="000000"/>
          <w:szCs w:val="24"/>
          <w:lang w:val="x-none" w:eastAsia="x-none"/>
        </w:rPr>
        <w:t>iniciar em vários setores ao mesmo tempo.</w:t>
      </w:r>
    </w:p>
    <w:p w:rsidR="001B431A" w:rsidRPr="001B431A" w:rsidRDefault="001B431A" w:rsidP="001B431A">
      <w:pPr>
        <w:autoSpaceDE w:val="0"/>
        <w:autoSpaceDN w:val="0"/>
        <w:adjustRightInd w:val="0"/>
        <w:spacing w:before="240" w:after="240"/>
        <w:ind w:firstLine="696"/>
        <w:contextualSpacing/>
        <w:jc w:val="both"/>
        <w:rPr>
          <w:rFonts w:eastAsia="Times New Roman" w:cs="Arial"/>
          <w:color w:val="000000"/>
          <w:szCs w:val="24"/>
          <w:lang w:eastAsia="x-none"/>
        </w:rPr>
      </w:pPr>
      <w:r w:rsidRPr="001B431A">
        <w:rPr>
          <w:rFonts w:eastAsia="Times New Roman" w:cs="Arial"/>
          <w:color w:val="000000"/>
          <w:szCs w:val="24"/>
          <w:lang w:eastAsia="x-none"/>
        </w:rPr>
        <w:t xml:space="preserve">A logística, assim como a </w:t>
      </w:r>
      <w:r w:rsidRPr="001B431A">
        <w:rPr>
          <w:rFonts w:eastAsia="Times New Roman" w:cs="Arial"/>
          <w:color w:val="000000"/>
          <w:szCs w:val="24"/>
          <w:lang w:val="x-none" w:eastAsia="x-none"/>
        </w:rPr>
        <w:t>setorização, requer duas soluções, uma com foco na zona urbana e outra na zona rural.</w:t>
      </w:r>
    </w:p>
    <w:p w:rsidR="001B431A" w:rsidRPr="001B431A" w:rsidRDefault="001B431A" w:rsidP="001B431A">
      <w:pPr>
        <w:autoSpaceDE w:val="0"/>
        <w:autoSpaceDN w:val="0"/>
        <w:adjustRightInd w:val="0"/>
        <w:spacing w:before="240" w:after="240"/>
        <w:ind w:firstLine="696"/>
        <w:contextualSpacing/>
        <w:jc w:val="both"/>
        <w:rPr>
          <w:rFonts w:eastAsia="Times New Roman" w:cs="Arial"/>
          <w:color w:val="000000"/>
          <w:szCs w:val="24"/>
          <w:lang w:eastAsia="x-none"/>
        </w:rPr>
      </w:pPr>
      <w:r w:rsidRPr="001B431A">
        <w:rPr>
          <w:rFonts w:eastAsia="Times New Roman" w:cs="Arial"/>
          <w:color w:val="000000"/>
          <w:szCs w:val="24"/>
          <w:lang w:val="x-none" w:eastAsia="x-none"/>
        </w:rPr>
        <w:t xml:space="preserve">Como planejamento para </w:t>
      </w:r>
      <w:r w:rsidRPr="001B431A">
        <w:rPr>
          <w:rFonts w:eastAsia="Times New Roman" w:cs="Arial"/>
          <w:color w:val="000000"/>
          <w:szCs w:val="24"/>
          <w:lang w:eastAsia="x-none"/>
        </w:rPr>
        <w:t xml:space="preserve">a </w:t>
      </w:r>
      <w:r w:rsidRPr="001B431A">
        <w:rPr>
          <w:rFonts w:eastAsia="Times New Roman" w:cs="Arial"/>
          <w:color w:val="000000"/>
          <w:szCs w:val="24"/>
          <w:lang w:val="x-none" w:eastAsia="x-none"/>
        </w:rPr>
        <w:t xml:space="preserve">zona urbana, </w:t>
      </w:r>
      <w:r w:rsidRPr="001B431A">
        <w:rPr>
          <w:rFonts w:eastAsia="Times New Roman" w:cs="Arial"/>
          <w:color w:val="000000"/>
          <w:szCs w:val="24"/>
          <w:lang w:eastAsia="x-none"/>
        </w:rPr>
        <w:t xml:space="preserve">na </w:t>
      </w:r>
      <w:r w:rsidRPr="001B431A">
        <w:rPr>
          <w:rFonts w:eastAsia="Times New Roman" w:cs="Arial"/>
          <w:color w:val="000000"/>
          <w:szCs w:val="24"/>
          <w:lang w:val="x-none" w:eastAsia="x-none"/>
        </w:rPr>
        <w:t>coleta porta a porta</w:t>
      </w:r>
      <w:r w:rsidRPr="001B431A">
        <w:rPr>
          <w:rFonts w:eastAsia="Times New Roman" w:cs="Arial"/>
          <w:color w:val="000000"/>
          <w:szCs w:val="24"/>
          <w:lang w:eastAsia="x-none"/>
        </w:rPr>
        <w:t xml:space="preserve"> </w:t>
      </w:r>
      <w:r w:rsidRPr="001B431A">
        <w:rPr>
          <w:rFonts w:eastAsia="Times New Roman" w:cs="Arial"/>
          <w:color w:val="000000"/>
          <w:szCs w:val="24"/>
          <w:lang w:val="x-none" w:eastAsia="x-none"/>
        </w:rPr>
        <w:t>pode</w:t>
      </w:r>
      <w:r w:rsidRPr="001B431A">
        <w:rPr>
          <w:rFonts w:eastAsia="Times New Roman" w:cs="Arial"/>
          <w:color w:val="000000"/>
          <w:szCs w:val="24"/>
          <w:lang w:eastAsia="x-none"/>
        </w:rPr>
        <w:t>m</w:t>
      </w:r>
      <w:r w:rsidRPr="001B431A">
        <w:rPr>
          <w:rFonts w:eastAsia="Times New Roman" w:cs="Arial"/>
          <w:color w:val="000000"/>
          <w:szCs w:val="24"/>
          <w:lang w:val="x-none" w:eastAsia="x-none"/>
        </w:rPr>
        <w:t xml:space="preserve"> ser utilizados veículos leves e adaptados para coleta de baixa velocidade</w:t>
      </w:r>
      <w:r w:rsidRPr="001B431A">
        <w:rPr>
          <w:rFonts w:eastAsia="Times New Roman" w:cs="Arial"/>
          <w:color w:val="000000"/>
          <w:szCs w:val="24"/>
          <w:lang w:eastAsia="x-none"/>
        </w:rPr>
        <w:t>. A</w:t>
      </w:r>
      <w:r w:rsidRPr="001B431A">
        <w:rPr>
          <w:rFonts w:eastAsia="Times New Roman" w:cs="Arial"/>
          <w:color w:val="000000"/>
          <w:szCs w:val="24"/>
          <w:lang w:val="x-none" w:eastAsia="x-none"/>
        </w:rPr>
        <w:t>pós serem armazenados em po</w:t>
      </w:r>
      <w:r w:rsidRPr="001B431A">
        <w:rPr>
          <w:rFonts w:eastAsia="Times New Roman" w:cs="Arial"/>
          <w:color w:val="000000"/>
          <w:szCs w:val="24"/>
          <w:lang w:eastAsia="x-none"/>
        </w:rPr>
        <w:t>n</w:t>
      </w:r>
      <w:r w:rsidRPr="001B431A">
        <w:rPr>
          <w:rFonts w:eastAsia="Times New Roman" w:cs="Arial"/>
          <w:color w:val="000000"/>
          <w:szCs w:val="24"/>
          <w:lang w:val="x-none" w:eastAsia="x-none"/>
        </w:rPr>
        <w:t xml:space="preserve">to de acumulação temporária, </w:t>
      </w:r>
      <w:r w:rsidRPr="001B431A">
        <w:rPr>
          <w:rFonts w:eastAsia="Times New Roman" w:cs="Arial"/>
          <w:color w:val="000000"/>
          <w:szCs w:val="24"/>
          <w:lang w:eastAsia="x-none"/>
        </w:rPr>
        <w:t xml:space="preserve">pode-se </w:t>
      </w:r>
      <w:r w:rsidRPr="001B431A">
        <w:rPr>
          <w:rFonts w:eastAsia="Times New Roman" w:cs="Arial"/>
          <w:color w:val="000000"/>
          <w:szCs w:val="24"/>
          <w:lang w:val="x-none" w:eastAsia="x-none"/>
        </w:rPr>
        <w:t xml:space="preserve">utilizar veículos maiores para o transbordo para </w:t>
      </w:r>
      <w:r w:rsidRPr="001B431A">
        <w:rPr>
          <w:rFonts w:eastAsia="Times New Roman" w:cs="Arial"/>
          <w:color w:val="000000"/>
          <w:szCs w:val="24"/>
          <w:lang w:eastAsia="x-none"/>
        </w:rPr>
        <w:t xml:space="preserve">a </w:t>
      </w:r>
      <w:r w:rsidRPr="001B431A">
        <w:rPr>
          <w:rFonts w:eastAsia="Times New Roman" w:cs="Arial"/>
          <w:color w:val="000000"/>
          <w:szCs w:val="24"/>
          <w:lang w:val="x-none" w:eastAsia="x-none"/>
        </w:rPr>
        <w:t>área de triagem final.</w:t>
      </w:r>
    </w:p>
    <w:p w:rsidR="001B431A" w:rsidRPr="001B431A" w:rsidRDefault="001B431A" w:rsidP="001B431A">
      <w:pPr>
        <w:autoSpaceDE w:val="0"/>
        <w:autoSpaceDN w:val="0"/>
        <w:adjustRightInd w:val="0"/>
        <w:spacing w:before="240" w:after="240"/>
        <w:ind w:firstLine="696"/>
        <w:contextualSpacing/>
        <w:jc w:val="both"/>
        <w:rPr>
          <w:rFonts w:eastAsia="Times New Roman" w:cs="Arial"/>
          <w:szCs w:val="24"/>
          <w:lang w:eastAsia="x-none"/>
        </w:rPr>
      </w:pPr>
      <w:r w:rsidRPr="001B431A">
        <w:rPr>
          <w:rFonts w:eastAsia="Times New Roman" w:cs="Arial"/>
          <w:color w:val="000000"/>
          <w:szCs w:val="24"/>
          <w:lang w:val="x-none" w:eastAsia="x-none"/>
        </w:rPr>
        <w:t xml:space="preserve">Como planejamento para a zona rural, </w:t>
      </w:r>
      <w:r w:rsidRPr="001B431A">
        <w:rPr>
          <w:rFonts w:eastAsia="Times New Roman" w:cs="Arial"/>
          <w:color w:val="000000"/>
          <w:szCs w:val="24"/>
          <w:lang w:eastAsia="x-none"/>
        </w:rPr>
        <w:t xml:space="preserve">no </w:t>
      </w:r>
      <w:r w:rsidRPr="001B431A">
        <w:rPr>
          <w:rFonts w:eastAsia="Times New Roman" w:cs="Arial"/>
          <w:color w:val="000000"/>
          <w:szCs w:val="24"/>
          <w:lang w:val="x-none" w:eastAsia="x-none"/>
        </w:rPr>
        <w:t xml:space="preserve">transporte </w:t>
      </w:r>
      <w:r w:rsidRPr="001B431A">
        <w:rPr>
          <w:rFonts w:eastAsia="Times New Roman" w:cs="Arial"/>
          <w:color w:val="000000"/>
          <w:szCs w:val="24"/>
          <w:lang w:eastAsia="x-none"/>
        </w:rPr>
        <w:t xml:space="preserve">de resíduos </w:t>
      </w:r>
      <w:r w:rsidRPr="001B431A">
        <w:rPr>
          <w:rFonts w:eastAsia="Times New Roman" w:cs="Arial"/>
          <w:color w:val="000000"/>
          <w:szCs w:val="24"/>
          <w:lang w:val="x-none" w:eastAsia="x-none"/>
        </w:rPr>
        <w:t xml:space="preserve">dos </w:t>
      </w:r>
      <w:r w:rsidRPr="001B431A">
        <w:rPr>
          <w:rFonts w:eastAsia="Times New Roman" w:cs="Arial"/>
          <w:color w:val="000000"/>
          <w:szCs w:val="24"/>
          <w:lang w:eastAsia="x-none"/>
        </w:rPr>
        <w:t xml:space="preserve">pontos de acumulação temporária </w:t>
      </w:r>
      <w:r w:rsidRPr="001B431A">
        <w:rPr>
          <w:rFonts w:eastAsia="Times New Roman" w:cs="Arial"/>
          <w:szCs w:val="24"/>
          <w:lang w:val="x-none" w:eastAsia="x-none"/>
        </w:rPr>
        <w:t>aos galpões de triagem, os veículos mais apropriados são caminhões</w:t>
      </w:r>
      <w:r w:rsidRPr="001B431A">
        <w:rPr>
          <w:rFonts w:eastAsia="Times New Roman" w:cs="Arial"/>
          <w:szCs w:val="24"/>
          <w:lang w:eastAsia="x-none"/>
        </w:rPr>
        <w:t>-</w:t>
      </w:r>
      <w:r w:rsidRPr="001B431A">
        <w:rPr>
          <w:rFonts w:eastAsia="Times New Roman" w:cs="Arial"/>
          <w:szCs w:val="24"/>
          <w:lang w:val="x-none" w:eastAsia="x-none"/>
        </w:rPr>
        <w:t>baú ou com carroceria adaptada.</w:t>
      </w:r>
    </w:p>
    <w:p w:rsidR="001B431A" w:rsidRPr="001B431A" w:rsidRDefault="001B431A" w:rsidP="001B431A">
      <w:pPr>
        <w:autoSpaceDE w:val="0"/>
        <w:autoSpaceDN w:val="0"/>
        <w:adjustRightInd w:val="0"/>
        <w:ind w:firstLine="696"/>
        <w:contextualSpacing/>
        <w:jc w:val="both"/>
        <w:rPr>
          <w:rFonts w:eastAsia="Times New Roman"/>
          <w:szCs w:val="24"/>
          <w:lang w:eastAsia="x-none"/>
        </w:rPr>
      </w:pPr>
      <w:r w:rsidRPr="001B431A">
        <w:rPr>
          <w:rFonts w:eastAsia="Times New Roman"/>
          <w:szCs w:val="24"/>
          <w:lang w:val="x-none" w:eastAsia="x-none"/>
        </w:rPr>
        <w:t xml:space="preserve">Feitas tais considerações, é conveniente, se ainda não houver veículos, planejar a aquisição de um veículo de menor capacidade (8m³), o que representaria, num universo de aproveitamento e coleta de </w:t>
      </w:r>
      <w:r w:rsidRPr="001B431A">
        <w:rPr>
          <w:rFonts w:eastAsia="Times New Roman"/>
          <w:szCs w:val="24"/>
          <w:lang w:eastAsia="x-none"/>
        </w:rPr>
        <w:t>10</w:t>
      </w:r>
      <w:r w:rsidRPr="001B431A">
        <w:rPr>
          <w:rFonts w:eastAsia="Times New Roman"/>
          <w:szCs w:val="24"/>
          <w:lang w:val="x-none" w:eastAsia="x-none"/>
        </w:rPr>
        <w:t xml:space="preserve">0% de resíduos recicláveis secos </w:t>
      </w:r>
      <w:r w:rsidRPr="001B431A">
        <w:rPr>
          <w:rFonts w:eastAsia="Times New Roman"/>
          <w:szCs w:val="24"/>
          <w:lang w:eastAsia="x-none"/>
        </w:rPr>
        <w:t>até</w:t>
      </w:r>
      <w:r w:rsidRPr="001B431A">
        <w:rPr>
          <w:rFonts w:eastAsia="Times New Roman"/>
          <w:szCs w:val="24"/>
          <w:lang w:val="x-none" w:eastAsia="x-none"/>
        </w:rPr>
        <w:t xml:space="preserve"> 203</w:t>
      </w:r>
      <w:r w:rsidRPr="001B431A">
        <w:rPr>
          <w:rFonts w:eastAsia="Times New Roman"/>
          <w:szCs w:val="24"/>
          <w:lang w:eastAsia="x-none"/>
        </w:rPr>
        <w:t>8</w:t>
      </w:r>
      <w:r w:rsidRPr="001B431A">
        <w:rPr>
          <w:rFonts w:eastAsia="Times New Roman"/>
          <w:szCs w:val="24"/>
          <w:lang w:val="x-none" w:eastAsia="x-none"/>
        </w:rPr>
        <w:t xml:space="preserve">, </w:t>
      </w:r>
      <w:r w:rsidRPr="001B431A">
        <w:rPr>
          <w:rFonts w:eastAsia="Times New Roman"/>
          <w:szCs w:val="24"/>
          <w:lang w:eastAsia="x-none"/>
        </w:rPr>
        <w:t xml:space="preserve">11 </w:t>
      </w:r>
      <w:r w:rsidRPr="001B431A">
        <w:rPr>
          <w:rFonts w:eastAsia="Times New Roman"/>
          <w:szCs w:val="24"/>
          <w:lang w:val="x-none" w:eastAsia="x-none"/>
        </w:rPr>
        <w:t xml:space="preserve">operações de transbordo por semana na zona urbana e </w:t>
      </w:r>
      <w:r w:rsidRPr="001B431A">
        <w:rPr>
          <w:rFonts w:eastAsia="Times New Roman"/>
          <w:szCs w:val="24"/>
          <w:lang w:eastAsia="x-none"/>
        </w:rPr>
        <w:t xml:space="preserve">5 na </w:t>
      </w:r>
      <w:r w:rsidRPr="001B431A">
        <w:rPr>
          <w:rFonts w:eastAsia="Times New Roman"/>
          <w:szCs w:val="24"/>
          <w:lang w:val="x-none" w:eastAsia="x-none"/>
        </w:rPr>
        <w:t xml:space="preserve">zona rural. Caso </w:t>
      </w:r>
      <w:r w:rsidRPr="001B431A">
        <w:rPr>
          <w:rFonts w:eastAsia="Times New Roman"/>
          <w:szCs w:val="24"/>
          <w:lang w:val="x-none" w:eastAsia="x-none"/>
        </w:rPr>
        <w:lastRenderedPageBreak/>
        <w:t xml:space="preserve">optem pelo uso de um veículo maior (32m³), serão então necessárias </w:t>
      </w:r>
      <w:r w:rsidRPr="001B431A">
        <w:rPr>
          <w:rFonts w:eastAsia="Times New Roman"/>
          <w:szCs w:val="24"/>
          <w:lang w:eastAsia="x-none"/>
        </w:rPr>
        <w:t>4</w:t>
      </w:r>
      <w:r w:rsidRPr="001B431A">
        <w:rPr>
          <w:rFonts w:eastAsia="Times New Roman"/>
          <w:szCs w:val="24"/>
          <w:lang w:val="x-none" w:eastAsia="x-none"/>
        </w:rPr>
        <w:t xml:space="preserve"> operações de transbordo por semana, sendo </w:t>
      </w:r>
      <w:r w:rsidRPr="001B431A">
        <w:rPr>
          <w:rFonts w:eastAsia="Times New Roman"/>
          <w:szCs w:val="24"/>
          <w:lang w:eastAsia="x-none"/>
        </w:rPr>
        <w:t>3</w:t>
      </w:r>
      <w:r w:rsidRPr="001B431A">
        <w:rPr>
          <w:rFonts w:eastAsia="Times New Roman"/>
          <w:szCs w:val="24"/>
          <w:lang w:val="x-none" w:eastAsia="x-none"/>
        </w:rPr>
        <w:t xml:space="preserve"> na zona urbana e </w:t>
      </w:r>
      <w:r w:rsidRPr="001B431A">
        <w:rPr>
          <w:rFonts w:eastAsia="Times New Roman"/>
          <w:szCs w:val="24"/>
          <w:lang w:eastAsia="x-none"/>
        </w:rPr>
        <w:t>1</w:t>
      </w:r>
      <w:r w:rsidRPr="001B431A">
        <w:rPr>
          <w:rFonts w:eastAsia="Times New Roman"/>
          <w:szCs w:val="24"/>
          <w:lang w:val="x-none" w:eastAsia="x-none"/>
        </w:rPr>
        <w:t xml:space="preserve"> na zona rural.</w:t>
      </w:r>
    </w:p>
    <w:p w:rsidR="001B431A" w:rsidRPr="001B431A" w:rsidRDefault="001B431A" w:rsidP="001B431A">
      <w:pPr>
        <w:autoSpaceDE w:val="0"/>
        <w:autoSpaceDN w:val="0"/>
        <w:adjustRightInd w:val="0"/>
        <w:spacing w:before="120" w:after="120"/>
        <w:jc w:val="both"/>
        <w:rPr>
          <w:rFonts w:cs="Arial"/>
          <w:bCs/>
          <w:szCs w:val="24"/>
        </w:rPr>
      </w:pPr>
      <w:r w:rsidRPr="001B431A">
        <w:rPr>
          <w:rFonts w:cs="Arial"/>
          <w:bCs/>
          <w:szCs w:val="24"/>
        </w:rPr>
        <w:t>c</w:t>
      </w:r>
      <w:r w:rsidRPr="001B431A">
        <w:rPr>
          <w:rFonts w:cs="Arial"/>
          <w:bCs/>
          <w:i/>
          <w:szCs w:val="24"/>
        </w:rPr>
        <w:t>) Instalação de uma rede de pontos de acumulação temporária e unidades de triagem</w:t>
      </w:r>
    </w:p>
    <w:p w:rsidR="001B431A" w:rsidRPr="001B431A" w:rsidRDefault="001B431A" w:rsidP="001B431A">
      <w:pPr>
        <w:autoSpaceDE w:val="0"/>
        <w:autoSpaceDN w:val="0"/>
        <w:adjustRightInd w:val="0"/>
        <w:ind w:firstLine="708"/>
        <w:jc w:val="both"/>
        <w:rPr>
          <w:rFonts w:cs="Arial"/>
          <w:color w:val="000000"/>
          <w:szCs w:val="24"/>
        </w:rPr>
      </w:pPr>
      <w:r w:rsidRPr="001B431A">
        <w:rPr>
          <w:rFonts w:cs="Arial"/>
          <w:color w:val="000000"/>
          <w:szCs w:val="24"/>
        </w:rPr>
        <w:t xml:space="preserve">A rede de pontos de acumulação temporária deve ser coerente com a setorização da coleta seletiva e deve prever pelo menos um ponto em cada setor. O ideal é que sejam utilizados para isso os PEVs que recebem resíduos da construção civil e resíduos volumosos, que também deverão ser previstos e instalados por determinação da Resolução CONAMA nº 307/02. </w:t>
      </w:r>
    </w:p>
    <w:p w:rsidR="001B431A" w:rsidRPr="001B431A" w:rsidRDefault="001B431A" w:rsidP="001B431A">
      <w:pPr>
        <w:autoSpaceDE w:val="0"/>
        <w:autoSpaceDN w:val="0"/>
        <w:adjustRightInd w:val="0"/>
        <w:ind w:firstLine="708"/>
        <w:jc w:val="both"/>
        <w:rPr>
          <w:rFonts w:cs="Arial"/>
          <w:color w:val="000000"/>
          <w:szCs w:val="24"/>
        </w:rPr>
      </w:pPr>
      <w:r w:rsidRPr="001B431A">
        <w:rPr>
          <w:rFonts w:cs="Arial"/>
          <w:color w:val="000000"/>
          <w:szCs w:val="24"/>
        </w:rPr>
        <w:t xml:space="preserve">Cada uma dessas instalações deve prever local para a acumulação temporária dos resíduos da coleta seletiva, bem como a guarda dos veículos e vestiários para os catadores. </w:t>
      </w:r>
    </w:p>
    <w:p w:rsidR="001B431A" w:rsidRPr="001B431A" w:rsidRDefault="001B431A" w:rsidP="001B431A">
      <w:pPr>
        <w:autoSpaceDE w:val="0"/>
        <w:autoSpaceDN w:val="0"/>
        <w:adjustRightInd w:val="0"/>
        <w:ind w:firstLine="708"/>
        <w:jc w:val="both"/>
        <w:rPr>
          <w:rFonts w:cs="Arial"/>
          <w:color w:val="000000"/>
          <w:szCs w:val="24"/>
        </w:rPr>
      </w:pPr>
      <w:r w:rsidRPr="001B431A">
        <w:rPr>
          <w:rFonts w:cs="Arial"/>
          <w:color w:val="000000"/>
          <w:szCs w:val="24"/>
        </w:rPr>
        <w:t xml:space="preserve">Eles são dotados, também, de uma pequena área administrativa, sanitários e refeitório para os catadores vinculados ao setor e para o funcionário encarregado da recepção dos resíduos. O planejamento da coleta seletiva também deve prever a instalação de unidades de triagem dos materiais coletados. </w:t>
      </w:r>
    </w:p>
    <w:p w:rsidR="001B431A" w:rsidRPr="001B431A" w:rsidRDefault="001B431A" w:rsidP="00BC01B1">
      <w:pPr>
        <w:pStyle w:val="Ttulo5"/>
      </w:pPr>
      <w:bookmarkStart w:id="1065" w:name="_Toc498352178"/>
      <w:bookmarkStart w:id="1066" w:name="_Toc509935572"/>
      <w:r w:rsidRPr="001B431A">
        <w:t>Projeto de Inclusão dos Catadores</w:t>
      </w:r>
      <w:bookmarkEnd w:id="1065"/>
      <w:bookmarkEnd w:id="1066"/>
    </w:p>
    <w:p w:rsidR="001B431A" w:rsidRPr="001B431A" w:rsidRDefault="001B431A" w:rsidP="001B431A">
      <w:pPr>
        <w:autoSpaceDE w:val="0"/>
        <w:autoSpaceDN w:val="0"/>
        <w:adjustRightInd w:val="0"/>
        <w:ind w:firstLine="708"/>
        <w:jc w:val="both"/>
        <w:rPr>
          <w:rFonts w:cs="Arial"/>
          <w:szCs w:val="24"/>
        </w:rPr>
      </w:pPr>
      <w:r w:rsidRPr="001B431A">
        <w:rPr>
          <w:rFonts w:cs="Arial"/>
          <w:color w:val="000000"/>
          <w:szCs w:val="24"/>
        </w:rPr>
        <w:t>O Projeto de Inclusão dos Catadores é coordenado pelo município e deverá ser feito com o envolvimento de diversas Secretarias Municipais cujas atividades principais não são a gestão de resíduos sólidos. É o caso da Secretaria de Educação, Saúde, Habitação, Desenvolvimento Social e Trabalho e Renda, por exemplo.</w:t>
      </w:r>
    </w:p>
    <w:p w:rsidR="001B431A" w:rsidRPr="001B431A" w:rsidRDefault="001B431A" w:rsidP="001B431A">
      <w:pPr>
        <w:autoSpaceDE w:val="0"/>
        <w:autoSpaceDN w:val="0"/>
        <w:adjustRightInd w:val="0"/>
        <w:ind w:firstLine="708"/>
        <w:jc w:val="both"/>
        <w:rPr>
          <w:rFonts w:cs="Arial"/>
          <w:color w:val="000000"/>
          <w:szCs w:val="24"/>
        </w:rPr>
      </w:pPr>
      <w:r w:rsidRPr="001B431A">
        <w:rPr>
          <w:rFonts w:cs="Arial"/>
          <w:color w:val="000000"/>
          <w:szCs w:val="24"/>
        </w:rPr>
        <w:t>Embora o foco principal do projeto seja o apoio à organização dos catadores em associações ou cooperativas para a execução de atividades de coleta de materiais recicláveis secos domiciliares porta a porta, outras ações são indispensáveis para sua inclusão, tais como: acesso a atendimento médico; alfabetização e educação formal; acesso à habitação de qualidade; capacitação para o trabalho e assistência técnica para a gestão do negócio. Para isso, existem diversos programas do Governo Federal que podem ser acessados pelo município e demais parceiros.</w:t>
      </w:r>
    </w:p>
    <w:p w:rsidR="001B431A" w:rsidRPr="001B431A" w:rsidRDefault="001B431A" w:rsidP="001B431A">
      <w:pPr>
        <w:autoSpaceDE w:val="0"/>
        <w:autoSpaceDN w:val="0"/>
        <w:adjustRightInd w:val="0"/>
        <w:ind w:firstLine="708"/>
        <w:jc w:val="both"/>
        <w:rPr>
          <w:rFonts w:cs="Arial"/>
          <w:szCs w:val="24"/>
        </w:rPr>
      </w:pPr>
      <w:r w:rsidRPr="001B431A">
        <w:rPr>
          <w:rFonts w:cs="Arial"/>
          <w:color w:val="000000"/>
          <w:szCs w:val="24"/>
        </w:rPr>
        <w:t xml:space="preserve">O planejamento da inclusão dos catadores exige dimensionar o problema do município em função do número de pessoas a serem envolvidas e do tipo de atividade. </w:t>
      </w:r>
      <w:r w:rsidRPr="001B431A">
        <w:rPr>
          <w:rFonts w:cs="Arial"/>
          <w:color w:val="000000"/>
          <w:szCs w:val="24"/>
        </w:rPr>
        <w:lastRenderedPageBreak/>
        <w:t>Ações para o encerramento de lixões e inclusão produtiva dos catadores deverão fazer parte desse rol de ações municipais.</w:t>
      </w:r>
    </w:p>
    <w:p w:rsidR="001B431A" w:rsidRPr="001B431A" w:rsidRDefault="001B431A" w:rsidP="001B431A">
      <w:pPr>
        <w:autoSpaceDE w:val="0"/>
        <w:autoSpaceDN w:val="0"/>
        <w:adjustRightInd w:val="0"/>
        <w:ind w:firstLine="708"/>
        <w:jc w:val="both"/>
        <w:rPr>
          <w:rFonts w:cs="Arial"/>
          <w:szCs w:val="24"/>
        </w:rPr>
      </w:pPr>
      <w:r w:rsidRPr="001B431A">
        <w:rPr>
          <w:rFonts w:cs="Arial"/>
          <w:color w:val="000000"/>
          <w:szCs w:val="24"/>
        </w:rPr>
        <w:t xml:space="preserve">Além do dimensionamento de quantidade de material gerado e de pessoas a serem incluídas, é necessário que a Prefeitura Municipal se planeje para contratar as cooperativas/associações para a prestação de serviço de coleta e triagem do material. </w:t>
      </w:r>
      <w:r w:rsidRPr="001B431A">
        <w:rPr>
          <w:rFonts w:cs="Arial"/>
          <w:bCs/>
          <w:color w:val="000000"/>
          <w:szCs w:val="24"/>
        </w:rPr>
        <w:t xml:space="preserve">Essa contratação pode ser feita com dispensa de licitação, de acordo com a Lei nº 11.445/07 </w:t>
      </w:r>
      <w:r w:rsidRPr="001B431A">
        <w:rPr>
          <w:rFonts w:cs="Arial"/>
          <w:color w:val="000000"/>
          <w:szCs w:val="24"/>
        </w:rPr>
        <w:t>(que altera a Lei nº 8.666/1993), e o pagamento por esse serviço configura-se como um dos principais pilares que garantem a viabilidade econômica das cooperativas e associações de catadores.</w:t>
      </w:r>
    </w:p>
    <w:p w:rsidR="001B431A" w:rsidRPr="001B431A" w:rsidRDefault="001B431A" w:rsidP="001B431A">
      <w:pPr>
        <w:autoSpaceDE w:val="0"/>
        <w:autoSpaceDN w:val="0"/>
        <w:adjustRightInd w:val="0"/>
        <w:ind w:firstLine="708"/>
        <w:jc w:val="both"/>
        <w:rPr>
          <w:rFonts w:cs="Arial"/>
          <w:szCs w:val="24"/>
        </w:rPr>
      </w:pPr>
      <w:r w:rsidRPr="001B431A">
        <w:rPr>
          <w:rFonts w:cs="Arial"/>
          <w:color w:val="000000"/>
          <w:szCs w:val="24"/>
        </w:rPr>
        <w:t>Geralmente, esse pagamento é realizado de acordo com o volume e o tipo de material coletado pelos catadores. Por exemplo, pode-se pagar um valor mais alto pela tonelada de um material que tenha um preço mais baixo no mercado. Desse modo, estimula-se o catador a recolher todos os tipos de materiais da mesma forma.</w:t>
      </w:r>
    </w:p>
    <w:p w:rsidR="001B431A" w:rsidRPr="001B431A" w:rsidRDefault="001B431A" w:rsidP="001B431A">
      <w:pPr>
        <w:autoSpaceDE w:val="0"/>
        <w:autoSpaceDN w:val="0"/>
        <w:adjustRightInd w:val="0"/>
        <w:ind w:firstLine="708"/>
        <w:jc w:val="both"/>
        <w:rPr>
          <w:rFonts w:cs="Arial"/>
          <w:color w:val="000000"/>
          <w:szCs w:val="24"/>
        </w:rPr>
      </w:pPr>
      <w:r w:rsidRPr="001B431A">
        <w:rPr>
          <w:rFonts w:cs="Arial"/>
          <w:color w:val="000000"/>
          <w:szCs w:val="24"/>
        </w:rPr>
        <w:t>A integração dos catadores de materiais recicláveis nos Programas de Coleta Seletiva melhora a eficiência dos processos de tratamento adequado dos resíduos urbanos. Essa inserção é uma forma de ampliar a atuação dos catadores na cadeia produtiva da reciclagem e contribui para aumentar a produtividade da triagem ao aumentar a quantidade e melhorar a qualidade dos materiais que chegam aos galpões das associações. Isso é possível graças à experiência em mobilização social e aos vínculos sociais que os catadores criam com a população, que, pouco a pouco, reforçam sua educação para a reciclagem.</w:t>
      </w:r>
    </w:p>
    <w:p w:rsidR="001B431A" w:rsidRPr="001B431A" w:rsidRDefault="001B431A" w:rsidP="00BC01B1">
      <w:pPr>
        <w:pStyle w:val="Ttulo5"/>
      </w:pPr>
      <w:bookmarkStart w:id="1067" w:name="_Toc498352179"/>
      <w:bookmarkStart w:id="1068" w:name="_Toc509935573"/>
      <w:r w:rsidRPr="001B431A">
        <w:t>Projeto de Mobilização Social e Educação Ambiental</w:t>
      </w:r>
      <w:bookmarkEnd w:id="1067"/>
      <w:bookmarkEnd w:id="1068"/>
    </w:p>
    <w:p w:rsidR="001B431A" w:rsidRPr="001B431A" w:rsidRDefault="001B431A" w:rsidP="001B431A">
      <w:pPr>
        <w:autoSpaceDE w:val="0"/>
        <w:autoSpaceDN w:val="0"/>
        <w:adjustRightInd w:val="0"/>
        <w:ind w:firstLine="708"/>
        <w:jc w:val="both"/>
        <w:rPr>
          <w:rFonts w:cs="Arial"/>
          <w:szCs w:val="24"/>
        </w:rPr>
      </w:pPr>
      <w:r w:rsidRPr="001B431A">
        <w:rPr>
          <w:rFonts w:cs="Arial"/>
          <w:color w:val="000000"/>
          <w:szCs w:val="24"/>
        </w:rPr>
        <w:t>O Projeto de Mobilização Social e Educação Ambiental é o terceiro elemento do Programa de Coleta Seletiva do município. Por meio dele, será possível chegar aos moradores, mostrar a nova forma de atuação para a coleta dos resíduos gerados em cada domicílio e orientá-los para a correta segregação dos resíduos e seu acondicionamento para a coleta.</w:t>
      </w:r>
    </w:p>
    <w:p w:rsidR="001B431A" w:rsidRPr="001B431A" w:rsidRDefault="001B431A" w:rsidP="001B431A">
      <w:pPr>
        <w:autoSpaceDE w:val="0"/>
        <w:autoSpaceDN w:val="0"/>
        <w:adjustRightInd w:val="0"/>
        <w:ind w:firstLine="708"/>
        <w:jc w:val="both"/>
        <w:rPr>
          <w:rFonts w:cs="Arial"/>
          <w:color w:val="000000"/>
          <w:szCs w:val="24"/>
        </w:rPr>
      </w:pPr>
      <w:r w:rsidRPr="001B431A">
        <w:rPr>
          <w:rFonts w:cs="Arial"/>
          <w:color w:val="000000"/>
          <w:szCs w:val="24"/>
        </w:rPr>
        <w:t>O objetivo da mobilização social é criar nas pessoas um sentimento de aceitação em relação à coleta seletiva, considerando que é necessário mudar hábitos no que se refere às rotinas domésticas e criar, pelo menos, mais um local de acondicionamento dos resíduos.</w:t>
      </w:r>
    </w:p>
    <w:p w:rsidR="001B431A" w:rsidRPr="001B431A" w:rsidRDefault="001B431A" w:rsidP="001B431A">
      <w:pPr>
        <w:autoSpaceDE w:val="0"/>
        <w:autoSpaceDN w:val="0"/>
        <w:adjustRightInd w:val="0"/>
        <w:ind w:firstLine="708"/>
        <w:jc w:val="both"/>
        <w:rPr>
          <w:rFonts w:cs="Arial"/>
          <w:color w:val="000000"/>
          <w:szCs w:val="24"/>
        </w:rPr>
      </w:pPr>
      <w:r w:rsidRPr="001B431A">
        <w:rPr>
          <w:rFonts w:cs="Arial"/>
          <w:color w:val="000000"/>
          <w:szCs w:val="24"/>
        </w:rPr>
        <w:lastRenderedPageBreak/>
        <w:t>A mobilização social deve ser planejada de tal forma que acompanhe a implantação do programa de coleta seletiva, setor por setor. Deve-se lançar mão de várias estratégias (mídia em geral, teatro, comunicadores religiosos, etc.). É importante salientar que dentro do Programa de Educação Ambiental irão constar formas de sensibilizar a população a respeito do tema.</w:t>
      </w:r>
    </w:p>
    <w:p w:rsidR="001B431A" w:rsidRPr="001B431A" w:rsidRDefault="001B431A" w:rsidP="00BC01B1">
      <w:pPr>
        <w:pStyle w:val="Ttulo5"/>
      </w:pPr>
      <w:bookmarkStart w:id="1069" w:name="_Toc498352180"/>
      <w:bookmarkStart w:id="1070" w:name="_Toc509935574"/>
      <w:r w:rsidRPr="001B431A">
        <w:t>Estrutura física e gerencial necessária para a implantação</w:t>
      </w:r>
      <w:bookmarkEnd w:id="1069"/>
      <w:bookmarkEnd w:id="1070"/>
    </w:p>
    <w:p w:rsidR="001B431A" w:rsidRPr="001B431A" w:rsidRDefault="001B431A" w:rsidP="001B431A">
      <w:pPr>
        <w:autoSpaceDE w:val="0"/>
        <w:autoSpaceDN w:val="0"/>
        <w:adjustRightInd w:val="0"/>
        <w:ind w:firstLine="708"/>
        <w:jc w:val="both"/>
        <w:rPr>
          <w:rFonts w:cs="Arial"/>
          <w:color w:val="000000"/>
          <w:szCs w:val="24"/>
        </w:rPr>
      </w:pPr>
      <w:r w:rsidRPr="001B431A">
        <w:rPr>
          <w:rFonts w:cs="Arial"/>
          <w:color w:val="000000"/>
          <w:szCs w:val="24"/>
        </w:rPr>
        <w:t xml:space="preserve">Um programa de coleta seletiva estruturado deve conhecer os fluxos já existentes de resíduos para tirar o máximo proveito deles, do ponto de vista logístico. </w:t>
      </w:r>
    </w:p>
    <w:p w:rsidR="001B431A" w:rsidRPr="001B431A" w:rsidRDefault="001B431A" w:rsidP="001B431A">
      <w:pPr>
        <w:autoSpaceDE w:val="0"/>
        <w:autoSpaceDN w:val="0"/>
        <w:adjustRightInd w:val="0"/>
        <w:ind w:firstLine="708"/>
        <w:jc w:val="both"/>
        <w:rPr>
          <w:rFonts w:cs="Arial"/>
          <w:color w:val="000000"/>
          <w:szCs w:val="24"/>
        </w:rPr>
      </w:pPr>
      <w:r w:rsidRPr="001B431A">
        <w:rPr>
          <w:rFonts w:cs="Arial"/>
          <w:color w:val="000000"/>
          <w:szCs w:val="24"/>
        </w:rPr>
        <w:t>É necessário construir galpões para triagens que disponham de uma área de recepção de resíduos, em silos, de onde gradativamente os catadores retirem os recicláveis para a seleção, que deve ser feita preferencialmente em mesas fixas, devido ao baixo custo.</w:t>
      </w:r>
    </w:p>
    <w:p w:rsidR="001B431A" w:rsidRPr="001B431A" w:rsidRDefault="001B431A" w:rsidP="001B431A">
      <w:pPr>
        <w:autoSpaceDE w:val="0"/>
        <w:autoSpaceDN w:val="0"/>
        <w:adjustRightInd w:val="0"/>
        <w:ind w:firstLine="708"/>
        <w:jc w:val="both"/>
        <w:rPr>
          <w:rFonts w:cs="Arial"/>
          <w:color w:val="000000"/>
          <w:szCs w:val="24"/>
        </w:rPr>
      </w:pPr>
      <w:r w:rsidRPr="001B431A">
        <w:rPr>
          <w:rFonts w:cs="Arial"/>
          <w:color w:val="000000"/>
          <w:szCs w:val="24"/>
        </w:rPr>
        <w:t>Cada galpão deve ter, também, uma área administrativa, banheiros, vestiários masculino e feminino e copa para refeições dos catadores. Na parte externa, deve haver pátio para manobras de veículos de carga e descarga (de um e outro lado) e estacionamento para veículos de passeio e, eventualmente, de veículos operacionais da cooperativa ou associação.</w:t>
      </w:r>
    </w:p>
    <w:p w:rsidR="001B431A" w:rsidRPr="001B431A" w:rsidRDefault="001B431A" w:rsidP="001B431A">
      <w:pPr>
        <w:autoSpaceDE w:val="0"/>
        <w:autoSpaceDN w:val="0"/>
        <w:adjustRightInd w:val="0"/>
        <w:ind w:firstLine="708"/>
        <w:jc w:val="both"/>
        <w:rPr>
          <w:rFonts w:cs="Arial"/>
          <w:szCs w:val="24"/>
        </w:rPr>
      </w:pPr>
      <w:r w:rsidRPr="001B431A">
        <w:rPr>
          <w:rFonts w:cs="Arial"/>
          <w:color w:val="000000"/>
          <w:szCs w:val="24"/>
        </w:rPr>
        <w:t xml:space="preserve">Os galpões devem ser equipados com balança, prensa, carrinho para transporte dos fardos e empilhadeira. Nos galpões pequenos, pode ser dispensada a empilhadeira. É importante que os galpões estejam na malha urbana onde os resíduos são triados. Na fase de coleta e de triagem, os resíduos possuem menor densidade, ao passo que, depois de manejados e enfardados, ocupam menos espaço e dão mais produtividade para o </w:t>
      </w:r>
      <w:r w:rsidRPr="001B431A">
        <w:rPr>
          <w:rFonts w:cs="Arial"/>
          <w:szCs w:val="24"/>
        </w:rPr>
        <w:t>transporte até os locais de processamento.</w:t>
      </w:r>
    </w:p>
    <w:p w:rsidR="001B431A" w:rsidRPr="001B431A" w:rsidRDefault="001B431A" w:rsidP="001B431A">
      <w:pPr>
        <w:autoSpaceDE w:val="0"/>
        <w:autoSpaceDN w:val="0"/>
        <w:adjustRightInd w:val="0"/>
        <w:ind w:firstLine="708"/>
        <w:jc w:val="both"/>
        <w:rPr>
          <w:rFonts w:cs="Arial"/>
          <w:szCs w:val="24"/>
        </w:rPr>
      </w:pPr>
      <w:r w:rsidRPr="001B431A">
        <w:rPr>
          <w:rFonts w:cs="Arial"/>
          <w:szCs w:val="24"/>
        </w:rPr>
        <w:t>Para cada tonelada de material a ser manejado, são necessários cerca de 300 m² no galpão. Considerando o planejamento de atingir a meta de 0,83 ton/dia em 2038, o espaço adequado para triagem será de aproximadamente 250m².</w:t>
      </w:r>
    </w:p>
    <w:p w:rsidR="001B431A" w:rsidRPr="001B431A" w:rsidRDefault="001B431A" w:rsidP="001B431A">
      <w:pPr>
        <w:autoSpaceDE w:val="0"/>
        <w:autoSpaceDN w:val="0"/>
        <w:adjustRightInd w:val="0"/>
        <w:ind w:firstLine="708"/>
        <w:jc w:val="both"/>
        <w:rPr>
          <w:rFonts w:cs="Arial"/>
          <w:szCs w:val="24"/>
        </w:rPr>
      </w:pPr>
      <w:r w:rsidRPr="001B431A">
        <w:rPr>
          <w:rFonts w:cs="Arial"/>
          <w:szCs w:val="24"/>
        </w:rPr>
        <w:t>Entretanto, como a implantação do programa demanda um tempo, à medida que se evolui no programa, pode haver alteração nos próximos projetos, adequando-se às circunstâncias do local.</w:t>
      </w:r>
    </w:p>
    <w:p w:rsidR="001B431A" w:rsidRPr="001B431A" w:rsidRDefault="001B431A" w:rsidP="001B431A">
      <w:pPr>
        <w:autoSpaceDE w:val="0"/>
        <w:autoSpaceDN w:val="0"/>
        <w:adjustRightInd w:val="0"/>
        <w:ind w:firstLine="708"/>
        <w:jc w:val="both"/>
        <w:rPr>
          <w:rFonts w:cs="Arial"/>
          <w:szCs w:val="24"/>
        </w:rPr>
      </w:pPr>
      <w:r w:rsidRPr="001B431A">
        <w:rPr>
          <w:rFonts w:cs="Arial"/>
          <w:szCs w:val="24"/>
        </w:rPr>
        <w:t xml:space="preserve">Também deve ser considerado no dimensionamento dos galpões que cada triador pode processar 200 kg de material por dia – para o processamento de 0,83 </w:t>
      </w:r>
      <w:r w:rsidRPr="001B431A">
        <w:rPr>
          <w:rFonts w:cs="Arial"/>
          <w:szCs w:val="24"/>
        </w:rPr>
        <w:lastRenderedPageBreak/>
        <w:t>toneladas diárias (meta para 2038), portanto, recomenda-se ter 4 triadores. Cada enfardador pode processar cerca de 600 kg de material por dia, portanto será necessário 1 enfardador por dia ao atingir a meta em 2038.</w:t>
      </w:r>
    </w:p>
    <w:p w:rsidR="001B431A" w:rsidRPr="001B431A" w:rsidRDefault="001B431A" w:rsidP="00BC01B1">
      <w:pPr>
        <w:pStyle w:val="Ttulo4"/>
      </w:pPr>
      <w:bookmarkStart w:id="1071" w:name="_Toc498352181"/>
      <w:bookmarkStart w:id="1072" w:name="_Toc509935575"/>
      <w:r w:rsidRPr="001B431A">
        <w:t>Considerações finais do programa</w:t>
      </w:r>
      <w:bookmarkEnd w:id="1071"/>
      <w:bookmarkEnd w:id="1072"/>
      <w:r w:rsidRPr="001B431A">
        <w:t xml:space="preserve"> </w:t>
      </w:r>
    </w:p>
    <w:p w:rsidR="001B431A" w:rsidRPr="001B431A" w:rsidRDefault="001B431A" w:rsidP="001B431A">
      <w:pPr>
        <w:autoSpaceDE w:val="0"/>
        <w:autoSpaceDN w:val="0"/>
        <w:adjustRightInd w:val="0"/>
        <w:ind w:firstLine="708"/>
        <w:jc w:val="both"/>
        <w:rPr>
          <w:rFonts w:cs="Arial"/>
          <w:szCs w:val="24"/>
        </w:rPr>
      </w:pPr>
      <w:r w:rsidRPr="001B431A">
        <w:rPr>
          <w:rFonts w:cs="Arial"/>
          <w:szCs w:val="24"/>
        </w:rPr>
        <w:t>Ao atingir a meta de coleta dos resíduos secos recicláveis enviados para aterro em 2038, a quantidade de catadores envolvidos no programa de reciclagem do município de Córrego Novo será de aproximadamente 15 trabalhadores (4 triadores, 6 catadores, 1 enfardador e 2 ajudantes para coletas nos PEVs da zona rural e mais 2 motoristas). Além de representar renda para essas pessoas, o programa também traz receita para o município.</w:t>
      </w:r>
    </w:p>
    <w:p w:rsidR="001B431A" w:rsidRPr="001B431A" w:rsidRDefault="001B431A" w:rsidP="001B431A">
      <w:pPr>
        <w:autoSpaceDE w:val="0"/>
        <w:autoSpaceDN w:val="0"/>
        <w:adjustRightInd w:val="0"/>
        <w:ind w:firstLine="708"/>
        <w:jc w:val="both"/>
        <w:rPr>
          <w:rFonts w:cs="Arial"/>
          <w:color w:val="000000"/>
          <w:szCs w:val="24"/>
        </w:rPr>
      </w:pPr>
      <w:r w:rsidRPr="001B431A">
        <w:rPr>
          <w:rFonts w:cs="Arial"/>
          <w:szCs w:val="24"/>
        </w:rPr>
        <w:t>A zona rural do município</w:t>
      </w:r>
      <w:r w:rsidRPr="001B431A">
        <w:rPr>
          <w:rFonts w:cs="Arial"/>
          <w:color w:val="000000"/>
          <w:szCs w:val="24"/>
        </w:rPr>
        <w:t>, apesar de representar certa dificuldade devido à logística, é mais suscetível ao envolvimento nas questões ambientais.</w:t>
      </w:r>
    </w:p>
    <w:p w:rsidR="001B431A" w:rsidRPr="001B431A" w:rsidRDefault="001B431A" w:rsidP="00BC01B1">
      <w:pPr>
        <w:pStyle w:val="Ttulo4"/>
      </w:pPr>
      <w:bookmarkStart w:id="1073" w:name="_Toc498352182"/>
      <w:bookmarkStart w:id="1074" w:name="_Toc509935576"/>
      <w:r w:rsidRPr="001B431A">
        <w:t>Programas e ações de capacitação técnica voltados para implantação e operacionalização.</w:t>
      </w:r>
      <w:bookmarkEnd w:id="1073"/>
      <w:bookmarkEnd w:id="1074"/>
    </w:p>
    <w:p w:rsidR="001B431A" w:rsidRPr="001B431A" w:rsidRDefault="001B431A" w:rsidP="001B431A">
      <w:pPr>
        <w:ind w:firstLine="709"/>
        <w:jc w:val="both"/>
      </w:pPr>
      <w:r w:rsidRPr="001B431A">
        <w:t>Grande parte do sucesso da implementação da gestão dos resíduos sólidos deve ser atribuído a bons programas de capacitação técnica e educação ambiental. A área de gestão de resíduos sólidos, de maneira geral, sofre de grandes carências de capacitação e por essa razão a administração pública deve investir na qualificação de seus quadros. Particularmente para a coleta seletiva, há um grande despreparo das equipes técnicas atuantes, na medida em que essa atividade foi deixada na informalidade, realizada por iniciativa própria de catadores ou de sucateiros. E, por essa razão, há relativamente pouco conhecimento técnico para planejamento, implantação e monitoramento do programa.</w:t>
      </w:r>
    </w:p>
    <w:p w:rsidR="001B431A" w:rsidRPr="001B431A" w:rsidRDefault="001B431A" w:rsidP="001B431A">
      <w:pPr>
        <w:ind w:firstLine="709"/>
        <w:jc w:val="both"/>
      </w:pPr>
      <w:r w:rsidRPr="001B431A">
        <w:t xml:space="preserve">Assim, alguns aspectos precisam ser bem trabalhados com a equipe que irá atuar na gestão dos resíduos e um processo de capacitação deve ser oferecido pelo município à equipe técnica. Devem ser abordados os seguintes aspectos: </w:t>
      </w:r>
    </w:p>
    <w:p w:rsidR="001B431A" w:rsidRPr="001B431A" w:rsidRDefault="001B431A" w:rsidP="0066661F">
      <w:pPr>
        <w:numPr>
          <w:ilvl w:val="0"/>
          <w:numId w:val="23"/>
        </w:numPr>
        <w:jc w:val="both"/>
      </w:pPr>
      <w:r w:rsidRPr="001B431A">
        <w:t>Processo de planejamento da coleta, abordando dimensionamento da produção de resíduos sólidos urbanos, estudos locacionais das unidades de processamento (em caso de coleta seletiva), logística de transporte e definição de roteiros de coleta.</w:t>
      </w:r>
    </w:p>
    <w:p w:rsidR="001B431A" w:rsidRPr="001B431A" w:rsidRDefault="001B431A" w:rsidP="0066661F">
      <w:pPr>
        <w:numPr>
          <w:ilvl w:val="0"/>
          <w:numId w:val="23"/>
        </w:numPr>
        <w:jc w:val="both"/>
      </w:pPr>
      <w:r w:rsidRPr="001B431A">
        <w:lastRenderedPageBreak/>
        <w:t>Operação de produtividade na coleta e na triagem (em caso de coleta seletiva), abordando diferentes métodos de operação e resultados esperados e obtidos, identificação de problemas e encaminhamento de soluções, etc.</w:t>
      </w:r>
    </w:p>
    <w:p w:rsidR="001B431A" w:rsidRPr="001B431A" w:rsidRDefault="001B431A" w:rsidP="0066661F">
      <w:pPr>
        <w:numPr>
          <w:ilvl w:val="0"/>
          <w:numId w:val="23"/>
        </w:numPr>
        <w:jc w:val="both"/>
      </w:pPr>
      <w:r w:rsidRPr="001B431A">
        <w:t xml:space="preserve">Monitoramento do Programa, abordando sistemas de registro e controle de atividades e resultados, consumo de insumos, produtividade e indicadores do cumprimento das metas. </w:t>
      </w:r>
    </w:p>
    <w:p w:rsidR="001B431A" w:rsidRPr="001B431A" w:rsidRDefault="001B431A" w:rsidP="0066661F">
      <w:pPr>
        <w:numPr>
          <w:ilvl w:val="0"/>
          <w:numId w:val="23"/>
        </w:numPr>
        <w:jc w:val="both"/>
      </w:pPr>
      <w:r w:rsidRPr="001B431A">
        <w:t>Segurança e medicina no trabalho, abordando os riscos envolvidos na atividade, medidas de prevenção, equipamentos de proteção e sua função, saúde do trabalhador, etc.</w:t>
      </w:r>
    </w:p>
    <w:p w:rsidR="001B431A" w:rsidRPr="001B431A" w:rsidRDefault="001B431A" w:rsidP="0066661F">
      <w:pPr>
        <w:numPr>
          <w:ilvl w:val="0"/>
          <w:numId w:val="23"/>
        </w:numPr>
        <w:jc w:val="both"/>
      </w:pPr>
      <w:r w:rsidRPr="001B431A">
        <w:t>Valoração dos resíduos sólidos (geração de valor social e renda por meio dos resíduos), organização administrativa e financeira dos empreendimentos, abordando sistema de registro e controle de atividade, de entrada e saída de material, de jornada de trabalho e produtividade de cada trabalhador, despesas e receitas, elaboração de orçamentos, etc.</w:t>
      </w:r>
    </w:p>
    <w:p w:rsidR="001B431A" w:rsidRPr="001B431A" w:rsidRDefault="001B431A" w:rsidP="001B431A">
      <w:pPr>
        <w:ind w:firstLine="708"/>
        <w:jc w:val="both"/>
      </w:pPr>
      <w:r w:rsidRPr="001B431A">
        <w:t>Para se obter outras formas de valoração dos resíduos sólidos, deve-se considerar questões tais como:</w:t>
      </w:r>
    </w:p>
    <w:p w:rsidR="001B431A" w:rsidRPr="001B431A" w:rsidRDefault="001B431A" w:rsidP="0066661F">
      <w:pPr>
        <w:numPr>
          <w:ilvl w:val="0"/>
          <w:numId w:val="22"/>
        </w:numPr>
        <w:jc w:val="both"/>
      </w:pPr>
      <w:r w:rsidRPr="001B431A">
        <w:t xml:space="preserve">Cooperativismo e associativismo, abordando as diferentes formas de trabalho, vantagens e desvantagens dessas formas, diferenças do trabalho coletivo e individual, apropriação do produto do trabalho na economia solidária, etc. </w:t>
      </w:r>
    </w:p>
    <w:p w:rsidR="001B431A" w:rsidRPr="001B431A" w:rsidRDefault="001B431A" w:rsidP="0066661F">
      <w:pPr>
        <w:numPr>
          <w:ilvl w:val="0"/>
          <w:numId w:val="22"/>
        </w:numPr>
        <w:jc w:val="both"/>
      </w:pPr>
      <w:r w:rsidRPr="001B431A">
        <w:t xml:space="preserve">Gestão de empreendimentos, destacando aspetos da organização do trabalho, gestão financeira, parcerias, negociação de preços, pesquisa de mercado, desenvolvimento tecnológico, produtividade, etc. </w:t>
      </w:r>
    </w:p>
    <w:p w:rsidR="001B431A" w:rsidRPr="001B431A" w:rsidRDefault="001B431A" w:rsidP="0066661F">
      <w:pPr>
        <w:numPr>
          <w:ilvl w:val="0"/>
          <w:numId w:val="22"/>
        </w:numPr>
        <w:jc w:val="both"/>
      </w:pPr>
      <w:r w:rsidRPr="001B431A">
        <w:t>Organização administrativa e financeira do empreendimento, abordando sistema de registro e controle de atividade, de entrada e saída de material, de jornada de trabalho e produtividade de cada trabalhador, despesas e receitas, elaboração de orçamentos, etc.</w:t>
      </w:r>
    </w:p>
    <w:p w:rsidR="001B431A" w:rsidRPr="001B431A" w:rsidRDefault="001B431A" w:rsidP="001B431A">
      <w:pPr>
        <w:ind w:firstLine="708"/>
        <w:jc w:val="both"/>
      </w:pPr>
      <w:r w:rsidRPr="001B431A">
        <w:t xml:space="preserve">Para as equipes envolvidas em ambas as frentes – coleta regular e coleta seletiva - devem ser asseguradas oportunidades de participação em seminários e congressos, bem como o próprio município deve organizar palestras e ciclos de </w:t>
      </w:r>
      <w:r w:rsidRPr="001B431A">
        <w:lastRenderedPageBreak/>
        <w:t xml:space="preserve">debates sobre temas de interesse do Programa. Considerando a interdependência das ações de gestão dos resíduos sólidos que envolvem diversas áreas da administração pública, as informações acerca do Plano devem ser niveladas entre os representantes de cada área. Para preparação da equipe sugere-se que sejam realizadas oficinas de capacitação e reuniões periódicas. </w:t>
      </w:r>
    </w:p>
    <w:p w:rsidR="001B431A" w:rsidRPr="001B431A" w:rsidRDefault="001B431A" w:rsidP="0066661F">
      <w:pPr>
        <w:numPr>
          <w:ilvl w:val="0"/>
          <w:numId w:val="19"/>
        </w:numPr>
        <w:contextualSpacing/>
        <w:jc w:val="both"/>
        <w:rPr>
          <w:rFonts w:eastAsia="Times New Roman"/>
          <w:szCs w:val="20"/>
          <w:lang w:val="x-none" w:eastAsia="x-none"/>
        </w:rPr>
      </w:pPr>
      <w:r w:rsidRPr="001B431A">
        <w:rPr>
          <w:rFonts w:eastAsia="Times New Roman"/>
          <w:szCs w:val="20"/>
          <w:lang w:val="x-none" w:eastAsia="x-none"/>
        </w:rPr>
        <w:t xml:space="preserve">Oficinas de </w:t>
      </w:r>
      <w:r w:rsidRPr="001B431A">
        <w:rPr>
          <w:rFonts w:eastAsia="Times New Roman"/>
          <w:szCs w:val="20"/>
          <w:lang w:eastAsia="x-none"/>
        </w:rPr>
        <w:t>c</w:t>
      </w:r>
      <w:r w:rsidRPr="001B431A">
        <w:rPr>
          <w:rFonts w:eastAsia="Times New Roman"/>
          <w:szCs w:val="20"/>
          <w:lang w:val="x-none" w:eastAsia="x-none"/>
        </w:rPr>
        <w:t xml:space="preserve">apacitação: </w:t>
      </w:r>
      <w:r w:rsidRPr="001B431A">
        <w:rPr>
          <w:rFonts w:eastAsia="Times New Roman"/>
          <w:szCs w:val="20"/>
          <w:lang w:eastAsia="x-none"/>
        </w:rPr>
        <w:t>s</w:t>
      </w:r>
      <w:r w:rsidRPr="001B431A">
        <w:rPr>
          <w:rFonts w:eastAsia="Times New Roman"/>
          <w:szCs w:val="20"/>
          <w:lang w:val="x-none" w:eastAsia="x-none"/>
        </w:rPr>
        <w:t xml:space="preserve">ão excelentes instrumentos para difusão do conhecimento teórico-prático. </w:t>
      </w:r>
    </w:p>
    <w:p w:rsidR="001B431A" w:rsidRPr="001B431A" w:rsidRDefault="001B431A" w:rsidP="0066661F">
      <w:pPr>
        <w:numPr>
          <w:ilvl w:val="0"/>
          <w:numId w:val="19"/>
        </w:numPr>
        <w:contextualSpacing/>
        <w:jc w:val="both"/>
        <w:rPr>
          <w:rFonts w:eastAsia="Times New Roman"/>
          <w:szCs w:val="20"/>
          <w:lang w:val="x-none" w:eastAsia="x-none"/>
        </w:rPr>
      </w:pPr>
      <w:r w:rsidRPr="001B431A">
        <w:rPr>
          <w:rFonts w:eastAsia="Times New Roman"/>
          <w:szCs w:val="20"/>
          <w:lang w:val="x-none" w:eastAsia="x-none"/>
        </w:rPr>
        <w:t xml:space="preserve">Reuniões </w:t>
      </w:r>
      <w:r w:rsidRPr="001B431A">
        <w:rPr>
          <w:rFonts w:eastAsia="Times New Roman"/>
          <w:szCs w:val="20"/>
          <w:lang w:eastAsia="x-none"/>
        </w:rPr>
        <w:t>p</w:t>
      </w:r>
      <w:r w:rsidRPr="001B431A">
        <w:rPr>
          <w:rFonts w:eastAsia="Times New Roman"/>
          <w:szCs w:val="20"/>
          <w:lang w:val="x-none" w:eastAsia="x-none"/>
        </w:rPr>
        <w:t xml:space="preserve">eriódicas: </w:t>
      </w:r>
      <w:r w:rsidRPr="001B431A">
        <w:rPr>
          <w:rFonts w:eastAsia="Times New Roman"/>
          <w:szCs w:val="20"/>
          <w:lang w:eastAsia="x-none"/>
        </w:rPr>
        <w:t>p</w:t>
      </w:r>
      <w:r w:rsidRPr="001B431A">
        <w:rPr>
          <w:rFonts w:eastAsia="Times New Roman"/>
          <w:szCs w:val="20"/>
          <w:lang w:val="x-none" w:eastAsia="x-none"/>
        </w:rPr>
        <w:t>ropõe-se que seja elaborado um cronograma pela equipe gerencial do Plano ou grupo gestor, que contemple a realização de reuniões periódicas de monitoramento, objetivando a avaliação da implementação do Plano e possíveis proposições de medidas corretivas.</w:t>
      </w:r>
    </w:p>
    <w:p w:rsidR="001B431A" w:rsidRPr="001B431A" w:rsidRDefault="001B431A" w:rsidP="001B431A">
      <w:pPr>
        <w:ind w:firstLine="708"/>
        <w:jc w:val="both"/>
      </w:pPr>
      <w:r w:rsidRPr="001B431A">
        <w:t>A limpeza urbana (serviços de varrição, poda e capina, roçagem e raspagem) também enfrenta dificuldades na organização e operação dos serviços, devido à limitação financeira e falta de pessoal capacitado. Portanto, é importante investir também na capacitação desses profissionais. Sugere-se ainda que sejam abordados os seguintes aspectos:</w:t>
      </w:r>
    </w:p>
    <w:p w:rsidR="001B431A" w:rsidRPr="001B431A" w:rsidRDefault="001B431A" w:rsidP="0066661F">
      <w:pPr>
        <w:numPr>
          <w:ilvl w:val="0"/>
          <w:numId w:val="21"/>
        </w:numPr>
        <w:contextualSpacing/>
        <w:jc w:val="both"/>
        <w:rPr>
          <w:rFonts w:eastAsia="Times New Roman"/>
          <w:szCs w:val="20"/>
          <w:lang w:val="x-none" w:eastAsia="x-none"/>
        </w:rPr>
      </w:pPr>
      <w:r w:rsidRPr="001B431A">
        <w:rPr>
          <w:rFonts w:eastAsia="Times New Roman"/>
          <w:szCs w:val="20"/>
          <w:lang w:val="x-none" w:eastAsia="x-none"/>
        </w:rPr>
        <w:t xml:space="preserve">Principais funções </w:t>
      </w:r>
      <w:r w:rsidRPr="001B431A">
        <w:rPr>
          <w:rFonts w:eastAsia="Times New Roman"/>
          <w:szCs w:val="20"/>
          <w:lang w:eastAsia="x-none"/>
        </w:rPr>
        <w:t xml:space="preserve">do programa </w:t>
      </w:r>
      <w:r w:rsidRPr="001B431A">
        <w:rPr>
          <w:rFonts w:eastAsia="Times New Roman"/>
          <w:szCs w:val="20"/>
          <w:lang w:val="x-none" w:eastAsia="x-none"/>
        </w:rPr>
        <w:t xml:space="preserve">no ambiente urbano e </w:t>
      </w:r>
      <w:r w:rsidRPr="001B431A">
        <w:rPr>
          <w:rFonts w:eastAsia="Times New Roman"/>
          <w:szCs w:val="20"/>
          <w:lang w:eastAsia="x-none"/>
        </w:rPr>
        <w:t xml:space="preserve">a </w:t>
      </w:r>
      <w:r w:rsidRPr="001B431A">
        <w:rPr>
          <w:rFonts w:eastAsia="Times New Roman"/>
          <w:szCs w:val="20"/>
          <w:lang w:val="x-none" w:eastAsia="x-none"/>
        </w:rPr>
        <w:t>importância d</w:t>
      </w:r>
      <w:r w:rsidRPr="001B431A">
        <w:rPr>
          <w:rFonts w:eastAsia="Times New Roman"/>
          <w:szCs w:val="20"/>
          <w:lang w:eastAsia="x-none"/>
        </w:rPr>
        <w:t>e cada uma</w:t>
      </w:r>
      <w:r w:rsidRPr="001B431A">
        <w:rPr>
          <w:rFonts w:eastAsia="Times New Roman"/>
          <w:szCs w:val="20"/>
          <w:lang w:val="x-none" w:eastAsia="x-none"/>
        </w:rPr>
        <w:t>.</w:t>
      </w:r>
    </w:p>
    <w:p w:rsidR="001B431A" w:rsidRPr="001B431A" w:rsidRDefault="001B431A" w:rsidP="0066661F">
      <w:pPr>
        <w:numPr>
          <w:ilvl w:val="0"/>
          <w:numId w:val="20"/>
        </w:numPr>
        <w:contextualSpacing/>
        <w:jc w:val="both"/>
        <w:rPr>
          <w:rFonts w:eastAsia="Times New Roman"/>
          <w:szCs w:val="20"/>
          <w:lang w:val="x-none" w:eastAsia="x-none"/>
        </w:rPr>
      </w:pPr>
      <w:r w:rsidRPr="001B431A">
        <w:rPr>
          <w:rFonts w:eastAsia="Times New Roman"/>
          <w:szCs w:val="20"/>
          <w:lang w:val="x-none" w:eastAsia="x-none"/>
        </w:rPr>
        <w:t>Conceitos de trabalho em equipe.</w:t>
      </w:r>
    </w:p>
    <w:p w:rsidR="001B431A" w:rsidRPr="001B431A" w:rsidRDefault="001B431A" w:rsidP="0066661F">
      <w:pPr>
        <w:numPr>
          <w:ilvl w:val="0"/>
          <w:numId w:val="20"/>
        </w:numPr>
        <w:contextualSpacing/>
        <w:jc w:val="both"/>
        <w:rPr>
          <w:rFonts w:eastAsia="Times New Roman"/>
          <w:szCs w:val="20"/>
          <w:lang w:val="x-none" w:eastAsia="x-none"/>
        </w:rPr>
      </w:pPr>
      <w:r w:rsidRPr="001B431A">
        <w:rPr>
          <w:rFonts w:eastAsia="Times New Roman"/>
          <w:szCs w:val="20"/>
          <w:lang w:val="x-none" w:eastAsia="x-none"/>
        </w:rPr>
        <w:t>Segurança e medicina no trabalho, abordando os riscos envolvidos nas atividades de limpeza urbana, medidas de prevenção, uso adequado de equipamentos de proteção e sua função, saúde do trabalhador, etc.</w:t>
      </w:r>
    </w:p>
    <w:p w:rsidR="001B431A" w:rsidRPr="001B431A" w:rsidRDefault="001B431A" w:rsidP="0066661F">
      <w:pPr>
        <w:numPr>
          <w:ilvl w:val="0"/>
          <w:numId w:val="20"/>
        </w:numPr>
        <w:contextualSpacing/>
        <w:jc w:val="both"/>
        <w:rPr>
          <w:rFonts w:eastAsia="Times New Roman"/>
          <w:szCs w:val="20"/>
          <w:lang w:val="x-none" w:eastAsia="x-none"/>
        </w:rPr>
      </w:pPr>
      <w:r w:rsidRPr="001B431A">
        <w:rPr>
          <w:rFonts w:eastAsia="Times New Roman"/>
          <w:szCs w:val="20"/>
          <w:lang w:val="x-none" w:eastAsia="x-none"/>
        </w:rPr>
        <w:t>Utilização correta dos equipamentos disponibilizados.</w:t>
      </w:r>
    </w:p>
    <w:p w:rsidR="001B431A" w:rsidRPr="001B431A" w:rsidRDefault="001B431A" w:rsidP="0066661F">
      <w:pPr>
        <w:numPr>
          <w:ilvl w:val="0"/>
          <w:numId w:val="20"/>
        </w:numPr>
        <w:contextualSpacing/>
        <w:jc w:val="both"/>
        <w:rPr>
          <w:rFonts w:eastAsia="Times New Roman"/>
          <w:szCs w:val="20"/>
          <w:lang w:val="x-none" w:eastAsia="x-none"/>
        </w:rPr>
      </w:pPr>
      <w:r w:rsidRPr="001B431A">
        <w:rPr>
          <w:rFonts w:eastAsia="Times New Roman"/>
          <w:szCs w:val="20"/>
          <w:lang w:val="x-none" w:eastAsia="x-none"/>
        </w:rPr>
        <w:t>Forma correta de coletar e acondicionar os resíduos provenientes desses serviços.</w:t>
      </w:r>
    </w:p>
    <w:p w:rsidR="001B431A" w:rsidRPr="001B431A" w:rsidRDefault="001B431A" w:rsidP="00BC01B1">
      <w:pPr>
        <w:pStyle w:val="Ttulo4"/>
      </w:pPr>
      <w:bookmarkStart w:id="1075" w:name="_Toc498352183"/>
      <w:bookmarkStart w:id="1076" w:name="_Toc509935577"/>
      <w:r w:rsidRPr="001B431A">
        <w:t>Ações preventivas e corretivas a serem aplicadas, incluindo programa de monitoramento</w:t>
      </w:r>
      <w:bookmarkEnd w:id="1075"/>
      <w:bookmarkEnd w:id="1076"/>
    </w:p>
    <w:p w:rsidR="001B431A" w:rsidRPr="001B431A" w:rsidRDefault="001B431A" w:rsidP="001B431A">
      <w:pPr>
        <w:ind w:firstLine="709"/>
        <w:jc w:val="both"/>
        <w:rPr>
          <w:rFonts w:cs="Arial"/>
          <w:szCs w:val="24"/>
        </w:rPr>
      </w:pPr>
      <w:r w:rsidRPr="001B431A">
        <w:rPr>
          <w:rFonts w:cs="Arial"/>
          <w:szCs w:val="24"/>
        </w:rPr>
        <w:t xml:space="preserve">Para o bom funcionamento dos serviços de limpeza urbana e de manejo de resíduos sólidos de </w:t>
      </w:r>
      <w:r w:rsidRPr="001B431A">
        <w:rPr>
          <w:rFonts w:cs="Arial"/>
          <w:szCs w:val="24"/>
          <w:lang w:eastAsia="pt-BR"/>
        </w:rPr>
        <w:t>Córrego Novo</w:t>
      </w:r>
      <w:r w:rsidRPr="001B431A">
        <w:rPr>
          <w:rFonts w:cs="Arial"/>
          <w:szCs w:val="24"/>
        </w:rPr>
        <w:t xml:space="preserve">, ações preventivas e corretivas deverão ser implementadas visando ao melhoramento contínuo e progressivo da gestão de resíduos sólidos e limpeza urbana. Essas ações são fundamentais, uma vez que têm o </w:t>
      </w:r>
      <w:r w:rsidRPr="001B431A">
        <w:rPr>
          <w:rFonts w:cs="Arial"/>
          <w:szCs w:val="24"/>
        </w:rPr>
        <w:lastRenderedPageBreak/>
        <w:t>intuito de garantir maior segurança e continuidade operacional das questões ambientais e sanitárias, visando reduzir a vulnerabilidade do setor.</w:t>
      </w:r>
    </w:p>
    <w:p w:rsidR="001B431A" w:rsidRPr="001B431A" w:rsidRDefault="001B431A" w:rsidP="001B431A">
      <w:pPr>
        <w:shd w:val="clear" w:color="auto" w:fill="FFFFFF"/>
        <w:ind w:firstLine="709"/>
        <w:jc w:val="both"/>
        <w:rPr>
          <w:rFonts w:eastAsia="Times New Roman" w:cs="Arial"/>
          <w:color w:val="000000"/>
          <w:szCs w:val="24"/>
          <w:lang w:eastAsia="pt-BR"/>
        </w:rPr>
      </w:pPr>
      <w:r w:rsidRPr="001B431A">
        <w:rPr>
          <w:rFonts w:eastAsia="Times New Roman" w:cs="Arial"/>
          <w:color w:val="000000"/>
          <w:szCs w:val="24"/>
          <w:lang w:eastAsia="pt-BR"/>
        </w:rPr>
        <w:t>As ações preventivas têm como objetivo prevenir o aparecimento de falhas no setor, para que imprevistos não atrapalhem ou prejudiquem seu funcionamento. Já as ações corretivas são medidas tomadas para eliminar as consequências imediatas de não conformidades.</w:t>
      </w:r>
    </w:p>
    <w:p w:rsidR="001B431A" w:rsidRPr="001B431A" w:rsidRDefault="001B431A" w:rsidP="001B431A">
      <w:pPr>
        <w:shd w:val="clear" w:color="auto" w:fill="FFFFFF"/>
        <w:ind w:firstLine="709"/>
        <w:jc w:val="both"/>
        <w:rPr>
          <w:rFonts w:eastAsia="Times New Roman" w:cs="Arial"/>
          <w:color w:val="000000"/>
          <w:szCs w:val="24"/>
          <w:lang w:eastAsia="pt-BR"/>
        </w:rPr>
      </w:pPr>
      <w:r w:rsidRPr="001B431A">
        <w:rPr>
          <w:rFonts w:eastAsia="Times New Roman" w:cs="Arial"/>
          <w:color w:val="000000"/>
          <w:szCs w:val="24"/>
          <w:lang w:eastAsia="pt-BR"/>
        </w:rPr>
        <w:t>A criação/instalação de ecopontos pode se configurar uma ação preventiva para transformar o cenário da disposição irregular de entulhos em pontos viciados no município. São chamados de pontos viciados os locais que recebem comumente RCCs, resíduos de poda, resíduos de grande volume, entre outros objetos. Essa destinação é realizada por caçambeiros informais e pela população desinformada dos prejuízos que isso acarreta. Os ecopontos consistem em locais adequadamente estruturados para que os munícipes possam voluntariamente levar resíduos provenientes de construção civil, resíduos volumosos e possivelmente resíduos de poda e capina, evitando o despejo irregular desses materiais. Desta maneira, auxiliam com a recuperação de áreas já degradadas e favorecem no aspecto paisagístico do município.</w:t>
      </w:r>
    </w:p>
    <w:p w:rsidR="001B431A" w:rsidRPr="001B431A" w:rsidRDefault="001B431A" w:rsidP="001B431A">
      <w:pPr>
        <w:shd w:val="clear" w:color="auto" w:fill="FFFFFF"/>
        <w:ind w:firstLine="709"/>
        <w:jc w:val="both"/>
        <w:rPr>
          <w:rFonts w:eastAsia="Times New Roman" w:cs="Arial"/>
          <w:color w:val="000000"/>
          <w:szCs w:val="24"/>
          <w:lang w:eastAsia="pt-BR"/>
        </w:rPr>
      </w:pPr>
      <w:r w:rsidRPr="001B431A">
        <w:rPr>
          <w:rFonts w:eastAsia="Times New Roman" w:cs="Arial"/>
          <w:color w:val="000000"/>
          <w:szCs w:val="24"/>
          <w:lang w:eastAsia="pt-BR"/>
        </w:rPr>
        <w:t xml:space="preserve">Para a estruturação desses pontos, as diretrizes para o projeto, implantação e operação, devem estar em consonância com a NBR 15112 (ABNT, 2004), que estabelece normas e fixa requisitos para a criação de áreas de transbordo e triagem. A </w:t>
      </w:r>
      <w:r w:rsidRPr="001B431A">
        <w:fldChar w:fldCharType="begin"/>
      </w:r>
      <w:r w:rsidRPr="001B431A">
        <w:instrText xml:space="preserve"> REF _Ref397672263 \h  \* MERGEFORMAT </w:instrText>
      </w:r>
      <w:r w:rsidRPr="001B431A">
        <w:fldChar w:fldCharType="separate"/>
      </w:r>
      <w:r w:rsidR="001B481B" w:rsidRPr="001B481B">
        <w:rPr>
          <w:rFonts w:cs="Arial"/>
          <w:color w:val="000000"/>
          <w:szCs w:val="24"/>
        </w:rPr>
        <w:t>Figura 7</w:t>
      </w:r>
      <w:r w:rsidRPr="001B431A">
        <w:fldChar w:fldCharType="end"/>
      </w:r>
      <w:r w:rsidRPr="001B431A">
        <w:rPr>
          <w:rFonts w:eastAsia="Times New Roman" w:cs="Arial"/>
          <w:color w:val="000000"/>
          <w:sz w:val="28"/>
          <w:szCs w:val="24"/>
          <w:lang w:eastAsia="pt-BR"/>
        </w:rPr>
        <w:t xml:space="preserve"> </w:t>
      </w:r>
      <w:r w:rsidRPr="001B431A">
        <w:rPr>
          <w:rFonts w:eastAsia="Times New Roman" w:cs="Arial"/>
          <w:color w:val="000000"/>
          <w:szCs w:val="24"/>
          <w:lang w:eastAsia="pt-BR"/>
        </w:rPr>
        <w:t>mostra o modelo da estrutura geral de um ecoponto.</w:t>
      </w:r>
    </w:p>
    <w:p w:rsidR="001B431A" w:rsidRPr="001B431A" w:rsidRDefault="001B431A" w:rsidP="00810C89">
      <w:pPr>
        <w:pStyle w:val="Legenda"/>
      </w:pPr>
      <w:bookmarkStart w:id="1077" w:name="_Ref397672263"/>
      <w:bookmarkStart w:id="1078" w:name="_Toc498352200"/>
      <w:bookmarkStart w:id="1079" w:name="_Toc509935772"/>
      <w:r w:rsidRPr="001B431A">
        <w:lastRenderedPageBreak/>
        <w:t xml:space="preserve">Figura </w:t>
      </w:r>
      <w:r w:rsidR="000A1C78">
        <w:fldChar w:fldCharType="begin"/>
      </w:r>
      <w:r w:rsidR="000A1C78">
        <w:instrText xml:space="preserve"> SEQ Figura \* ARABIC \s 1 </w:instrText>
      </w:r>
      <w:r w:rsidR="000A1C78">
        <w:fldChar w:fldCharType="separate"/>
      </w:r>
      <w:r w:rsidR="001B481B">
        <w:rPr>
          <w:noProof/>
        </w:rPr>
        <w:t>7</w:t>
      </w:r>
      <w:r w:rsidR="000A1C78">
        <w:rPr>
          <w:noProof/>
        </w:rPr>
        <w:fldChar w:fldCharType="end"/>
      </w:r>
      <w:bookmarkEnd w:id="1077"/>
      <w:r w:rsidRPr="001B431A">
        <w:t xml:space="preserve"> - Estrutura geral de um ecoponto</w:t>
      </w:r>
      <w:bookmarkEnd w:id="1078"/>
      <w:bookmarkEnd w:id="1079"/>
    </w:p>
    <w:p w:rsidR="001B431A" w:rsidRPr="001B431A" w:rsidRDefault="001B431A" w:rsidP="00810C89">
      <w:pPr>
        <w:pStyle w:val="figura"/>
        <w:rPr>
          <w:color w:val="000000"/>
          <w:szCs w:val="24"/>
        </w:rPr>
      </w:pPr>
      <w:r>
        <w:rPr>
          <w:noProof/>
        </w:rPr>
        <w:drawing>
          <wp:inline distT="0" distB="0" distL="0" distR="0" wp14:anchorId="204AC81B" wp14:editId="6FEB76DE">
            <wp:extent cx="4923155" cy="2870835"/>
            <wp:effectExtent l="19050" t="19050" r="10795" b="24765"/>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923155" cy="2870835"/>
                    </a:xfrm>
                    <a:prstGeom prst="rect">
                      <a:avLst/>
                    </a:prstGeom>
                    <a:noFill/>
                    <a:ln w="12700" cmpd="sng">
                      <a:solidFill>
                        <a:srgbClr val="000000"/>
                      </a:solidFill>
                      <a:miter lim="800000"/>
                      <a:headEnd/>
                      <a:tailEnd/>
                    </a:ln>
                    <a:effectLst/>
                  </pic:spPr>
                </pic:pic>
              </a:graphicData>
            </a:graphic>
          </wp:inline>
        </w:drawing>
      </w:r>
    </w:p>
    <w:p w:rsidR="001B431A" w:rsidRPr="001B431A" w:rsidRDefault="001B431A" w:rsidP="00810C89">
      <w:pPr>
        <w:pStyle w:val="Fonte"/>
      </w:pPr>
      <w:r w:rsidRPr="001B431A">
        <w:t>Fonte: Pinto e Gonzalez, 2005.</w:t>
      </w:r>
    </w:p>
    <w:p w:rsidR="001B431A" w:rsidRPr="001B431A" w:rsidRDefault="001B431A" w:rsidP="001B431A">
      <w:pPr>
        <w:shd w:val="clear" w:color="auto" w:fill="FFFFFF"/>
        <w:ind w:firstLine="709"/>
        <w:jc w:val="both"/>
        <w:rPr>
          <w:rFonts w:eastAsia="Times New Roman" w:cs="Arial"/>
          <w:color w:val="000000"/>
          <w:szCs w:val="24"/>
          <w:lang w:eastAsia="pt-BR"/>
        </w:rPr>
      </w:pPr>
      <w:r w:rsidRPr="001B431A">
        <w:rPr>
          <w:rFonts w:eastAsia="Times New Roman" w:cs="Arial"/>
          <w:color w:val="000000"/>
          <w:szCs w:val="24"/>
          <w:lang w:eastAsia="pt-BR"/>
        </w:rPr>
        <w:t>De forma complementar à criação dos ecopontos, é de extrema importância a criação de uma legislação que proíba a disposição de lixo, entulho, entre outros rejeitos em terrenos baldios e lugares inadequados, pois serve como força inibidora de ações prejudiciais ao meio ambiente e à sociedade. Sugere-se a aplicação de punição financeira à pessoa física ou jurídica pelo descumprimento da lei.</w:t>
      </w:r>
    </w:p>
    <w:p w:rsidR="001B431A" w:rsidRPr="001B431A" w:rsidRDefault="001B431A" w:rsidP="001B431A">
      <w:pPr>
        <w:shd w:val="clear" w:color="auto" w:fill="FFFFFF"/>
        <w:ind w:firstLine="709"/>
        <w:jc w:val="both"/>
        <w:rPr>
          <w:rFonts w:eastAsia="Times New Roman" w:cs="Arial"/>
          <w:color w:val="000000"/>
          <w:szCs w:val="24"/>
          <w:lang w:eastAsia="pt-BR"/>
        </w:rPr>
      </w:pPr>
      <w:r w:rsidRPr="001B431A">
        <w:rPr>
          <w:rFonts w:eastAsia="Times New Roman" w:cs="Arial"/>
          <w:color w:val="000000"/>
          <w:szCs w:val="24"/>
          <w:lang w:eastAsia="pt-BR"/>
        </w:rPr>
        <w:t>Entre as priorizações das ações corretivas, destacam-se aquelas que buscam sanar os passivos ambientais presentes no município. Primeiramente, os passivos ambientais devem ser estimados e tratados como responsabilidade do poder público para com o meio ambiente, procurando a mitigação e recuperação dos danos causados, reestabelecendo a qualidade ambiental.</w:t>
      </w:r>
    </w:p>
    <w:p w:rsidR="001B431A" w:rsidRPr="001B431A" w:rsidRDefault="001B431A" w:rsidP="001B431A">
      <w:pPr>
        <w:shd w:val="clear" w:color="auto" w:fill="FFFFFF"/>
        <w:ind w:firstLine="709"/>
        <w:jc w:val="both"/>
        <w:rPr>
          <w:rFonts w:eastAsia="Times New Roman" w:cs="Arial"/>
          <w:color w:val="000000"/>
          <w:szCs w:val="24"/>
          <w:lang w:eastAsia="pt-BR"/>
        </w:rPr>
      </w:pPr>
      <w:r w:rsidRPr="001B431A">
        <w:rPr>
          <w:rFonts w:eastAsia="Times New Roman" w:cs="Arial"/>
          <w:color w:val="000000"/>
          <w:szCs w:val="24"/>
          <w:lang w:eastAsia="pt-BR"/>
        </w:rPr>
        <w:t xml:space="preserve">Ao se analisar o cenário atual </w:t>
      </w:r>
      <w:r w:rsidRPr="001B431A">
        <w:rPr>
          <w:rFonts w:eastAsia="Times New Roman" w:cs="Arial"/>
          <w:szCs w:val="24"/>
          <w:lang w:eastAsia="pt-BR"/>
        </w:rPr>
        <w:t xml:space="preserve">de </w:t>
      </w:r>
      <w:r w:rsidRPr="001B431A">
        <w:rPr>
          <w:rFonts w:cs="Arial"/>
          <w:szCs w:val="24"/>
          <w:lang w:eastAsia="pt-BR"/>
        </w:rPr>
        <w:t>Córrego Novo</w:t>
      </w:r>
      <w:r w:rsidRPr="001B431A">
        <w:rPr>
          <w:rFonts w:eastAsia="Times New Roman" w:cs="Arial"/>
          <w:szCs w:val="24"/>
          <w:lang w:eastAsia="pt-BR"/>
        </w:rPr>
        <w:t>, uma das</w:t>
      </w:r>
      <w:r w:rsidRPr="001B431A">
        <w:rPr>
          <w:rFonts w:eastAsia="Times New Roman" w:cs="Arial"/>
          <w:color w:val="000000"/>
          <w:szCs w:val="24"/>
          <w:lang w:eastAsia="pt-BR"/>
        </w:rPr>
        <w:t xml:space="preserve"> questões que deve ser priorizada, em concordância com a PNRS, é o encerramento do lixão. Dar fim à disposição inadequada dos resíduos deve ocorrer o mais rápido possível para que problemas futuros de saúde pública e ambientais não tomem proporções irreversíveis e, consequentemente, dificultem a previsão de eventuais situações emergenciais.</w:t>
      </w:r>
    </w:p>
    <w:p w:rsidR="001B431A" w:rsidRPr="001B431A" w:rsidRDefault="001B431A" w:rsidP="001B431A">
      <w:pPr>
        <w:shd w:val="clear" w:color="auto" w:fill="FFFFFF"/>
        <w:ind w:firstLine="709"/>
        <w:jc w:val="both"/>
        <w:rPr>
          <w:rFonts w:eastAsia="Times New Roman" w:cs="Arial"/>
          <w:color w:val="000000"/>
          <w:szCs w:val="24"/>
          <w:lang w:eastAsia="pt-BR"/>
        </w:rPr>
      </w:pPr>
      <w:r w:rsidRPr="001B431A">
        <w:rPr>
          <w:rFonts w:eastAsia="Times New Roman" w:cs="Arial"/>
          <w:color w:val="000000"/>
          <w:szCs w:val="24"/>
          <w:lang w:eastAsia="pt-BR"/>
        </w:rPr>
        <w:t>Para o encerramento das atividades do lixão, recursos técnicos e financeiros são necessários para remediar as áreas já degradadas e a alocação de um novo aterro sanitário. De acordo com FEAM (2010) destacam-se as seguintes medidas que norteiam e auxiliam no processo de desativação do lixão:</w:t>
      </w:r>
    </w:p>
    <w:p w:rsidR="001B431A" w:rsidRPr="001B431A" w:rsidRDefault="001B431A" w:rsidP="0066661F">
      <w:pPr>
        <w:numPr>
          <w:ilvl w:val="0"/>
          <w:numId w:val="19"/>
        </w:numPr>
        <w:contextualSpacing/>
        <w:jc w:val="both"/>
        <w:rPr>
          <w:rFonts w:eastAsia="Times New Roman"/>
          <w:szCs w:val="20"/>
          <w:lang w:val="x-none" w:eastAsia="x-none"/>
        </w:rPr>
      </w:pPr>
      <w:r w:rsidRPr="001B431A">
        <w:rPr>
          <w:rFonts w:eastAsia="Times New Roman"/>
          <w:szCs w:val="20"/>
          <w:lang w:val="x-none" w:eastAsia="x-none"/>
        </w:rPr>
        <w:lastRenderedPageBreak/>
        <w:t>Caracterização e identificação do empreendimento e dos responsáveis pelo projeto.</w:t>
      </w:r>
    </w:p>
    <w:p w:rsidR="001B431A" w:rsidRPr="001B431A" w:rsidRDefault="001B431A" w:rsidP="0066661F">
      <w:pPr>
        <w:numPr>
          <w:ilvl w:val="0"/>
          <w:numId w:val="19"/>
        </w:numPr>
        <w:contextualSpacing/>
        <w:jc w:val="both"/>
        <w:rPr>
          <w:rFonts w:eastAsia="Times New Roman"/>
          <w:szCs w:val="20"/>
          <w:lang w:val="x-none" w:eastAsia="x-none"/>
        </w:rPr>
      </w:pPr>
      <w:r w:rsidRPr="001B431A">
        <w:rPr>
          <w:rFonts w:eastAsia="Times New Roman"/>
          <w:szCs w:val="20"/>
          <w:lang w:val="x-none" w:eastAsia="x-none"/>
        </w:rPr>
        <w:t>Levantamento topográfico/cadastral com indicação de cursos d’água, poços ou cisternas e edificações existentes no entorno de até 500m.</w:t>
      </w:r>
    </w:p>
    <w:p w:rsidR="001B431A" w:rsidRPr="001B431A" w:rsidRDefault="001B431A" w:rsidP="0066661F">
      <w:pPr>
        <w:numPr>
          <w:ilvl w:val="0"/>
          <w:numId w:val="19"/>
        </w:numPr>
        <w:contextualSpacing/>
        <w:jc w:val="both"/>
        <w:rPr>
          <w:rFonts w:eastAsia="Times New Roman"/>
          <w:szCs w:val="20"/>
          <w:lang w:val="x-none" w:eastAsia="x-none"/>
        </w:rPr>
      </w:pPr>
      <w:r w:rsidRPr="001B431A">
        <w:rPr>
          <w:rFonts w:eastAsia="Times New Roman"/>
          <w:szCs w:val="20"/>
          <w:lang w:val="x-none" w:eastAsia="x-none"/>
        </w:rPr>
        <w:t>Caracterização geológica/geotécnica da área.</w:t>
      </w:r>
    </w:p>
    <w:p w:rsidR="001B431A" w:rsidRPr="001B431A" w:rsidRDefault="001B431A" w:rsidP="0066661F">
      <w:pPr>
        <w:numPr>
          <w:ilvl w:val="0"/>
          <w:numId w:val="19"/>
        </w:numPr>
        <w:contextualSpacing/>
        <w:jc w:val="both"/>
        <w:rPr>
          <w:rFonts w:eastAsia="Times New Roman"/>
          <w:szCs w:val="20"/>
          <w:lang w:val="x-none" w:eastAsia="x-none"/>
        </w:rPr>
      </w:pPr>
      <w:r w:rsidRPr="001B431A">
        <w:rPr>
          <w:rFonts w:eastAsia="Times New Roman"/>
          <w:szCs w:val="20"/>
          <w:lang w:val="x-none" w:eastAsia="x-none"/>
        </w:rPr>
        <w:t>Diagnóstico ambiental simplificado, com a descrição dos aspectos físicos e socioeconômicos da área de entorno do depósito de resíduos sólidos.</w:t>
      </w:r>
    </w:p>
    <w:p w:rsidR="001B431A" w:rsidRPr="001B431A" w:rsidRDefault="001B431A" w:rsidP="0066661F">
      <w:pPr>
        <w:numPr>
          <w:ilvl w:val="0"/>
          <w:numId w:val="19"/>
        </w:numPr>
        <w:contextualSpacing/>
        <w:jc w:val="both"/>
        <w:rPr>
          <w:rFonts w:eastAsia="Times New Roman"/>
          <w:szCs w:val="20"/>
          <w:lang w:val="x-none" w:eastAsia="x-none"/>
        </w:rPr>
      </w:pPr>
      <w:r w:rsidRPr="001B431A">
        <w:rPr>
          <w:rFonts w:eastAsia="Times New Roman"/>
          <w:szCs w:val="20"/>
          <w:lang w:val="x-none" w:eastAsia="x-none"/>
        </w:rPr>
        <w:t>Memorial descritivo das propostas para os processos de recuperação, contendo orientações para execução dos serviços de reconformação geométrica, selagem do lixão, drenagem das águas pluviais, drenagem dos gases, drenagem e tratamento dos lixiviados, cobertura vegetal e isolamento da área.</w:t>
      </w:r>
    </w:p>
    <w:p w:rsidR="001B431A" w:rsidRPr="001B431A" w:rsidRDefault="001B431A" w:rsidP="0066661F">
      <w:pPr>
        <w:numPr>
          <w:ilvl w:val="0"/>
          <w:numId w:val="19"/>
        </w:numPr>
        <w:contextualSpacing/>
        <w:jc w:val="both"/>
        <w:rPr>
          <w:rFonts w:eastAsia="Times New Roman"/>
          <w:szCs w:val="20"/>
          <w:lang w:val="x-none" w:eastAsia="x-none"/>
        </w:rPr>
      </w:pPr>
      <w:r w:rsidRPr="001B431A">
        <w:rPr>
          <w:rFonts w:eastAsia="Times New Roman"/>
          <w:szCs w:val="20"/>
          <w:lang w:val="x-none" w:eastAsia="x-none"/>
        </w:rPr>
        <w:t>Definição das alternativas de uso futuro da área.</w:t>
      </w:r>
    </w:p>
    <w:p w:rsidR="001B431A" w:rsidRPr="001B431A" w:rsidRDefault="001B431A" w:rsidP="0066661F">
      <w:pPr>
        <w:numPr>
          <w:ilvl w:val="0"/>
          <w:numId w:val="19"/>
        </w:numPr>
        <w:contextualSpacing/>
        <w:jc w:val="both"/>
        <w:rPr>
          <w:rFonts w:eastAsia="Times New Roman"/>
          <w:szCs w:val="20"/>
          <w:lang w:val="x-none" w:eastAsia="x-none"/>
        </w:rPr>
      </w:pPr>
      <w:r w:rsidRPr="001B431A">
        <w:rPr>
          <w:rFonts w:eastAsia="Times New Roman"/>
          <w:szCs w:val="20"/>
          <w:lang w:val="x-none" w:eastAsia="x-none"/>
        </w:rPr>
        <w:t>Definição de um programa de monitoramento da estabilidade do maciço, do estado de manutenção dos sistemas de drenagem (pluvial, gases e lixiviados), qualidade das águas superficiais e subterrâneas, crescimento e controle da cobertura vegetal, sistemas de sinalização e isolamento da área.</w:t>
      </w:r>
    </w:p>
    <w:p w:rsidR="001B431A" w:rsidRPr="001B431A" w:rsidRDefault="001B431A" w:rsidP="0066661F">
      <w:pPr>
        <w:numPr>
          <w:ilvl w:val="0"/>
          <w:numId w:val="19"/>
        </w:numPr>
        <w:contextualSpacing/>
        <w:jc w:val="both"/>
        <w:rPr>
          <w:rFonts w:eastAsia="Times New Roman"/>
          <w:szCs w:val="20"/>
          <w:lang w:val="x-none" w:eastAsia="x-none"/>
        </w:rPr>
      </w:pPr>
      <w:r w:rsidRPr="001B431A">
        <w:rPr>
          <w:rFonts w:eastAsia="Times New Roman"/>
          <w:szCs w:val="20"/>
          <w:lang w:val="x-none" w:eastAsia="x-none"/>
        </w:rPr>
        <w:t>Custos estimados e cronograma de execução.</w:t>
      </w:r>
    </w:p>
    <w:p w:rsidR="001B431A" w:rsidRPr="001B431A" w:rsidRDefault="001B431A" w:rsidP="00BC01B1">
      <w:pPr>
        <w:pStyle w:val="Ttulo4"/>
      </w:pPr>
      <w:bookmarkStart w:id="1080" w:name="_Toc402455406"/>
      <w:bookmarkStart w:id="1081" w:name="_Toc498352184"/>
      <w:bookmarkStart w:id="1082" w:name="_Toc509935578"/>
      <w:r w:rsidRPr="001B431A">
        <w:t>Plano de Monitoramento</w:t>
      </w:r>
      <w:bookmarkEnd w:id="1080"/>
      <w:bookmarkEnd w:id="1081"/>
      <w:bookmarkEnd w:id="1082"/>
    </w:p>
    <w:p w:rsidR="001B431A" w:rsidRPr="001B431A" w:rsidRDefault="001B431A" w:rsidP="001B431A">
      <w:pPr>
        <w:shd w:val="clear" w:color="auto" w:fill="FFFFFF"/>
        <w:ind w:firstLine="709"/>
        <w:jc w:val="both"/>
        <w:rPr>
          <w:rFonts w:eastAsia="Times New Roman" w:cs="Arial"/>
          <w:color w:val="000000"/>
          <w:szCs w:val="24"/>
          <w:lang w:eastAsia="pt-BR"/>
        </w:rPr>
      </w:pPr>
      <w:r w:rsidRPr="001B431A">
        <w:rPr>
          <w:rFonts w:eastAsia="Times New Roman" w:cs="Arial"/>
          <w:color w:val="000000"/>
          <w:szCs w:val="24"/>
          <w:lang w:eastAsia="pt-BR"/>
        </w:rPr>
        <w:t>O Plano de Monitoramento serve de auxílio para que as ações preventivas e corretivas tomadas sejam as mais eficientes possíveis. É recomendado que as ações pendentes e/ou atrasadas sejam relatadas à administração pública na primeira oportunidade.</w:t>
      </w:r>
    </w:p>
    <w:p w:rsidR="001B431A" w:rsidRPr="001B431A" w:rsidRDefault="001B431A" w:rsidP="001B431A">
      <w:pPr>
        <w:shd w:val="clear" w:color="auto" w:fill="FFFFFF"/>
        <w:ind w:firstLine="709"/>
        <w:jc w:val="both"/>
        <w:rPr>
          <w:rFonts w:eastAsia="Times New Roman" w:cs="Arial"/>
          <w:color w:val="000000"/>
          <w:szCs w:val="24"/>
          <w:lang w:eastAsia="pt-BR"/>
        </w:rPr>
      </w:pPr>
      <w:r w:rsidRPr="001B431A">
        <w:rPr>
          <w:rFonts w:eastAsia="Times New Roman" w:cs="Arial"/>
          <w:color w:val="000000"/>
          <w:szCs w:val="24"/>
          <w:lang w:eastAsia="pt-BR"/>
        </w:rPr>
        <w:t>O monitoramento a ser realizado tem caráter fiscalizatório, proporcionando o cumprimento das questões que envolvem o Plano e identificando as atividades</w:t>
      </w:r>
      <w:r w:rsidRPr="001B431A">
        <w:rPr>
          <w:rFonts w:ascii="Verdana" w:hAnsi="Verdana"/>
          <w:color w:val="000000"/>
          <w:sz w:val="17"/>
          <w:szCs w:val="17"/>
          <w:shd w:val="clear" w:color="auto" w:fill="FFFFFF"/>
        </w:rPr>
        <w:t xml:space="preserve"> </w:t>
      </w:r>
      <w:r w:rsidRPr="001B431A">
        <w:rPr>
          <w:rFonts w:eastAsia="Times New Roman" w:cs="Arial"/>
          <w:color w:val="000000"/>
          <w:szCs w:val="24"/>
          <w:lang w:eastAsia="pt-BR"/>
        </w:rPr>
        <w:t>efetivas e potencialmente degradadoras da qualidade do meio ambiente. Essa fiscalização deve ser realizada de forma planejada e articulada pelo poder público por meio de suas secretarias e dos órgãos relacionados às questões de saneamento do município, em especial ao sistema de limpeza urbana e manejo de resíduos sólidos.</w:t>
      </w:r>
    </w:p>
    <w:p w:rsidR="001B431A" w:rsidRPr="001B431A" w:rsidRDefault="001B431A" w:rsidP="001B431A">
      <w:pPr>
        <w:ind w:firstLine="709"/>
        <w:jc w:val="both"/>
        <w:rPr>
          <w:rFonts w:cs="Arial"/>
          <w:szCs w:val="24"/>
        </w:rPr>
      </w:pPr>
      <w:r w:rsidRPr="001B431A">
        <w:rPr>
          <w:rFonts w:cs="Arial"/>
          <w:szCs w:val="24"/>
        </w:rPr>
        <w:lastRenderedPageBreak/>
        <w:t>Utilizando-se de alguns conceitos estabelecidos por Bateman (1998) modificados para melhor adequação ao presente Plano, algumas ações foram elencadas para melhor monitoramento das ações e procedimentos propostos para o gerenciamento dos resíduos sólidos (</w:t>
      </w:r>
      <w:r w:rsidR="00B119E3">
        <w:fldChar w:fldCharType="begin"/>
      </w:r>
      <w:r w:rsidR="00B119E3">
        <w:rPr>
          <w:rFonts w:cs="Arial"/>
          <w:szCs w:val="24"/>
        </w:rPr>
        <w:instrText xml:space="preserve"> REF _Ref507660002 \h </w:instrText>
      </w:r>
      <w:r w:rsidR="00B119E3">
        <w:fldChar w:fldCharType="separate"/>
      </w:r>
      <w:r w:rsidR="001B481B">
        <w:t xml:space="preserve">Tabela </w:t>
      </w:r>
      <w:r w:rsidR="001B481B">
        <w:rPr>
          <w:noProof/>
        </w:rPr>
        <w:t>6</w:t>
      </w:r>
      <w:r w:rsidR="00B119E3">
        <w:fldChar w:fldCharType="end"/>
      </w:r>
      <w:r w:rsidRPr="001B431A">
        <w:rPr>
          <w:rFonts w:cs="Arial"/>
          <w:szCs w:val="24"/>
        </w:rPr>
        <w:t>).</w:t>
      </w:r>
    </w:p>
    <w:p w:rsidR="001B431A" w:rsidRPr="001B431A" w:rsidRDefault="00171D9D" w:rsidP="00171D9D">
      <w:pPr>
        <w:pStyle w:val="Legenda"/>
        <w:rPr>
          <w:b w:val="0"/>
          <w:szCs w:val="20"/>
        </w:rPr>
      </w:pPr>
      <w:bookmarkStart w:id="1083" w:name="_Ref507660002"/>
      <w:bookmarkStart w:id="1084" w:name="_Ref397090218"/>
      <w:bookmarkStart w:id="1085" w:name="_Toc402455411"/>
      <w:bookmarkStart w:id="1086" w:name="_Toc498352251"/>
      <w:bookmarkStart w:id="1087" w:name="_Toc509935876"/>
      <w:r>
        <w:t xml:space="preserve">Tabela </w:t>
      </w:r>
      <w:r w:rsidR="000A1C78">
        <w:fldChar w:fldCharType="begin"/>
      </w:r>
      <w:r w:rsidR="000A1C78">
        <w:instrText xml:space="preserve"> SEQ Tabela \* ARABIC </w:instrText>
      </w:r>
      <w:r w:rsidR="000A1C78">
        <w:fldChar w:fldCharType="separate"/>
      </w:r>
      <w:r w:rsidR="001B481B">
        <w:rPr>
          <w:noProof/>
        </w:rPr>
        <w:t>6</w:t>
      </w:r>
      <w:r w:rsidR="000A1C78">
        <w:rPr>
          <w:noProof/>
        </w:rPr>
        <w:fldChar w:fldCharType="end"/>
      </w:r>
      <w:bookmarkEnd w:id="1083"/>
      <w:r w:rsidR="001B431A" w:rsidRPr="001B431A">
        <w:rPr>
          <w:b w:val="0"/>
          <w:szCs w:val="20"/>
        </w:rPr>
        <w:t xml:space="preserve"> - Ações de monitoramento</w:t>
      </w:r>
      <w:bookmarkEnd w:id="1084"/>
      <w:bookmarkEnd w:id="1085"/>
      <w:bookmarkEnd w:id="1086"/>
      <w:bookmarkEnd w:id="1087"/>
    </w:p>
    <w:tbl>
      <w:tblPr>
        <w:tblW w:w="0" w:type="auto"/>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8644"/>
      </w:tblGrid>
      <w:tr w:rsidR="001B431A" w:rsidRPr="00810C89" w:rsidTr="001B431A">
        <w:trPr>
          <w:jc w:val="center"/>
        </w:trPr>
        <w:tc>
          <w:tcPr>
            <w:tcW w:w="8644" w:type="dxa"/>
            <w:shd w:val="clear" w:color="auto" w:fill="D3DFEE"/>
          </w:tcPr>
          <w:p w:rsidR="001B431A" w:rsidRPr="00810C89" w:rsidRDefault="001B431A" w:rsidP="00810C89">
            <w:pPr>
              <w:numPr>
                <w:ilvl w:val="0"/>
                <w:numId w:val="24"/>
              </w:numPr>
              <w:spacing w:before="120" w:after="120" w:line="240" w:lineRule="auto"/>
              <w:ind w:left="425" w:hanging="357"/>
              <w:jc w:val="both"/>
              <w:rPr>
                <w:rFonts w:cs="Arial"/>
                <w:bCs/>
                <w:sz w:val="22"/>
              </w:rPr>
            </w:pPr>
            <w:r w:rsidRPr="00810C89">
              <w:rPr>
                <w:rFonts w:cs="Arial"/>
                <w:bCs/>
                <w:sz w:val="22"/>
              </w:rPr>
              <w:t>Estabelecer padrões de desempenho que indiquem o progresso rumo aos objetivos de longo prazo;</w:t>
            </w:r>
          </w:p>
        </w:tc>
      </w:tr>
      <w:tr w:rsidR="001B431A" w:rsidRPr="00810C89" w:rsidTr="001B431A">
        <w:trPr>
          <w:jc w:val="center"/>
        </w:trPr>
        <w:tc>
          <w:tcPr>
            <w:tcW w:w="8644" w:type="dxa"/>
            <w:shd w:val="clear" w:color="auto" w:fill="A7BFDE"/>
          </w:tcPr>
          <w:p w:rsidR="001B431A" w:rsidRPr="00810C89" w:rsidRDefault="001B431A" w:rsidP="00810C89">
            <w:pPr>
              <w:numPr>
                <w:ilvl w:val="0"/>
                <w:numId w:val="24"/>
              </w:numPr>
              <w:spacing w:before="120" w:after="120" w:line="240" w:lineRule="auto"/>
              <w:ind w:left="425" w:hanging="357"/>
              <w:jc w:val="both"/>
              <w:rPr>
                <w:rFonts w:cs="Arial"/>
                <w:bCs/>
                <w:sz w:val="22"/>
              </w:rPr>
            </w:pPr>
            <w:r w:rsidRPr="00810C89">
              <w:rPr>
                <w:rFonts w:cs="Arial"/>
                <w:bCs/>
                <w:sz w:val="22"/>
              </w:rPr>
              <w:t>Monitorar a eficiência e eficácia dos projetos e metas pela coleta de dados de seu desempenho;</w:t>
            </w:r>
          </w:p>
        </w:tc>
      </w:tr>
      <w:tr w:rsidR="001B431A" w:rsidRPr="00810C89" w:rsidTr="001B431A">
        <w:trPr>
          <w:jc w:val="center"/>
        </w:trPr>
        <w:tc>
          <w:tcPr>
            <w:tcW w:w="8644" w:type="dxa"/>
            <w:shd w:val="clear" w:color="auto" w:fill="D3DFEE"/>
          </w:tcPr>
          <w:p w:rsidR="001B431A" w:rsidRPr="00810C89" w:rsidRDefault="001B431A" w:rsidP="00810C89">
            <w:pPr>
              <w:numPr>
                <w:ilvl w:val="0"/>
                <w:numId w:val="24"/>
              </w:numPr>
              <w:spacing w:before="120" w:after="120" w:line="240" w:lineRule="auto"/>
              <w:ind w:left="425" w:hanging="357"/>
              <w:jc w:val="both"/>
              <w:rPr>
                <w:rFonts w:cs="Arial"/>
                <w:bCs/>
                <w:sz w:val="22"/>
              </w:rPr>
            </w:pPr>
            <w:r w:rsidRPr="00810C89">
              <w:rPr>
                <w:rFonts w:cs="Arial"/>
                <w:bCs/>
                <w:sz w:val="22"/>
              </w:rPr>
              <w:t xml:space="preserve">Fornecer </w:t>
            </w:r>
            <w:r w:rsidRPr="00810C89">
              <w:rPr>
                <w:rFonts w:cs="Arial"/>
                <w:bCs/>
                <w:i/>
                <w:iCs/>
                <w:sz w:val="22"/>
              </w:rPr>
              <w:t>feedback</w:t>
            </w:r>
            <w:r w:rsidRPr="00810C89">
              <w:rPr>
                <w:rFonts w:cs="Arial"/>
                <w:bCs/>
                <w:sz w:val="22"/>
              </w:rPr>
              <w:t xml:space="preserve"> à população, sobre o progresso e desempenho do plano;</w:t>
            </w:r>
          </w:p>
        </w:tc>
      </w:tr>
      <w:tr w:rsidR="001B431A" w:rsidRPr="00810C89" w:rsidTr="001B431A">
        <w:trPr>
          <w:jc w:val="center"/>
        </w:trPr>
        <w:tc>
          <w:tcPr>
            <w:tcW w:w="8644" w:type="dxa"/>
            <w:shd w:val="clear" w:color="auto" w:fill="A7BFDE"/>
          </w:tcPr>
          <w:p w:rsidR="001B431A" w:rsidRPr="00810C89" w:rsidRDefault="001B431A" w:rsidP="00810C89">
            <w:pPr>
              <w:numPr>
                <w:ilvl w:val="0"/>
                <w:numId w:val="24"/>
              </w:numPr>
              <w:spacing w:before="120" w:after="120" w:line="240" w:lineRule="auto"/>
              <w:ind w:left="425" w:hanging="357"/>
              <w:jc w:val="both"/>
              <w:rPr>
                <w:rFonts w:cs="Arial"/>
                <w:bCs/>
                <w:sz w:val="22"/>
              </w:rPr>
            </w:pPr>
            <w:r w:rsidRPr="00810C89">
              <w:rPr>
                <w:rFonts w:cs="Arial"/>
                <w:bCs/>
                <w:sz w:val="22"/>
              </w:rPr>
              <w:t>Identificar problemas através da comparação entre dados de desempenho e os padrões pré-estabelecidos; e</w:t>
            </w:r>
          </w:p>
        </w:tc>
      </w:tr>
      <w:tr w:rsidR="001B431A" w:rsidRPr="00810C89" w:rsidTr="001B431A">
        <w:trPr>
          <w:jc w:val="center"/>
        </w:trPr>
        <w:tc>
          <w:tcPr>
            <w:tcW w:w="8644" w:type="dxa"/>
            <w:shd w:val="clear" w:color="auto" w:fill="D3DFEE"/>
          </w:tcPr>
          <w:p w:rsidR="001B431A" w:rsidRPr="00810C89" w:rsidRDefault="001B431A" w:rsidP="00810C89">
            <w:pPr>
              <w:numPr>
                <w:ilvl w:val="0"/>
                <w:numId w:val="24"/>
              </w:numPr>
              <w:spacing w:before="120" w:after="120" w:line="240" w:lineRule="auto"/>
              <w:ind w:left="425" w:hanging="357"/>
              <w:jc w:val="both"/>
              <w:rPr>
                <w:rFonts w:cs="Arial"/>
                <w:bCs/>
                <w:sz w:val="22"/>
              </w:rPr>
            </w:pPr>
            <w:r w:rsidRPr="00810C89">
              <w:rPr>
                <w:rFonts w:cs="Arial"/>
                <w:bCs/>
                <w:sz w:val="22"/>
              </w:rPr>
              <w:t>Por último, executar ações corretivas.</w:t>
            </w:r>
          </w:p>
        </w:tc>
      </w:tr>
    </w:tbl>
    <w:p w:rsidR="001B431A" w:rsidRPr="001B431A" w:rsidRDefault="001B431A" w:rsidP="001B431A">
      <w:pPr>
        <w:spacing w:after="120"/>
        <w:jc w:val="center"/>
        <w:rPr>
          <w:rFonts w:cs="Arial"/>
          <w:sz w:val="20"/>
          <w:szCs w:val="24"/>
          <w:lang w:eastAsia="pt-BR"/>
        </w:rPr>
      </w:pPr>
      <w:r w:rsidRPr="001B431A">
        <w:rPr>
          <w:sz w:val="20"/>
          <w:szCs w:val="20"/>
          <w:lang w:eastAsia="pt-BR"/>
        </w:rPr>
        <w:t xml:space="preserve">Fonte: adaptado de </w:t>
      </w:r>
      <w:r w:rsidRPr="001B431A">
        <w:rPr>
          <w:rFonts w:cs="Arial"/>
          <w:sz w:val="20"/>
          <w:szCs w:val="24"/>
          <w:lang w:eastAsia="pt-BR"/>
        </w:rPr>
        <w:t>Bateman (1998).</w:t>
      </w:r>
    </w:p>
    <w:p w:rsidR="000336E1" w:rsidRPr="00215C95" w:rsidRDefault="000336E1" w:rsidP="00BC01B1">
      <w:pPr>
        <w:pStyle w:val="Ttulo3"/>
      </w:pPr>
      <w:bookmarkStart w:id="1088" w:name="_Toc434591765"/>
      <w:bookmarkStart w:id="1089" w:name="_Toc498594084"/>
      <w:bookmarkStart w:id="1090" w:name="_Toc509935579"/>
      <w:r w:rsidRPr="00215C95">
        <w:t>Ações para emergência e contingência</w:t>
      </w:r>
      <w:bookmarkEnd w:id="1088"/>
      <w:bookmarkEnd w:id="1089"/>
      <w:bookmarkEnd w:id="1090"/>
      <w:r w:rsidR="00A953B4">
        <w:rPr>
          <w:lang w:val="pt-BR"/>
        </w:rPr>
        <w:t xml:space="preserve"> </w:t>
      </w:r>
    </w:p>
    <w:p w:rsidR="000336E1" w:rsidRPr="00EC6DD7" w:rsidRDefault="000336E1" w:rsidP="000336E1">
      <w:pPr>
        <w:spacing w:before="120" w:after="120"/>
        <w:ind w:firstLine="708"/>
        <w:contextualSpacing/>
        <w:jc w:val="both"/>
        <w:rPr>
          <w:rFonts w:cs="Arial"/>
          <w:szCs w:val="24"/>
          <w:lang w:eastAsia="pt-BR"/>
        </w:rPr>
      </w:pPr>
      <w:r w:rsidRPr="007F06AA">
        <w:rPr>
          <w:rFonts w:cs="Arial"/>
          <w:szCs w:val="24"/>
          <w:lang w:eastAsia="pt-BR"/>
        </w:rPr>
        <w:t xml:space="preserve">A seguir estão listadas as </w:t>
      </w:r>
      <w:r w:rsidR="00EC6DD7">
        <w:rPr>
          <w:rFonts w:cs="Arial"/>
          <w:szCs w:val="24"/>
          <w:lang w:eastAsia="pt-BR"/>
        </w:rPr>
        <w:t xml:space="preserve">principais </w:t>
      </w:r>
      <w:r w:rsidRPr="007F06AA">
        <w:rPr>
          <w:rFonts w:cs="Arial"/>
          <w:szCs w:val="24"/>
          <w:lang w:eastAsia="pt-BR"/>
        </w:rPr>
        <w:t xml:space="preserve">ações de eventos de emergência e contingência </w:t>
      </w:r>
      <w:r w:rsidRPr="00EC6DD7">
        <w:rPr>
          <w:rFonts w:cs="Arial"/>
          <w:szCs w:val="24"/>
          <w:lang w:eastAsia="pt-BR"/>
        </w:rPr>
        <w:t>relacionados ao SLU. A fim de facilitar a compreensão, esses eventos foram separados em operacionais, de gestão e gerenciamento, e imprevisíveis.</w:t>
      </w:r>
    </w:p>
    <w:p w:rsidR="000336E1" w:rsidRPr="00EC6DD7" w:rsidRDefault="00EC6DD7" w:rsidP="00BC01B1">
      <w:pPr>
        <w:pStyle w:val="Ttulo4"/>
      </w:pPr>
      <w:bookmarkStart w:id="1091" w:name="_Toc498594085"/>
      <w:bookmarkStart w:id="1092" w:name="_Toc509935580"/>
      <w:r>
        <w:t>Eventos o</w:t>
      </w:r>
      <w:r w:rsidR="000336E1" w:rsidRPr="00EC6DD7">
        <w:t>peraciona</w:t>
      </w:r>
      <w:bookmarkEnd w:id="1091"/>
      <w:r w:rsidR="00430A8C" w:rsidRPr="00EC6DD7">
        <w:t>is</w:t>
      </w:r>
      <w:bookmarkEnd w:id="1092"/>
    </w:p>
    <w:p w:rsidR="000336E1" w:rsidRPr="005E2990" w:rsidRDefault="000336E1" w:rsidP="0066661F">
      <w:pPr>
        <w:pStyle w:val="PargrafodaLista"/>
        <w:numPr>
          <w:ilvl w:val="0"/>
          <w:numId w:val="14"/>
        </w:numPr>
        <w:tabs>
          <w:tab w:val="left" w:pos="993"/>
        </w:tabs>
        <w:spacing w:before="120" w:after="120"/>
        <w:ind w:left="0" w:firstLine="709"/>
        <w:rPr>
          <w:b/>
          <w:szCs w:val="24"/>
        </w:rPr>
      </w:pPr>
      <w:r w:rsidRPr="00EC6DD7">
        <w:rPr>
          <w:b/>
          <w:szCs w:val="24"/>
        </w:rPr>
        <w:t xml:space="preserve">Ocorrência de avarias ou falha mecânica nos veículos coletores: </w:t>
      </w:r>
      <w:r w:rsidRPr="00EC6DD7">
        <w:rPr>
          <w:szCs w:val="24"/>
        </w:rPr>
        <w:t xml:space="preserve">acionar empresas previamente cadastradas </w:t>
      </w:r>
      <w:r w:rsidRPr="005E2990">
        <w:rPr>
          <w:szCs w:val="24"/>
        </w:rPr>
        <w:t>para assumirem emergencialmente a coleta nos roteiros programados, dando continuidade aos trabalhos.</w:t>
      </w:r>
      <w:r w:rsidRPr="005E2990">
        <w:rPr>
          <w:b/>
          <w:szCs w:val="24"/>
        </w:rPr>
        <w:t xml:space="preserve"> Responsável: </w:t>
      </w:r>
      <w:r w:rsidRPr="005E2990">
        <w:rPr>
          <w:szCs w:val="24"/>
        </w:rPr>
        <w:t>prestador dos serviços de Coleta de Resíduos Sólidos.</w:t>
      </w:r>
    </w:p>
    <w:p w:rsidR="000336E1" w:rsidRPr="00263CB3" w:rsidRDefault="000336E1" w:rsidP="0066661F">
      <w:pPr>
        <w:pStyle w:val="PargrafodaLista"/>
        <w:numPr>
          <w:ilvl w:val="0"/>
          <w:numId w:val="14"/>
        </w:numPr>
        <w:tabs>
          <w:tab w:val="left" w:pos="993"/>
        </w:tabs>
        <w:spacing w:before="120" w:after="120"/>
        <w:ind w:left="0" w:firstLine="709"/>
        <w:rPr>
          <w:rFonts w:eastAsia="Calibri"/>
          <w:szCs w:val="24"/>
        </w:rPr>
      </w:pPr>
      <w:r w:rsidRPr="00EB2889">
        <w:rPr>
          <w:b/>
          <w:szCs w:val="24"/>
        </w:rPr>
        <w:t>Ocorrência de avarias em equipamentos e veículos em unidades do sistema de manejo de resíduos sólidos (aterros, oficinas, galpões, usinas, etc.)</w:t>
      </w:r>
      <w:r w:rsidRPr="00EB2889">
        <w:rPr>
          <w:szCs w:val="24"/>
        </w:rPr>
        <w:t>:</w:t>
      </w:r>
      <w:r w:rsidRPr="00973EF6">
        <w:rPr>
          <w:szCs w:val="24"/>
        </w:rPr>
        <w:t xml:space="preserve"> </w:t>
      </w:r>
      <w:r w:rsidRPr="00973EF6">
        <w:rPr>
          <w:szCs w:val="24"/>
          <w:lang w:val="pt-BR"/>
        </w:rPr>
        <w:t xml:space="preserve">contratar serviço especializado para realizar a manutenção dos equipamentos e </w:t>
      </w:r>
      <w:r w:rsidRPr="00973EF6">
        <w:rPr>
          <w:szCs w:val="22"/>
        </w:rPr>
        <w:t>aciona</w:t>
      </w:r>
      <w:r w:rsidRPr="00973EF6">
        <w:rPr>
          <w:szCs w:val="22"/>
          <w:lang w:val="pt-BR"/>
        </w:rPr>
        <w:t>r</w:t>
      </w:r>
      <w:r w:rsidRPr="00973EF6">
        <w:rPr>
          <w:szCs w:val="22"/>
        </w:rPr>
        <w:t xml:space="preserve"> empresas previamente cadastrad</w:t>
      </w:r>
      <w:r w:rsidRPr="00973EF6">
        <w:rPr>
          <w:szCs w:val="22"/>
          <w:lang w:val="pt-BR"/>
        </w:rPr>
        <w:t>a</w:t>
      </w:r>
      <w:r w:rsidRPr="00973EF6">
        <w:rPr>
          <w:szCs w:val="22"/>
        </w:rPr>
        <w:t>s</w:t>
      </w:r>
      <w:r w:rsidRPr="00973EF6">
        <w:rPr>
          <w:szCs w:val="22"/>
          <w:lang w:val="pt-BR"/>
        </w:rPr>
        <w:t xml:space="preserve"> </w:t>
      </w:r>
      <w:r w:rsidRPr="00973EF6">
        <w:rPr>
          <w:szCs w:val="22"/>
        </w:rPr>
        <w:t xml:space="preserve">para assumirem emergencialmente </w:t>
      </w:r>
      <w:r w:rsidRPr="00973EF6">
        <w:rPr>
          <w:szCs w:val="22"/>
          <w:lang w:val="pt-BR"/>
        </w:rPr>
        <w:t>as funções comprometidas</w:t>
      </w:r>
      <w:r>
        <w:rPr>
          <w:szCs w:val="22"/>
          <w:lang w:val="pt-BR"/>
        </w:rPr>
        <w:t>.</w:t>
      </w:r>
      <w:r w:rsidRPr="00F64272">
        <w:rPr>
          <w:rFonts w:cs="Arial"/>
          <w:b/>
          <w:szCs w:val="24"/>
          <w:lang w:val="pt-BR" w:eastAsia="pt-BR"/>
        </w:rPr>
        <w:t xml:space="preserve"> </w:t>
      </w:r>
      <w:r w:rsidRPr="006273B3">
        <w:rPr>
          <w:rFonts w:cs="Arial"/>
          <w:b/>
          <w:szCs w:val="24"/>
          <w:lang w:val="pt-BR" w:eastAsia="pt-BR"/>
        </w:rPr>
        <w:t>Responsável:</w:t>
      </w:r>
      <w:r>
        <w:rPr>
          <w:rFonts w:cs="Arial"/>
          <w:b/>
          <w:szCs w:val="24"/>
          <w:lang w:val="pt-BR" w:eastAsia="pt-BR"/>
        </w:rPr>
        <w:t xml:space="preserve"> </w:t>
      </w:r>
      <w:r w:rsidRPr="006273B3">
        <w:t xml:space="preserve">prestador </w:t>
      </w:r>
      <w:r>
        <w:rPr>
          <w:lang w:val="pt-BR"/>
        </w:rPr>
        <w:t>responsável pela unidade do sistema de manejo de resíduos sólidos (aterros, oficinas, galpões, usinas, etc.)</w:t>
      </w:r>
      <w:r w:rsidRPr="006273B3">
        <w:rPr>
          <w:rFonts w:cs="Arial"/>
          <w:szCs w:val="24"/>
          <w:lang w:val="pt-BR" w:eastAsia="pt-BR"/>
        </w:rPr>
        <w:t>.</w:t>
      </w:r>
    </w:p>
    <w:p w:rsidR="000336E1" w:rsidRPr="00C40078" w:rsidRDefault="000336E1" w:rsidP="00C817CB">
      <w:pPr>
        <w:numPr>
          <w:ilvl w:val="0"/>
          <w:numId w:val="4"/>
        </w:numPr>
        <w:tabs>
          <w:tab w:val="left" w:pos="993"/>
        </w:tabs>
        <w:spacing w:before="120" w:after="120"/>
        <w:ind w:left="0" w:firstLine="709"/>
        <w:contextualSpacing/>
        <w:jc w:val="both"/>
        <w:rPr>
          <w:rFonts w:eastAsia="Times New Roman" w:cs="Arial"/>
          <w:szCs w:val="24"/>
          <w:lang w:val="x-none" w:eastAsia="pt-BR"/>
        </w:rPr>
      </w:pPr>
      <w:r w:rsidRPr="00C40078">
        <w:rPr>
          <w:b/>
          <w:szCs w:val="24"/>
        </w:rPr>
        <w:lastRenderedPageBreak/>
        <w:t>Ocorrência de avarias em equipamentos e em unidades do sistema de manejo de resíduos sólidos (aterros, oficinas, galpões, usinas, etc.)</w:t>
      </w:r>
      <w:r w:rsidRPr="00C40078">
        <w:rPr>
          <w:szCs w:val="24"/>
        </w:rPr>
        <w:t xml:space="preserve">: </w:t>
      </w:r>
      <w:r w:rsidRPr="00C40078">
        <w:rPr>
          <w:rFonts w:cs="Arial"/>
          <w:szCs w:val="24"/>
          <w:lang w:eastAsia="pt-BR"/>
        </w:rPr>
        <w:t xml:space="preserve">realizar avaliação dos estragos; elaborar plano de manutenção corretiva; fazer as ações necessárias para reestabelecer o sistema </w:t>
      </w:r>
      <w:r w:rsidRPr="00C40078">
        <w:rPr>
          <w:lang w:eastAsia="pt-BR"/>
        </w:rPr>
        <w:t>e reiniciar o atendimento convencional.</w:t>
      </w:r>
      <w:r w:rsidRPr="00C40078">
        <w:rPr>
          <w:rFonts w:cs="Arial"/>
          <w:b/>
          <w:szCs w:val="24"/>
          <w:lang w:eastAsia="pt-BR"/>
        </w:rPr>
        <w:t xml:space="preserve"> Responsável:</w:t>
      </w:r>
      <w:r w:rsidRPr="00C40078">
        <w:rPr>
          <w:rFonts w:cs="Arial"/>
          <w:szCs w:val="24"/>
          <w:lang w:eastAsia="pt-BR"/>
        </w:rPr>
        <w:t xml:space="preserve"> </w:t>
      </w:r>
      <w:r w:rsidRPr="00C40078">
        <w:t>prestador responsável pela unidade do sistema de manejo de resíduos sólidos (aterros, oficinas, galpões, usinas, etc.)</w:t>
      </w:r>
      <w:r w:rsidRPr="00C40078">
        <w:rPr>
          <w:rFonts w:cs="Arial"/>
          <w:szCs w:val="24"/>
          <w:lang w:eastAsia="pt-BR"/>
        </w:rPr>
        <w:t>.</w:t>
      </w:r>
    </w:p>
    <w:p w:rsidR="000336E1" w:rsidRPr="00DD3592" w:rsidRDefault="000336E1" w:rsidP="00C817CB">
      <w:pPr>
        <w:pStyle w:val="PargrafodaLista"/>
        <w:numPr>
          <w:ilvl w:val="0"/>
          <w:numId w:val="4"/>
        </w:numPr>
        <w:tabs>
          <w:tab w:val="left" w:pos="993"/>
        </w:tabs>
        <w:spacing w:before="120" w:after="120"/>
        <w:ind w:left="0" w:firstLine="709"/>
        <w:rPr>
          <w:rFonts w:cs="Arial"/>
          <w:szCs w:val="24"/>
          <w:lang w:eastAsia="pt-BR"/>
        </w:rPr>
      </w:pPr>
      <w:r w:rsidRPr="00710A12">
        <w:rPr>
          <w:b/>
          <w:szCs w:val="24"/>
        </w:rPr>
        <w:t>Ocorrência de acidentes de trabalho por ocasião da coleta de resíduos sólidos</w:t>
      </w:r>
      <w:r w:rsidRPr="00710A12">
        <w:rPr>
          <w:szCs w:val="24"/>
        </w:rPr>
        <w:t xml:space="preserve">: </w:t>
      </w:r>
      <w:r>
        <w:rPr>
          <w:szCs w:val="24"/>
          <w:lang w:val="pt-BR"/>
        </w:rPr>
        <w:t>i</w:t>
      </w:r>
      <w:r w:rsidRPr="00DD3592">
        <w:rPr>
          <w:rFonts w:cs="Arial"/>
          <w:szCs w:val="24"/>
          <w:lang w:val="pt-BR" w:eastAsia="pt-BR"/>
        </w:rPr>
        <w:t>niciar primeiros socorros</w:t>
      </w:r>
      <w:r>
        <w:rPr>
          <w:rFonts w:cs="Arial"/>
          <w:szCs w:val="24"/>
          <w:lang w:val="pt-BR" w:eastAsia="pt-BR"/>
        </w:rPr>
        <w:t>;</w:t>
      </w:r>
      <w:r w:rsidRPr="00DD3592">
        <w:rPr>
          <w:rFonts w:cs="Arial"/>
          <w:szCs w:val="24"/>
          <w:lang w:val="pt-BR" w:eastAsia="pt-BR"/>
        </w:rPr>
        <w:t xml:space="preserve"> </w:t>
      </w:r>
      <w:r w:rsidRPr="00DD3592">
        <w:rPr>
          <w:rFonts w:cs="Arial"/>
          <w:szCs w:val="24"/>
          <w:lang w:eastAsia="pt-BR"/>
        </w:rPr>
        <w:t xml:space="preserve">comunicar </w:t>
      </w:r>
      <w:r w:rsidRPr="00DD3592">
        <w:rPr>
          <w:rFonts w:cs="Arial"/>
          <w:szCs w:val="24"/>
          <w:lang w:val="pt-BR" w:eastAsia="pt-BR"/>
        </w:rPr>
        <w:t>aos socorristas</w:t>
      </w:r>
      <w:r>
        <w:rPr>
          <w:rFonts w:cs="Arial"/>
          <w:szCs w:val="24"/>
          <w:lang w:val="pt-BR" w:eastAsia="pt-BR"/>
        </w:rPr>
        <w:t>;</w:t>
      </w:r>
      <w:r w:rsidRPr="00DD3592">
        <w:rPr>
          <w:rFonts w:cs="Arial"/>
          <w:szCs w:val="24"/>
          <w:lang w:val="pt-BR" w:eastAsia="pt-BR"/>
        </w:rPr>
        <w:t xml:space="preserve"> substituir função do operário lesionado à outro funcionário por período temporário</w:t>
      </w:r>
      <w:r w:rsidRPr="00DD3592">
        <w:rPr>
          <w:rFonts w:cs="Arial"/>
          <w:szCs w:val="24"/>
          <w:lang w:eastAsia="pt-BR"/>
        </w:rPr>
        <w:t>.</w:t>
      </w:r>
      <w:r w:rsidRPr="00F64272">
        <w:rPr>
          <w:rFonts w:cs="Arial"/>
          <w:b/>
          <w:szCs w:val="24"/>
          <w:lang w:val="pt-BR" w:eastAsia="pt-BR"/>
        </w:rPr>
        <w:t xml:space="preserve"> </w:t>
      </w:r>
      <w:r w:rsidRPr="006273B3">
        <w:rPr>
          <w:rFonts w:cs="Arial"/>
          <w:b/>
          <w:szCs w:val="24"/>
          <w:lang w:val="pt-BR" w:eastAsia="pt-BR"/>
        </w:rPr>
        <w:t>Responsável:</w:t>
      </w:r>
      <w:r w:rsidRPr="006273B3">
        <w:rPr>
          <w:rFonts w:cs="Arial"/>
          <w:szCs w:val="24"/>
          <w:lang w:val="pt-BR" w:eastAsia="pt-BR"/>
        </w:rPr>
        <w:t xml:space="preserve"> prestador do</w:t>
      </w:r>
      <w:r>
        <w:rPr>
          <w:rFonts w:cs="Arial"/>
          <w:szCs w:val="24"/>
          <w:lang w:val="pt-BR" w:eastAsia="pt-BR"/>
        </w:rPr>
        <w:t>s</w:t>
      </w:r>
      <w:r w:rsidRPr="006273B3">
        <w:rPr>
          <w:rFonts w:cs="Arial"/>
          <w:szCs w:val="24"/>
          <w:lang w:val="pt-BR" w:eastAsia="pt-BR"/>
        </w:rPr>
        <w:t xml:space="preserve"> serviços de </w:t>
      </w:r>
      <w:r>
        <w:rPr>
          <w:rFonts w:cs="Arial"/>
          <w:szCs w:val="24"/>
          <w:lang w:val="pt-BR" w:eastAsia="pt-BR"/>
        </w:rPr>
        <w:t>Coleta de Resíduos Sólidos</w:t>
      </w:r>
      <w:r w:rsidRPr="006273B3">
        <w:rPr>
          <w:rFonts w:cs="Arial"/>
          <w:szCs w:val="24"/>
          <w:lang w:val="pt-BR" w:eastAsia="pt-BR"/>
        </w:rPr>
        <w:t>.</w:t>
      </w:r>
    </w:p>
    <w:p w:rsidR="000336E1" w:rsidRPr="00DD3592" w:rsidRDefault="000336E1" w:rsidP="00C817CB">
      <w:pPr>
        <w:pStyle w:val="PargrafodaLista"/>
        <w:numPr>
          <w:ilvl w:val="0"/>
          <w:numId w:val="4"/>
        </w:numPr>
        <w:tabs>
          <w:tab w:val="left" w:pos="993"/>
        </w:tabs>
        <w:spacing w:before="120" w:after="120"/>
        <w:ind w:left="0" w:firstLine="709"/>
        <w:rPr>
          <w:rFonts w:cs="Arial"/>
          <w:szCs w:val="24"/>
          <w:lang w:eastAsia="pt-BR"/>
        </w:rPr>
      </w:pPr>
      <w:r w:rsidRPr="00710A12">
        <w:rPr>
          <w:b/>
          <w:szCs w:val="24"/>
        </w:rPr>
        <w:t>Ocorrência de acidentes de trabalho em unidades do sistema de manejo de resíduos sólidos (aterros, oficinas, galpões, usinas, etc.)</w:t>
      </w:r>
      <w:r w:rsidRPr="00710A12">
        <w:rPr>
          <w:szCs w:val="24"/>
        </w:rPr>
        <w:t xml:space="preserve">: </w:t>
      </w:r>
      <w:r>
        <w:rPr>
          <w:szCs w:val="24"/>
          <w:lang w:val="pt-BR"/>
        </w:rPr>
        <w:t>i</w:t>
      </w:r>
      <w:r w:rsidRPr="00DD3592">
        <w:rPr>
          <w:rFonts w:cs="Arial"/>
          <w:szCs w:val="24"/>
          <w:lang w:val="pt-BR" w:eastAsia="pt-BR"/>
        </w:rPr>
        <w:t>niciar primeiros socorros</w:t>
      </w:r>
      <w:r>
        <w:rPr>
          <w:rFonts w:cs="Arial"/>
          <w:szCs w:val="24"/>
          <w:lang w:val="pt-BR" w:eastAsia="pt-BR"/>
        </w:rPr>
        <w:t>;</w:t>
      </w:r>
      <w:r w:rsidRPr="00DD3592">
        <w:rPr>
          <w:rFonts w:cs="Arial"/>
          <w:szCs w:val="24"/>
          <w:lang w:val="pt-BR" w:eastAsia="pt-BR"/>
        </w:rPr>
        <w:t xml:space="preserve"> </w:t>
      </w:r>
      <w:r w:rsidRPr="00DD3592">
        <w:rPr>
          <w:rFonts w:cs="Arial"/>
          <w:szCs w:val="24"/>
          <w:lang w:eastAsia="pt-BR"/>
        </w:rPr>
        <w:t xml:space="preserve">comunicar </w:t>
      </w:r>
      <w:r w:rsidRPr="00DD3592">
        <w:rPr>
          <w:rFonts w:cs="Arial"/>
          <w:szCs w:val="24"/>
          <w:lang w:val="pt-BR" w:eastAsia="pt-BR"/>
        </w:rPr>
        <w:t>aos socorristas</w:t>
      </w:r>
      <w:r>
        <w:rPr>
          <w:rFonts w:cs="Arial"/>
          <w:szCs w:val="24"/>
          <w:lang w:val="pt-BR" w:eastAsia="pt-BR"/>
        </w:rPr>
        <w:t>;</w:t>
      </w:r>
      <w:r w:rsidRPr="00DD3592">
        <w:rPr>
          <w:rFonts w:cs="Arial"/>
          <w:szCs w:val="24"/>
          <w:lang w:val="pt-BR" w:eastAsia="pt-BR"/>
        </w:rPr>
        <w:t xml:space="preserve"> substituir função do operário lesionado a outro funcionário por período temporário</w:t>
      </w:r>
      <w:r w:rsidRPr="00DD3592">
        <w:rPr>
          <w:rFonts w:cs="Arial"/>
          <w:szCs w:val="24"/>
          <w:lang w:eastAsia="pt-BR"/>
        </w:rPr>
        <w:t>.</w:t>
      </w:r>
      <w:r w:rsidRPr="00F64272">
        <w:rPr>
          <w:rFonts w:cs="Arial"/>
          <w:b/>
          <w:szCs w:val="24"/>
          <w:lang w:val="pt-BR" w:eastAsia="pt-BR"/>
        </w:rPr>
        <w:t xml:space="preserve"> </w:t>
      </w:r>
      <w:r w:rsidRPr="006273B3">
        <w:rPr>
          <w:rFonts w:cs="Arial"/>
          <w:b/>
          <w:szCs w:val="24"/>
          <w:lang w:val="pt-BR" w:eastAsia="pt-BR"/>
        </w:rPr>
        <w:t>Responsável:</w:t>
      </w:r>
      <w:r w:rsidRPr="006273B3">
        <w:rPr>
          <w:rFonts w:cs="Arial"/>
          <w:szCs w:val="24"/>
          <w:lang w:val="pt-BR" w:eastAsia="pt-BR"/>
        </w:rPr>
        <w:t xml:space="preserve"> </w:t>
      </w:r>
      <w:r w:rsidRPr="006273B3">
        <w:t xml:space="preserve">prestador </w:t>
      </w:r>
      <w:r>
        <w:rPr>
          <w:lang w:val="pt-BR"/>
        </w:rPr>
        <w:t>responsável pela unidade do sistema de manejo de resíduos sólidos (aterros, oficinas, galpões, usinas, etc.)</w:t>
      </w:r>
      <w:r w:rsidRPr="006273B3">
        <w:rPr>
          <w:rFonts w:cs="Arial"/>
          <w:szCs w:val="24"/>
          <w:lang w:val="pt-BR" w:eastAsia="pt-BR"/>
        </w:rPr>
        <w:t>.</w:t>
      </w:r>
    </w:p>
    <w:p w:rsidR="000336E1" w:rsidRPr="00710A12" w:rsidRDefault="000336E1" w:rsidP="00C817CB">
      <w:pPr>
        <w:pStyle w:val="PargrafodaLista"/>
        <w:numPr>
          <w:ilvl w:val="0"/>
          <w:numId w:val="4"/>
        </w:numPr>
        <w:tabs>
          <w:tab w:val="left" w:pos="993"/>
        </w:tabs>
        <w:spacing w:before="120" w:after="120"/>
        <w:ind w:left="0" w:firstLine="709"/>
        <w:rPr>
          <w:szCs w:val="24"/>
        </w:rPr>
      </w:pPr>
      <w:r w:rsidRPr="00710A12">
        <w:rPr>
          <w:b/>
          <w:szCs w:val="24"/>
        </w:rPr>
        <w:t xml:space="preserve">Ocorrência de desestabilização ou rompimento de taludes no aterro sanitário: </w:t>
      </w:r>
      <w:r w:rsidRPr="005E2990">
        <w:rPr>
          <w:szCs w:val="24"/>
          <w:lang w:val="pt-BR"/>
        </w:rPr>
        <w:t>r</w:t>
      </w:r>
      <w:r>
        <w:rPr>
          <w:rFonts w:eastAsia="Calibri" w:cs="Arial"/>
          <w:szCs w:val="24"/>
          <w:lang w:val="pt-BR" w:eastAsia="pt-BR"/>
        </w:rPr>
        <w:t>etirar população das áreas de riscos, caso haja; conter o desmoronamento através de tecnologias de contenção de encostas; retirar material desmoronado com o objetivo de prevenir a intensificação do assoreamento a montante; iniciar a execução de obras de reconstrução das paredes ou obras de contenção de talude, tais como utilização de manta geotêxtil, revegetação ou outro procedimento.</w:t>
      </w:r>
      <w:r w:rsidRPr="00F64272">
        <w:rPr>
          <w:rFonts w:cs="Arial"/>
          <w:b/>
          <w:szCs w:val="24"/>
          <w:lang w:val="pt-BR" w:eastAsia="pt-BR"/>
        </w:rPr>
        <w:t xml:space="preserve"> </w:t>
      </w:r>
      <w:r w:rsidRPr="006273B3">
        <w:rPr>
          <w:rFonts w:cs="Arial"/>
          <w:b/>
          <w:szCs w:val="24"/>
          <w:lang w:val="pt-BR" w:eastAsia="pt-BR"/>
        </w:rPr>
        <w:t>Responsável:</w:t>
      </w:r>
      <w:r w:rsidRPr="006273B3">
        <w:rPr>
          <w:rFonts w:cs="Arial"/>
          <w:szCs w:val="24"/>
          <w:lang w:val="pt-BR" w:eastAsia="pt-BR"/>
        </w:rPr>
        <w:t xml:space="preserve"> prestador</w:t>
      </w:r>
      <w:r>
        <w:rPr>
          <w:rFonts w:cs="Arial"/>
          <w:szCs w:val="24"/>
          <w:lang w:val="pt-BR" w:eastAsia="pt-BR"/>
        </w:rPr>
        <w:t xml:space="preserve"> responsável pela operação do Aterro Sanitário</w:t>
      </w:r>
      <w:r w:rsidRPr="006273B3">
        <w:rPr>
          <w:rFonts w:cs="Arial"/>
          <w:szCs w:val="24"/>
          <w:lang w:val="pt-BR" w:eastAsia="pt-BR"/>
        </w:rPr>
        <w:t>.</w:t>
      </w:r>
    </w:p>
    <w:p w:rsidR="000336E1" w:rsidRPr="002D55BF" w:rsidRDefault="000336E1" w:rsidP="00C817CB">
      <w:pPr>
        <w:pStyle w:val="PargrafodaLista"/>
        <w:numPr>
          <w:ilvl w:val="0"/>
          <w:numId w:val="4"/>
        </w:numPr>
        <w:tabs>
          <w:tab w:val="left" w:pos="993"/>
        </w:tabs>
        <w:spacing w:before="120" w:after="120"/>
        <w:ind w:left="0" w:firstLine="709"/>
        <w:rPr>
          <w:szCs w:val="24"/>
        </w:rPr>
      </w:pPr>
      <w:r>
        <w:rPr>
          <w:b/>
          <w:szCs w:val="24"/>
        </w:rPr>
        <w:t xml:space="preserve">Ocorrência de má operação do aterro no que se refere à compactação da massa de resíduos: </w:t>
      </w:r>
      <w:r>
        <w:rPr>
          <w:szCs w:val="24"/>
          <w:lang w:val="pt-BR"/>
        </w:rPr>
        <w:t>contratar máquinas e profissionais especializados para realizarem a compactação adequada.</w:t>
      </w:r>
      <w:r w:rsidRPr="00F64272">
        <w:rPr>
          <w:rFonts w:cs="Arial"/>
          <w:b/>
          <w:szCs w:val="24"/>
          <w:lang w:val="pt-BR" w:eastAsia="pt-BR"/>
        </w:rPr>
        <w:t xml:space="preserve"> </w:t>
      </w:r>
      <w:r w:rsidRPr="006273B3">
        <w:rPr>
          <w:rFonts w:cs="Arial"/>
          <w:b/>
          <w:szCs w:val="24"/>
          <w:lang w:val="pt-BR" w:eastAsia="pt-BR"/>
        </w:rPr>
        <w:t>Responsável:</w:t>
      </w:r>
      <w:r w:rsidRPr="006273B3">
        <w:rPr>
          <w:rFonts w:cs="Arial"/>
          <w:szCs w:val="24"/>
          <w:lang w:val="pt-BR" w:eastAsia="pt-BR"/>
        </w:rPr>
        <w:t xml:space="preserve"> prestador</w:t>
      </w:r>
      <w:r>
        <w:rPr>
          <w:rFonts w:cs="Arial"/>
          <w:szCs w:val="24"/>
          <w:lang w:val="pt-BR" w:eastAsia="pt-BR"/>
        </w:rPr>
        <w:t xml:space="preserve"> responsável pela operação do Aterro Sanitário</w:t>
      </w:r>
      <w:r w:rsidRPr="006273B3">
        <w:rPr>
          <w:rFonts w:cs="Arial"/>
          <w:szCs w:val="24"/>
          <w:lang w:val="pt-BR" w:eastAsia="pt-BR"/>
        </w:rPr>
        <w:t>.</w:t>
      </w:r>
    </w:p>
    <w:p w:rsidR="000336E1" w:rsidRPr="00F15CF7" w:rsidRDefault="00EC6DD7" w:rsidP="00BC01B1">
      <w:pPr>
        <w:pStyle w:val="Ttulo4"/>
      </w:pPr>
      <w:bookmarkStart w:id="1093" w:name="_Toc498594086"/>
      <w:bookmarkStart w:id="1094" w:name="_Toc509935581"/>
      <w:r>
        <w:rPr>
          <w:lang w:val="pt-BR"/>
        </w:rPr>
        <w:t>Eventos de g</w:t>
      </w:r>
      <w:r w:rsidR="000336E1" w:rsidRPr="00F15CF7">
        <w:t>estão e gerenciamento</w:t>
      </w:r>
      <w:bookmarkEnd w:id="1093"/>
      <w:bookmarkEnd w:id="1094"/>
    </w:p>
    <w:p w:rsidR="000336E1" w:rsidRPr="00B659E6" w:rsidRDefault="000336E1" w:rsidP="0066661F">
      <w:pPr>
        <w:pStyle w:val="PargrafodaLista"/>
        <w:numPr>
          <w:ilvl w:val="0"/>
          <w:numId w:val="14"/>
        </w:numPr>
        <w:tabs>
          <w:tab w:val="left" w:pos="993"/>
        </w:tabs>
        <w:spacing w:before="120" w:after="120"/>
        <w:ind w:left="0" w:firstLine="709"/>
        <w:rPr>
          <w:rFonts w:eastAsia="Calibri"/>
          <w:szCs w:val="24"/>
        </w:rPr>
      </w:pPr>
      <w:r w:rsidRPr="00B659E6">
        <w:rPr>
          <w:b/>
        </w:rPr>
        <w:t>Falta de financiamento para o sistema operacional e a realização de manutenções</w:t>
      </w:r>
      <w:r>
        <w:t xml:space="preserve">: </w:t>
      </w:r>
      <w:r>
        <w:rPr>
          <w:lang w:val="pt-BR"/>
        </w:rPr>
        <w:t>b</w:t>
      </w:r>
      <w:r w:rsidRPr="00922B25">
        <w:rPr>
          <w:lang w:val="pt-BR" w:eastAsia="pt-BR"/>
        </w:rPr>
        <w:t xml:space="preserve">uscar fontes </w:t>
      </w:r>
      <w:r>
        <w:rPr>
          <w:lang w:val="pt-BR" w:eastAsia="pt-BR"/>
        </w:rPr>
        <w:t xml:space="preserve">emergenciais </w:t>
      </w:r>
      <w:r w:rsidRPr="00922B25">
        <w:rPr>
          <w:lang w:val="pt-BR" w:eastAsia="pt-BR"/>
        </w:rPr>
        <w:t xml:space="preserve">alternativas de financiamento municipais para realização das manutenções. Em casos extremos, como em calamidades </w:t>
      </w:r>
      <w:r w:rsidRPr="00922B25">
        <w:rPr>
          <w:lang w:val="pt-BR" w:eastAsia="pt-BR"/>
        </w:rPr>
        <w:lastRenderedPageBreak/>
        <w:t>públicas</w:t>
      </w:r>
      <w:r>
        <w:rPr>
          <w:lang w:val="pt-BR" w:eastAsia="pt-BR"/>
        </w:rPr>
        <w:t xml:space="preserve">, </w:t>
      </w:r>
      <w:r w:rsidRPr="00922B25">
        <w:rPr>
          <w:lang w:val="pt-BR" w:eastAsia="pt-BR"/>
        </w:rPr>
        <w:t xml:space="preserve">por exemplo, buscar recursos junto </w:t>
      </w:r>
      <w:r>
        <w:rPr>
          <w:lang w:val="pt-BR" w:eastAsia="pt-BR"/>
        </w:rPr>
        <w:t>a</w:t>
      </w:r>
      <w:r w:rsidRPr="00922B25">
        <w:rPr>
          <w:lang w:val="pt-BR" w:eastAsia="pt-BR"/>
        </w:rPr>
        <w:t>o governo estadual e federal</w:t>
      </w:r>
      <w:r>
        <w:rPr>
          <w:lang w:val="pt-BR" w:eastAsia="pt-BR"/>
        </w:rPr>
        <w:t xml:space="preserve"> para gestão de emergência</w:t>
      </w:r>
      <w:r w:rsidRPr="00922B25">
        <w:rPr>
          <w:lang w:val="pt-BR" w:eastAsia="pt-BR"/>
        </w:rPr>
        <w:t>.</w:t>
      </w:r>
      <w:r>
        <w:rPr>
          <w:lang w:val="pt-BR" w:eastAsia="pt-BR"/>
        </w:rPr>
        <w:t xml:space="preserve"> </w:t>
      </w:r>
      <w:r w:rsidRPr="006273B3">
        <w:rPr>
          <w:rFonts w:cs="Arial"/>
          <w:b/>
          <w:szCs w:val="24"/>
          <w:lang w:val="pt-BR" w:eastAsia="pt-BR"/>
        </w:rPr>
        <w:t>Responsável:</w:t>
      </w:r>
      <w:r w:rsidRPr="006273B3">
        <w:rPr>
          <w:rFonts w:cs="Arial"/>
          <w:szCs w:val="24"/>
          <w:lang w:val="pt-BR" w:eastAsia="pt-BR"/>
        </w:rPr>
        <w:t xml:space="preserve"> prestador</w:t>
      </w:r>
      <w:r>
        <w:rPr>
          <w:rFonts w:cs="Arial"/>
          <w:szCs w:val="24"/>
          <w:lang w:val="pt-BR" w:eastAsia="pt-BR"/>
        </w:rPr>
        <w:t>es</w:t>
      </w:r>
      <w:r w:rsidRPr="006273B3">
        <w:rPr>
          <w:rFonts w:cs="Arial"/>
          <w:szCs w:val="24"/>
          <w:lang w:val="pt-BR" w:eastAsia="pt-BR"/>
        </w:rPr>
        <w:t xml:space="preserve"> do</w:t>
      </w:r>
      <w:r>
        <w:rPr>
          <w:rFonts w:cs="Arial"/>
          <w:szCs w:val="24"/>
          <w:lang w:val="pt-BR" w:eastAsia="pt-BR"/>
        </w:rPr>
        <w:t>s</w:t>
      </w:r>
      <w:r w:rsidRPr="006273B3">
        <w:rPr>
          <w:rFonts w:cs="Arial"/>
          <w:szCs w:val="24"/>
          <w:lang w:val="pt-BR" w:eastAsia="pt-BR"/>
        </w:rPr>
        <w:t xml:space="preserve"> serviços </w:t>
      </w:r>
      <w:r>
        <w:rPr>
          <w:rFonts w:cs="Arial"/>
          <w:szCs w:val="24"/>
          <w:lang w:val="pt-BR" w:eastAsia="pt-BR"/>
        </w:rPr>
        <w:t>manejo de resíduos sólidos e o Executivo Municipal</w:t>
      </w:r>
      <w:r w:rsidRPr="006273B3">
        <w:rPr>
          <w:rFonts w:cs="Arial"/>
          <w:szCs w:val="24"/>
          <w:lang w:val="pt-BR" w:eastAsia="pt-BR"/>
        </w:rPr>
        <w:t>.</w:t>
      </w:r>
    </w:p>
    <w:p w:rsidR="000336E1" w:rsidRPr="00593FB9" w:rsidRDefault="000336E1" w:rsidP="0066661F">
      <w:pPr>
        <w:pStyle w:val="PargrafodaLista"/>
        <w:numPr>
          <w:ilvl w:val="0"/>
          <w:numId w:val="14"/>
        </w:numPr>
        <w:tabs>
          <w:tab w:val="left" w:pos="993"/>
        </w:tabs>
        <w:spacing w:before="120" w:after="120"/>
        <w:ind w:left="0" w:firstLine="709"/>
      </w:pPr>
      <w:r w:rsidRPr="00085B1A">
        <w:rPr>
          <w:b/>
        </w:rPr>
        <w:t>Paralisação da coleta regular</w:t>
      </w:r>
      <w:r w:rsidRPr="00593FB9">
        <w:rPr>
          <w:b/>
        </w:rPr>
        <w:t xml:space="preserve">: </w:t>
      </w:r>
      <w:r w:rsidRPr="00593FB9">
        <w:t>acionar empresas e veículos previamente cadastrados para assumirem emergencialmente a coleta nos roteiros programados, dando continuidade aos trabalhos; contratar empresa especializada em caráter de emergência.</w:t>
      </w:r>
      <w:r w:rsidRPr="00F64272">
        <w:rPr>
          <w:b/>
        </w:rPr>
        <w:t xml:space="preserve"> </w:t>
      </w:r>
      <w:r w:rsidRPr="00593FB9">
        <w:rPr>
          <w:b/>
        </w:rPr>
        <w:t xml:space="preserve">Responsável: </w:t>
      </w:r>
      <w:r w:rsidRPr="006273B3">
        <w:rPr>
          <w:rFonts w:cs="Arial"/>
          <w:szCs w:val="24"/>
          <w:lang w:val="pt-BR" w:eastAsia="pt-BR"/>
        </w:rPr>
        <w:t>prestador do serviço</w:t>
      </w:r>
      <w:r>
        <w:rPr>
          <w:rFonts w:cs="Arial"/>
          <w:szCs w:val="24"/>
          <w:lang w:val="pt-BR" w:eastAsia="pt-BR"/>
        </w:rPr>
        <w:t xml:space="preserve"> de coleta de resíduos sólidos e o Executivo Municipal</w:t>
      </w:r>
      <w:r w:rsidRPr="00593FB9">
        <w:t>.</w:t>
      </w:r>
    </w:p>
    <w:p w:rsidR="000336E1" w:rsidRPr="00593FB9" w:rsidRDefault="000336E1" w:rsidP="0066661F">
      <w:pPr>
        <w:pStyle w:val="PargrafodaLista"/>
        <w:numPr>
          <w:ilvl w:val="0"/>
          <w:numId w:val="14"/>
        </w:numPr>
        <w:tabs>
          <w:tab w:val="left" w:pos="993"/>
        </w:tabs>
        <w:spacing w:before="120" w:after="120"/>
        <w:ind w:left="0" w:firstLine="709"/>
      </w:pPr>
      <w:r w:rsidRPr="00085B1A">
        <w:rPr>
          <w:b/>
        </w:rPr>
        <w:t>Paralisação dos serviços de varrição</w:t>
      </w:r>
      <w:r>
        <w:rPr>
          <w:b/>
          <w:lang w:val="pt-BR"/>
        </w:rPr>
        <w:t xml:space="preserve">, </w:t>
      </w:r>
      <w:r w:rsidRPr="00085B1A">
        <w:rPr>
          <w:b/>
        </w:rPr>
        <w:t>poda e capina</w:t>
      </w:r>
      <w:r w:rsidRPr="00593FB9">
        <w:rPr>
          <w:b/>
        </w:rPr>
        <w:t xml:space="preserve">: </w:t>
      </w:r>
      <w:r w:rsidRPr="00593FB9">
        <w:t>mobilizar equipe de plantão e equipamentos; acionar Concessionária de Energia Elétrica, Corpo de Bombeiros e Defesa Civil; demandar equipe operacional da Divisão Institucional responsável para cobertura e continuidade do serviço.</w:t>
      </w:r>
      <w:r w:rsidRPr="00F64272">
        <w:rPr>
          <w:b/>
        </w:rPr>
        <w:t xml:space="preserve"> </w:t>
      </w:r>
      <w:r w:rsidRPr="00593FB9">
        <w:rPr>
          <w:b/>
        </w:rPr>
        <w:t xml:space="preserve">Responsável: </w:t>
      </w:r>
      <w:r>
        <w:t>prestador</w:t>
      </w:r>
      <w:r>
        <w:rPr>
          <w:lang w:val="pt-BR"/>
        </w:rPr>
        <w:t>(es)</w:t>
      </w:r>
      <w:r>
        <w:t xml:space="preserve"> do</w:t>
      </w:r>
      <w:r w:rsidRPr="00593FB9">
        <w:t xml:space="preserve"> serviço de </w:t>
      </w:r>
      <w:r>
        <w:rPr>
          <w:lang w:val="pt-BR"/>
        </w:rPr>
        <w:t>varrição, poda e capina</w:t>
      </w:r>
      <w:r w:rsidRPr="00593FB9">
        <w:t>.</w:t>
      </w:r>
    </w:p>
    <w:p w:rsidR="000336E1" w:rsidRPr="00593FB9" w:rsidRDefault="000336E1" w:rsidP="0066661F">
      <w:pPr>
        <w:pStyle w:val="PargrafodaLista"/>
        <w:numPr>
          <w:ilvl w:val="0"/>
          <w:numId w:val="14"/>
        </w:numPr>
        <w:tabs>
          <w:tab w:val="left" w:pos="993"/>
        </w:tabs>
        <w:spacing w:before="120" w:after="120"/>
        <w:ind w:left="0" w:firstLine="709"/>
      </w:pPr>
      <w:r w:rsidRPr="00085B1A">
        <w:rPr>
          <w:b/>
        </w:rPr>
        <w:t>Paralisação dos serviços de coleta seletiva de resíduos recicláveis</w:t>
      </w:r>
      <w:r w:rsidRPr="00593FB9">
        <w:rPr>
          <w:b/>
        </w:rPr>
        <w:t xml:space="preserve">: </w:t>
      </w:r>
      <w:r w:rsidRPr="00593FB9">
        <w:t>acionar a Divisão Institucional responsável para providências, ou seja, reestabelecer a parceria com a associação responsável.</w:t>
      </w:r>
      <w:r w:rsidRPr="00F64272">
        <w:rPr>
          <w:b/>
        </w:rPr>
        <w:t xml:space="preserve"> </w:t>
      </w:r>
      <w:r w:rsidRPr="00593FB9">
        <w:rPr>
          <w:b/>
        </w:rPr>
        <w:t xml:space="preserve">Responsável: </w:t>
      </w:r>
      <w:r w:rsidRPr="00593FB9">
        <w:t>prestador</w:t>
      </w:r>
      <w:r>
        <w:rPr>
          <w:lang w:val="pt-BR"/>
        </w:rPr>
        <w:t>(es)</w:t>
      </w:r>
      <w:r w:rsidRPr="00593FB9">
        <w:t xml:space="preserve"> do serviço de </w:t>
      </w:r>
      <w:r>
        <w:rPr>
          <w:lang w:val="pt-BR"/>
        </w:rPr>
        <w:t>Coleta Seletiva</w:t>
      </w:r>
      <w:r w:rsidRPr="00593FB9">
        <w:t>.</w:t>
      </w:r>
    </w:p>
    <w:p w:rsidR="000336E1" w:rsidRPr="00593FB9" w:rsidRDefault="000336E1" w:rsidP="0066661F">
      <w:pPr>
        <w:pStyle w:val="PargrafodaLista"/>
        <w:numPr>
          <w:ilvl w:val="0"/>
          <w:numId w:val="14"/>
        </w:numPr>
        <w:tabs>
          <w:tab w:val="left" w:pos="993"/>
        </w:tabs>
        <w:spacing w:before="120" w:after="120"/>
        <w:ind w:left="0" w:firstLine="709"/>
      </w:pPr>
      <w:r w:rsidRPr="00085B1A">
        <w:rPr>
          <w:b/>
        </w:rPr>
        <w:t>Paralisação dos serviços de coleta de resíduos perigosos e de serviços de saúde</w:t>
      </w:r>
      <w:r w:rsidRPr="00593FB9">
        <w:rPr>
          <w:b/>
        </w:rPr>
        <w:t xml:space="preserve">: </w:t>
      </w:r>
      <w:r w:rsidRPr="00593FB9">
        <w:t>celebrar contrato emergencial com empresa especializada na coleta desses resíduos.</w:t>
      </w:r>
      <w:r w:rsidRPr="00F64272">
        <w:rPr>
          <w:b/>
        </w:rPr>
        <w:t xml:space="preserve"> </w:t>
      </w:r>
      <w:r w:rsidRPr="00593FB9">
        <w:rPr>
          <w:b/>
        </w:rPr>
        <w:t xml:space="preserve">Responsável: </w:t>
      </w:r>
      <w:r w:rsidRPr="00593FB9">
        <w:t>prestador</w:t>
      </w:r>
      <w:r>
        <w:rPr>
          <w:lang w:val="pt-BR"/>
        </w:rPr>
        <w:t>(es)</w:t>
      </w:r>
      <w:r w:rsidRPr="00593FB9">
        <w:t xml:space="preserve"> do serviço de </w:t>
      </w:r>
      <w:r>
        <w:rPr>
          <w:lang w:val="pt-BR"/>
        </w:rPr>
        <w:t>coleta de resíduos perigosos</w:t>
      </w:r>
      <w:r w:rsidRPr="00593FB9">
        <w:t>.</w:t>
      </w:r>
    </w:p>
    <w:p w:rsidR="000336E1" w:rsidRPr="00F15CF7" w:rsidRDefault="00EC6DD7" w:rsidP="00BC01B1">
      <w:pPr>
        <w:pStyle w:val="Ttulo4"/>
      </w:pPr>
      <w:bookmarkStart w:id="1095" w:name="_Toc498594087"/>
      <w:bookmarkStart w:id="1096" w:name="_Toc509935582"/>
      <w:r>
        <w:rPr>
          <w:lang w:val="pt-BR"/>
        </w:rPr>
        <w:t>Eventos i</w:t>
      </w:r>
      <w:r w:rsidR="000336E1" w:rsidRPr="00F15CF7">
        <w:t>mprevisíveis</w:t>
      </w:r>
      <w:bookmarkEnd w:id="1095"/>
      <w:bookmarkEnd w:id="1096"/>
    </w:p>
    <w:p w:rsidR="000336E1" w:rsidRPr="00167639" w:rsidRDefault="000336E1" w:rsidP="00C817CB">
      <w:pPr>
        <w:pStyle w:val="PargrafodaLista"/>
        <w:numPr>
          <w:ilvl w:val="0"/>
          <w:numId w:val="4"/>
        </w:numPr>
        <w:tabs>
          <w:tab w:val="left" w:pos="993"/>
        </w:tabs>
        <w:spacing w:before="120" w:after="120"/>
        <w:ind w:left="0" w:firstLine="709"/>
        <w:rPr>
          <w:szCs w:val="24"/>
        </w:rPr>
      </w:pPr>
      <w:r w:rsidRPr="00167639">
        <w:rPr>
          <w:b/>
          <w:szCs w:val="24"/>
        </w:rPr>
        <w:t>Ocorrência de incêndios em edificações do sistema de manejo de resíduos sólidos (oficinas, galpões, usinas, etc.)</w:t>
      </w:r>
      <w:r w:rsidRPr="00167639">
        <w:rPr>
          <w:szCs w:val="24"/>
        </w:rPr>
        <w:t xml:space="preserve">: </w:t>
      </w:r>
      <w:r w:rsidRPr="00356910">
        <w:rPr>
          <w:rFonts w:cs="Arial"/>
          <w:szCs w:val="24"/>
          <w:lang w:eastAsia="pt-BR"/>
        </w:rPr>
        <w:t>comunicar à população, instituições e autoridades e</w:t>
      </w:r>
      <w:r w:rsidRPr="00356910">
        <w:rPr>
          <w:rFonts w:cs="Arial"/>
          <w:szCs w:val="24"/>
          <w:lang w:val="pt-BR" w:eastAsia="pt-BR"/>
        </w:rPr>
        <w:t xml:space="preserve"> realizar evacuação total da área at</w:t>
      </w:r>
      <w:r>
        <w:rPr>
          <w:rFonts w:cs="Arial"/>
          <w:szCs w:val="24"/>
          <w:lang w:val="pt-BR" w:eastAsia="pt-BR"/>
        </w:rPr>
        <w:t>ingida. Após incêndio encerrado, isolar a área,</w:t>
      </w:r>
      <w:r w:rsidRPr="00356910">
        <w:rPr>
          <w:rFonts w:cs="Arial"/>
          <w:szCs w:val="24"/>
          <w:lang w:val="pt-BR" w:eastAsia="pt-BR"/>
        </w:rPr>
        <w:t xml:space="preserve"> avaliar estragos, elaborar plano de manutenção corretiva, fazer as ações necessárias para reestabelecer o sistema</w:t>
      </w:r>
      <w:r w:rsidRPr="00356910">
        <w:rPr>
          <w:lang w:val="pt-BR" w:eastAsia="pt-BR"/>
        </w:rPr>
        <w:t xml:space="preserve"> e reiniciar o atendimento convencional</w:t>
      </w:r>
      <w:r w:rsidRPr="00356910">
        <w:rPr>
          <w:lang w:eastAsia="pt-BR"/>
        </w:rPr>
        <w:t>.</w:t>
      </w:r>
      <w:r w:rsidRPr="00F64272">
        <w:rPr>
          <w:rFonts w:cs="Arial"/>
          <w:b/>
          <w:szCs w:val="24"/>
          <w:lang w:val="pt-BR" w:eastAsia="pt-BR"/>
        </w:rPr>
        <w:t xml:space="preserve"> </w:t>
      </w:r>
      <w:r w:rsidRPr="006273B3">
        <w:rPr>
          <w:rFonts w:cs="Arial"/>
          <w:b/>
          <w:szCs w:val="24"/>
          <w:lang w:val="pt-BR" w:eastAsia="pt-BR"/>
        </w:rPr>
        <w:t>Responsável:</w:t>
      </w:r>
      <w:r w:rsidRPr="006273B3">
        <w:rPr>
          <w:rFonts w:cs="Arial"/>
          <w:szCs w:val="24"/>
          <w:lang w:val="pt-BR" w:eastAsia="pt-BR"/>
        </w:rPr>
        <w:t xml:space="preserve"> </w:t>
      </w:r>
      <w:r w:rsidRPr="006273B3">
        <w:t xml:space="preserve">prestador </w:t>
      </w:r>
      <w:r>
        <w:rPr>
          <w:lang w:val="pt-BR"/>
        </w:rPr>
        <w:t>responsável pela unidade do sistema de manejo de resíduos sólidos (aterros, oficinas, galpões, usinas, etc.)</w:t>
      </w:r>
      <w:r w:rsidRPr="006273B3">
        <w:rPr>
          <w:rFonts w:cs="Arial"/>
          <w:szCs w:val="24"/>
          <w:lang w:val="pt-BR" w:eastAsia="pt-BR"/>
        </w:rPr>
        <w:t>.</w:t>
      </w:r>
    </w:p>
    <w:p w:rsidR="000336E1" w:rsidRPr="00167639" w:rsidRDefault="000336E1" w:rsidP="00C817CB">
      <w:pPr>
        <w:pStyle w:val="PargrafodaLista"/>
        <w:numPr>
          <w:ilvl w:val="0"/>
          <w:numId w:val="4"/>
        </w:numPr>
        <w:tabs>
          <w:tab w:val="left" w:pos="993"/>
        </w:tabs>
        <w:spacing w:before="120" w:after="120"/>
        <w:ind w:left="0" w:firstLine="709"/>
        <w:rPr>
          <w:rFonts w:cs="Arial"/>
          <w:szCs w:val="24"/>
          <w:lang w:eastAsia="pt-BR"/>
        </w:rPr>
      </w:pPr>
      <w:r w:rsidRPr="00167639">
        <w:rPr>
          <w:b/>
          <w:szCs w:val="24"/>
        </w:rPr>
        <w:t>Ocorrência de danos às edificações do sistema de manejo de resíduos sólidos (oficinas, galpões, usinas, etc.) devido a desastres naturais</w:t>
      </w:r>
      <w:r w:rsidRPr="00167639">
        <w:rPr>
          <w:szCs w:val="24"/>
        </w:rPr>
        <w:t xml:space="preserve">: </w:t>
      </w:r>
      <w:r w:rsidRPr="00356910">
        <w:rPr>
          <w:rFonts w:cs="Arial"/>
          <w:szCs w:val="24"/>
          <w:lang w:eastAsia="pt-BR"/>
        </w:rPr>
        <w:t>comunicar à popula</w:t>
      </w:r>
      <w:r>
        <w:rPr>
          <w:rFonts w:cs="Arial"/>
          <w:szCs w:val="24"/>
          <w:lang w:eastAsia="pt-BR"/>
        </w:rPr>
        <w:t>ção, instituições e autoridades</w:t>
      </w:r>
      <w:r>
        <w:rPr>
          <w:rFonts w:cs="Arial"/>
          <w:szCs w:val="24"/>
          <w:lang w:val="pt-BR" w:eastAsia="pt-BR"/>
        </w:rPr>
        <w:t xml:space="preserve">; isolar a área; </w:t>
      </w:r>
      <w:r w:rsidRPr="00356910">
        <w:rPr>
          <w:rFonts w:cs="Arial"/>
          <w:szCs w:val="24"/>
          <w:lang w:val="pt-BR" w:eastAsia="pt-BR"/>
        </w:rPr>
        <w:t>realizar avaliação dos estragos</w:t>
      </w:r>
      <w:r>
        <w:rPr>
          <w:rFonts w:cs="Arial"/>
          <w:szCs w:val="24"/>
          <w:lang w:val="pt-BR" w:eastAsia="pt-BR"/>
        </w:rPr>
        <w:t xml:space="preserve">; </w:t>
      </w:r>
      <w:r w:rsidRPr="00356910">
        <w:rPr>
          <w:rFonts w:cs="Arial"/>
          <w:szCs w:val="24"/>
          <w:lang w:val="pt-BR" w:eastAsia="pt-BR"/>
        </w:rPr>
        <w:lastRenderedPageBreak/>
        <w:t>elaborar plano de manutenção corretiva</w:t>
      </w:r>
      <w:r>
        <w:rPr>
          <w:rFonts w:cs="Arial"/>
          <w:szCs w:val="24"/>
          <w:lang w:val="pt-BR" w:eastAsia="pt-BR"/>
        </w:rPr>
        <w:t xml:space="preserve">; </w:t>
      </w:r>
      <w:r w:rsidRPr="00356910">
        <w:rPr>
          <w:rFonts w:cs="Arial"/>
          <w:szCs w:val="24"/>
          <w:lang w:val="pt-BR" w:eastAsia="pt-BR"/>
        </w:rPr>
        <w:t>fazer as ações necessária</w:t>
      </w:r>
      <w:r>
        <w:rPr>
          <w:rFonts w:cs="Arial"/>
          <w:szCs w:val="24"/>
          <w:lang w:val="pt-BR" w:eastAsia="pt-BR"/>
        </w:rPr>
        <w:t xml:space="preserve">s para reestabelecer o sistema </w:t>
      </w:r>
      <w:r w:rsidRPr="00356910">
        <w:rPr>
          <w:lang w:val="pt-BR" w:eastAsia="pt-BR"/>
        </w:rPr>
        <w:t>e reiniciar o atendimento convencional</w:t>
      </w:r>
      <w:r w:rsidRPr="00356910">
        <w:rPr>
          <w:lang w:eastAsia="pt-BR"/>
        </w:rPr>
        <w:t>.</w:t>
      </w:r>
      <w:r w:rsidRPr="00F64272">
        <w:rPr>
          <w:rFonts w:cs="Arial"/>
          <w:b/>
          <w:szCs w:val="24"/>
          <w:lang w:val="pt-BR" w:eastAsia="pt-BR"/>
        </w:rPr>
        <w:t xml:space="preserve"> </w:t>
      </w:r>
      <w:r w:rsidRPr="006273B3">
        <w:rPr>
          <w:rFonts w:cs="Arial"/>
          <w:b/>
          <w:szCs w:val="24"/>
          <w:lang w:val="pt-BR" w:eastAsia="pt-BR"/>
        </w:rPr>
        <w:t>Responsável:</w:t>
      </w:r>
      <w:r w:rsidRPr="006273B3">
        <w:rPr>
          <w:rFonts w:cs="Arial"/>
          <w:szCs w:val="24"/>
          <w:lang w:val="pt-BR" w:eastAsia="pt-BR"/>
        </w:rPr>
        <w:t xml:space="preserve"> </w:t>
      </w:r>
      <w:r w:rsidRPr="006273B3">
        <w:t xml:space="preserve">prestador </w:t>
      </w:r>
      <w:r>
        <w:rPr>
          <w:lang w:val="pt-BR"/>
        </w:rPr>
        <w:t>responsável pela unidade do sistema de manejo de resíduos sólidos (aterros, oficinas, galpões, usinas, etc.)</w:t>
      </w:r>
      <w:r w:rsidRPr="006273B3">
        <w:rPr>
          <w:rFonts w:cs="Arial"/>
          <w:szCs w:val="24"/>
          <w:lang w:val="pt-BR" w:eastAsia="pt-BR"/>
        </w:rPr>
        <w:t>.</w:t>
      </w:r>
    </w:p>
    <w:p w:rsidR="000336E1" w:rsidRPr="00171D9D" w:rsidRDefault="000336E1" w:rsidP="00C817CB">
      <w:pPr>
        <w:pStyle w:val="PargrafodaLista"/>
        <w:numPr>
          <w:ilvl w:val="0"/>
          <w:numId w:val="4"/>
        </w:numPr>
        <w:tabs>
          <w:tab w:val="left" w:pos="993"/>
        </w:tabs>
        <w:spacing w:before="120" w:after="120"/>
        <w:ind w:left="0" w:firstLine="709"/>
      </w:pPr>
      <w:r w:rsidRPr="00AB4146">
        <w:rPr>
          <w:b/>
          <w:szCs w:val="24"/>
        </w:rPr>
        <w:t>Ocorrência de incêndios, explosões ou vazamentos de lixiviado em aterros</w:t>
      </w:r>
      <w:r w:rsidRPr="00AB4146">
        <w:rPr>
          <w:szCs w:val="24"/>
        </w:rPr>
        <w:t xml:space="preserve">: </w:t>
      </w:r>
      <w:r w:rsidRPr="00AB4146">
        <w:rPr>
          <w:rFonts w:cs="Arial"/>
          <w:szCs w:val="24"/>
          <w:lang w:eastAsia="pt-BR"/>
        </w:rPr>
        <w:t>comunicar à pop</w:t>
      </w:r>
      <w:r w:rsidRPr="007C60AE">
        <w:rPr>
          <w:rFonts w:cs="Arial"/>
          <w:szCs w:val="24"/>
          <w:lang w:eastAsia="pt-BR"/>
        </w:rPr>
        <w:t>ulação, instituições e autoridades</w:t>
      </w:r>
      <w:r w:rsidRPr="007C60AE">
        <w:rPr>
          <w:rFonts w:cs="Arial"/>
          <w:szCs w:val="24"/>
          <w:lang w:val="pt-BR" w:eastAsia="pt-BR"/>
        </w:rPr>
        <w:t xml:space="preserve">; conter fluxo de possíveis vazamentos e isolar a área; realizar avaliação dos estragos; elaborar plano de manutenção corretiva; fazer as ações necessárias para reestabelecer o sistema </w:t>
      </w:r>
      <w:r w:rsidRPr="007C60AE">
        <w:rPr>
          <w:lang w:val="pt-BR" w:eastAsia="pt-BR"/>
        </w:rPr>
        <w:t>e reiniciar o atendimento convencional</w:t>
      </w:r>
      <w:r w:rsidRPr="007C60AE">
        <w:rPr>
          <w:lang w:eastAsia="pt-BR"/>
        </w:rPr>
        <w:t>.</w:t>
      </w:r>
      <w:r w:rsidRPr="007C60AE">
        <w:rPr>
          <w:rFonts w:cs="Arial"/>
          <w:szCs w:val="24"/>
          <w:lang w:val="pt-BR" w:eastAsia="pt-BR"/>
        </w:rPr>
        <w:t xml:space="preserve"> </w:t>
      </w:r>
      <w:r w:rsidRPr="007C60AE">
        <w:rPr>
          <w:szCs w:val="22"/>
        </w:rPr>
        <w:t>Os resíduos deverão ser transportados e dispostos temporariamente em aterros localizados em cidades vizinhas.</w:t>
      </w:r>
      <w:r w:rsidRPr="007C60AE">
        <w:rPr>
          <w:rFonts w:cs="Arial"/>
          <w:b/>
          <w:szCs w:val="24"/>
          <w:lang w:val="pt-BR" w:eastAsia="pt-BR"/>
        </w:rPr>
        <w:t xml:space="preserve"> Responsável:</w:t>
      </w:r>
      <w:r w:rsidRPr="007C60AE">
        <w:rPr>
          <w:rFonts w:cs="Arial"/>
          <w:szCs w:val="24"/>
          <w:lang w:val="pt-BR" w:eastAsia="pt-BR"/>
        </w:rPr>
        <w:t xml:space="preserve"> operador do aterro sanitário.</w:t>
      </w:r>
    </w:p>
    <w:p w:rsidR="00EF75D2" w:rsidRPr="00ED0E5D" w:rsidRDefault="00EF75D2" w:rsidP="00BC01B1">
      <w:pPr>
        <w:pStyle w:val="SHS-Ttulo02"/>
      </w:pPr>
      <w:bookmarkStart w:id="1097" w:name="_Toc498594089"/>
      <w:bookmarkStart w:id="1098" w:name="_Toc509935583"/>
      <w:r>
        <w:t>D</w:t>
      </w:r>
      <w:r w:rsidRPr="00ED0E5D">
        <w:t>iretrizes para planos locais de riscos</w:t>
      </w:r>
      <w:r w:rsidRPr="00EF75D2">
        <w:rPr>
          <w:vertAlign w:val="superscript"/>
        </w:rPr>
        <w:footnoteReference w:id="3"/>
      </w:r>
      <w:bookmarkEnd w:id="1097"/>
      <w:bookmarkEnd w:id="1098"/>
    </w:p>
    <w:p w:rsidR="00EF75D2" w:rsidRPr="00EB0EBC" w:rsidRDefault="00EF75D2" w:rsidP="00EF75D2">
      <w:pPr>
        <w:ind w:firstLine="708"/>
        <w:jc w:val="both"/>
        <w:rPr>
          <w:rFonts w:eastAsia="Times New Roman"/>
          <w:szCs w:val="24"/>
          <w:lang w:val="x-none" w:eastAsia="pt-BR"/>
        </w:rPr>
      </w:pPr>
      <w:r w:rsidRPr="00EB0EBC">
        <w:rPr>
          <w:rFonts w:eastAsia="Times New Roman"/>
          <w:szCs w:val="24"/>
          <w:lang w:val="x-none" w:eastAsia="pt-BR"/>
        </w:rPr>
        <w:t>A Política Nacional de Proteção e Defesa Civil –</w:t>
      </w:r>
      <w:r>
        <w:rPr>
          <w:rFonts w:eastAsia="Times New Roman"/>
          <w:szCs w:val="24"/>
          <w:lang w:eastAsia="pt-BR"/>
        </w:rPr>
        <w:t xml:space="preserve"> </w:t>
      </w:r>
      <w:r w:rsidRPr="00EB0EBC">
        <w:rPr>
          <w:rFonts w:eastAsia="Times New Roman"/>
          <w:szCs w:val="24"/>
          <w:lang w:val="x-none" w:eastAsia="pt-BR"/>
        </w:rPr>
        <w:t xml:space="preserve">PNPDEC, estabelecida por meio da Lei </w:t>
      </w:r>
      <w:r>
        <w:rPr>
          <w:rFonts w:eastAsia="Times New Roman"/>
          <w:szCs w:val="24"/>
          <w:lang w:eastAsia="pt-BR"/>
        </w:rPr>
        <w:t xml:space="preserve">nº </w:t>
      </w:r>
      <w:r w:rsidRPr="00EB0EBC">
        <w:rPr>
          <w:rFonts w:eastAsia="Times New Roman"/>
          <w:szCs w:val="24"/>
          <w:lang w:val="x-none" w:eastAsia="pt-BR"/>
        </w:rPr>
        <w:t>12.608</w:t>
      </w:r>
      <w:r>
        <w:rPr>
          <w:rFonts w:eastAsia="Times New Roman"/>
          <w:szCs w:val="24"/>
          <w:lang w:eastAsia="pt-BR"/>
        </w:rPr>
        <w:t>/12</w:t>
      </w:r>
      <w:r w:rsidRPr="00EB0EBC">
        <w:rPr>
          <w:rFonts w:eastAsia="Times New Roman"/>
          <w:szCs w:val="24"/>
          <w:lang w:val="x-none" w:eastAsia="pt-BR"/>
        </w:rPr>
        <w:t>, prevê</w:t>
      </w:r>
      <w:r w:rsidRPr="00EB0EBC">
        <w:rPr>
          <w:rFonts w:eastAsia="Times New Roman" w:cs="Arial"/>
          <w:szCs w:val="24"/>
          <w:lang w:val="x-none" w:eastAsia="pt-BR"/>
        </w:rPr>
        <w:t xml:space="preserve"> </w:t>
      </w:r>
      <w:r w:rsidRPr="00EB0EBC">
        <w:rPr>
          <w:rFonts w:eastAsia="Times New Roman"/>
          <w:szCs w:val="24"/>
          <w:lang w:val="x-none" w:eastAsia="pt-BR"/>
        </w:rPr>
        <w:t>que as ações de proteção e defe</w:t>
      </w:r>
      <w:r>
        <w:rPr>
          <w:rFonts w:eastAsia="Times New Roman"/>
          <w:szCs w:val="24"/>
          <w:lang w:val="x-none" w:eastAsia="pt-BR"/>
        </w:rPr>
        <w:t>sa civil sejam organizadas por</w:t>
      </w:r>
      <w:r w:rsidRPr="00EB0EBC">
        <w:rPr>
          <w:rFonts w:eastAsia="Times New Roman"/>
          <w:szCs w:val="24"/>
          <w:lang w:val="x-none" w:eastAsia="pt-BR"/>
        </w:rPr>
        <w:t xml:space="preserve"> ações de prevenção, mitigação, preparação, resposta e recuperação. Assim, para cada uma</w:t>
      </w:r>
      <w:r w:rsidRPr="00EB0EBC">
        <w:rPr>
          <w:rFonts w:eastAsia="Times New Roman" w:cs="Arial"/>
          <w:szCs w:val="24"/>
          <w:lang w:val="x-none" w:eastAsia="pt-BR"/>
        </w:rPr>
        <w:t xml:space="preserve"> </w:t>
      </w:r>
      <w:r w:rsidRPr="00EB0EBC">
        <w:rPr>
          <w:rFonts w:eastAsia="Times New Roman"/>
          <w:szCs w:val="24"/>
          <w:lang w:val="x-none" w:eastAsia="pt-BR"/>
        </w:rPr>
        <w:t>delas há responsabilidades específicas, ao mesmo</w:t>
      </w:r>
      <w:r w:rsidRPr="00EB0EBC">
        <w:rPr>
          <w:rFonts w:eastAsia="Times New Roman" w:cs="Arial"/>
          <w:szCs w:val="24"/>
          <w:lang w:val="x-none" w:eastAsia="pt-BR"/>
        </w:rPr>
        <w:t xml:space="preserve"> </w:t>
      </w:r>
      <w:r w:rsidRPr="00EB0EBC">
        <w:rPr>
          <w:rFonts w:eastAsia="Times New Roman"/>
          <w:szCs w:val="24"/>
          <w:lang w:val="x-none" w:eastAsia="pt-BR"/>
        </w:rPr>
        <w:t>tempo em que se considera que façam parte de uma</w:t>
      </w:r>
      <w:r w:rsidRPr="00EB0EBC">
        <w:rPr>
          <w:rFonts w:eastAsia="Times New Roman" w:cs="Arial"/>
          <w:szCs w:val="24"/>
          <w:lang w:val="x-none" w:eastAsia="pt-BR"/>
        </w:rPr>
        <w:t xml:space="preserve"> </w:t>
      </w:r>
      <w:r w:rsidRPr="00EB0EBC">
        <w:rPr>
          <w:rFonts w:eastAsia="Times New Roman"/>
          <w:szCs w:val="24"/>
          <w:lang w:val="x-none" w:eastAsia="pt-BR"/>
        </w:rPr>
        <w:t>gestão sistêmica e contínua.</w:t>
      </w:r>
    </w:p>
    <w:p w:rsidR="00EF75D2" w:rsidRPr="00EB0EBC" w:rsidRDefault="00EF75D2" w:rsidP="00EF75D2">
      <w:pPr>
        <w:ind w:firstLine="708"/>
        <w:jc w:val="both"/>
        <w:rPr>
          <w:rFonts w:eastAsia="Times New Roman"/>
          <w:szCs w:val="24"/>
          <w:lang w:val="x-none" w:eastAsia="pt-BR"/>
        </w:rPr>
      </w:pPr>
      <w:r>
        <w:rPr>
          <w:rFonts w:eastAsia="Times New Roman"/>
          <w:szCs w:val="24"/>
          <w:lang w:eastAsia="pt-BR"/>
        </w:rPr>
        <w:t xml:space="preserve">Juntas, essas </w:t>
      </w:r>
      <w:r w:rsidRPr="00EB0EBC">
        <w:rPr>
          <w:rFonts w:eastAsia="Times New Roman"/>
          <w:szCs w:val="24"/>
          <w:lang w:val="x-none" w:eastAsia="pt-BR"/>
        </w:rPr>
        <w:t xml:space="preserve">ações </w:t>
      </w:r>
      <w:r>
        <w:rPr>
          <w:rFonts w:eastAsia="Times New Roman"/>
          <w:szCs w:val="24"/>
          <w:lang w:eastAsia="pt-BR"/>
        </w:rPr>
        <w:t xml:space="preserve">compõem </w:t>
      </w:r>
      <w:r w:rsidRPr="00EB0EBC">
        <w:rPr>
          <w:rFonts w:eastAsia="Times New Roman"/>
          <w:szCs w:val="24"/>
          <w:lang w:val="x-none" w:eastAsia="pt-BR"/>
        </w:rPr>
        <w:t>um processo contínuo, integrado</w:t>
      </w:r>
      <w:r>
        <w:rPr>
          <w:rFonts w:eastAsia="Times New Roman"/>
          <w:szCs w:val="24"/>
          <w:lang w:val="x-none" w:eastAsia="pt-BR"/>
        </w:rPr>
        <w:t>, permanente e interdependente</w:t>
      </w:r>
      <w:r>
        <w:rPr>
          <w:rFonts w:eastAsia="Times New Roman"/>
          <w:szCs w:val="24"/>
          <w:lang w:eastAsia="pt-BR"/>
        </w:rPr>
        <w:t>,</w:t>
      </w:r>
      <w:r>
        <w:rPr>
          <w:rFonts w:eastAsia="Times New Roman"/>
          <w:szCs w:val="24"/>
          <w:lang w:val="x-none" w:eastAsia="pt-BR"/>
        </w:rPr>
        <w:t xml:space="preserve"> </w:t>
      </w:r>
      <w:r w:rsidRPr="00EB0EBC">
        <w:rPr>
          <w:rFonts w:eastAsia="Times New Roman"/>
          <w:szCs w:val="24"/>
          <w:lang w:val="x-none" w:eastAsia="pt-BR"/>
        </w:rPr>
        <w:t xml:space="preserve">configurando </w:t>
      </w:r>
      <w:r>
        <w:rPr>
          <w:rFonts w:eastAsia="Times New Roman"/>
          <w:szCs w:val="24"/>
          <w:lang w:eastAsia="pt-BR"/>
        </w:rPr>
        <w:t>o que se considera uma</w:t>
      </w:r>
      <w:r w:rsidRPr="00EB0EBC">
        <w:rPr>
          <w:rFonts w:eastAsia="Times New Roman"/>
          <w:szCs w:val="24"/>
          <w:lang w:val="x-none" w:eastAsia="pt-BR"/>
        </w:rPr>
        <w:t xml:space="preserve"> gestão integrada em proteção e defesa civil.</w:t>
      </w:r>
    </w:p>
    <w:p w:rsidR="00EF75D2" w:rsidRDefault="00EF75D2" w:rsidP="00EF75D2">
      <w:pPr>
        <w:ind w:firstLine="708"/>
        <w:jc w:val="both"/>
        <w:rPr>
          <w:rFonts w:eastAsia="Times New Roman"/>
          <w:szCs w:val="24"/>
          <w:lang w:eastAsia="pt-BR"/>
        </w:rPr>
      </w:pPr>
      <w:r>
        <w:rPr>
          <w:rFonts w:eastAsia="Times New Roman"/>
          <w:szCs w:val="24"/>
          <w:lang w:eastAsia="pt-BR"/>
        </w:rPr>
        <w:t xml:space="preserve">A </w:t>
      </w:r>
      <w:r w:rsidR="00B119E3">
        <w:rPr>
          <w:rFonts w:eastAsia="Times New Roman"/>
          <w:szCs w:val="24"/>
          <w:lang w:val="x-none" w:eastAsia="pt-BR"/>
        </w:rPr>
        <w:fldChar w:fldCharType="begin"/>
      </w:r>
      <w:r w:rsidR="00B119E3">
        <w:rPr>
          <w:rFonts w:eastAsia="Times New Roman"/>
          <w:szCs w:val="24"/>
          <w:lang w:eastAsia="pt-BR"/>
        </w:rPr>
        <w:instrText xml:space="preserve"> REF _Ref507660003 \h </w:instrText>
      </w:r>
      <w:r w:rsidR="00B119E3">
        <w:rPr>
          <w:rFonts w:eastAsia="Times New Roman"/>
          <w:szCs w:val="24"/>
          <w:lang w:val="x-none" w:eastAsia="pt-BR"/>
        </w:rPr>
      </w:r>
      <w:r w:rsidR="00B119E3">
        <w:rPr>
          <w:rFonts w:eastAsia="Times New Roman"/>
          <w:szCs w:val="24"/>
          <w:lang w:val="x-none" w:eastAsia="pt-BR"/>
        </w:rPr>
        <w:fldChar w:fldCharType="separate"/>
      </w:r>
      <w:r w:rsidR="001B481B">
        <w:t xml:space="preserve">Figura </w:t>
      </w:r>
      <w:r w:rsidR="001B481B">
        <w:rPr>
          <w:noProof/>
        </w:rPr>
        <w:t>8</w:t>
      </w:r>
      <w:r w:rsidR="00B119E3">
        <w:rPr>
          <w:rFonts w:eastAsia="Times New Roman"/>
          <w:szCs w:val="24"/>
          <w:lang w:val="x-none" w:eastAsia="pt-BR"/>
        </w:rPr>
        <w:fldChar w:fldCharType="end"/>
      </w:r>
      <w:r>
        <w:rPr>
          <w:rFonts w:eastAsia="Times New Roman"/>
          <w:szCs w:val="24"/>
          <w:lang w:val="x-none" w:eastAsia="pt-BR"/>
        </w:rPr>
        <w:t xml:space="preserve"> </w:t>
      </w:r>
      <w:r>
        <w:rPr>
          <w:rFonts w:eastAsia="Times New Roman"/>
          <w:szCs w:val="24"/>
          <w:lang w:eastAsia="pt-BR"/>
        </w:rPr>
        <w:t>r</w:t>
      </w:r>
      <w:r>
        <w:rPr>
          <w:rFonts w:eastAsia="Times New Roman"/>
          <w:szCs w:val="24"/>
          <w:lang w:val="x-none" w:eastAsia="pt-BR"/>
        </w:rPr>
        <w:t>epresenta</w:t>
      </w:r>
      <w:r w:rsidRPr="00EB0EBC">
        <w:rPr>
          <w:rFonts w:eastAsia="Times New Roman"/>
          <w:szCs w:val="24"/>
          <w:lang w:val="x-none" w:eastAsia="pt-BR"/>
        </w:rPr>
        <w:t xml:space="preserve"> esse processo</w:t>
      </w:r>
      <w:r w:rsidRPr="00431A02">
        <w:rPr>
          <w:rFonts w:eastAsia="Times New Roman"/>
          <w:szCs w:val="24"/>
          <w:lang w:val="x-none" w:eastAsia="pt-BR"/>
        </w:rPr>
        <w:t xml:space="preserve"> </w:t>
      </w:r>
      <w:r>
        <w:rPr>
          <w:rFonts w:eastAsia="Times New Roman"/>
          <w:szCs w:val="24"/>
          <w:lang w:eastAsia="pt-BR"/>
        </w:rPr>
        <w:t>e o</w:t>
      </w:r>
      <w:r w:rsidRPr="00EB0EBC">
        <w:rPr>
          <w:rFonts w:eastAsia="Times New Roman"/>
          <w:szCs w:val="24"/>
          <w:lang w:val="x-none" w:eastAsia="pt-BR"/>
        </w:rPr>
        <w:t xml:space="preserve"> </w:t>
      </w:r>
      <w:r w:rsidR="00171D9D">
        <w:rPr>
          <w:rFonts w:eastAsia="Times New Roman"/>
          <w:szCs w:val="24"/>
          <w:lang w:val="x-none" w:eastAsia="pt-BR"/>
        </w:rPr>
        <w:fldChar w:fldCharType="begin"/>
      </w:r>
      <w:r w:rsidR="00171D9D">
        <w:rPr>
          <w:rFonts w:eastAsia="Times New Roman"/>
          <w:szCs w:val="24"/>
          <w:lang w:val="x-none" w:eastAsia="pt-BR"/>
        </w:rPr>
        <w:instrText xml:space="preserve"> REF _Ref495063877 \h </w:instrText>
      </w:r>
      <w:r w:rsidR="00171D9D">
        <w:rPr>
          <w:rFonts w:eastAsia="Times New Roman"/>
          <w:szCs w:val="24"/>
          <w:lang w:val="x-none" w:eastAsia="pt-BR"/>
        </w:rPr>
      </w:r>
      <w:r w:rsidR="00171D9D">
        <w:rPr>
          <w:rFonts w:eastAsia="Times New Roman"/>
          <w:szCs w:val="24"/>
          <w:lang w:val="x-none" w:eastAsia="pt-BR"/>
        </w:rPr>
        <w:fldChar w:fldCharType="separate"/>
      </w:r>
      <w:r w:rsidR="001B481B" w:rsidRPr="00800459">
        <w:t xml:space="preserve">Quadro </w:t>
      </w:r>
      <w:r w:rsidR="001B481B">
        <w:rPr>
          <w:noProof/>
        </w:rPr>
        <w:t>90</w:t>
      </w:r>
      <w:r w:rsidR="00171D9D">
        <w:rPr>
          <w:rFonts w:eastAsia="Times New Roman"/>
          <w:szCs w:val="24"/>
          <w:lang w:val="x-none" w:eastAsia="pt-BR"/>
        </w:rPr>
        <w:fldChar w:fldCharType="end"/>
      </w:r>
      <w:r>
        <w:rPr>
          <w:rFonts w:eastAsia="Times New Roman"/>
          <w:szCs w:val="24"/>
          <w:lang w:eastAsia="pt-BR"/>
        </w:rPr>
        <w:t xml:space="preserve"> apresenta </w:t>
      </w:r>
      <w:r w:rsidRPr="00EB0EBC">
        <w:rPr>
          <w:rFonts w:eastAsia="Times New Roman"/>
          <w:szCs w:val="24"/>
          <w:lang w:val="x-none" w:eastAsia="pt-BR"/>
        </w:rPr>
        <w:t>a conceituação de cada ação</w:t>
      </w:r>
      <w:r>
        <w:rPr>
          <w:rFonts w:eastAsia="Times New Roman"/>
          <w:szCs w:val="24"/>
          <w:lang w:eastAsia="pt-BR"/>
        </w:rPr>
        <w:t xml:space="preserve"> segundo a D</w:t>
      </w:r>
      <w:r>
        <w:rPr>
          <w:rFonts w:eastAsia="Times New Roman"/>
          <w:szCs w:val="24"/>
          <w:lang w:val="x-none" w:eastAsia="pt-BR"/>
        </w:rPr>
        <w:t>efesa Civil.</w:t>
      </w:r>
      <w:r w:rsidRPr="00EB0EBC">
        <w:rPr>
          <w:rFonts w:eastAsia="Times New Roman"/>
          <w:szCs w:val="24"/>
          <w:lang w:val="x-none" w:eastAsia="pt-BR"/>
        </w:rPr>
        <w:t xml:space="preserve"> </w:t>
      </w:r>
    </w:p>
    <w:p w:rsidR="00EF75D2" w:rsidRDefault="00EF75D2" w:rsidP="00EF75D2">
      <w:pPr>
        <w:ind w:firstLine="708"/>
        <w:jc w:val="both"/>
        <w:rPr>
          <w:rFonts w:eastAsia="Times New Roman"/>
          <w:szCs w:val="24"/>
          <w:lang w:eastAsia="pt-BR"/>
        </w:rPr>
      </w:pPr>
    </w:p>
    <w:p w:rsidR="00EF75D2" w:rsidRPr="00E95583" w:rsidRDefault="00171D9D" w:rsidP="00171D9D">
      <w:pPr>
        <w:pStyle w:val="Legenda"/>
      </w:pPr>
      <w:bookmarkStart w:id="1099" w:name="_Ref507660003"/>
      <w:bookmarkStart w:id="1100" w:name="_Toc498594101"/>
      <w:bookmarkStart w:id="1101" w:name="_Toc509935773"/>
      <w:r>
        <w:lastRenderedPageBreak/>
        <w:t xml:space="preserve">Figura </w:t>
      </w:r>
      <w:r w:rsidR="000A1C78">
        <w:fldChar w:fldCharType="begin"/>
      </w:r>
      <w:r w:rsidR="000A1C78">
        <w:instrText xml:space="preserve"> SEQ Figura \* ARABIC </w:instrText>
      </w:r>
      <w:r w:rsidR="000A1C78">
        <w:fldChar w:fldCharType="separate"/>
      </w:r>
      <w:r w:rsidR="001B481B">
        <w:rPr>
          <w:noProof/>
        </w:rPr>
        <w:t>8</w:t>
      </w:r>
      <w:r w:rsidR="000A1C78">
        <w:rPr>
          <w:noProof/>
        </w:rPr>
        <w:fldChar w:fldCharType="end"/>
      </w:r>
      <w:bookmarkEnd w:id="1099"/>
      <w:r w:rsidR="00EF75D2" w:rsidRPr="00E95583">
        <w:t xml:space="preserve"> - Gestão Integrada em Proteção e Defesa Civil</w:t>
      </w:r>
      <w:bookmarkEnd w:id="1100"/>
      <w:bookmarkEnd w:id="1101"/>
    </w:p>
    <w:p w:rsidR="00EF75D2" w:rsidRPr="00BE7A5C" w:rsidRDefault="00EF75D2" w:rsidP="00BE7A5C">
      <w:pPr>
        <w:pStyle w:val="figura"/>
        <w:rPr>
          <w:rStyle w:val="fontstyle01"/>
          <w:rFonts w:ascii="Arial" w:hAnsi="Arial"/>
          <w:b w:val="0"/>
          <w:bCs w:val="0"/>
          <w:color w:val="auto"/>
          <w:sz w:val="22"/>
        </w:rPr>
      </w:pPr>
      <w:r w:rsidRPr="00BE7A5C">
        <w:rPr>
          <w:noProof/>
        </w:rPr>
        <w:drawing>
          <wp:inline distT="0" distB="0" distL="0" distR="0" wp14:anchorId="14D0B00A" wp14:editId="24FE2C67">
            <wp:extent cx="4505325" cy="3562350"/>
            <wp:effectExtent l="19050" t="19050" r="28575" b="1905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505325" cy="3562350"/>
                    </a:xfrm>
                    <a:prstGeom prst="rect">
                      <a:avLst/>
                    </a:prstGeom>
                    <a:noFill/>
                    <a:ln w="9525" cmpd="sng">
                      <a:solidFill>
                        <a:srgbClr val="000000"/>
                      </a:solidFill>
                      <a:miter lim="800000"/>
                      <a:headEnd/>
                      <a:tailEnd/>
                    </a:ln>
                    <a:effectLst/>
                  </pic:spPr>
                </pic:pic>
              </a:graphicData>
            </a:graphic>
          </wp:inline>
        </w:drawing>
      </w:r>
    </w:p>
    <w:p w:rsidR="00EF75D2" w:rsidRDefault="00EF75D2" w:rsidP="00AC47A2">
      <w:pPr>
        <w:pStyle w:val="Fonte"/>
      </w:pPr>
      <w:r w:rsidRPr="00A86C94">
        <w:t>Fonte: Elaboração SEDEC/MI, 2017.</w:t>
      </w:r>
    </w:p>
    <w:p w:rsidR="00EF75D2" w:rsidRPr="00800459" w:rsidRDefault="00EF75D2" w:rsidP="00E95583">
      <w:pPr>
        <w:pStyle w:val="Legenda"/>
      </w:pPr>
      <w:bookmarkStart w:id="1102" w:name="_Ref495063877"/>
      <w:bookmarkStart w:id="1103" w:name="_Toc498594149"/>
      <w:bookmarkStart w:id="1104" w:name="_Toc509935867"/>
      <w:r w:rsidRPr="00800459">
        <w:t xml:space="preserve">Quadro </w:t>
      </w:r>
      <w:r w:rsidR="000A1C78">
        <w:fldChar w:fldCharType="begin"/>
      </w:r>
      <w:r w:rsidR="000A1C78">
        <w:instrText xml:space="preserve"> SEQ Quadro \* ARABIC </w:instrText>
      </w:r>
      <w:r w:rsidR="000A1C78">
        <w:fldChar w:fldCharType="separate"/>
      </w:r>
      <w:r w:rsidR="001B481B">
        <w:rPr>
          <w:noProof/>
        </w:rPr>
        <w:t>90</w:t>
      </w:r>
      <w:r w:rsidR="000A1C78">
        <w:rPr>
          <w:noProof/>
        </w:rPr>
        <w:fldChar w:fldCharType="end"/>
      </w:r>
      <w:bookmarkEnd w:id="1102"/>
      <w:r w:rsidRPr="00800459">
        <w:t xml:space="preserve"> - Conceitos das Ações de Proteção e Defesa Civil</w:t>
      </w:r>
      <w:bookmarkEnd w:id="1103"/>
      <w:bookmarkEnd w:id="1104"/>
    </w:p>
    <w:tbl>
      <w:tblPr>
        <w:tblW w:w="5000" w:type="pct"/>
        <w:jc w:val="center"/>
        <w:tblCellMar>
          <w:left w:w="70" w:type="dxa"/>
          <w:right w:w="70" w:type="dxa"/>
        </w:tblCellMar>
        <w:tblLook w:val="04A0" w:firstRow="1" w:lastRow="0" w:firstColumn="1" w:lastColumn="0" w:noHBand="0" w:noVBand="1"/>
      </w:tblPr>
      <w:tblGrid>
        <w:gridCol w:w="1840"/>
        <w:gridCol w:w="7654"/>
      </w:tblGrid>
      <w:tr w:rsidR="00EF75D2" w:rsidRPr="00BE7A5C" w:rsidTr="008872C5">
        <w:trPr>
          <w:trHeight w:val="186"/>
          <w:jc w:val="center"/>
        </w:trPr>
        <w:tc>
          <w:tcPr>
            <w:tcW w:w="793" w:type="pct"/>
            <w:tcBorders>
              <w:top w:val="single" w:sz="4" w:space="0" w:color="auto"/>
              <w:left w:val="single" w:sz="4" w:space="0" w:color="auto"/>
              <w:bottom w:val="single" w:sz="4" w:space="0" w:color="auto"/>
              <w:right w:val="single" w:sz="4" w:space="0" w:color="auto"/>
            </w:tcBorders>
            <w:shd w:val="clear" w:color="000000" w:fill="1F497D"/>
            <w:noWrap/>
            <w:vAlign w:val="center"/>
            <w:hideMark/>
          </w:tcPr>
          <w:p w:rsidR="00EF75D2" w:rsidRPr="00BE7A5C" w:rsidRDefault="00EF75D2" w:rsidP="00BE7A5C">
            <w:pPr>
              <w:spacing w:before="120" w:after="120" w:line="240" w:lineRule="auto"/>
              <w:rPr>
                <w:rFonts w:eastAsia="Times New Roman" w:cs="Arial"/>
                <w:color w:val="FFFFFF"/>
                <w:sz w:val="22"/>
                <w:lang w:eastAsia="pt-BR"/>
              </w:rPr>
            </w:pPr>
            <w:r w:rsidRPr="00BE7A5C">
              <w:rPr>
                <w:rFonts w:eastAsia="Times New Roman" w:cs="Arial"/>
                <w:color w:val="FFFFFF"/>
                <w:sz w:val="22"/>
                <w:lang w:eastAsia="pt-BR"/>
              </w:rPr>
              <w:t>PREVENÇÃO</w:t>
            </w:r>
          </w:p>
        </w:tc>
        <w:tc>
          <w:tcPr>
            <w:tcW w:w="4207" w:type="pct"/>
            <w:tcBorders>
              <w:top w:val="single" w:sz="4" w:space="0" w:color="auto"/>
              <w:left w:val="nil"/>
              <w:bottom w:val="single" w:sz="4" w:space="0" w:color="auto"/>
              <w:right w:val="single" w:sz="4" w:space="0" w:color="auto"/>
            </w:tcBorders>
            <w:shd w:val="clear" w:color="000000" w:fill="1F497D"/>
            <w:vAlign w:val="center"/>
            <w:hideMark/>
          </w:tcPr>
          <w:p w:rsidR="00EF75D2" w:rsidRPr="00BE7A5C" w:rsidRDefault="00EF75D2" w:rsidP="00BE7A5C">
            <w:pPr>
              <w:spacing w:before="120" w:after="120" w:line="240" w:lineRule="auto"/>
              <w:rPr>
                <w:rFonts w:eastAsia="Times New Roman" w:cs="Arial"/>
                <w:color w:val="FFFFFF"/>
                <w:sz w:val="22"/>
                <w:lang w:eastAsia="pt-BR"/>
              </w:rPr>
            </w:pPr>
            <w:r w:rsidRPr="00BE7A5C">
              <w:rPr>
                <w:rFonts w:eastAsia="Times New Roman" w:cs="Arial"/>
                <w:color w:val="FFFFFF"/>
                <w:sz w:val="22"/>
                <w:lang w:eastAsia="pt-BR"/>
              </w:rPr>
              <w:t>Medidas e atividades prioritárias, anteriores à ocorrência do desastre, destinadas a evitar ou reduzir a instalação de novos riscos de desastre.</w:t>
            </w:r>
          </w:p>
        </w:tc>
      </w:tr>
      <w:tr w:rsidR="00EF75D2" w:rsidRPr="00BE7A5C" w:rsidTr="008872C5">
        <w:trPr>
          <w:trHeight w:val="108"/>
          <w:jc w:val="center"/>
        </w:trPr>
        <w:tc>
          <w:tcPr>
            <w:tcW w:w="793" w:type="pct"/>
            <w:tcBorders>
              <w:top w:val="nil"/>
              <w:left w:val="single" w:sz="4" w:space="0" w:color="auto"/>
              <w:bottom w:val="single" w:sz="4" w:space="0" w:color="auto"/>
              <w:right w:val="single" w:sz="4" w:space="0" w:color="auto"/>
            </w:tcBorders>
            <w:shd w:val="clear" w:color="000000" w:fill="1F497D"/>
            <w:noWrap/>
            <w:vAlign w:val="center"/>
            <w:hideMark/>
          </w:tcPr>
          <w:p w:rsidR="00EF75D2" w:rsidRPr="00BE7A5C" w:rsidRDefault="00EF75D2" w:rsidP="00BE7A5C">
            <w:pPr>
              <w:spacing w:before="120" w:after="120" w:line="240" w:lineRule="auto"/>
              <w:rPr>
                <w:rFonts w:eastAsia="Times New Roman" w:cs="Arial"/>
                <w:color w:val="FFFFFF"/>
                <w:sz w:val="22"/>
                <w:lang w:eastAsia="pt-BR"/>
              </w:rPr>
            </w:pPr>
            <w:r w:rsidRPr="00BE7A5C">
              <w:rPr>
                <w:rFonts w:eastAsia="Times New Roman" w:cs="Arial"/>
                <w:color w:val="FFFFFF"/>
                <w:sz w:val="22"/>
                <w:lang w:eastAsia="pt-BR"/>
              </w:rPr>
              <w:t>MITIGAÇÃO</w:t>
            </w:r>
          </w:p>
        </w:tc>
        <w:tc>
          <w:tcPr>
            <w:tcW w:w="4207" w:type="pct"/>
            <w:tcBorders>
              <w:top w:val="nil"/>
              <w:left w:val="nil"/>
              <w:bottom w:val="single" w:sz="4" w:space="0" w:color="auto"/>
              <w:right w:val="single" w:sz="4" w:space="0" w:color="auto"/>
            </w:tcBorders>
            <w:shd w:val="clear" w:color="000000" w:fill="1F497D"/>
            <w:vAlign w:val="bottom"/>
            <w:hideMark/>
          </w:tcPr>
          <w:p w:rsidR="00EF75D2" w:rsidRPr="00BE7A5C" w:rsidRDefault="00EF75D2" w:rsidP="00BE7A5C">
            <w:pPr>
              <w:spacing w:before="120" w:after="120" w:line="240" w:lineRule="auto"/>
              <w:rPr>
                <w:rFonts w:eastAsia="Times New Roman" w:cs="Arial"/>
                <w:color w:val="FFFFFF"/>
                <w:sz w:val="22"/>
                <w:lang w:eastAsia="pt-BR"/>
              </w:rPr>
            </w:pPr>
            <w:r w:rsidRPr="00BE7A5C">
              <w:rPr>
                <w:rFonts w:eastAsia="Times New Roman" w:cs="Arial"/>
                <w:color w:val="FFFFFF"/>
                <w:sz w:val="22"/>
                <w:lang w:eastAsia="pt-BR"/>
              </w:rPr>
              <w:t>Medidas e atividades imediatamente adotadas para reduzir ou evitar as consequências do risco de desastre.</w:t>
            </w:r>
          </w:p>
        </w:tc>
      </w:tr>
      <w:tr w:rsidR="00EF75D2" w:rsidRPr="00BE7A5C" w:rsidTr="008872C5">
        <w:trPr>
          <w:trHeight w:val="127"/>
          <w:jc w:val="center"/>
        </w:trPr>
        <w:tc>
          <w:tcPr>
            <w:tcW w:w="793" w:type="pct"/>
            <w:tcBorders>
              <w:top w:val="nil"/>
              <w:left w:val="single" w:sz="4" w:space="0" w:color="auto"/>
              <w:bottom w:val="single" w:sz="4" w:space="0" w:color="auto"/>
              <w:right w:val="single" w:sz="4" w:space="0" w:color="auto"/>
            </w:tcBorders>
            <w:shd w:val="clear" w:color="000000" w:fill="1F497D"/>
            <w:noWrap/>
            <w:vAlign w:val="center"/>
            <w:hideMark/>
          </w:tcPr>
          <w:p w:rsidR="00EF75D2" w:rsidRPr="00BE7A5C" w:rsidRDefault="00EF75D2" w:rsidP="00BE7A5C">
            <w:pPr>
              <w:spacing w:before="120" w:after="120" w:line="240" w:lineRule="auto"/>
              <w:rPr>
                <w:rFonts w:eastAsia="Times New Roman" w:cs="Arial"/>
                <w:color w:val="FFFFFF"/>
                <w:sz w:val="22"/>
                <w:lang w:eastAsia="pt-BR"/>
              </w:rPr>
            </w:pPr>
            <w:r w:rsidRPr="00BE7A5C">
              <w:rPr>
                <w:rFonts w:eastAsia="Times New Roman" w:cs="Arial"/>
                <w:color w:val="FFFFFF"/>
                <w:sz w:val="22"/>
                <w:lang w:eastAsia="pt-BR"/>
              </w:rPr>
              <w:t>PREPARAÇÃO</w:t>
            </w:r>
          </w:p>
        </w:tc>
        <w:tc>
          <w:tcPr>
            <w:tcW w:w="4207" w:type="pct"/>
            <w:tcBorders>
              <w:top w:val="nil"/>
              <w:left w:val="nil"/>
              <w:bottom w:val="single" w:sz="4" w:space="0" w:color="auto"/>
              <w:right w:val="single" w:sz="4" w:space="0" w:color="auto"/>
            </w:tcBorders>
            <w:shd w:val="clear" w:color="000000" w:fill="1F497D"/>
            <w:vAlign w:val="bottom"/>
            <w:hideMark/>
          </w:tcPr>
          <w:p w:rsidR="00EF75D2" w:rsidRPr="00BE7A5C" w:rsidRDefault="00EF75D2" w:rsidP="00BE7A5C">
            <w:pPr>
              <w:spacing w:before="120" w:after="120" w:line="240" w:lineRule="auto"/>
              <w:rPr>
                <w:rFonts w:eastAsia="Times New Roman" w:cs="Arial"/>
                <w:color w:val="FFFFFF"/>
                <w:sz w:val="22"/>
                <w:lang w:eastAsia="pt-BR"/>
              </w:rPr>
            </w:pPr>
            <w:r w:rsidRPr="00BE7A5C">
              <w:rPr>
                <w:rFonts w:eastAsia="Times New Roman" w:cs="Arial"/>
                <w:color w:val="FFFFFF"/>
                <w:sz w:val="22"/>
                <w:lang w:eastAsia="pt-BR"/>
              </w:rPr>
              <w:t>Medidas e atividades, anteriores à ocorrência do desastre, destinadas a otimizar as ações de resposta e minimizar os danos e as perdas decorrentes do desastre.</w:t>
            </w:r>
          </w:p>
        </w:tc>
      </w:tr>
      <w:tr w:rsidR="00EF75D2" w:rsidRPr="00BE7A5C" w:rsidTr="008872C5">
        <w:trPr>
          <w:trHeight w:val="58"/>
          <w:jc w:val="center"/>
        </w:trPr>
        <w:tc>
          <w:tcPr>
            <w:tcW w:w="793" w:type="pct"/>
            <w:tcBorders>
              <w:top w:val="nil"/>
              <w:left w:val="single" w:sz="4" w:space="0" w:color="auto"/>
              <w:bottom w:val="single" w:sz="4" w:space="0" w:color="auto"/>
              <w:right w:val="single" w:sz="4" w:space="0" w:color="auto"/>
            </w:tcBorders>
            <w:shd w:val="clear" w:color="000000" w:fill="E26B0A"/>
            <w:noWrap/>
            <w:vAlign w:val="center"/>
            <w:hideMark/>
          </w:tcPr>
          <w:p w:rsidR="00EF75D2" w:rsidRPr="00BE7A5C" w:rsidRDefault="00EF75D2" w:rsidP="00BE7A5C">
            <w:pPr>
              <w:spacing w:before="120" w:after="120" w:line="240" w:lineRule="auto"/>
              <w:rPr>
                <w:rFonts w:eastAsia="Times New Roman" w:cs="Arial"/>
                <w:color w:val="FFFFFF"/>
                <w:sz w:val="22"/>
                <w:lang w:eastAsia="pt-BR"/>
              </w:rPr>
            </w:pPr>
            <w:r w:rsidRPr="00BE7A5C">
              <w:rPr>
                <w:rFonts w:eastAsia="Times New Roman" w:cs="Arial"/>
                <w:color w:val="FFFFFF"/>
                <w:sz w:val="22"/>
                <w:lang w:eastAsia="pt-BR"/>
              </w:rPr>
              <w:t>RESPOSTA</w:t>
            </w:r>
          </w:p>
        </w:tc>
        <w:tc>
          <w:tcPr>
            <w:tcW w:w="4207" w:type="pct"/>
            <w:tcBorders>
              <w:top w:val="nil"/>
              <w:left w:val="nil"/>
              <w:bottom w:val="single" w:sz="4" w:space="0" w:color="auto"/>
              <w:right w:val="single" w:sz="4" w:space="0" w:color="auto"/>
            </w:tcBorders>
            <w:shd w:val="clear" w:color="000000" w:fill="E26B0A"/>
            <w:vAlign w:val="bottom"/>
            <w:hideMark/>
          </w:tcPr>
          <w:p w:rsidR="00EF75D2" w:rsidRPr="00BE7A5C" w:rsidRDefault="00EF75D2" w:rsidP="00BE7A5C">
            <w:pPr>
              <w:spacing w:before="120" w:after="120" w:line="240" w:lineRule="auto"/>
              <w:rPr>
                <w:rFonts w:eastAsia="Times New Roman" w:cs="Arial"/>
                <w:color w:val="FFFFFF"/>
                <w:sz w:val="22"/>
                <w:lang w:eastAsia="pt-BR"/>
              </w:rPr>
            </w:pPr>
            <w:r w:rsidRPr="00BE7A5C">
              <w:rPr>
                <w:rFonts w:eastAsia="Times New Roman" w:cs="Arial"/>
                <w:color w:val="FFFFFF"/>
                <w:sz w:val="22"/>
                <w:lang w:eastAsia="pt-BR"/>
              </w:rPr>
              <w:t>Medidas emergenciais, realizadas durante ou após o desastre, que visam ao socorro e à assistência da população atingida e ao retorno dos serviços essenciais.</w:t>
            </w:r>
          </w:p>
        </w:tc>
      </w:tr>
      <w:tr w:rsidR="00EF75D2" w:rsidRPr="00BE7A5C" w:rsidTr="008872C5">
        <w:trPr>
          <w:trHeight w:val="58"/>
          <w:jc w:val="center"/>
        </w:trPr>
        <w:tc>
          <w:tcPr>
            <w:tcW w:w="793" w:type="pct"/>
            <w:tcBorders>
              <w:top w:val="nil"/>
              <w:left w:val="single" w:sz="4" w:space="0" w:color="auto"/>
              <w:bottom w:val="single" w:sz="4" w:space="0" w:color="auto"/>
              <w:right w:val="single" w:sz="4" w:space="0" w:color="auto"/>
            </w:tcBorders>
            <w:shd w:val="clear" w:color="000000" w:fill="E26B0A"/>
            <w:noWrap/>
            <w:vAlign w:val="center"/>
            <w:hideMark/>
          </w:tcPr>
          <w:p w:rsidR="00EF75D2" w:rsidRPr="00BE7A5C" w:rsidRDefault="00EF75D2" w:rsidP="00BE7A5C">
            <w:pPr>
              <w:spacing w:before="120" w:after="120" w:line="240" w:lineRule="auto"/>
              <w:rPr>
                <w:rFonts w:eastAsia="Times New Roman" w:cs="Arial"/>
                <w:color w:val="FFFFFF"/>
                <w:sz w:val="22"/>
                <w:lang w:eastAsia="pt-BR"/>
              </w:rPr>
            </w:pPr>
            <w:r w:rsidRPr="00BE7A5C">
              <w:rPr>
                <w:rFonts w:eastAsia="Times New Roman" w:cs="Arial"/>
                <w:color w:val="FFFFFF"/>
                <w:sz w:val="22"/>
                <w:lang w:eastAsia="pt-BR"/>
              </w:rPr>
              <w:t>RECUPERAÇÃO</w:t>
            </w:r>
          </w:p>
        </w:tc>
        <w:tc>
          <w:tcPr>
            <w:tcW w:w="4207" w:type="pct"/>
            <w:tcBorders>
              <w:top w:val="nil"/>
              <w:left w:val="nil"/>
              <w:bottom w:val="single" w:sz="4" w:space="0" w:color="auto"/>
              <w:right w:val="single" w:sz="4" w:space="0" w:color="auto"/>
            </w:tcBorders>
            <w:shd w:val="clear" w:color="000000" w:fill="E26B0A"/>
            <w:vAlign w:val="bottom"/>
            <w:hideMark/>
          </w:tcPr>
          <w:p w:rsidR="00EF75D2" w:rsidRPr="00BE7A5C" w:rsidRDefault="00EF75D2" w:rsidP="00BE7A5C">
            <w:pPr>
              <w:spacing w:before="120" w:after="120" w:line="240" w:lineRule="auto"/>
              <w:rPr>
                <w:rFonts w:eastAsia="Times New Roman" w:cs="Arial"/>
                <w:color w:val="FFFFFF"/>
                <w:sz w:val="22"/>
                <w:lang w:eastAsia="pt-BR"/>
              </w:rPr>
            </w:pPr>
            <w:r w:rsidRPr="00BE7A5C">
              <w:rPr>
                <w:rFonts w:eastAsia="Times New Roman" w:cs="Arial"/>
                <w:color w:val="FFFFFF"/>
                <w:sz w:val="22"/>
                <w:lang w:eastAsia="pt-BR"/>
              </w:rPr>
              <w:t>Medidas desenvolvidas após o desastre para retornar à situação de normalidade, que abrangem a reconstrução de infraestrutura danificada ou destruída, e a reabilitação do meio ambiente e da economia, visando ao bem-estar social.</w:t>
            </w:r>
          </w:p>
        </w:tc>
      </w:tr>
    </w:tbl>
    <w:p w:rsidR="00EF75D2" w:rsidRPr="00A86C94" w:rsidRDefault="00EF75D2" w:rsidP="00EF75D2">
      <w:pPr>
        <w:jc w:val="center"/>
        <w:rPr>
          <w:rFonts w:cs="Arial"/>
          <w:sz w:val="20"/>
          <w:szCs w:val="16"/>
        </w:rPr>
      </w:pPr>
      <w:r>
        <w:rPr>
          <w:rFonts w:cs="Arial"/>
          <w:sz w:val="20"/>
          <w:szCs w:val="16"/>
        </w:rPr>
        <w:t>Fonte: Defesa Civil I, 2017.</w:t>
      </w:r>
    </w:p>
    <w:p w:rsidR="00BE7A5C" w:rsidRDefault="00BE7A5C" w:rsidP="00EF75D2">
      <w:pPr>
        <w:ind w:firstLine="708"/>
        <w:jc w:val="both"/>
        <w:rPr>
          <w:rFonts w:eastAsia="Times New Roman"/>
          <w:szCs w:val="24"/>
          <w:lang w:eastAsia="pt-BR"/>
        </w:rPr>
      </w:pPr>
    </w:p>
    <w:p w:rsidR="00EF75D2" w:rsidRPr="00800459" w:rsidRDefault="00EF75D2" w:rsidP="00EF75D2">
      <w:pPr>
        <w:ind w:firstLine="708"/>
        <w:jc w:val="both"/>
        <w:rPr>
          <w:rFonts w:eastAsia="Times New Roman"/>
          <w:szCs w:val="24"/>
          <w:lang w:val="x-none" w:eastAsia="pt-BR"/>
        </w:rPr>
      </w:pPr>
      <w:r w:rsidRPr="00800459">
        <w:rPr>
          <w:rFonts w:eastAsia="Times New Roman"/>
          <w:szCs w:val="24"/>
          <w:lang w:val="x-none" w:eastAsia="pt-BR"/>
        </w:rPr>
        <w:t xml:space="preserve">A Política Nacional de Proteção e Defesa Civil - PNPDEC dispõe sobre o Sistema Nacional de Proteção e Defesa Civil - SINPDEC e o Conselho Nacional de </w:t>
      </w:r>
      <w:r w:rsidRPr="00800459">
        <w:rPr>
          <w:rFonts w:eastAsia="Times New Roman"/>
          <w:szCs w:val="24"/>
          <w:lang w:val="x-none" w:eastAsia="pt-BR"/>
        </w:rPr>
        <w:lastRenderedPageBreak/>
        <w:t>Proteção e Defesa Civil - CONPDEC, autorizando a criação de um sistema de informações e monitoramento de desastres e dá outras providências. </w:t>
      </w:r>
    </w:p>
    <w:p w:rsidR="00EF75D2" w:rsidRPr="00800459" w:rsidRDefault="00EF75D2" w:rsidP="00EF75D2">
      <w:pPr>
        <w:ind w:firstLine="708"/>
        <w:jc w:val="both"/>
        <w:rPr>
          <w:rFonts w:eastAsia="Times New Roman"/>
          <w:szCs w:val="24"/>
          <w:lang w:val="x-none" w:eastAsia="pt-BR"/>
        </w:rPr>
      </w:pPr>
      <w:r w:rsidRPr="00800459">
        <w:rPr>
          <w:rFonts w:eastAsia="Times New Roman"/>
          <w:szCs w:val="24"/>
          <w:lang w:val="x-none" w:eastAsia="pt-BR"/>
        </w:rPr>
        <w:t>O SINPDEC tem por finalidade contribuir no processo de planejamento, articulação, coordenação e execução dos programas, projetos e ações de proteção e defesa civil.</w:t>
      </w:r>
    </w:p>
    <w:p w:rsidR="00EF75D2" w:rsidRPr="00F21622" w:rsidRDefault="00EF75D2" w:rsidP="00EF75D2">
      <w:pPr>
        <w:pStyle w:val="texto10"/>
        <w:spacing w:before="0" w:beforeAutospacing="0" w:after="0" w:afterAutospacing="0" w:line="360" w:lineRule="auto"/>
        <w:ind w:firstLine="570"/>
        <w:jc w:val="both"/>
        <w:rPr>
          <w:rFonts w:ascii="Arial" w:hAnsi="Arial" w:cs="Arial"/>
          <w:color w:val="000000"/>
        </w:rPr>
      </w:pPr>
      <w:r w:rsidRPr="00F21622">
        <w:rPr>
          <w:rFonts w:ascii="Arial" w:hAnsi="Arial" w:cs="Arial"/>
          <w:color w:val="000000"/>
        </w:rPr>
        <w:t>O CONPDEC, órgão colegiado integrante do Ministério da Integração Nacional, te</w:t>
      </w:r>
      <w:r>
        <w:rPr>
          <w:rFonts w:ascii="Arial" w:hAnsi="Arial" w:cs="Arial"/>
          <w:color w:val="000000"/>
        </w:rPr>
        <w:t>m</w:t>
      </w:r>
      <w:r w:rsidRPr="00F21622">
        <w:rPr>
          <w:rFonts w:ascii="Arial" w:hAnsi="Arial" w:cs="Arial"/>
          <w:color w:val="000000"/>
        </w:rPr>
        <w:t xml:space="preserve"> por finalidades auxiliar na formulação, implementação e execução do Plano Nacional de Proteção e Defesa Civil; propor normas para implementação e execução </w:t>
      </w:r>
      <w:r>
        <w:rPr>
          <w:rFonts w:ascii="Arial" w:hAnsi="Arial" w:cs="Arial"/>
          <w:color w:val="000000"/>
        </w:rPr>
        <w:t xml:space="preserve">e monitoramento </w:t>
      </w:r>
      <w:r w:rsidRPr="00F21622">
        <w:rPr>
          <w:rFonts w:ascii="Arial" w:hAnsi="Arial" w:cs="Arial"/>
          <w:color w:val="000000"/>
        </w:rPr>
        <w:t xml:space="preserve">da </w:t>
      </w:r>
      <w:r>
        <w:rPr>
          <w:rFonts w:ascii="Arial" w:hAnsi="Arial" w:cs="Arial"/>
          <w:color w:val="000000"/>
        </w:rPr>
        <w:t xml:space="preserve">política nacional; </w:t>
      </w:r>
      <w:r w:rsidRPr="00F21622">
        <w:rPr>
          <w:rFonts w:ascii="Arial" w:hAnsi="Arial" w:cs="Arial"/>
          <w:color w:val="000000"/>
        </w:rPr>
        <w:t>propor procedimentos para atendimento a crianças, adolescentes, gestantes, idosos e pessoas com deficiência em situação de desastre, observada a legislação aplicável; e acompanhar o cumprimento das disposições legais e regulamentares de proteção e defesa civil.</w:t>
      </w:r>
    </w:p>
    <w:p w:rsidR="00EF75D2" w:rsidRPr="00F21622" w:rsidRDefault="00EF75D2" w:rsidP="00EF75D2">
      <w:pPr>
        <w:pStyle w:val="texto10"/>
        <w:spacing w:before="0" w:beforeAutospacing="0" w:after="0" w:afterAutospacing="0" w:line="360" w:lineRule="auto"/>
        <w:ind w:firstLine="570"/>
        <w:jc w:val="both"/>
        <w:rPr>
          <w:rFonts w:ascii="Arial" w:hAnsi="Arial" w:cs="Arial"/>
          <w:color w:val="000000"/>
        </w:rPr>
      </w:pPr>
      <w:r w:rsidRPr="00F21622">
        <w:rPr>
          <w:rFonts w:ascii="Arial" w:hAnsi="Arial" w:cs="Arial"/>
          <w:color w:val="000000"/>
        </w:rPr>
        <w:t>A PNPDEC</w:t>
      </w:r>
      <w:r>
        <w:rPr>
          <w:rFonts w:ascii="Arial" w:hAnsi="Arial" w:cs="Arial"/>
          <w:color w:val="000000"/>
        </w:rPr>
        <w:t xml:space="preserve">, além de </w:t>
      </w:r>
      <w:r w:rsidRPr="00F21622">
        <w:rPr>
          <w:rFonts w:ascii="Arial" w:hAnsi="Arial" w:cs="Arial"/>
          <w:color w:val="000000"/>
        </w:rPr>
        <w:t>abrange</w:t>
      </w:r>
      <w:r>
        <w:rPr>
          <w:rFonts w:ascii="Arial" w:hAnsi="Arial" w:cs="Arial"/>
          <w:color w:val="000000"/>
        </w:rPr>
        <w:t>r</w:t>
      </w:r>
      <w:r w:rsidRPr="00F21622">
        <w:rPr>
          <w:rFonts w:ascii="Arial" w:hAnsi="Arial" w:cs="Arial"/>
          <w:color w:val="000000"/>
        </w:rPr>
        <w:t xml:space="preserve"> as ações </w:t>
      </w:r>
      <w:r>
        <w:rPr>
          <w:rFonts w:ascii="Arial" w:hAnsi="Arial" w:cs="Arial"/>
          <w:color w:val="000000"/>
        </w:rPr>
        <w:t xml:space="preserve">mencionadas </w:t>
      </w:r>
      <w:r w:rsidRPr="00F21622">
        <w:rPr>
          <w:rFonts w:ascii="Arial" w:hAnsi="Arial" w:cs="Arial"/>
          <w:color w:val="000000"/>
        </w:rPr>
        <w:t>voltadas à proteção e defesa civil</w:t>
      </w:r>
      <w:r>
        <w:rPr>
          <w:rFonts w:ascii="Arial" w:hAnsi="Arial" w:cs="Arial"/>
          <w:color w:val="000000"/>
        </w:rPr>
        <w:t>, estabelece diretrizes, objetivos e competências municipais, conforme pode ser averiguado no artigo transcrito a seguir:</w:t>
      </w:r>
      <w:r w:rsidRPr="00F21622">
        <w:rPr>
          <w:rFonts w:ascii="Arial" w:hAnsi="Arial" w:cs="Arial"/>
          <w:color w:val="000000"/>
        </w:rPr>
        <w:t> </w:t>
      </w:r>
    </w:p>
    <w:p w:rsidR="00EF75D2" w:rsidRDefault="00EF75D2" w:rsidP="00EF75D2">
      <w:pPr>
        <w:pStyle w:val="texto10"/>
        <w:spacing w:before="0" w:beforeAutospacing="0" w:after="0" w:afterAutospacing="0"/>
        <w:ind w:left="2268"/>
        <w:jc w:val="both"/>
        <w:rPr>
          <w:rFonts w:ascii="Arial" w:hAnsi="Arial" w:cs="Arial"/>
          <w:color w:val="000000"/>
          <w:sz w:val="20"/>
        </w:rPr>
      </w:pPr>
      <w:bookmarkStart w:id="1105" w:name="art2"/>
      <w:bookmarkEnd w:id="1105"/>
    </w:p>
    <w:p w:rsidR="00EF75D2" w:rsidRPr="00A0725B" w:rsidRDefault="00EF75D2" w:rsidP="00EF75D2">
      <w:pPr>
        <w:pStyle w:val="texto10"/>
        <w:spacing w:before="0" w:beforeAutospacing="0" w:after="0" w:afterAutospacing="0"/>
        <w:ind w:left="1418"/>
        <w:jc w:val="both"/>
        <w:rPr>
          <w:rFonts w:ascii="Arial" w:hAnsi="Arial" w:cs="Arial"/>
          <w:b/>
          <w:i/>
          <w:color w:val="000000"/>
          <w:sz w:val="20"/>
          <w:szCs w:val="20"/>
        </w:rPr>
      </w:pPr>
      <w:r w:rsidRPr="00A0725B">
        <w:rPr>
          <w:rFonts w:ascii="Arial" w:hAnsi="Arial" w:cs="Arial"/>
          <w:b/>
          <w:i/>
          <w:color w:val="000000"/>
          <w:sz w:val="20"/>
          <w:szCs w:val="20"/>
        </w:rPr>
        <w:t>Art. 8</w:t>
      </w:r>
      <w:r w:rsidRPr="00A0725B">
        <w:rPr>
          <w:rFonts w:ascii="Arial" w:hAnsi="Arial" w:cs="Arial"/>
          <w:b/>
          <w:i/>
          <w:color w:val="000000"/>
          <w:sz w:val="20"/>
          <w:szCs w:val="20"/>
          <w:u w:val="single"/>
          <w:vertAlign w:val="superscript"/>
        </w:rPr>
        <w:t>o</w:t>
      </w:r>
      <w:r w:rsidRPr="00A0725B">
        <w:rPr>
          <w:rFonts w:ascii="Arial" w:hAnsi="Arial" w:cs="Arial"/>
          <w:b/>
          <w:i/>
          <w:color w:val="000000"/>
          <w:sz w:val="20"/>
          <w:szCs w:val="20"/>
        </w:rPr>
        <w:t>  Compete aos Municípios:</w:t>
      </w:r>
    </w:p>
    <w:p w:rsidR="00EF75D2" w:rsidRPr="00800459" w:rsidRDefault="00EF75D2" w:rsidP="00EF75D2">
      <w:pPr>
        <w:pStyle w:val="texto10"/>
        <w:spacing w:before="0" w:beforeAutospacing="0" w:after="0" w:afterAutospacing="0"/>
        <w:ind w:left="1418" w:firstLine="570"/>
        <w:jc w:val="both"/>
        <w:rPr>
          <w:rFonts w:ascii="Arial" w:hAnsi="Arial" w:cs="Arial"/>
          <w:color w:val="000000"/>
          <w:sz w:val="20"/>
          <w:szCs w:val="20"/>
        </w:rPr>
      </w:pPr>
      <w:r w:rsidRPr="00800459">
        <w:rPr>
          <w:rFonts w:ascii="Arial" w:hAnsi="Arial" w:cs="Arial"/>
          <w:color w:val="000000"/>
          <w:sz w:val="20"/>
          <w:szCs w:val="20"/>
        </w:rPr>
        <w:t xml:space="preserve"> I - executar a </w:t>
      </w:r>
      <w:r w:rsidRPr="00800459">
        <w:rPr>
          <w:rFonts w:ascii="Arial" w:hAnsi="Arial" w:cs="Arial"/>
          <w:b/>
          <w:color w:val="000000"/>
          <w:sz w:val="20"/>
          <w:szCs w:val="20"/>
        </w:rPr>
        <w:t>PNPDEC</w:t>
      </w:r>
      <w:r w:rsidRPr="00800459">
        <w:rPr>
          <w:rFonts w:ascii="Arial" w:hAnsi="Arial" w:cs="Arial"/>
          <w:color w:val="000000"/>
          <w:sz w:val="20"/>
          <w:szCs w:val="20"/>
        </w:rPr>
        <w:t xml:space="preserve"> em âmbito local;</w:t>
      </w:r>
    </w:p>
    <w:p w:rsidR="00EF75D2" w:rsidRPr="00800459" w:rsidRDefault="00EF75D2" w:rsidP="00EF75D2">
      <w:pPr>
        <w:pStyle w:val="texto10"/>
        <w:spacing w:before="0" w:beforeAutospacing="0" w:after="0" w:afterAutospacing="0"/>
        <w:ind w:left="1418" w:firstLine="570"/>
        <w:jc w:val="both"/>
        <w:rPr>
          <w:rFonts w:ascii="Arial" w:hAnsi="Arial" w:cs="Arial"/>
          <w:color w:val="000000"/>
          <w:sz w:val="20"/>
          <w:szCs w:val="20"/>
        </w:rPr>
      </w:pPr>
      <w:r w:rsidRPr="00800459">
        <w:rPr>
          <w:rFonts w:ascii="Arial" w:hAnsi="Arial" w:cs="Arial"/>
          <w:color w:val="000000"/>
          <w:sz w:val="20"/>
          <w:szCs w:val="20"/>
        </w:rPr>
        <w:t xml:space="preserve"> II - coordenar as ações do </w:t>
      </w:r>
      <w:r w:rsidRPr="00800459">
        <w:rPr>
          <w:rFonts w:ascii="Arial" w:hAnsi="Arial" w:cs="Arial"/>
          <w:b/>
          <w:color w:val="000000"/>
          <w:sz w:val="20"/>
          <w:szCs w:val="20"/>
        </w:rPr>
        <w:t>SINPDEC</w:t>
      </w:r>
      <w:r w:rsidRPr="00800459">
        <w:rPr>
          <w:rFonts w:ascii="Arial" w:hAnsi="Arial" w:cs="Arial"/>
          <w:color w:val="000000"/>
          <w:sz w:val="20"/>
          <w:szCs w:val="20"/>
        </w:rPr>
        <w:t xml:space="preserve"> no âmbito local, em articulação com a União e os Estados;</w:t>
      </w:r>
    </w:p>
    <w:p w:rsidR="00EF75D2" w:rsidRPr="00800459" w:rsidRDefault="00EF75D2" w:rsidP="00EF75D2">
      <w:pPr>
        <w:pStyle w:val="texto10"/>
        <w:spacing w:before="0" w:beforeAutospacing="0" w:after="0" w:afterAutospacing="0"/>
        <w:ind w:left="1418" w:firstLine="570"/>
        <w:jc w:val="both"/>
        <w:rPr>
          <w:rFonts w:ascii="Arial" w:hAnsi="Arial" w:cs="Arial"/>
          <w:color w:val="000000"/>
          <w:sz w:val="20"/>
          <w:szCs w:val="20"/>
        </w:rPr>
      </w:pPr>
      <w:r w:rsidRPr="00800459">
        <w:rPr>
          <w:rFonts w:ascii="Arial" w:hAnsi="Arial" w:cs="Arial"/>
          <w:color w:val="000000"/>
          <w:sz w:val="20"/>
          <w:szCs w:val="20"/>
        </w:rPr>
        <w:t> III - incorporar as ações de proteção e defesa civil no planejamento municipal;</w:t>
      </w:r>
    </w:p>
    <w:p w:rsidR="00EF75D2" w:rsidRPr="00800459" w:rsidRDefault="00EF75D2" w:rsidP="00EF75D2">
      <w:pPr>
        <w:pStyle w:val="texto10"/>
        <w:spacing w:before="0" w:beforeAutospacing="0" w:after="0" w:afterAutospacing="0"/>
        <w:ind w:left="1418" w:firstLine="570"/>
        <w:jc w:val="both"/>
        <w:rPr>
          <w:rFonts w:ascii="Arial" w:hAnsi="Arial" w:cs="Arial"/>
          <w:color w:val="000000"/>
          <w:sz w:val="20"/>
          <w:szCs w:val="20"/>
        </w:rPr>
      </w:pPr>
      <w:r w:rsidRPr="00800459">
        <w:rPr>
          <w:rFonts w:ascii="Arial" w:hAnsi="Arial" w:cs="Arial"/>
          <w:color w:val="000000"/>
          <w:sz w:val="20"/>
          <w:szCs w:val="20"/>
        </w:rPr>
        <w:t> IV - identificar e mapear as áreas de risco de desastres;</w:t>
      </w:r>
    </w:p>
    <w:p w:rsidR="00EF75D2" w:rsidRPr="00800459" w:rsidRDefault="00EF75D2" w:rsidP="00EF75D2">
      <w:pPr>
        <w:pStyle w:val="texto10"/>
        <w:spacing w:before="0" w:beforeAutospacing="0" w:after="0" w:afterAutospacing="0"/>
        <w:ind w:left="1418" w:firstLine="570"/>
        <w:jc w:val="both"/>
        <w:rPr>
          <w:rFonts w:ascii="Arial" w:hAnsi="Arial" w:cs="Arial"/>
          <w:color w:val="000000"/>
          <w:sz w:val="20"/>
          <w:szCs w:val="20"/>
        </w:rPr>
      </w:pPr>
      <w:r w:rsidRPr="00800459">
        <w:rPr>
          <w:rFonts w:ascii="Arial" w:hAnsi="Arial" w:cs="Arial"/>
          <w:color w:val="000000"/>
          <w:sz w:val="20"/>
          <w:szCs w:val="20"/>
        </w:rPr>
        <w:t> V - promover a fiscalização das áreas de risco de desastre e vedar novas ocupações nessas áreas;</w:t>
      </w:r>
    </w:p>
    <w:p w:rsidR="00EF75D2" w:rsidRPr="00800459" w:rsidRDefault="00EF75D2" w:rsidP="00EF75D2">
      <w:pPr>
        <w:pStyle w:val="texto10"/>
        <w:spacing w:before="0" w:beforeAutospacing="0" w:after="0" w:afterAutospacing="0"/>
        <w:ind w:left="1418" w:firstLine="570"/>
        <w:jc w:val="both"/>
        <w:rPr>
          <w:rFonts w:ascii="Arial" w:hAnsi="Arial" w:cs="Arial"/>
          <w:color w:val="000000"/>
          <w:sz w:val="20"/>
          <w:szCs w:val="20"/>
        </w:rPr>
      </w:pPr>
      <w:r w:rsidRPr="00800459">
        <w:rPr>
          <w:rFonts w:ascii="Arial" w:hAnsi="Arial" w:cs="Arial"/>
          <w:color w:val="000000"/>
          <w:sz w:val="20"/>
          <w:szCs w:val="20"/>
        </w:rPr>
        <w:t> VI - declarar situação de emergência e estado de calamidade pública;</w:t>
      </w:r>
    </w:p>
    <w:p w:rsidR="00EF75D2" w:rsidRPr="00800459" w:rsidRDefault="00EF75D2" w:rsidP="00EF75D2">
      <w:pPr>
        <w:pStyle w:val="texto10"/>
        <w:spacing w:before="0" w:beforeAutospacing="0" w:after="0" w:afterAutospacing="0"/>
        <w:ind w:left="1418" w:firstLine="570"/>
        <w:jc w:val="both"/>
        <w:rPr>
          <w:rFonts w:ascii="Arial" w:hAnsi="Arial" w:cs="Arial"/>
          <w:color w:val="000000"/>
          <w:sz w:val="20"/>
          <w:szCs w:val="20"/>
        </w:rPr>
      </w:pPr>
      <w:r w:rsidRPr="00800459">
        <w:rPr>
          <w:rFonts w:ascii="Arial" w:hAnsi="Arial" w:cs="Arial"/>
          <w:color w:val="000000"/>
          <w:sz w:val="20"/>
          <w:szCs w:val="20"/>
        </w:rPr>
        <w:t> VII - vistoriar edificações e áreas de risco e promover, quando for o caso, a intervenção preventiva e a evacuação da população das áreas de alto risco ou das edificações vulneráveis;</w:t>
      </w:r>
    </w:p>
    <w:p w:rsidR="00EF75D2" w:rsidRPr="00800459" w:rsidRDefault="00EF75D2" w:rsidP="00EF75D2">
      <w:pPr>
        <w:pStyle w:val="texto10"/>
        <w:spacing w:before="0" w:beforeAutospacing="0" w:after="0" w:afterAutospacing="0"/>
        <w:ind w:left="1418" w:firstLine="570"/>
        <w:jc w:val="both"/>
        <w:rPr>
          <w:rFonts w:ascii="Arial" w:hAnsi="Arial" w:cs="Arial"/>
          <w:color w:val="000000"/>
          <w:sz w:val="20"/>
          <w:szCs w:val="20"/>
        </w:rPr>
      </w:pPr>
      <w:r w:rsidRPr="00800459">
        <w:rPr>
          <w:rFonts w:ascii="Arial" w:hAnsi="Arial" w:cs="Arial"/>
          <w:color w:val="000000"/>
          <w:sz w:val="20"/>
          <w:szCs w:val="20"/>
        </w:rPr>
        <w:t> VIII - organizar e administrar abrigos provisórios para assistência à população em situação de desastre, em condições adequadas de higiene e segurança;</w:t>
      </w:r>
    </w:p>
    <w:p w:rsidR="00EF75D2" w:rsidRPr="00800459" w:rsidRDefault="00EF75D2" w:rsidP="00EF75D2">
      <w:pPr>
        <w:pStyle w:val="texto10"/>
        <w:spacing w:before="0" w:beforeAutospacing="0" w:after="0" w:afterAutospacing="0"/>
        <w:ind w:left="1418" w:firstLine="570"/>
        <w:jc w:val="both"/>
        <w:rPr>
          <w:rFonts w:ascii="Arial" w:hAnsi="Arial" w:cs="Arial"/>
          <w:color w:val="000000"/>
          <w:sz w:val="20"/>
          <w:szCs w:val="20"/>
        </w:rPr>
      </w:pPr>
      <w:r w:rsidRPr="00800459">
        <w:rPr>
          <w:rFonts w:ascii="Arial" w:hAnsi="Arial" w:cs="Arial"/>
          <w:color w:val="000000"/>
          <w:sz w:val="20"/>
          <w:szCs w:val="20"/>
        </w:rPr>
        <w:t> IX - manter a população informada sobre áreas de risco e ocorrência de eventos extremos, bem como sobre protocolos de prevenção e alerta e sobre as ações emergenciais em circunstâncias de desastres;</w:t>
      </w:r>
    </w:p>
    <w:p w:rsidR="00EF75D2" w:rsidRPr="00800459" w:rsidRDefault="00EF75D2" w:rsidP="00EF75D2">
      <w:pPr>
        <w:pStyle w:val="texto10"/>
        <w:spacing w:before="0" w:beforeAutospacing="0" w:after="0" w:afterAutospacing="0"/>
        <w:ind w:left="1418" w:firstLine="570"/>
        <w:jc w:val="both"/>
        <w:rPr>
          <w:rFonts w:ascii="Arial" w:hAnsi="Arial" w:cs="Arial"/>
          <w:color w:val="000000"/>
          <w:sz w:val="20"/>
          <w:szCs w:val="20"/>
        </w:rPr>
      </w:pPr>
      <w:r w:rsidRPr="00800459">
        <w:rPr>
          <w:rFonts w:ascii="Arial" w:hAnsi="Arial" w:cs="Arial"/>
          <w:color w:val="000000"/>
          <w:sz w:val="20"/>
          <w:szCs w:val="20"/>
        </w:rPr>
        <w:t> X - mobilizar e capacitar os radioamadores para atuação na ocorrência de desastre;</w:t>
      </w:r>
    </w:p>
    <w:p w:rsidR="00EF75D2" w:rsidRPr="00800459" w:rsidRDefault="00EF75D2" w:rsidP="00EF75D2">
      <w:pPr>
        <w:pStyle w:val="texto10"/>
        <w:spacing w:before="0" w:beforeAutospacing="0" w:after="0" w:afterAutospacing="0"/>
        <w:ind w:left="1418" w:firstLine="570"/>
        <w:jc w:val="both"/>
        <w:rPr>
          <w:rFonts w:ascii="Arial" w:hAnsi="Arial" w:cs="Arial"/>
          <w:color w:val="000000"/>
          <w:sz w:val="20"/>
          <w:szCs w:val="20"/>
        </w:rPr>
      </w:pPr>
      <w:r w:rsidRPr="00800459">
        <w:rPr>
          <w:rFonts w:ascii="Arial" w:hAnsi="Arial" w:cs="Arial"/>
          <w:color w:val="000000"/>
          <w:sz w:val="20"/>
          <w:szCs w:val="20"/>
        </w:rPr>
        <w:t> XI - realizar regularmente exercícios simulados, conforme Plano de Contingência de Proteção e Defesa Civil;</w:t>
      </w:r>
    </w:p>
    <w:p w:rsidR="00EF75D2" w:rsidRPr="00800459" w:rsidRDefault="00EF75D2" w:rsidP="00EF75D2">
      <w:pPr>
        <w:pStyle w:val="texto10"/>
        <w:spacing w:before="0" w:beforeAutospacing="0" w:after="0" w:afterAutospacing="0"/>
        <w:ind w:left="1418" w:firstLine="570"/>
        <w:jc w:val="both"/>
        <w:rPr>
          <w:rFonts w:ascii="Arial" w:hAnsi="Arial" w:cs="Arial"/>
          <w:color w:val="000000"/>
          <w:sz w:val="20"/>
          <w:szCs w:val="20"/>
        </w:rPr>
      </w:pPr>
      <w:r w:rsidRPr="00800459">
        <w:rPr>
          <w:rFonts w:ascii="Arial" w:hAnsi="Arial" w:cs="Arial"/>
          <w:color w:val="000000"/>
          <w:sz w:val="20"/>
          <w:szCs w:val="20"/>
        </w:rPr>
        <w:t> XII - promover a coleta, a distribuição e o controle de suprimentos em situações de desastre;</w:t>
      </w:r>
    </w:p>
    <w:p w:rsidR="00EF75D2" w:rsidRPr="00800459" w:rsidRDefault="00EF75D2" w:rsidP="00EF75D2">
      <w:pPr>
        <w:pStyle w:val="texto10"/>
        <w:spacing w:before="0" w:beforeAutospacing="0" w:after="0" w:afterAutospacing="0"/>
        <w:ind w:left="1418" w:firstLine="570"/>
        <w:jc w:val="both"/>
        <w:rPr>
          <w:rFonts w:ascii="Arial" w:hAnsi="Arial" w:cs="Arial"/>
          <w:color w:val="000000"/>
          <w:sz w:val="20"/>
          <w:szCs w:val="20"/>
        </w:rPr>
      </w:pPr>
      <w:r w:rsidRPr="00800459">
        <w:rPr>
          <w:rFonts w:ascii="Arial" w:hAnsi="Arial" w:cs="Arial"/>
          <w:color w:val="000000"/>
          <w:sz w:val="20"/>
          <w:szCs w:val="20"/>
        </w:rPr>
        <w:t> XIII - proceder à avaliação de danos e prejuízos das áreas atingidas por desastres;</w:t>
      </w:r>
    </w:p>
    <w:p w:rsidR="00EF75D2" w:rsidRPr="00800459" w:rsidRDefault="00EF75D2" w:rsidP="00EF75D2">
      <w:pPr>
        <w:pStyle w:val="texto10"/>
        <w:spacing w:before="0" w:beforeAutospacing="0" w:after="0" w:afterAutospacing="0"/>
        <w:ind w:left="1418" w:firstLine="570"/>
        <w:jc w:val="both"/>
        <w:rPr>
          <w:rFonts w:ascii="Arial" w:hAnsi="Arial" w:cs="Arial"/>
          <w:color w:val="000000"/>
          <w:sz w:val="20"/>
          <w:szCs w:val="20"/>
        </w:rPr>
      </w:pPr>
      <w:r w:rsidRPr="00800459">
        <w:rPr>
          <w:rFonts w:ascii="Arial" w:hAnsi="Arial" w:cs="Arial"/>
          <w:color w:val="000000"/>
          <w:sz w:val="20"/>
          <w:szCs w:val="20"/>
        </w:rPr>
        <w:t> XIV - manter a União e o Estado informados sobre a ocorrência de desastres e as atividades de proteção civil no Município;</w:t>
      </w:r>
    </w:p>
    <w:p w:rsidR="00EF75D2" w:rsidRPr="00800459" w:rsidRDefault="00EF75D2" w:rsidP="00EF75D2">
      <w:pPr>
        <w:pStyle w:val="texto10"/>
        <w:spacing w:before="0" w:beforeAutospacing="0" w:after="0" w:afterAutospacing="0"/>
        <w:ind w:left="1418" w:firstLine="570"/>
        <w:jc w:val="both"/>
        <w:rPr>
          <w:rFonts w:ascii="Arial" w:hAnsi="Arial" w:cs="Arial"/>
          <w:color w:val="000000"/>
          <w:sz w:val="20"/>
          <w:szCs w:val="20"/>
        </w:rPr>
      </w:pPr>
      <w:r w:rsidRPr="00800459">
        <w:rPr>
          <w:rFonts w:ascii="Arial" w:hAnsi="Arial" w:cs="Arial"/>
          <w:color w:val="000000"/>
          <w:sz w:val="20"/>
          <w:szCs w:val="20"/>
        </w:rPr>
        <w:lastRenderedPageBreak/>
        <w:t> XV - estimular a participação de entidades privadas, associações de voluntários, clubes de serviços, organizações não governamentais e associações de classe e comunitárias nas ações do SINPDEC e promover o treinamento de associações de voluntários para atuação conjunta com as comunidades apoiadas; e</w:t>
      </w:r>
    </w:p>
    <w:p w:rsidR="00EF75D2" w:rsidRPr="00800459" w:rsidRDefault="00EF75D2" w:rsidP="00EF75D2">
      <w:pPr>
        <w:pStyle w:val="texto10"/>
        <w:spacing w:before="0" w:beforeAutospacing="0" w:after="0" w:afterAutospacing="0"/>
        <w:ind w:left="1418" w:firstLine="570"/>
        <w:jc w:val="both"/>
        <w:rPr>
          <w:rFonts w:ascii="Arial" w:hAnsi="Arial" w:cs="Arial"/>
          <w:color w:val="000000"/>
          <w:sz w:val="20"/>
          <w:szCs w:val="20"/>
        </w:rPr>
      </w:pPr>
      <w:r w:rsidRPr="00800459">
        <w:rPr>
          <w:rFonts w:ascii="Arial" w:hAnsi="Arial" w:cs="Arial"/>
          <w:color w:val="000000"/>
          <w:sz w:val="20"/>
          <w:szCs w:val="20"/>
        </w:rPr>
        <w:t> XVI - prover solução de moradia temporária às famílias atingidas por desastres.</w:t>
      </w:r>
    </w:p>
    <w:p w:rsidR="00EF75D2" w:rsidRPr="00800459" w:rsidRDefault="00EF75D2" w:rsidP="00EF75D2">
      <w:pPr>
        <w:pStyle w:val="texto10"/>
        <w:spacing w:before="0" w:beforeAutospacing="0" w:after="0" w:afterAutospacing="0"/>
        <w:ind w:left="709"/>
        <w:jc w:val="both"/>
        <w:rPr>
          <w:rFonts w:ascii="Arial" w:hAnsi="Arial" w:cs="Arial"/>
          <w:color w:val="000000"/>
          <w:sz w:val="20"/>
          <w:szCs w:val="20"/>
        </w:rPr>
      </w:pPr>
    </w:p>
    <w:p w:rsidR="00EF75D2" w:rsidRDefault="00EF75D2" w:rsidP="00EF75D2">
      <w:pPr>
        <w:ind w:firstLine="708"/>
        <w:jc w:val="both"/>
        <w:rPr>
          <w:rFonts w:cs="Arial"/>
          <w:color w:val="000000"/>
          <w:szCs w:val="20"/>
        </w:rPr>
      </w:pPr>
    </w:p>
    <w:p w:rsidR="00EF75D2" w:rsidRDefault="00EF75D2" w:rsidP="00EF75D2">
      <w:pPr>
        <w:ind w:firstLine="708"/>
        <w:jc w:val="both"/>
        <w:rPr>
          <w:rFonts w:cs="Arial"/>
          <w:color w:val="000000"/>
          <w:szCs w:val="20"/>
        </w:rPr>
      </w:pPr>
      <w:r w:rsidRPr="00BC0B35">
        <w:rPr>
          <w:rFonts w:cs="Arial"/>
          <w:color w:val="000000"/>
          <w:szCs w:val="20"/>
        </w:rPr>
        <w:t xml:space="preserve">A </w:t>
      </w:r>
      <w:r>
        <w:rPr>
          <w:rFonts w:cs="Arial"/>
          <w:color w:val="000000"/>
          <w:szCs w:val="20"/>
        </w:rPr>
        <w:t xml:space="preserve">política de proteção e defesa civil </w:t>
      </w:r>
      <w:r w:rsidRPr="00BC0B35">
        <w:rPr>
          <w:rFonts w:cs="Arial"/>
          <w:color w:val="000000"/>
          <w:szCs w:val="20"/>
        </w:rPr>
        <w:t xml:space="preserve">deve </w:t>
      </w:r>
      <w:r w:rsidRPr="00944D00">
        <w:rPr>
          <w:rFonts w:cs="Arial"/>
          <w:color w:val="000000"/>
          <w:szCs w:val="20"/>
        </w:rPr>
        <w:t>integrar-se</w:t>
      </w:r>
      <w:r w:rsidRPr="00BC0B35">
        <w:rPr>
          <w:rFonts w:cs="Arial"/>
          <w:color w:val="000000"/>
          <w:szCs w:val="20"/>
        </w:rPr>
        <w:t xml:space="preserve"> às políticas de </w:t>
      </w:r>
      <w:r w:rsidRPr="00944D00">
        <w:rPr>
          <w:rFonts w:cs="Arial"/>
          <w:color w:val="000000"/>
          <w:szCs w:val="20"/>
        </w:rPr>
        <w:t>ordenamento territorial,</w:t>
      </w:r>
      <w:r w:rsidRPr="00BC0B35">
        <w:rPr>
          <w:rFonts w:cs="Arial"/>
          <w:color w:val="000000"/>
          <w:szCs w:val="20"/>
        </w:rPr>
        <w:t xml:space="preserve"> desenvolvimento urbano, saúde, meio ambiente, mudanças climáticas, gestão de recursos hídricos, geologia, infraestrutura, educação, ciência e tecnologia e às demais políticas setoriais, tendo em vista a promoção</w:t>
      </w:r>
      <w:r>
        <w:rPr>
          <w:rFonts w:cs="Arial"/>
          <w:color w:val="000000"/>
          <w:szCs w:val="20"/>
        </w:rPr>
        <w:t xml:space="preserve"> do desenvolvimento sustentável</w:t>
      </w:r>
      <w:r w:rsidRPr="00BC0B35">
        <w:rPr>
          <w:rFonts w:cs="Arial"/>
          <w:color w:val="000000"/>
          <w:szCs w:val="20"/>
        </w:rPr>
        <w:t>.</w:t>
      </w:r>
      <w:r>
        <w:rPr>
          <w:rFonts w:cs="Arial"/>
          <w:color w:val="000000"/>
          <w:szCs w:val="20"/>
        </w:rPr>
        <w:t xml:space="preserve"> A política local, à semelhança da PNPDEC, deve estabelecer </w:t>
      </w:r>
      <w:r w:rsidRPr="00BC0B35">
        <w:rPr>
          <w:rFonts w:cs="Arial"/>
          <w:color w:val="000000"/>
          <w:szCs w:val="20"/>
        </w:rPr>
        <w:t>uma abor</w:t>
      </w:r>
      <w:r>
        <w:rPr>
          <w:rFonts w:cs="Arial"/>
          <w:color w:val="000000"/>
          <w:szCs w:val="20"/>
        </w:rPr>
        <w:t>dagem sistêmica para a gestão dos</w:t>
      </w:r>
      <w:r w:rsidRPr="00BC0B35">
        <w:rPr>
          <w:rFonts w:cs="Arial"/>
          <w:color w:val="000000"/>
          <w:szCs w:val="20"/>
        </w:rPr>
        <w:t xml:space="preserve"> risco</w:t>
      </w:r>
      <w:r>
        <w:rPr>
          <w:rFonts w:cs="Arial"/>
          <w:color w:val="000000"/>
          <w:szCs w:val="20"/>
        </w:rPr>
        <w:t>s locais</w:t>
      </w:r>
      <w:r w:rsidRPr="00BC0B35">
        <w:rPr>
          <w:rFonts w:cs="Arial"/>
          <w:color w:val="000000"/>
          <w:szCs w:val="20"/>
        </w:rPr>
        <w:t xml:space="preserve">, </w:t>
      </w:r>
      <w:r>
        <w:rPr>
          <w:rFonts w:cs="Arial"/>
          <w:color w:val="000000"/>
          <w:szCs w:val="20"/>
        </w:rPr>
        <w:t xml:space="preserve">com </w:t>
      </w:r>
      <w:r w:rsidRPr="00BC0B35">
        <w:rPr>
          <w:rFonts w:cs="Arial"/>
          <w:color w:val="000000"/>
          <w:szCs w:val="20"/>
        </w:rPr>
        <w:t xml:space="preserve">ações de prevenção, mitigação, preparação, resposta e recuperação. </w:t>
      </w:r>
      <w:r>
        <w:rPr>
          <w:rFonts w:cs="Arial"/>
          <w:color w:val="000000"/>
          <w:szCs w:val="20"/>
        </w:rPr>
        <w:t>Por “a</w:t>
      </w:r>
      <w:r w:rsidRPr="00944D00">
        <w:rPr>
          <w:rFonts w:cs="Arial"/>
          <w:bCs/>
          <w:color w:val="000000"/>
          <w:szCs w:val="20"/>
        </w:rPr>
        <w:t>bordagem sistêmica</w:t>
      </w:r>
      <w:r>
        <w:rPr>
          <w:rFonts w:cs="Arial"/>
          <w:bCs/>
          <w:color w:val="000000"/>
          <w:szCs w:val="20"/>
        </w:rPr>
        <w:t>” entende-se q</w:t>
      </w:r>
      <w:r w:rsidRPr="00BC0B35">
        <w:rPr>
          <w:rFonts w:cs="Arial"/>
          <w:color w:val="000000"/>
          <w:szCs w:val="20"/>
        </w:rPr>
        <w:t>ue as</w:t>
      </w:r>
      <w:r>
        <w:rPr>
          <w:rFonts w:cs="Arial"/>
          <w:color w:val="000000"/>
          <w:szCs w:val="20"/>
        </w:rPr>
        <w:t xml:space="preserve"> ações dessas diversas fases e também entre aquelas dos vários planos setoriais configurados para o município, devem possuir relação entre si</w:t>
      </w:r>
      <w:r w:rsidRPr="00BC0B35">
        <w:rPr>
          <w:rFonts w:cs="Arial"/>
          <w:color w:val="000000"/>
          <w:szCs w:val="20"/>
        </w:rPr>
        <w:t xml:space="preserve"> </w:t>
      </w:r>
      <w:r>
        <w:rPr>
          <w:rFonts w:cs="Arial"/>
          <w:color w:val="000000"/>
          <w:szCs w:val="20"/>
        </w:rPr>
        <w:t>e não</w:t>
      </w:r>
      <w:r w:rsidRPr="00BC0B35">
        <w:rPr>
          <w:rFonts w:cs="Arial"/>
          <w:color w:val="000000"/>
          <w:szCs w:val="20"/>
        </w:rPr>
        <w:t xml:space="preserve"> </w:t>
      </w:r>
      <w:r>
        <w:rPr>
          <w:rFonts w:cs="Arial"/>
          <w:color w:val="000000"/>
          <w:szCs w:val="20"/>
        </w:rPr>
        <w:t xml:space="preserve">serem planejadas e implementadas </w:t>
      </w:r>
      <w:r w:rsidRPr="00BC0B35">
        <w:rPr>
          <w:rFonts w:cs="Arial"/>
          <w:color w:val="000000"/>
          <w:szCs w:val="20"/>
        </w:rPr>
        <w:t>de maneira isolada.</w:t>
      </w:r>
      <w:r>
        <w:rPr>
          <w:rFonts w:cs="Arial"/>
          <w:color w:val="000000"/>
          <w:szCs w:val="20"/>
        </w:rPr>
        <w:t xml:space="preserve"> </w:t>
      </w:r>
    </w:p>
    <w:p w:rsidR="00EF75D2" w:rsidRPr="00EB0EBC" w:rsidRDefault="00EF75D2" w:rsidP="00EF75D2">
      <w:pPr>
        <w:ind w:firstLine="708"/>
        <w:jc w:val="both"/>
        <w:rPr>
          <w:rFonts w:cs="Arial"/>
          <w:b/>
          <w:bCs/>
          <w:szCs w:val="24"/>
        </w:rPr>
      </w:pPr>
      <w:r>
        <w:rPr>
          <w:rFonts w:cs="Arial"/>
          <w:color w:val="000000"/>
          <w:szCs w:val="20"/>
        </w:rPr>
        <w:t xml:space="preserve">Um dos instrumentos legais capazes de orientar os gestores é o </w:t>
      </w:r>
      <w:r>
        <w:rPr>
          <w:rStyle w:val="Forte"/>
          <w:rFonts w:cs="Arial"/>
          <w:b w:val="0"/>
          <w:szCs w:val="24"/>
        </w:rPr>
        <w:t>Decreto nº 7.257 de 4 de agosto de 2010, que r</w:t>
      </w:r>
      <w:r w:rsidRPr="00EB0EBC">
        <w:rPr>
          <w:rStyle w:val="Forte"/>
          <w:rFonts w:cs="Arial"/>
          <w:b w:val="0"/>
          <w:szCs w:val="24"/>
        </w:rPr>
        <w:t xml:space="preserve">egulamenta a Medida Provisória </w:t>
      </w:r>
      <w:r>
        <w:rPr>
          <w:rStyle w:val="Forte"/>
          <w:rFonts w:cs="Arial"/>
          <w:b w:val="0"/>
          <w:szCs w:val="24"/>
        </w:rPr>
        <w:t>nº</w:t>
      </w:r>
      <w:r w:rsidRPr="00EB0EBC">
        <w:rPr>
          <w:rStyle w:val="Forte"/>
          <w:rFonts w:cs="Arial"/>
          <w:b w:val="0"/>
          <w:szCs w:val="24"/>
        </w:rPr>
        <w:t xml:space="preserve"> 494 de 2 de julho de 2010, </w:t>
      </w:r>
      <w:r>
        <w:rPr>
          <w:rStyle w:val="Forte"/>
          <w:rFonts w:cs="Arial"/>
          <w:b w:val="0"/>
          <w:szCs w:val="24"/>
        </w:rPr>
        <w:t>a qual dispõe</w:t>
      </w:r>
      <w:r w:rsidRPr="00EB0EBC">
        <w:rPr>
          <w:rStyle w:val="Forte"/>
          <w:rFonts w:cs="Arial"/>
          <w:b w:val="0"/>
          <w:szCs w:val="24"/>
        </w:rPr>
        <w:t xml:space="preserve"> sobre o reconhecimento de situação de emergência e estado de calamidade pública</w:t>
      </w:r>
      <w:r>
        <w:rPr>
          <w:rStyle w:val="Forte"/>
          <w:rFonts w:cs="Arial"/>
          <w:b w:val="0"/>
          <w:szCs w:val="24"/>
        </w:rPr>
        <w:t xml:space="preserve">; </w:t>
      </w:r>
      <w:r w:rsidRPr="00EB0EBC">
        <w:rPr>
          <w:rStyle w:val="Forte"/>
          <w:rFonts w:cs="Arial"/>
          <w:b w:val="0"/>
          <w:szCs w:val="24"/>
        </w:rPr>
        <w:t>sobre as transferências de recursos para ações de socorro, assistência às vítimas, restabelecimento de serviços essenciais e reconstrução nas áreas atingidas por desastre, e dá outras providências.</w:t>
      </w:r>
    </w:p>
    <w:p w:rsidR="00EF75D2" w:rsidRDefault="00EF75D2" w:rsidP="00EF75D2">
      <w:pPr>
        <w:jc w:val="both"/>
        <w:rPr>
          <w:rStyle w:val="Forte"/>
          <w:rFonts w:cs="Arial"/>
          <w:b w:val="0"/>
          <w:szCs w:val="24"/>
        </w:rPr>
      </w:pPr>
      <w:r w:rsidRPr="00EB0EBC">
        <w:rPr>
          <w:rFonts w:cs="Arial"/>
          <w:b/>
          <w:color w:val="000000"/>
          <w:sz w:val="20"/>
          <w:szCs w:val="20"/>
        </w:rPr>
        <w:tab/>
      </w:r>
      <w:r w:rsidRPr="00EB0EBC">
        <w:rPr>
          <w:rStyle w:val="Forte"/>
          <w:rFonts w:cs="Arial"/>
          <w:b w:val="0"/>
          <w:szCs w:val="24"/>
        </w:rPr>
        <w:t xml:space="preserve">No </w:t>
      </w:r>
      <w:r w:rsidR="00171D9D">
        <w:rPr>
          <w:rStyle w:val="Forte"/>
          <w:rFonts w:cs="Arial"/>
          <w:b w:val="0"/>
          <w:szCs w:val="24"/>
        </w:rPr>
        <w:fldChar w:fldCharType="begin"/>
      </w:r>
      <w:r w:rsidR="00171D9D">
        <w:rPr>
          <w:rStyle w:val="Forte"/>
          <w:rFonts w:cs="Arial"/>
          <w:b w:val="0"/>
          <w:szCs w:val="24"/>
        </w:rPr>
        <w:instrText xml:space="preserve"> REF _Ref495046124 \h </w:instrText>
      </w:r>
      <w:r w:rsidR="00171D9D">
        <w:rPr>
          <w:rStyle w:val="Forte"/>
          <w:rFonts w:cs="Arial"/>
          <w:b w:val="0"/>
          <w:szCs w:val="24"/>
        </w:rPr>
      </w:r>
      <w:r w:rsidR="00171D9D">
        <w:rPr>
          <w:rStyle w:val="Forte"/>
          <w:rFonts w:cs="Arial"/>
          <w:b w:val="0"/>
          <w:szCs w:val="24"/>
        </w:rPr>
        <w:fldChar w:fldCharType="separate"/>
      </w:r>
      <w:r w:rsidR="001B481B" w:rsidRPr="00C47F38">
        <w:t xml:space="preserve">Quadro </w:t>
      </w:r>
      <w:r w:rsidR="001B481B">
        <w:rPr>
          <w:noProof/>
        </w:rPr>
        <w:t>91</w:t>
      </w:r>
      <w:r w:rsidR="00171D9D">
        <w:rPr>
          <w:rStyle w:val="Forte"/>
          <w:rFonts w:cs="Arial"/>
          <w:b w:val="0"/>
          <w:szCs w:val="24"/>
        </w:rPr>
        <w:fldChar w:fldCharType="end"/>
      </w:r>
      <w:r>
        <w:rPr>
          <w:rStyle w:val="Forte"/>
          <w:rFonts w:cs="Arial"/>
          <w:b w:val="0"/>
          <w:szCs w:val="24"/>
        </w:rPr>
        <w:t xml:space="preserve"> estão resumidas</w:t>
      </w:r>
      <w:r w:rsidRPr="00EB0EBC">
        <w:rPr>
          <w:rStyle w:val="Forte"/>
          <w:rFonts w:cs="Arial"/>
          <w:b w:val="0"/>
          <w:szCs w:val="24"/>
        </w:rPr>
        <w:t xml:space="preserve"> as competências dos entes federados nas ações de proteção e defesa civil.</w:t>
      </w:r>
    </w:p>
    <w:p w:rsidR="00EF75D2" w:rsidRPr="00C47F38" w:rsidRDefault="00EF75D2" w:rsidP="00E95583">
      <w:pPr>
        <w:pStyle w:val="Legenda"/>
      </w:pPr>
      <w:bookmarkStart w:id="1106" w:name="_Ref495046124"/>
      <w:bookmarkStart w:id="1107" w:name="_Toc498594150"/>
      <w:bookmarkStart w:id="1108" w:name="_Toc509935868"/>
      <w:r w:rsidRPr="00C47F38">
        <w:t xml:space="preserve">Quadro </w:t>
      </w:r>
      <w:r w:rsidR="000A1C78">
        <w:fldChar w:fldCharType="begin"/>
      </w:r>
      <w:r w:rsidR="000A1C78">
        <w:instrText xml:space="preserve"> SEQ Quadro \* ARABIC </w:instrText>
      </w:r>
      <w:r w:rsidR="000A1C78">
        <w:fldChar w:fldCharType="separate"/>
      </w:r>
      <w:r w:rsidR="001B481B">
        <w:rPr>
          <w:noProof/>
        </w:rPr>
        <w:t>91</w:t>
      </w:r>
      <w:r w:rsidR="000A1C78">
        <w:rPr>
          <w:noProof/>
        </w:rPr>
        <w:fldChar w:fldCharType="end"/>
      </w:r>
      <w:bookmarkEnd w:id="1106"/>
      <w:r w:rsidRPr="00C47F38">
        <w:t xml:space="preserve"> - Competências dos entes federados nas ações de proteção e defesa civil</w:t>
      </w:r>
      <w:bookmarkEnd w:id="1107"/>
      <w:bookmarkEnd w:id="11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67"/>
        <w:gridCol w:w="2287"/>
        <w:gridCol w:w="2276"/>
        <w:gridCol w:w="2364"/>
      </w:tblGrid>
      <w:tr w:rsidR="00EF75D2" w:rsidRPr="00810C89" w:rsidTr="008872C5">
        <w:trPr>
          <w:trHeight w:val="20"/>
          <w:tblHeader/>
          <w:jc w:val="center"/>
        </w:trPr>
        <w:tc>
          <w:tcPr>
            <w:tcW w:w="0" w:type="auto"/>
            <w:shd w:val="clear" w:color="auto" w:fill="auto"/>
            <w:vAlign w:val="center"/>
            <w:hideMark/>
          </w:tcPr>
          <w:p w:rsidR="00EF75D2" w:rsidRPr="00810C89" w:rsidRDefault="00EF75D2" w:rsidP="00BE7A5C">
            <w:pPr>
              <w:spacing w:before="120" w:after="120" w:line="240" w:lineRule="auto"/>
              <w:jc w:val="center"/>
              <w:rPr>
                <w:rFonts w:eastAsia="Times New Roman" w:cs="Arial"/>
                <w:b/>
                <w:bCs/>
                <w:sz w:val="22"/>
                <w:lang w:eastAsia="pt-BR"/>
              </w:rPr>
            </w:pPr>
            <w:r w:rsidRPr="00810C89">
              <w:rPr>
                <w:rFonts w:eastAsia="Times New Roman" w:cs="Arial"/>
                <w:b/>
                <w:bCs/>
                <w:sz w:val="22"/>
                <w:lang w:eastAsia="pt-BR"/>
              </w:rPr>
              <w:t>Ações/competências</w:t>
            </w:r>
          </w:p>
        </w:tc>
        <w:tc>
          <w:tcPr>
            <w:tcW w:w="0" w:type="auto"/>
            <w:shd w:val="clear" w:color="auto" w:fill="auto"/>
            <w:vAlign w:val="center"/>
            <w:hideMark/>
          </w:tcPr>
          <w:p w:rsidR="00EF75D2" w:rsidRPr="00810C89" w:rsidRDefault="00EF75D2" w:rsidP="00BE7A5C">
            <w:pPr>
              <w:spacing w:before="120" w:after="120" w:line="240" w:lineRule="auto"/>
              <w:jc w:val="center"/>
              <w:rPr>
                <w:rFonts w:eastAsia="Times New Roman" w:cs="Arial"/>
                <w:b/>
                <w:bCs/>
                <w:sz w:val="22"/>
                <w:lang w:eastAsia="pt-BR"/>
              </w:rPr>
            </w:pPr>
            <w:r w:rsidRPr="00810C89">
              <w:rPr>
                <w:rFonts w:eastAsia="Times New Roman" w:cs="Arial"/>
                <w:b/>
                <w:bCs/>
                <w:sz w:val="22"/>
                <w:lang w:eastAsia="pt-BR"/>
              </w:rPr>
              <w:t>União</w:t>
            </w:r>
          </w:p>
        </w:tc>
        <w:tc>
          <w:tcPr>
            <w:tcW w:w="0" w:type="auto"/>
            <w:shd w:val="clear" w:color="auto" w:fill="auto"/>
            <w:vAlign w:val="center"/>
            <w:hideMark/>
          </w:tcPr>
          <w:p w:rsidR="00EF75D2" w:rsidRPr="00810C89" w:rsidRDefault="00EF75D2" w:rsidP="00BE7A5C">
            <w:pPr>
              <w:spacing w:before="120" w:after="120" w:line="240" w:lineRule="auto"/>
              <w:jc w:val="center"/>
              <w:rPr>
                <w:rFonts w:eastAsia="Times New Roman" w:cs="Arial"/>
                <w:b/>
                <w:bCs/>
                <w:sz w:val="22"/>
                <w:lang w:eastAsia="pt-BR"/>
              </w:rPr>
            </w:pPr>
            <w:r w:rsidRPr="00810C89">
              <w:rPr>
                <w:rFonts w:eastAsia="Times New Roman" w:cs="Arial"/>
                <w:b/>
                <w:bCs/>
                <w:sz w:val="22"/>
                <w:lang w:eastAsia="pt-BR"/>
              </w:rPr>
              <w:t>Estado</w:t>
            </w:r>
          </w:p>
        </w:tc>
        <w:tc>
          <w:tcPr>
            <w:tcW w:w="0" w:type="auto"/>
            <w:shd w:val="clear" w:color="auto" w:fill="auto"/>
            <w:vAlign w:val="center"/>
            <w:hideMark/>
          </w:tcPr>
          <w:p w:rsidR="00EF75D2" w:rsidRPr="00810C89" w:rsidRDefault="00EF75D2" w:rsidP="00BE7A5C">
            <w:pPr>
              <w:spacing w:before="120" w:after="120" w:line="240" w:lineRule="auto"/>
              <w:jc w:val="center"/>
              <w:rPr>
                <w:rFonts w:eastAsia="Times New Roman" w:cs="Arial"/>
                <w:b/>
                <w:bCs/>
                <w:sz w:val="22"/>
                <w:lang w:eastAsia="pt-BR"/>
              </w:rPr>
            </w:pPr>
            <w:r w:rsidRPr="00810C89">
              <w:rPr>
                <w:rFonts w:eastAsia="Times New Roman" w:cs="Arial"/>
                <w:b/>
                <w:bCs/>
                <w:sz w:val="22"/>
                <w:lang w:eastAsia="pt-BR"/>
              </w:rPr>
              <w:t>Município</w:t>
            </w:r>
          </w:p>
        </w:tc>
      </w:tr>
      <w:tr w:rsidR="00EF75D2" w:rsidRPr="00810C89" w:rsidTr="008872C5">
        <w:trPr>
          <w:trHeight w:val="20"/>
          <w:jc w:val="center"/>
        </w:trPr>
        <w:tc>
          <w:tcPr>
            <w:tcW w:w="0" w:type="auto"/>
            <w:shd w:val="clear" w:color="auto" w:fill="auto"/>
            <w:vAlign w:val="center"/>
            <w:hideMark/>
          </w:tcPr>
          <w:p w:rsidR="00EF75D2" w:rsidRPr="00810C89" w:rsidRDefault="00EF75D2" w:rsidP="00BE7A5C">
            <w:pPr>
              <w:spacing w:before="120" w:after="120" w:line="240" w:lineRule="auto"/>
              <w:ind w:left="87"/>
              <w:rPr>
                <w:rFonts w:eastAsia="Times New Roman" w:cs="Arial"/>
                <w:sz w:val="22"/>
                <w:lang w:eastAsia="pt-BR"/>
              </w:rPr>
            </w:pPr>
            <w:r w:rsidRPr="00810C89">
              <w:rPr>
                <w:rFonts w:eastAsia="Times New Roman" w:cs="Arial"/>
                <w:sz w:val="22"/>
                <w:lang w:eastAsia="pt-BR"/>
              </w:rPr>
              <w:t>Sobre a Política Nacional de Proteção e Defesa Civil</w:t>
            </w:r>
          </w:p>
        </w:tc>
        <w:tc>
          <w:tcPr>
            <w:tcW w:w="0" w:type="auto"/>
            <w:shd w:val="clear" w:color="auto" w:fill="auto"/>
            <w:vAlign w:val="center"/>
            <w:hideMark/>
          </w:tcPr>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Expedir normas para implementação e execução</w:t>
            </w:r>
          </w:p>
        </w:tc>
        <w:tc>
          <w:tcPr>
            <w:tcW w:w="0" w:type="auto"/>
            <w:shd w:val="clear" w:color="auto" w:fill="auto"/>
            <w:vAlign w:val="center"/>
            <w:hideMark/>
          </w:tcPr>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Executar em âmbito territorial</w:t>
            </w:r>
          </w:p>
        </w:tc>
        <w:tc>
          <w:tcPr>
            <w:tcW w:w="0" w:type="auto"/>
            <w:shd w:val="clear" w:color="auto" w:fill="auto"/>
            <w:vAlign w:val="center"/>
            <w:hideMark/>
          </w:tcPr>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 Executar em âmbito local</w:t>
            </w:r>
          </w:p>
        </w:tc>
      </w:tr>
      <w:tr w:rsidR="00EF75D2" w:rsidRPr="00810C89" w:rsidTr="008872C5">
        <w:trPr>
          <w:trHeight w:val="20"/>
          <w:jc w:val="center"/>
        </w:trPr>
        <w:tc>
          <w:tcPr>
            <w:tcW w:w="0" w:type="auto"/>
            <w:shd w:val="clear" w:color="auto" w:fill="auto"/>
            <w:vAlign w:val="center"/>
            <w:hideMark/>
          </w:tcPr>
          <w:p w:rsidR="00EF75D2" w:rsidRPr="00810C89" w:rsidRDefault="00EF75D2" w:rsidP="00BE7A5C">
            <w:pPr>
              <w:spacing w:before="120" w:after="120" w:line="240" w:lineRule="auto"/>
              <w:ind w:left="87"/>
              <w:rPr>
                <w:rFonts w:eastAsia="Times New Roman" w:cs="Arial"/>
                <w:sz w:val="22"/>
                <w:lang w:eastAsia="pt-BR"/>
              </w:rPr>
            </w:pPr>
            <w:r w:rsidRPr="00810C89">
              <w:rPr>
                <w:rFonts w:eastAsia="Times New Roman" w:cs="Arial"/>
                <w:sz w:val="22"/>
                <w:lang w:eastAsia="pt-BR"/>
              </w:rPr>
              <w:t>Sobre o Sistema Nacional de Proteção e Defesa Civil</w:t>
            </w:r>
          </w:p>
        </w:tc>
        <w:tc>
          <w:tcPr>
            <w:tcW w:w="0" w:type="auto"/>
            <w:shd w:val="clear" w:color="auto" w:fill="auto"/>
            <w:vAlign w:val="center"/>
            <w:hideMark/>
          </w:tcPr>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Coordenar em articulação com os Estados, o Distrito Federal e os Municípios;</w:t>
            </w:r>
          </w:p>
        </w:tc>
        <w:tc>
          <w:tcPr>
            <w:tcW w:w="0" w:type="auto"/>
            <w:shd w:val="clear" w:color="auto" w:fill="auto"/>
            <w:vAlign w:val="center"/>
            <w:hideMark/>
          </w:tcPr>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Coordenar em articulação com a União e os Municípios;</w:t>
            </w:r>
          </w:p>
        </w:tc>
        <w:tc>
          <w:tcPr>
            <w:tcW w:w="0" w:type="auto"/>
            <w:shd w:val="clear" w:color="auto" w:fill="auto"/>
            <w:vAlign w:val="center"/>
            <w:hideMark/>
          </w:tcPr>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 Coordenar no âmbito local, em articulação com a União e os Estados;</w:t>
            </w:r>
          </w:p>
        </w:tc>
      </w:tr>
      <w:tr w:rsidR="00EF75D2" w:rsidRPr="00810C89" w:rsidTr="00810C89">
        <w:trPr>
          <w:trHeight w:val="510"/>
          <w:jc w:val="center"/>
        </w:trPr>
        <w:tc>
          <w:tcPr>
            <w:tcW w:w="0" w:type="auto"/>
            <w:shd w:val="clear" w:color="auto" w:fill="auto"/>
            <w:vAlign w:val="center"/>
            <w:hideMark/>
          </w:tcPr>
          <w:p w:rsidR="00EF75D2" w:rsidRPr="00810C89" w:rsidRDefault="00EF75D2" w:rsidP="00BE7A5C">
            <w:pPr>
              <w:spacing w:before="120" w:after="120" w:line="240" w:lineRule="auto"/>
              <w:ind w:left="87"/>
              <w:rPr>
                <w:rFonts w:eastAsia="Times New Roman" w:cs="Arial"/>
                <w:sz w:val="22"/>
                <w:lang w:eastAsia="pt-BR"/>
              </w:rPr>
            </w:pPr>
            <w:r w:rsidRPr="00810C89">
              <w:rPr>
                <w:rFonts w:eastAsia="Times New Roman" w:cs="Arial"/>
                <w:sz w:val="22"/>
                <w:lang w:eastAsia="pt-BR"/>
              </w:rPr>
              <w:lastRenderedPageBreak/>
              <w:t>Sobre o Plano de Proteção e Defesa Civil</w:t>
            </w:r>
          </w:p>
        </w:tc>
        <w:tc>
          <w:tcPr>
            <w:tcW w:w="0" w:type="auto"/>
            <w:shd w:val="clear" w:color="auto" w:fill="auto"/>
            <w:vAlign w:val="center"/>
            <w:hideMark/>
          </w:tcPr>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Instituir em seu âmbito</w:t>
            </w:r>
          </w:p>
        </w:tc>
        <w:tc>
          <w:tcPr>
            <w:tcW w:w="0" w:type="auto"/>
            <w:shd w:val="clear" w:color="auto" w:fill="auto"/>
            <w:vAlign w:val="center"/>
            <w:hideMark/>
          </w:tcPr>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Instituir em seu âmbito</w:t>
            </w:r>
          </w:p>
        </w:tc>
        <w:tc>
          <w:tcPr>
            <w:tcW w:w="0" w:type="auto"/>
            <w:shd w:val="clear" w:color="auto" w:fill="auto"/>
            <w:vAlign w:val="center"/>
            <w:hideMark/>
          </w:tcPr>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 Incorporar as ações de proteção e defesa civil no planejamento municipal</w:t>
            </w:r>
          </w:p>
        </w:tc>
      </w:tr>
      <w:tr w:rsidR="00EF75D2" w:rsidRPr="00810C89" w:rsidTr="008872C5">
        <w:trPr>
          <w:trHeight w:val="20"/>
          <w:jc w:val="center"/>
        </w:trPr>
        <w:tc>
          <w:tcPr>
            <w:tcW w:w="0" w:type="auto"/>
            <w:shd w:val="clear" w:color="auto" w:fill="auto"/>
            <w:vAlign w:val="center"/>
            <w:hideMark/>
          </w:tcPr>
          <w:p w:rsidR="00EF75D2" w:rsidRPr="00810C89" w:rsidRDefault="00EF75D2" w:rsidP="00BE7A5C">
            <w:pPr>
              <w:spacing w:before="120" w:after="120" w:line="240" w:lineRule="auto"/>
              <w:ind w:left="87"/>
              <w:rPr>
                <w:rFonts w:eastAsia="Times New Roman" w:cs="Arial"/>
                <w:sz w:val="22"/>
                <w:lang w:eastAsia="pt-BR"/>
              </w:rPr>
            </w:pPr>
            <w:r w:rsidRPr="00810C89">
              <w:rPr>
                <w:rFonts w:eastAsia="Times New Roman" w:cs="Arial"/>
                <w:sz w:val="22"/>
                <w:lang w:eastAsia="pt-BR"/>
              </w:rPr>
              <w:t>Sobre o Sistema de Informações de desastres</w:t>
            </w:r>
          </w:p>
        </w:tc>
        <w:tc>
          <w:tcPr>
            <w:tcW w:w="0" w:type="auto"/>
            <w:shd w:val="clear" w:color="auto" w:fill="auto"/>
            <w:vAlign w:val="center"/>
            <w:hideMark/>
          </w:tcPr>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Instituir e manter</w:t>
            </w:r>
          </w:p>
          <w:p w:rsidR="00EF75D2" w:rsidRPr="00810C89" w:rsidRDefault="00EF75D2" w:rsidP="00BE7A5C">
            <w:pPr>
              <w:spacing w:before="120" w:after="120" w:line="240" w:lineRule="auto"/>
              <w:rPr>
                <w:rFonts w:eastAsia="Times New Roman" w:cs="Arial"/>
                <w:sz w:val="22"/>
                <w:lang w:eastAsia="pt-BR"/>
              </w:rPr>
            </w:pPr>
          </w:p>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Fornecer dados e</w:t>
            </w:r>
            <w:r w:rsidRPr="00810C89">
              <w:rPr>
                <w:rFonts w:eastAsia="Times New Roman" w:cs="Arial"/>
                <w:sz w:val="22"/>
                <w:lang w:eastAsia="pt-BR"/>
              </w:rPr>
              <w:br/>
              <w:t>informações</w:t>
            </w:r>
          </w:p>
        </w:tc>
        <w:tc>
          <w:tcPr>
            <w:tcW w:w="0" w:type="auto"/>
            <w:shd w:val="clear" w:color="auto" w:fill="auto"/>
            <w:vAlign w:val="center"/>
            <w:hideMark/>
          </w:tcPr>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Fornecer dados e informações</w:t>
            </w:r>
          </w:p>
        </w:tc>
        <w:tc>
          <w:tcPr>
            <w:tcW w:w="0" w:type="auto"/>
            <w:shd w:val="clear" w:color="auto" w:fill="auto"/>
            <w:vAlign w:val="center"/>
            <w:hideMark/>
          </w:tcPr>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 xml:space="preserve">• Informar ocorrências </w:t>
            </w:r>
          </w:p>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 Fornecer dados e informações</w:t>
            </w:r>
          </w:p>
        </w:tc>
      </w:tr>
      <w:tr w:rsidR="00EF75D2" w:rsidRPr="00810C89" w:rsidTr="008872C5">
        <w:trPr>
          <w:trHeight w:val="20"/>
          <w:jc w:val="center"/>
        </w:trPr>
        <w:tc>
          <w:tcPr>
            <w:tcW w:w="0" w:type="auto"/>
            <w:shd w:val="clear" w:color="auto" w:fill="auto"/>
            <w:vAlign w:val="center"/>
            <w:hideMark/>
          </w:tcPr>
          <w:p w:rsidR="00EF75D2" w:rsidRPr="00810C89" w:rsidRDefault="00EF75D2" w:rsidP="00BE7A5C">
            <w:pPr>
              <w:spacing w:before="120" w:after="120" w:line="240" w:lineRule="auto"/>
              <w:ind w:left="87"/>
              <w:rPr>
                <w:rFonts w:eastAsia="Times New Roman" w:cs="Arial"/>
                <w:sz w:val="22"/>
                <w:lang w:eastAsia="pt-BR"/>
              </w:rPr>
            </w:pPr>
            <w:r w:rsidRPr="00810C89">
              <w:rPr>
                <w:rFonts w:eastAsia="Times New Roman" w:cs="Arial"/>
                <w:sz w:val="22"/>
                <w:lang w:eastAsia="pt-BR"/>
              </w:rPr>
              <w:t>Sobre áreas de risco</w:t>
            </w:r>
          </w:p>
        </w:tc>
        <w:tc>
          <w:tcPr>
            <w:tcW w:w="0" w:type="auto"/>
            <w:shd w:val="clear" w:color="auto" w:fill="auto"/>
            <w:vAlign w:val="center"/>
            <w:hideMark/>
          </w:tcPr>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Apoiar mapeamento</w:t>
            </w:r>
          </w:p>
          <w:p w:rsidR="00EF75D2" w:rsidRPr="00810C89" w:rsidRDefault="00EF75D2" w:rsidP="00BE7A5C">
            <w:pPr>
              <w:spacing w:before="120" w:after="120" w:line="240" w:lineRule="auto"/>
              <w:rPr>
                <w:rFonts w:eastAsia="Times New Roman" w:cs="Arial"/>
                <w:sz w:val="22"/>
                <w:lang w:eastAsia="pt-BR"/>
              </w:rPr>
            </w:pPr>
          </w:p>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Estabelecer procedimentos de segurança contra desastres em escolas e hospitais situados em áreas de risco</w:t>
            </w:r>
          </w:p>
        </w:tc>
        <w:tc>
          <w:tcPr>
            <w:tcW w:w="0" w:type="auto"/>
            <w:shd w:val="clear" w:color="auto" w:fill="auto"/>
            <w:vAlign w:val="center"/>
            <w:hideMark/>
          </w:tcPr>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Identificar e mapear</w:t>
            </w:r>
            <w:r w:rsidRPr="00810C89">
              <w:rPr>
                <w:rFonts w:eastAsia="Times New Roman" w:cs="Arial"/>
                <w:sz w:val="22"/>
                <w:lang w:eastAsia="pt-BR"/>
              </w:rPr>
              <w:br/>
            </w:r>
          </w:p>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Estabelecer procedimentos de segurança contra desastres em escolas e hospitais situados em áreas de risco</w:t>
            </w:r>
          </w:p>
        </w:tc>
        <w:tc>
          <w:tcPr>
            <w:tcW w:w="0" w:type="auto"/>
            <w:shd w:val="clear" w:color="auto" w:fill="auto"/>
            <w:vAlign w:val="center"/>
            <w:hideMark/>
          </w:tcPr>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 Identificar e mapear</w:t>
            </w:r>
            <w:r w:rsidRPr="00810C89">
              <w:rPr>
                <w:rFonts w:eastAsia="Times New Roman" w:cs="Arial"/>
                <w:sz w:val="22"/>
                <w:lang w:eastAsia="pt-BR"/>
              </w:rPr>
              <w:br/>
              <w:t>• Manter a população informada sobre áreas de risco</w:t>
            </w:r>
            <w:r w:rsidRPr="00810C89">
              <w:rPr>
                <w:rFonts w:eastAsia="Times New Roman" w:cs="Arial"/>
                <w:sz w:val="22"/>
                <w:lang w:eastAsia="pt-BR"/>
              </w:rPr>
              <w:br/>
              <w:t>• Elaborar plano de contingência</w:t>
            </w:r>
            <w:r w:rsidRPr="00810C89">
              <w:rPr>
                <w:rFonts w:eastAsia="Times New Roman" w:cs="Arial"/>
                <w:sz w:val="22"/>
                <w:lang w:eastAsia="pt-BR"/>
              </w:rPr>
              <w:br/>
              <w:t>• Realizar simulados</w:t>
            </w:r>
            <w:r w:rsidRPr="00810C89">
              <w:rPr>
                <w:rFonts w:eastAsia="Times New Roman" w:cs="Arial"/>
                <w:sz w:val="22"/>
                <w:lang w:eastAsia="pt-BR"/>
              </w:rPr>
              <w:br/>
              <w:t>• Promover a fiscalização</w:t>
            </w:r>
            <w:r w:rsidRPr="00810C89">
              <w:rPr>
                <w:rFonts w:eastAsia="Times New Roman" w:cs="Arial"/>
                <w:sz w:val="22"/>
                <w:lang w:eastAsia="pt-BR"/>
              </w:rPr>
              <w:br/>
              <w:t>• Vedar novas ocupações</w:t>
            </w:r>
            <w:r w:rsidRPr="00810C89">
              <w:rPr>
                <w:rFonts w:eastAsia="Times New Roman" w:cs="Arial"/>
                <w:sz w:val="22"/>
                <w:lang w:eastAsia="pt-BR"/>
              </w:rPr>
              <w:br/>
              <w:t>• Vistoriar</w:t>
            </w:r>
            <w:r w:rsidRPr="00810C89">
              <w:rPr>
                <w:rFonts w:eastAsia="Times New Roman" w:cs="Arial"/>
                <w:sz w:val="22"/>
                <w:lang w:eastAsia="pt-BR"/>
              </w:rPr>
              <w:br/>
              <w:t>• Quando for o caso, realizar a intervenção preventiva e a evacuação</w:t>
            </w:r>
            <w:r w:rsidRPr="00810C89">
              <w:rPr>
                <w:rFonts w:eastAsia="Times New Roman" w:cs="Arial"/>
                <w:sz w:val="22"/>
                <w:lang w:eastAsia="pt-BR"/>
              </w:rPr>
              <w:br/>
              <w:t>• Estabelecer procedimentos e mecanismos de segurança contra desastres em escolas e hospitais situados em áreas de risco</w:t>
            </w:r>
          </w:p>
        </w:tc>
      </w:tr>
      <w:tr w:rsidR="00EF75D2" w:rsidRPr="00810C89" w:rsidTr="008872C5">
        <w:trPr>
          <w:trHeight w:val="20"/>
          <w:jc w:val="center"/>
        </w:trPr>
        <w:tc>
          <w:tcPr>
            <w:tcW w:w="0" w:type="auto"/>
            <w:shd w:val="clear" w:color="auto" w:fill="auto"/>
            <w:vAlign w:val="center"/>
            <w:hideMark/>
          </w:tcPr>
          <w:p w:rsidR="00EF75D2" w:rsidRPr="00810C89" w:rsidRDefault="00EF75D2" w:rsidP="00BE7A5C">
            <w:pPr>
              <w:spacing w:before="120" w:after="120" w:line="240" w:lineRule="auto"/>
              <w:ind w:left="87"/>
              <w:rPr>
                <w:rFonts w:eastAsia="Times New Roman" w:cs="Arial"/>
                <w:sz w:val="22"/>
                <w:lang w:eastAsia="pt-BR"/>
              </w:rPr>
            </w:pPr>
            <w:r w:rsidRPr="00810C89">
              <w:rPr>
                <w:rFonts w:eastAsia="Times New Roman" w:cs="Arial"/>
                <w:sz w:val="22"/>
                <w:lang w:eastAsia="pt-BR"/>
              </w:rPr>
              <w:t>Sobre a situação de emergência ou estado de calamidade pública</w:t>
            </w:r>
          </w:p>
        </w:tc>
        <w:tc>
          <w:tcPr>
            <w:tcW w:w="0" w:type="auto"/>
            <w:shd w:val="clear" w:color="auto" w:fill="auto"/>
            <w:vAlign w:val="center"/>
            <w:hideMark/>
          </w:tcPr>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Instituir e manter sistema para declaração</w:t>
            </w:r>
          </w:p>
          <w:p w:rsidR="00EF75D2" w:rsidRPr="00810C89" w:rsidRDefault="00EF75D2" w:rsidP="00BE7A5C">
            <w:pPr>
              <w:spacing w:before="120" w:after="120" w:line="240" w:lineRule="auto"/>
              <w:rPr>
                <w:rFonts w:eastAsia="Times New Roman" w:cs="Arial"/>
                <w:sz w:val="22"/>
                <w:lang w:eastAsia="pt-BR"/>
              </w:rPr>
            </w:pPr>
          </w:p>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Estabelecer critérios e condições</w:t>
            </w:r>
          </w:p>
          <w:p w:rsidR="00EF75D2" w:rsidRPr="00810C89" w:rsidRDefault="00EF75D2" w:rsidP="00BE7A5C">
            <w:pPr>
              <w:spacing w:before="120" w:after="120" w:line="240" w:lineRule="auto"/>
              <w:rPr>
                <w:rFonts w:eastAsia="Times New Roman" w:cs="Arial"/>
                <w:sz w:val="22"/>
                <w:lang w:eastAsia="pt-BR"/>
              </w:rPr>
            </w:pPr>
          </w:p>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Reconhecer</w:t>
            </w:r>
          </w:p>
        </w:tc>
        <w:tc>
          <w:tcPr>
            <w:tcW w:w="0" w:type="auto"/>
            <w:shd w:val="clear" w:color="auto" w:fill="auto"/>
            <w:vAlign w:val="center"/>
            <w:hideMark/>
          </w:tcPr>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Apoiar a União, quando solicitado, no reconhecimento</w:t>
            </w:r>
          </w:p>
          <w:p w:rsidR="00EF75D2" w:rsidRPr="00810C89" w:rsidRDefault="00EF75D2" w:rsidP="00BE7A5C">
            <w:pPr>
              <w:spacing w:before="120" w:after="120" w:line="240" w:lineRule="auto"/>
              <w:rPr>
                <w:rFonts w:eastAsia="Times New Roman" w:cs="Arial"/>
                <w:sz w:val="22"/>
                <w:lang w:eastAsia="pt-BR"/>
              </w:rPr>
            </w:pPr>
          </w:p>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Declarar, quando for o</w:t>
            </w:r>
            <w:r w:rsidRPr="00810C89">
              <w:rPr>
                <w:rFonts w:eastAsia="Times New Roman" w:cs="Arial"/>
                <w:sz w:val="22"/>
                <w:lang w:eastAsia="pt-BR"/>
              </w:rPr>
              <w:br/>
              <w:t>caso</w:t>
            </w:r>
          </w:p>
        </w:tc>
        <w:tc>
          <w:tcPr>
            <w:tcW w:w="0" w:type="auto"/>
            <w:shd w:val="clear" w:color="auto" w:fill="auto"/>
            <w:vAlign w:val="center"/>
            <w:hideMark/>
          </w:tcPr>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 Declarar</w:t>
            </w:r>
            <w:r w:rsidRPr="00810C89">
              <w:rPr>
                <w:rFonts w:eastAsia="Times New Roman" w:cs="Arial"/>
                <w:sz w:val="22"/>
                <w:lang w:eastAsia="pt-BR"/>
              </w:rPr>
              <w:br/>
              <w:t>• Organizar e administrar abrigos provisórios</w:t>
            </w:r>
            <w:r w:rsidRPr="00810C89">
              <w:rPr>
                <w:rFonts w:eastAsia="Times New Roman" w:cs="Arial"/>
                <w:sz w:val="22"/>
                <w:lang w:eastAsia="pt-BR"/>
              </w:rPr>
              <w:br/>
              <w:t>• Promover a coleta, a distribuição e o controle de suprimentos em situações de</w:t>
            </w:r>
            <w:r w:rsidRPr="00810C89">
              <w:rPr>
                <w:rFonts w:eastAsia="Times New Roman" w:cs="Arial"/>
                <w:sz w:val="22"/>
                <w:lang w:eastAsia="pt-BR"/>
              </w:rPr>
              <w:br/>
              <w:t>desastre</w:t>
            </w:r>
          </w:p>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 xml:space="preserve">• Prover solução de moradia temporária às famílias atingidas por </w:t>
            </w:r>
            <w:r w:rsidRPr="00810C89">
              <w:rPr>
                <w:rFonts w:eastAsia="Times New Roman" w:cs="Arial"/>
                <w:sz w:val="22"/>
                <w:lang w:eastAsia="pt-BR"/>
              </w:rPr>
              <w:lastRenderedPageBreak/>
              <w:t xml:space="preserve">desastres </w:t>
            </w:r>
          </w:p>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 Avaliar danos e prejuízos</w:t>
            </w:r>
          </w:p>
        </w:tc>
      </w:tr>
      <w:tr w:rsidR="00EF75D2" w:rsidRPr="00810C89" w:rsidTr="008872C5">
        <w:trPr>
          <w:trHeight w:val="20"/>
          <w:jc w:val="center"/>
        </w:trPr>
        <w:tc>
          <w:tcPr>
            <w:tcW w:w="0" w:type="auto"/>
            <w:shd w:val="clear" w:color="auto" w:fill="auto"/>
            <w:vAlign w:val="center"/>
            <w:hideMark/>
          </w:tcPr>
          <w:p w:rsidR="00EF75D2" w:rsidRPr="00810C89" w:rsidRDefault="00EF75D2" w:rsidP="00BE7A5C">
            <w:pPr>
              <w:spacing w:before="120" w:after="120" w:line="240" w:lineRule="auto"/>
              <w:ind w:left="87"/>
              <w:rPr>
                <w:rFonts w:eastAsia="Times New Roman" w:cs="Arial"/>
                <w:sz w:val="22"/>
                <w:lang w:eastAsia="pt-BR"/>
              </w:rPr>
            </w:pPr>
            <w:r w:rsidRPr="00810C89">
              <w:rPr>
                <w:rFonts w:eastAsia="Times New Roman" w:cs="Arial"/>
                <w:sz w:val="22"/>
                <w:lang w:eastAsia="pt-BR"/>
              </w:rPr>
              <w:lastRenderedPageBreak/>
              <w:t>Sobre o monitoramento meteorológico, hidrológico e geológico</w:t>
            </w:r>
          </w:p>
        </w:tc>
        <w:tc>
          <w:tcPr>
            <w:tcW w:w="0" w:type="auto"/>
            <w:shd w:val="clear" w:color="auto" w:fill="auto"/>
            <w:vAlign w:val="center"/>
            <w:hideMark/>
          </w:tcPr>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 xml:space="preserve">Realizar em articulação com os Estados, o Distrito Federal e os Municípios </w:t>
            </w:r>
          </w:p>
          <w:p w:rsidR="00EF75D2" w:rsidRPr="00810C89" w:rsidRDefault="00EF75D2" w:rsidP="00BE7A5C">
            <w:pPr>
              <w:spacing w:before="120" w:after="120" w:line="240" w:lineRule="auto"/>
              <w:rPr>
                <w:rFonts w:eastAsia="Times New Roman" w:cs="Arial"/>
                <w:sz w:val="22"/>
                <w:lang w:eastAsia="pt-BR"/>
              </w:rPr>
            </w:pPr>
          </w:p>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Instituir e manter cadastro nacional de municípios com áreas suscetíveis</w:t>
            </w:r>
          </w:p>
        </w:tc>
        <w:tc>
          <w:tcPr>
            <w:tcW w:w="0" w:type="auto"/>
            <w:shd w:val="clear" w:color="auto" w:fill="auto"/>
            <w:vAlign w:val="center"/>
            <w:hideMark/>
          </w:tcPr>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Realizar monitoramento em articulação com a União e os Municípios;</w:t>
            </w:r>
          </w:p>
        </w:tc>
        <w:tc>
          <w:tcPr>
            <w:tcW w:w="0" w:type="auto"/>
            <w:shd w:val="clear" w:color="auto" w:fill="auto"/>
            <w:vAlign w:val="center"/>
            <w:hideMark/>
          </w:tcPr>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 Manter a população informada sobre a ocorrência de eventos extremos</w:t>
            </w:r>
          </w:p>
        </w:tc>
      </w:tr>
      <w:tr w:rsidR="00EF75D2" w:rsidRPr="00810C89" w:rsidTr="008872C5">
        <w:trPr>
          <w:trHeight w:val="20"/>
          <w:jc w:val="center"/>
        </w:trPr>
        <w:tc>
          <w:tcPr>
            <w:tcW w:w="0" w:type="auto"/>
            <w:shd w:val="clear" w:color="auto" w:fill="auto"/>
            <w:vAlign w:val="center"/>
            <w:hideMark/>
          </w:tcPr>
          <w:p w:rsidR="00EF75D2" w:rsidRPr="00810C89" w:rsidRDefault="00EF75D2" w:rsidP="00BE7A5C">
            <w:pPr>
              <w:spacing w:before="120" w:after="120" w:line="240" w:lineRule="auto"/>
              <w:ind w:left="87"/>
              <w:rPr>
                <w:rFonts w:eastAsia="Times New Roman" w:cs="Arial"/>
                <w:sz w:val="22"/>
                <w:lang w:eastAsia="pt-BR"/>
              </w:rPr>
            </w:pPr>
            <w:r w:rsidRPr="00810C89">
              <w:rPr>
                <w:rFonts w:eastAsia="Times New Roman" w:cs="Arial"/>
                <w:sz w:val="22"/>
                <w:lang w:eastAsia="pt-BR"/>
              </w:rPr>
              <w:t>Sobre a promoção de Estudos e Capacitação</w:t>
            </w:r>
          </w:p>
        </w:tc>
        <w:tc>
          <w:tcPr>
            <w:tcW w:w="0" w:type="auto"/>
            <w:shd w:val="clear" w:color="auto" w:fill="auto"/>
            <w:vAlign w:val="center"/>
            <w:hideMark/>
          </w:tcPr>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Oferecer capacitação</w:t>
            </w:r>
          </w:p>
          <w:p w:rsidR="00EF75D2" w:rsidRPr="00810C89" w:rsidRDefault="00EF75D2" w:rsidP="00BE7A5C">
            <w:pPr>
              <w:spacing w:before="120" w:after="120" w:line="240" w:lineRule="auto"/>
              <w:rPr>
                <w:rFonts w:eastAsia="Times New Roman" w:cs="Arial"/>
                <w:sz w:val="22"/>
                <w:lang w:eastAsia="pt-BR"/>
              </w:rPr>
            </w:pPr>
          </w:p>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Incentivar a instalação de centros de ensino e pesquisa</w:t>
            </w:r>
          </w:p>
          <w:p w:rsidR="00EF75D2" w:rsidRPr="00810C89" w:rsidRDefault="00EF75D2" w:rsidP="00BE7A5C">
            <w:pPr>
              <w:spacing w:before="120" w:after="120" w:line="240" w:lineRule="auto"/>
              <w:rPr>
                <w:rFonts w:eastAsia="Times New Roman" w:cs="Arial"/>
                <w:sz w:val="22"/>
                <w:lang w:eastAsia="pt-BR"/>
              </w:rPr>
            </w:pPr>
          </w:p>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Promover estudos</w:t>
            </w:r>
          </w:p>
          <w:p w:rsidR="00EF75D2" w:rsidRPr="00810C89" w:rsidRDefault="00EF75D2" w:rsidP="00BE7A5C">
            <w:pPr>
              <w:spacing w:before="120" w:after="120" w:line="240" w:lineRule="auto"/>
              <w:rPr>
                <w:rFonts w:eastAsia="Times New Roman" w:cs="Arial"/>
                <w:sz w:val="22"/>
                <w:lang w:eastAsia="pt-BR"/>
              </w:rPr>
            </w:pPr>
          </w:p>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Fomentar Pesquisa</w:t>
            </w:r>
          </w:p>
          <w:p w:rsidR="00EF75D2" w:rsidRPr="00810C89" w:rsidRDefault="00EF75D2" w:rsidP="00BE7A5C">
            <w:pPr>
              <w:spacing w:before="120" w:after="120" w:line="240" w:lineRule="auto"/>
              <w:rPr>
                <w:rFonts w:eastAsia="Times New Roman" w:cs="Arial"/>
                <w:sz w:val="22"/>
                <w:lang w:eastAsia="pt-BR"/>
              </w:rPr>
            </w:pPr>
          </w:p>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Apoiar comunidade docente no desenvolvimento de material</w:t>
            </w:r>
          </w:p>
        </w:tc>
        <w:tc>
          <w:tcPr>
            <w:tcW w:w="0" w:type="auto"/>
            <w:shd w:val="clear" w:color="auto" w:fill="auto"/>
            <w:vAlign w:val="center"/>
            <w:hideMark/>
          </w:tcPr>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Oferecer capacitação</w:t>
            </w:r>
          </w:p>
        </w:tc>
        <w:tc>
          <w:tcPr>
            <w:tcW w:w="0" w:type="auto"/>
            <w:shd w:val="clear" w:color="auto" w:fill="auto"/>
            <w:vAlign w:val="center"/>
            <w:hideMark/>
          </w:tcPr>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 xml:space="preserve">Oferecer capacitação </w:t>
            </w:r>
          </w:p>
          <w:p w:rsidR="00EF75D2" w:rsidRPr="00810C89" w:rsidRDefault="00EF75D2" w:rsidP="00BE7A5C">
            <w:pPr>
              <w:spacing w:before="120" w:after="120" w:line="240" w:lineRule="auto"/>
              <w:rPr>
                <w:rFonts w:eastAsia="Times New Roman" w:cs="Arial"/>
                <w:sz w:val="22"/>
                <w:lang w:eastAsia="pt-BR"/>
              </w:rPr>
            </w:pPr>
          </w:p>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Mobilizar e capacitar os radioamadores</w:t>
            </w:r>
          </w:p>
        </w:tc>
      </w:tr>
      <w:tr w:rsidR="00EF75D2" w:rsidRPr="00810C89" w:rsidTr="008872C5">
        <w:trPr>
          <w:trHeight w:val="20"/>
          <w:jc w:val="center"/>
        </w:trPr>
        <w:tc>
          <w:tcPr>
            <w:tcW w:w="0" w:type="auto"/>
            <w:shd w:val="clear" w:color="auto" w:fill="auto"/>
            <w:vAlign w:val="center"/>
            <w:hideMark/>
          </w:tcPr>
          <w:p w:rsidR="00EF75D2" w:rsidRPr="00810C89" w:rsidRDefault="00EF75D2" w:rsidP="00BE7A5C">
            <w:pPr>
              <w:spacing w:before="120" w:after="120" w:line="240" w:lineRule="auto"/>
              <w:ind w:left="87"/>
              <w:rPr>
                <w:rFonts w:eastAsia="Times New Roman" w:cs="Arial"/>
                <w:sz w:val="22"/>
                <w:lang w:eastAsia="pt-BR"/>
              </w:rPr>
            </w:pPr>
            <w:r w:rsidRPr="00810C89">
              <w:rPr>
                <w:rFonts w:eastAsia="Times New Roman" w:cs="Arial"/>
                <w:sz w:val="22"/>
                <w:lang w:eastAsia="pt-BR"/>
              </w:rPr>
              <w:t>Sobre a cultura nacional de prevenção de desastres</w:t>
            </w:r>
          </w:p>
        </w:tc>
        <w:tc>
          <w:tcPr>
            <w:tcW w:w="0" w:type="auto"/>
            <w:shd w:val="clear" w:color="auto" w:fill="auto"/>
            <w:vAlign w:val="center"/>
            <w:hideMark/>
          </w:tcPr>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Desenvolver</w:t>
            </w:r>
          </w:p>
          <w:p w:rsidR="00EF75D2" w:rsidRPr="00810C89" w:rsidRDefault="00EF75D2" w:rsidP="00BE7A5C">
            <w:pPr>
              <w:spacing w:before="120" w:after="120" w:line="240" w:lineRule="auto"/>
              <w:rPr>
                <w:rFonts w:eastAsia="Times New Roman" w:cs="Arial"/>
                <w:sz w:val="22"/>
                <w:lang w:eastAsia="pt-BR"/>
              </w:rPr>
            </w:pPr>
          </w:p>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Estimular comportamentos preventivos</w:t>
            </w:r>
          </w:p>
        </w:tc>
        <w:tc>
          <w:tcPr>
            <w:tcW w:w="0" w:type="auto"/>
            <w:shd w:val="clear" w:color="auto" w:fill="auto"/>
            <w:vAlign w:val="center"/>
            <w:hideMark/>
          </w:tcPr>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Desenvolver</w:t>
            </w:r>
            <w:r w:rsidRPr="00810C89">
              <w:rPr>
                <w:rFonts w:eastAsia="Times New Roman" w:cs="Arial"/>
                <w:sz w:val="22"/>
                <w:lang w:eastAsia="pt-BR"/>
              </w:rPr>
              <w:br/>
              <w:t>Estimular</w:t>
            </w:r>
            <w:r w:rsidRPr="00810C89">
              <w:rPr>
                <w:rFonts w:eastAsia="Times New Roman" w:cs="Arial"/>
                <w:sz w:val="22"/>
                <w:lang w:eastAsia="pt-BR"/>
              </w:rPr>
              <w:br/>
              <w:t>comportamentos</w:t>
            </w:r>
            <w:r w:rsidRPr="00810C89">
              <w:rPr>
                <w:rFonts w:eastAsia="Times New Roman" w:cs="Arial"/>
                <w:sz w:val="22"/>
                <w:lang w:eastAsia="pt-BR"/>
              </w:rPr>
              <w:br/>
              <w:t>preventivos</w:t>
            </w:r>
          </w:p>
        </w:tc>
        <w:tc>
          <w:tcPr>
            <w:tcW w:w="0" w:type="auto"/>
            <w:shd w:val="clear" w:color="auto" w:fill="auto"/>
            <w:vAlign w:val="center"/>
            <w:hideMark/>
          </w:tcPr>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Desenvolver</w:t>
            </w:r>
          </w:p>
          <w:p w:rsidR="00EF75D2" w:rsidRPr="00810C89" w:rsidRDefault="00EF75D2" w:rsidP="00BE7A5C">
            <w:pPr>
              <w:spacing w:before="120" w:after="120" w:line="240" w:lineRule="auto"/>
              <w:rPr>
                <w:rFonts w:eastAsia="Times New Roman" w:cs="Arial"/>
                <w:sz w:val="22"/>
                <w:lang w:eastAsia="pt-BR"/>
              </w:rPr>
            </w:pPr>
          </w:p>
          <w:p w:rsidR="00EF75D2" w:rsidRPr="00810C89" w:rsidRDefault="00EF75D2" w:rsidP="00BE7A5C">
            <w:pPr>
              <w:spacing w:before="120" w:after="120" w:line="240" w:lineRule="auto"/>
              <w:rPr>
                <w:rFonts w:eastAsia="Times New Roman" w:cs="Arial"/>
                <w:sz w:val="22"/>
                <w:lang w:eastAsia="pt-BR"/>
              </w:rPr>
            </w:pPr>
            <w:r w:rsidRPr="00810C89">
              <w:rPr>
                <w:rFonts w:eastAsia="Times New Roman" w:cs="Arial"/>
                <w:sz w:val="22"/>
                <w:lang w:eastAsia="pt-BR"/>
              </w:rPr>
              <w:t>Estimular comportamentos</w:t>
            </w:r>
            <w:r w:rsidRPr="00810C89">
              <w:rPr>
                <w:rFonts w:eastAsia="Times New Roman" w:cs="Arial"/>
                <w:sz w:val="22"/>
                <w:lang w:eastAsia="pt-BR"/>
              </w:rPr>
              <w:br/>
              <w:t>preventivos</w:t>
            </w:r>
          </w:p>
        </w:tc>
      </w:tr>
    </w:tbl>
    <w:p w:rsidR="00EF75D2" w:rsidRDefault="00EF75D2" w:rsidP="00BE7A5C">
      <w:pPr>
        <w:pStyle w:val="Fonte"/>
      </w:pPr>
      <w:r w:rsidRPr="009C3709">
        <w:rPr>
          <w:rFonts w:cs="Arial"/>
          <w:color w:val="000000"/>
        </w:rPr>
        <w:t xml:space="preserve">Fonte: </w:t>
      </w:r>
      <w:r w:rsidRPr="009C3709">
        <w:t>MI/ SEDEC/DPP, 2017.</w:t>
      </w:r>
    </w:p>
    <w:p w:rsidR="00BE7A5C" w:rsidRDefault="00BE7A5C" w:rsidP="00BE7A5C">
      <w:pPr>
        <w:pStyle w:val="Fonte"/>
      </w:pPr>
    </w:p>
    <w:p w:rsidR="00810C89" w:rsidRDefault="00810C89" w:rsidP="00BE7A5C">
      <w:pPr>
        <w:pStyle w:val="Fonte"/>
      </w:pPr>
      <w:r>
        <w:br w:type="page"/>
      </w:r>
    </w:p>
    <w:p w:rsidR="00EF75D2" w:rsidRPr="009C3709" w:rsidRDefault="00EF75D2" w:rsidP="00BC01B1">
      <w:pPr>
        <w:pStyle w:val="Ttulo3"/>
      </w:pPr>
      <w:bookmarkStart w:id="1109" w:name="_Toc498594090"/>
      <w:bookmarkStart w:id="1110" w:name="_Toc509935584"/>
      <w:r>
        <w:lastRenderedPageBreak/>
        <w:t>Conceitos relacionados</w:t>
      </w:r>
      <w:bookmarkEnd w:id="1109"/>
      <w:bookmarkEnd w:id="1110"/>
    </w:p>
    <w:p w:rsidR="00EF75D2" w:rsidRDefault="00EF75D2" w:rsidP="00EF75D2">
      <w:pPr>
        <w:ind w:firstLine="708"/>
        <w:jc w:val="both"/>
        <w:rPr>
          <w:rFonts w:cs="Arial"/>
          <w:color w:val="000000"/>
          <w:szCs w:val="24"/>
        </w:rPr>
      </w:pPr>
      <w:r w:rsidRPr="007658F5">
        <w:rPr>
          <w:rFonts w:cs="Arial"/>
          <w:color w:val="000000"/>
          <w:szCs w:val="24"/>
        </w:rPr>
        <w:t xml:space="preserve">O </w:t>
      </w:r>
      <w:r w:rsidRPr="007658F5">
        <w:rPr>
          <w:rFonts w:cs="Arial"/>
          <w:b/>
          <w:bCs/>
          <w:color w:val="000000"/>
          <w:szCs w:val="24"/>
        </w:rPr>
        <w:t xml:space="preserve">desastre </w:t>
      </w:r>
      <w:r w:rsidRPr="007658F5">
        <w:rPr>
          <w:rFonts w:cs="Arial"/>
          <w:color w:val="000000"/>
          <w:szCs w:val="24"/>
        </w:rPr>
        <w:t xml:space="preserve">é o resultado de eventos adversos, naturais, tecnológicos ou de origem antrópica, sobre um cenário vulnerável exposto </w:t>
      </w:r>
      <w:r>
        <w:rPr>
          <w:rFonts w:cs="Arial"/>
          <w:color w:val="000000"/>
          <w:szCs w:val="24"/>
        </w:rPr>
        <w:t>à</w:t>
      </w:r>
      <w:r w:rsidRPr="007658F5">
        <w:rPr>
          <w:rFonts w:cs="Arial"/>
          <w:color w:val="000000"/>
          <w:szCs w:val="24"/>
        </w:rPr>
        <w:t xml:space="preserve"> ameaça, causando danos humanos, materiais ou ambientais e consequentes prejuízos econômicos e sociais.</w:t>
      </w:r>
      <w:r>
        <w:rPr>
          <w:rFonts w:cs="Arial"/>
          <w:color w:val="000000"/>
          <w:szCs w:val="24"/>
        </w:rPr>
        <w:t xml:space="preserve"> </w:t>
      </w:r>
    </w:p>
    <w:p w:rsidR="00EF75D2" w:rsidRDefault="00EF75D2" w:rsidP="00EF75D2">
      <w:pPr>
        <w:ind w:firstLine="708"/>
        <w:jc w:val="both"/>
        <w:rPr>
          <w:rFonts w:cs="Arial"/>
          <w:color w:val="000000"/>
          <w:szCs w:val="24"/>
        </w:rPr>
      </w:pPr>
      <w:r w:rsidRPr="007658F5">
        <w:rPr>
          <w:rFonts w:cs="Arial"/>
          <w:color w:val="000000"/>
          <w:szCs w:val="24"/>
        </w:rPr>
        <w:t xml:space="preserve">A </w:t>
      </w:r>
      <w:r w:rsidRPr="007658F5">
        <w:rPr>
          <w:rFonts w:cs="Arial"/>
          <w:b/>
          <w:bCs/>
          <w:color w:val="000000"/>
          <w:szCs w:val="24"/>
        </w:rPr>
        <w:t xml:space="preserve">ameaça, </w:t>
      </w:r>
      <w:r w:rsidRPr="007658F5">
        <w:rPr>
          <w:rFonts w:cs="Arial"/>
          <w:color w:val="000000"/>
          <w:szCs w:val="24"/>
        </w:rPr>
        <w:t xml:space="preserve">por sua vez, refere-se a “um evento físico, potencialmente prejudicial, fenômeno e/ou atividade humana que pode causar a morte e/ou lesões, danos materiais, interrupção de atividade social e econômica ou degradação do meio ambiente”. </w:t>
      </w:r>
    </w:p>
    <w:p w:rsidR="00EF75D2" w:rsidRPr="007658F5" w:rsidRDefault="00EF75D2" w:rsidP="00EF75D2">
      <w:pPr>
        <w:ind w:firstLine="708"/>
        <w:jc w:val="both"/>
        <w:rPr>
          <w:rFonts w:cs="Arial"/>
          <w:color w:val="000000"/>
          <w:szCs w:val="24"/>
        </w:rPr>
      </w:pPr>
      <w:r w:rsidRPr="007658F5">
        <w:rPr>
          <w:rFonts w:cs="Arial"/>
          <w:color w:val="000000"/>
          <w:szCs w:val="24"/>
        </w:rPr>
        <w:t xml:space="preserve">Já a </w:t>
      </w:r>
      <w:r w:rsidRPr="007658F5">
        <w:rPr>
          <w:rFonts w:cs="Arial"/>
          <w:b/>
          <w:bCs/>
          <w:color w:val="000000"/>
          <w:szCs w:val="24"/>
        </w:rPr>
        <w:t xml:space="preserve">vulnerabilidade </w:t>
      </w:r>
      <w:r w:rsidRPr="0053417C">
        <w:rPr>
          <w:rFonts w:cs="Arial"/>
          <w:bCs/>
          <w:color w:val="000000"/>
          <w:szCs w:val="24"/>
        </w:rPr>
        <w:t>é a</w:t>
      </w:r>
      <w:r w:rsidRPr="007658F5">
        <w:rPr>
          <w:rFonts w:cs="Arial"/>
          <w:b/>
          <w:bCs/>
          <w:color w:val="000000"/>
          <w:szCs w:val="24"/>
        </w:rPr>
        <w:t xml:space="preserve"> </w:t>
      </w:r>
      <w:r w:rsidRPr="007658F5">
        <w:rPr>
          <w:rFonts w:cs="Arial"/>
          <w:color w:val="000000"/>
          <w:szCs w:val="24"/>
        </w:rPr>
        <w:t>exposição socioeconômica ou ambiental de cenário sujeito à ameaça natural, tecnológica ou de origem antrópica. “Indica como as condições preexistentes fazem com que os elementos expostos sejam mais ou</w:t>
      </w:r>
      <w:r>
        <w:rPr>
          <w:rFonts w:cs="Arial"/>
          <w:color w:val="000000"/>
          <w:szCs w:val="24"/>
        </w:rPr>
        <w:t xml:space="preserve"> menos propensos a ser afetados</w:t>
      </w:r>
      <w:r w:rsidRPr="007658F5">
        <w:rPr>
          <w:rFonts w:cs="Arial"/>
          <w:color w:val="000000"/>
          <w:szCs w:val="24"/>
        </w:rPr>
        <w:t>”.</w:t>
      </w:r>
    </w:p>
    <w:p w:rsidR="00EF75D2" w:rsidRDefault="00EF75D2" w:rsidP="00EF75D2">
      <w:pPr>
        <w:ind w:firstLine="708"/>
        <w:jc w:val="both"/>
        <w:rPr>
          <w:rFonts w:cs="Arial"/>
          <w:color w:val="000000"/>
          <w:szCs w:val="24"/>
        </w:rPr>
      </w:pPr>
      <w:r w:rsidRPr="00FF697A">
        <w:rPr>
          <w:rFonts w:cs="Arial"/>
          <w:color w:val="000000"/>
          <w:szCs w:val="24"/>
        </w:rPr>
        <w:t xml:space="preserve">O </w:t>
      </w:r>
      <w:r>
        <w:rPr>
          <w:rFonts w:cs="Arial"/>
          <w:b/>
          <w:bCs/>
          <w:color w:val="000000"/>
          <w:szCs w:val="24"/>
        </w:rPr>
        <w:t>r</w:t>
      </w:r>
      <w:r w:rsidRPr="00FF697A">
        <w:rPr>
          <w:rFonts w:cs="Arial"/>
          <w:b/>
          <w:bCs/>
          <w:color w:val="000000"/>
          <w:szCs w:val="24"/>
        </w:rPr>
        <w:t xml:space="preserve">isco de desastre </w:t>
      </w:r>
      <w:r w:rsidRPr="00FF697A">
        <w:rPr>
          <w:rFonts w:cs="Arial"/>
          <w:color w:val="000000"/>
          <w:szCs w:val="24"/>
        </w:rPr>
        <w:t xml:space="preserve">é o potencial de ocorrência de ameaça de desastre em um cenário socioeconômico e ambiental vulnerável. </w:t>
      </w:r>
    </w:p>
    <w:p w:rsidR="00EF75D2" w:rsidRDefault="00EF75D2" w:rsidP="00EF75D2">
      <w:pPr>
        <w:ind w:firstLine="708"/>
        <w:jc w:val="both"/>
        <w:rPr>
          <w:rFonts w:cs="Arial"/>
          <w:color w:val="000000"/>
          <w:szCs w:val="24"/>
        </w:rPr>
      </w:pPr>
      <w:r w:rsidRPr="00FF697A">
        <w:rPr>
          <w:rFonts w:cs="Arial"/>
          <w:color w:val="000000"/>
          <w:szCs w:val="24"/>
        </w:rPr>
        <w:t xml:space="preserve">A </w:t>
      </w:r>
      <w:r w:rsidRPr="00FF697A">
        <w:rPr>
          <w:rFonts w:cs="Arial"/>
          <w:b/>
          <w:bCs/>
          <w:color w:val="000000"/>
          <w:szCs w:val="24"/>
        </w:rPr>
        <w:t xml:space="preserve">gestão de risco de desastre </w:t>
      </w:r>
      <w:r w:rsidRPr="00FF697A">
        <w:rPr>
          <w:rFonts w:cs="Arial"/>
          <w:color w:val="000000"/>
          <w:szCs w:val="24"/>
        </w:rPr>
        <w:t>compreende o planejamento, a coordenação e a execução de ações e medidas preventivas destinadas a reduzir os riscos</w:t>
      </w:r>
      <w:r>
        <w:rPr>
          <w:rFonts w:cs="Arial"/>
          <w:color w:val="000000"/>
          <w:szCs w:val="24"/>
        </w:rPr>
        <w:t xml:space="preserve"> </w:t>
      </w:r>
      <w:r w:rsidRPr="00FF697A">
        <w:rPr>
          <w:rFonts w:cs="Arial"/>
          <w:color w:val="000000"/>
          <w:szCs w:val="24"/>
        </w:rPr>
        <w:t>de desastres e evitar a instalação de novos riscos.</w:t>
      </w:r>
    </w:p>
    <w:p w:rsidR="00EF75D2" w:rsidRPr="00FF697A" w:rsidRDefault="00EF75D2" w:rsidP="00EF75D2">
      <w:pPr>
        <w:ind w:firstLine="708"/>
        <w:jc w:val="both"/>
        <w:rPr>
          <w:rFonts w:cs="Arial"/>
          <w:color w:val="000000"/>
          <w:szCs w:val="24"/>
        </w:rPr>
      </w:pPr>
      <w:r w:rsidRPr="00FF697A">
        <w:rPr>
          <w:rFonts w:cs="Arial"/>
          <w:color w:val="000000"/>
          <w:szCs w:val="24"/>
        </w:rPr>
        <w:t>Finalmente</w:t>
      </w:r>
      <w:r w:rsidRPr="00FF697A">
        <w:rPr>
          <w:rFonts w:cs="Arial"/>
          <w:b/>
          <w:bCs/>
          <w:color w:val="000000"/>
          <w:szCs w:val="24"/>
        </w:rPr>
        <w:t>, resiliência</w:t>
      </w:r>
      <w:r>
        <w:rPr>
          <w:rFonts w:cs="Arial"/>
          <w:color w:val="000000"/>
          <w:szCs w:val="24"/>
        </w:rPr>
        <w:t xml:space="preserve"> é a</w:t>
      </w:r>
      <w:r w:rsidRPr="00FF697A">
        <w:rPr>
          <w:rFonts w:cs="Arial"/>
          <w:color w:val="000000"/>
          <w:szCs w:val="24"/>
        </w:rPr>
        <w:t xml:space="preserve"> capacidade de um sistema, comunidade ou sociedade exposta a um desastre em resistir, absorver, adaptar</w:t>
      </w:r>
      <w:r>
        <w:rPr>
          <w:rFonts w:cs="Arial"/>
          <w:color w:val="000000"/>
          <w:szCs w:val="24"/>
        </w:rPr>
        <w:t>-se</w:t>
      </w:r>
      <w:r w:rsidRPr="00FF697A">
        <w:rPr>
          <w:rFonts w:cs="Arial"/>
          <w:color w:val="000000"/>
          <w:szCs w:val="24"/>
        </w:rPr>
        <w:t xml:space="preserve"> e se recuperar de seus efeitos</w:t>
      </w:r>
      <w:r>
        <w:rPr>
          <w:rFonts w:cs="Arial"/>
          <w:color w:val="000000"/>
          <w:szCs w:val="24"/>
        </w:rPr>
        <w:t>,</w:t>
      </w:r>
      <w:r w:rsidRPr="00FF697A">
        <w:rPr>
          <w:rFonts w:cs="Arial"/>
          <w:color w:val="000000"/>
          <w:szCs w:val="24"/>
        </w:rPr>
        <w:t xml:space="preserve"> de modo oportuno e eficaz, o que inclui a preservação e restauração de suas estruturas e </w:t>
      </w:r>
      <w:r>
        <w:rPr>
          <w:rFonts w:cs="Arial"/>
          <w:color w:val="000000"/>
          <w:szCs w:val="24"/>
        </w:rPr>
        <w:t>funções básicas.</w:t>
      </w:r>
    </w:p>
    <w:p w:rsidR="00EF75D2" w:rsidRPr="007658F5" w:rsidRDefault="00EF75D2" w:rsidP="00EF75D2">
      <w:pPr>
        <w:ind w:firstLine="623"/>
        <w:jc w:val="both"/>
        <w:rPr>
          <w:rFonts w:cs="Arial"/>
          <w:szCs w:val="24"/>
        </w:rPr>
      </w:pPr>
      <w:r w:rsidRPr="007658F5">
        <w:rPr>
          <w:rFonts w:cs="Arial"/>
          <w:szCs w:val="24"/>
        </w:rPr>
        <w:t>Os estudos sobre risco adotam cinco diferentes abordagens para o termo</w:t>
      </w:r>
      <w:r>
        <w:rPr>
          <w:rFonts w:cs="Arial"/>
          <w:szCs w:val="24"/>
        </w:rPr>
        <w:t xml:space="preserve"> “risco”. São eles</w:t>
      </w:r>
      <w:r w:rsidRPr="007658F5">
        <w:rPr>
          <w:rFonts w:cs="Arial"/>
          <w:szCs w:val="24"/>
        </w:rPr>
        <w:t>:</w:t>
      </w:r>
    </w:p>
    <w:p w:rsidR="00EF75D2" w:rsidRPr="00BE2A89" w:rsidRDefault="00EF75D2" w:rsidP="00EF75D2">
      <w:pPr>
        <w:ind w:left="1276"/>
        <w:jc w:val="both"/>
        <w:rPr>
          <w:rFonts w:cs="Arial"/>
          <w:sz w:val="22"/>
        </w:rPr>
      </w:pPr>
      <w:r w:rsidRPr="00BE2A89">
        <w:rPr>
          <w:rFonts w:cs="Arial"/>
          <w:b/>
          <w:bCs/>
          <w:sz w:val="22"/>
        </w:rPr>
        <w:t>Risco instalado</w:t>
      </w:r>
      <w:r>
        <w:rPr>
          <w:rFonts w:cs="Arial"/>
          <w:sz w:val="22"/>
        </w:rPr>
        <w:t xml:space="preserve">: </w:t>
      </w:r>
      <w:r w:rsidRPr="00BE2A89">
        <w:rPr>
          <w:rFonts w:cs="Arial"/>
          <w:sz w:val="22"/>
        </w:rPr>
        <w:t>pode ser compreendido como o risco efetivo, atual ou visível existente e percebido em áreas ocupadas. A identificação do risco instalado é realizada com base na avaliação de evidências do terreno, ou seja, condições “visíveis” de que eventos adversos podem s</w:t>
      </w:r>
      <w:r>
        <w:rPr>
          <w:rFonts w:cs="Arial"/>
          <w:sz w:val="22"/>
        </w:rPr>
        <w:t>e repetir ou estão em andamento</w:t>
      </w:r>
      <w:r w:rsidRPr="00BE2A89">
        <w:rPr>
          <w:rFonts w:cs="Arial"/>
          <w:sz w:val="22"/>
        </w:rPr>
        <w:t xml:space="preserve">. </w:t>
      </w:r>
    </w:p>
    <w:p w:rsidR="00EF75D2" w:rsidRPr="00BE2A89" w:rsidRDefault="00EF75D2" w:rsidP="00EF75D2">
      <w:pPr>
        <w:ind w:left="1276"/>
        <w:jc w:val="both"/>
        <w:rPr>
          <w:rFonts w:cs="Arial"/>
          <w:sz w:val="22"/>
        </w:rPr>
      </w:pPr>
      <w:r w:rsidRPr="00BE2A89">
        <w:rPr>
          <w:rFonts w:cs="Arial"/>
          <w:b/>
          <w:bCs/>
          <w:sz w:val="22"/>
        </w:rPr>
        <w:t>Risco aceitável</w:t>
      </w:r>
      <w:r w:rsidRPr="00BE2A89">
        <w:rPr>
          <w:rFonts w:cs="Arial"/>
          <w:sz w:val="22"/>
        </w:rPr>
        <w:t xml:space="preserve">: aquele que uma determinada sociedade ou população aceita como admissível, após considerar todas as consequências associadas ao mesmo. Em outras palavras, é o risco que a população exposta a um evento está preparada para aceitar sem se preocupar com a sua gestão. </w:t>
      </w:r>
    </w:p>
    <w:p w:rsidR="00EF75D2" w:rsidRPr="00BE2A89" w:rsidRDefault="00EF75D2" w:rsidP="00EF75D2">
      <w:pPr>
        <w:ind w:left="1276"/>
        <w:jc w:val="both"/>
        <w:rPr>
          <w:rFonts w:cs="Arial"/>
          <w:sz w:val="22"/>
        </w:rPr>
      </w:pPr>
      <w:r w:rsidRPr="00BE2A89">
        <w:rPr>
          <w:rFonts w:cs="Arial"/>
          <w:b/>
          <w:bCs/>
          <w:sz w:val="22"/>
        </w:rPr>
        <w:lastRenderedPageBreak/>
        <w:t>Risco tolerável</w:t>
      </w:r>
      <w:r>
        <w:rPr>
          <w:rFonts w:cs="Arial"/>
          <w:sz w:val="22"/>
        </w:rPr>
        <w:t xml:space="preserve">: </w:t>
      </w:r>
      <w:r w:rsidRPr="00BE2A89">
        <w:rPr>
          <w:rFonts w:cs="Arial"/>
          <w:sz w:val="22"/>
        </w:rPr>
        <w:t>aquele com que a sociedade tolera conviver, mesmo tendo que suportar alguns prejuízos ou danos, porque isto permite que usufrua de certos benefícios, como por exemplo, a proximidade do local de trab</w:t>
      </w:r>
      <w:r>
        <w:rPr>
          <w:rFonts w:cs="Arial"/>
          <w:sz w:val="22"/>
        </w:rPr>
        <w:t>alho ou a determinados serviços</w:t>
      </w:r>
      <w:r w:rsidRPr="00BE2A89">
        <w:rPr>
          <w:rFonts w:cs="Arial"/>
          <w:sz w:val="22"/>
        </w:rPr>
        <w:t>.</w:t>
      </w:r>
    </w:p>
    <w:p w:rsidR="00EF75D2" w:rsidRPr="00BE2A89" w:rsidRDefault="00EF75D2" w:rsidP="00EF75D2">
      <w:pPr>
        <w:ind w:left="1276"/>
        <w:jc w:val="both"/>
        <w:rPr>
          <w:rFonts w:cs="Arial"/>
          <w:sz w:val="22"/>
        </w:rPr>
      </w:pPr>
      <w:r w:rsidRPr="00BE2A89">
        <w:rPr>
          <w:rFonts w:cs="Arial"/>
          <w:b/>
          <w:bCs/>
          <w:sz w:val="22"/>
        </w:rPr>
        <w:t>Risco intolerável</w:t>
      </w:r>
      <w:r>
        <w:rPr>
          <w:rFonts w:cs="Arial"/>
          <w:sz w:val="22"/>
        </w:rPr>
        <w:t xml:space="preserve">: </w:t>
      </w:r>
      <w:r w:rsidRPr="00BE2A89">
        <w:rPr>
          <w:rFonts w:cs="Arial"/>
          <w:sz w:val="22"/>
        </w:rPr>
        <w:t xml:space="preserve">risco que não pode ser tolerado ou aceito pela sociedade, uma vez que os benefícios ou vantagens proporcionadas pela convivência não compensam </w:t>
      </w:r>
      <w:r>
        <w:rPr>
          <w:rFonts w:cs="Arial"/>
          <w:sz w:val="22"/>
        </w:rPr>
        <w:t>os danos e prejuízos potenciais</w:t>
      </w:r>
      <w:r w:rsidRPr="00BE2A89">
        <w:rPr>
          <w:rFonts w:cs="Arial"/>
          <w:sz w:val="22"/>
        </w:rPr>
        <w:t>.</w:t>
      </w:r>
    </w:p>
    <w:p w:rsidR="00EF75D2" w:rsidRPr="00BE2A89" w:rsidRDefault="00EF75D2" w:rsidP="00EF75D2">
      <w:pPr>
        <w:ind w:left="1276"/>
        <w:jc w:val="both"/>
        <w:rPr>
          <w:rFonts w:cs="Arial"/>
          <w:sz w:val="22"/>
        </w:rPr>
      </w:pPr>
      <w:r w:rsidRPr="00BE2A89">
        <w:rPr>
          <w:rFonts w:cs="Arial"/>
          <w:b/>
          <w:bCs/>
          <w:sz w:val="22"/>
        </w:rPr>
        <w:t>Risco residual</w:t>
      </w:r>
      <w:r>
        <w:rPr>
          <w:rFonts w:cs="Arial"/>
          <w:sz w:val="22"/>
        </w:rPr>
        <w:t xml:space="preserve">: </w:t>
      </w:r>
      <w:r w:rsidRPr="00BE2A89">
        <w:rPr>
          <w:rFonts w:cs="Arial"/>
          <w:sz w:val="22"/>
        </w:rPr>
        <w:t>risco que ainda permanece num local mesmo após a implantação de programas de redução de risco. De uma maneira geral, é preciso entender que sempre existirá um risco residual, uma vez que o risco pode ser gerenciado e/ou</w:t>
      </w:r>
      <w:r>
        <w:rPr>
          <w:rFonts w:cs="Arial"/>
          <w:sz w:val="22"/>
        </w:rPr>
        <w:t xml:space="preserve"> </w:t>
      </w:r>
      <w:r w:rsidRPr="00BE2A89">
        <w:rPr>
          <w:rFonts w:cs="Arial"/>
          <w:sz w:val="22"/>
        </w:rPr>
        <w:t>re</w:t>
      </w:r>
      <w:r>
        <w:rPr>
          <w:rFonts w:cs="Arial"/>
          <w:sz w:val="22"/>
        </w:rPr>
        <w:t>duzido com medidas de mitigação</w:t>
      </w:r>
      <w:r w:rsidRPr="00BE2A89">
        <w:rPr>
          <w:rFonts w:cs="Arial"/>
          <w:sz w:val="22"/>
        </w:rPr>
        <w:t>.</w:t>
      </w:r>
    </w:p>
    <w:p w:rsidR="00EF75D2" w:rsidRDefault="00EF75D2" w:rsidP="00BC01B1">
      <w:pPr>
        <w:pStyle w:val="Ttulo4"/>
      </w:pPr>
      <w:bookmarkStart w:id="1111" w:name="_Toc498594091"/>
      <w:bookmarkStart w:id="1112" w:name="_Toc509935585"/>
      <w:r>
        <w:t xml:space="preserve">Ações de proteção e </w:t>
      </w:r>
      <w:r w:rsidRPr="000E3655">
        <w:t>defesa civil</w:t>
      </w:r>
      <w:r>
        <w:t xml:space="preserve"> no p</w:t>
      </w:r>
      <w:r w:rsidRPr="000E3655">
        <w:t>lanejamento municipal</w:t>
      </w:r>
      <w:bookmarkEnd w:id="1111"/>
      <w:bookmarkEnd w:id="1112"/>
    </w:p>
    <w:p w:rsidR="00EF75D2" w:rsidRPr="00EB0EBC" w:rsidRDefault="00EF75D2" w:rsidP="00EF75D2">
      <w:pPr>
        <w:ind w:firstLine="623"/>
        <w:jc w:val="both"/>
        <w:rPr>
          <w:rFonts w:eastAsia="Times New Roman" w:cs="Arial"/>
          <w:b/>
          <w:bCs/>
          <w:color w:val="4F81BD"/>
          <w:sz w:val="32"/>
          <w:szCs w:val="26"/>
        </w:rPr>
      </w:pPr>
      <w:r w:rsidRPr="000E3655">
        <w:rPr>
          <w:rFonts w:cs="Arial"/>
          <w:color w:val="000000"/>
          <w:szCs w:val="20"/>
        </w:rPr>
        <w:t xml:space="preserve">A Lei </w:t>
      </w:r>
      <w:r>
        <w:rPr>
          <w:rFonts w:cs="Arial"/>
          <w:color w:val="000000"/>
          <w:szCs w:val="20"/>
        </w:rPr>
        <w:t xml:space="preserve">nº </w:t>
      </w:r>
      <w:r w:rsidRPr="000E3655">
        <w:rPr>
          <w:rFonts w:cs="Arial"/>
          <w:color w:val="000000"/>
          <w:szCs w:val="20"/>
        </w:rPr>
        <w:t>10.257/01, que estabelece diretrizes gerais da política urbana, prevê em seu artigo 2° que a ordenação e controle do uso do solo evite a exposição da população a riscos de desastres. Para tanto</w:t>
      </w:r>
      <w:r>
        <w:rPr>
          <w:rFonts w:cs="Arial"/>
          <w:color w:val="000000"/>
          <w:szCs w:val="20"/>
        </w:rPr>
        <w:t>,</w:t>
      </w:r>
      <w:r w:rsidRPr="000E3655">
        <w:rPr>
          <w:rFonts w:cs="Arial"/>
          <w:color w:val="000000"/>
          <w:szCs w:val="20"/>
        </w:rPr>
        <w:t xml:space="preserve"> é fundamental uma articulação entre o órgão de proteção e defesa civil e o de planejamento urbano.</w:t>
      </w:r>
    </w:p>
    <w:p w:rsidR="00EF75D2" w:rsidRDefault="00EF75D2" w:rsidP="00EF75D2">
      <w:pPr>
        <w:ind w:firstLine="623"/>
        <w:jc w:val="both"/>
        <w:rPr>
          <w:rFonts w:cs="Arial"/>
          <w:color w:val="000000"/>
          <w:szCs w:val="20"/>
        </w:rPr>
      </w:pPr>
      <w:r>
        <w:rPr>
          <w:rFonts w:cs="Arial"/>
          <w:color w:val="000000"/>
          <w:szCs w:val="20"/>
        </w:rPr>
        <w:t xml:space="preserve">Um exemplo de </w:t>
      </w:r>
      <w:r w:rsidRPr="000E3655">
        <w:rPr>
          <w:rFonts w:cs="Arial"/>
          <w:color w:val="000000"/>
          <w:szCs w:val="20"/>
        </w:rPr>
        <w:t xml:space="preserve">trabalho </w:t>
      </w:r>
      <w:r>
        <w:rPr>
          <w:rFonts w:cs="Arial"/>
          <w:color w:val="000000"/>
          <w:szCs w:val="20"/>
        </w:rPr>
        <w:t>intersetorial seria o</w:t>
      </w:r>
      <w:r w:rsidRPr="000E3655">
        <w:rPr>
          <w:rFonts w:cs="Arial"/>
          <w:color w:val="000000"/>
          <w:szCs w:val="20"/>
        </w:rPr>
        <w:t xml:space="preserve"> </w:t>
      </w:r>
      <w:r>
        <w:rPr>
          <w:rFonts w:cs="Arial"/>
          <w:color w:val="000000"/>
          <w:szCs w:val="20"/>
        </w:rPr>
        <w:t xml:space="preserve">simples compartilhamento entre as diversas Secretarias Municipais e a Defesa Civil de </w:t>
      </w:r>
      <w:r w:rsidRPr="000E3655">
        <w:rPr>
          <w:rFonts w:cs="Arial"/>
          <w:color w:val="000000"/>
          <w:szCs w:val="20"/>
        </w:rPr>
        <w:t>informações</w:t>
      </w:r>
      <w:r>
        <w:rPr>
          <w:rFonts w:cs="Arial"/>
          <w:color w:val="000000"/>
          <w:szCs w:val="20"/>
        </w:rPr>
        <w:t xml:space="preserve"> como</w:t>
      </w:r>
      <w:r w:rsidRPr="000E3655">
        <w:rPr>
          <w:rFonts w:cs="Arial"/>
          <w:color w:val="000000"/>
          <w:szCs w:val="20"/>
        </w:rPr>
        <w:t xml:space="preserve"> mapas de riscos </w:t>
      </w:r>
      <w:r>
        <w:rPr>
          <w:rFonts w:cs="Arial"/>
          <w:color w:val="000000"/>
          <w:szCs w:val="20"/>
        </w:rPr>
        <w:t xml:space="preserve">geológicos elaborados </w:t>
      </w:r>
      <w:r w:rsidRPr="000E3655">
        <w:rPr>
          <w:rFonts w:cs="Arial"/>
          <w:color w:val="000000"/>
          <w:szCs w:val="20"/>
        </w:rPr>
        <w:t xml:space="preserve">localmente ou com apoio dos governos estadual </w:t>
      </w:r>
      <w:r>
        <w:rPr>
          <w:rFonts w:cs="Arial"/>
          <w:color w:val="000000"/>
          <w:szCs w:val="20"/>
        </w:rPr>
        <w:t>e federal</w:t>
      </w:r>
      <w:r w:rsidRPr="000E3655">
        <w:rPr>
          <w:rFonts w:cs="Arial"/>
          <w:color w:val="000000"/>
          <w:szCs w:val="20"/>
        </w:rPr>
        <w:t>; estudos disponíveis sobre ameaças e vulnerabilidades</w:t>
      </w:r>
      <w:r>
        <w:rPr>
          <w:rFonts w:cs="Arial"/>
          <w:color w:val="000000"/>
          <w:szCs w:val="20"/>
        </w:rPr>
        <w:t>, levantamentos cadastrais de locais sujeitos a deslizamentos e/ou inundações, etc.</w:t>
      </w:r>
    </w:p>
    <w:p w:rsidR="00EF75D2" w:rsidRDefault="00EF75D2" w:rsidP="00EF75D2">
      <w:pPr>
        <w:ind w:firstLine="623"/>
        <w:jc w:val="both"/>
        <w:rPr>
          <w:rFonts w:cs="Arial"/>
          <w:color w:val="000000"/>
          <w:szCs w:val="20"/>
        </w:rPr>
      </w:pPr>
      <w:r w:rsidRPr="000E3655">
        <w:rPr>
          <w:rFonts w:cs="Arial"/>
          <w:color w:val="000000"/>
          <w:szCs w:val="20"/>
        </w:rPr>
        <w:t xml:space="preserve">Além disso, </w:t>
      </w:r>
      <w:r>
        <w:rPr>
          <w:rFonts w:cs="Arial"/>
          <w:color w:val="000000"/>
          <w:szCs w:val="20"/>
        </w:rPr>
        <w:t xml:space="preserve">alguns </w:t>
      </w:r>
      <w:r w:rsidRPr="000E3655">
        <w:rPr>
          <w:rFonts w:cs="Arial"/>
          <w:color w:val="000000"/>
          <w:szCs w:val="20"/>
        </w:rPr>
        <w:t>importante</w:t>
      </w:r>
      <w:r>
        <w:rPr>
          <w:rFonts w:cs="Arial"/>
          <w:color w:val="000000"/>
          <w:szCs w:val="20"/>
        </w:rPr>
        <w:t>s instrumentos a serem considerados n</w:t>
      </w:r>
      <w:r w:rsidRPr="000E3655">
        <w:rPr>
          <w:rFonts w:cs="Arial"/>
          <w:color w:val="000000"/>
          <w:szCs w:val="20"/>
        </w:rPr>
        <w:t xml:space="preserve">as ações de proteção e defesa civil no planejamento municipal são: o Plano Diretor, previsto pela mesma Lei </w:t>
      </w:r>
      <w:r>
        <w:rPr>
          <w:rFonts w:cs="Arial"/>
          <w:color w:val="000000"/>
          <w:szCs w:val="20"/>
        </w:rPr>
        <w:t xml:space="preserve">nº </w:t>
      </w:r>
      <w:r w:rsidRPr="000E3655">
        <w:rPr>
          <w:rFonts w:cs="Arial"/>
          <w:color w:val="000000"/>
          <w:szCs w:val="20"/>
        </w:rPr>
        <w:t>10.257/01</w:t>
      </w:r>
      <w:r>
        <w:rPr>
          <w:rFonts w:cs="Arial"/>
          <w:color w:val="000000"/>
          <w:szCs w:val="20"/>
        </w:rPr>
        <w:t>, incluindo os novos artigos 42a e 42b que tratam de áreas de risco</w:t>
      </w:r>
      <w:r w:rsidRPr="000E3655">
        <w:rPr>
          <w:rFonts w:cs="Arial"/>
          <w:color w:val="000000"/>
          <w:szCs w:val="20"/>
        </w:rPr>
        <w:t>; os Planos Municipai</w:t>
      </w:r>
      <w:r>
        <w:rPr>
          <w:rFonts w:cs="Arial"/>
          <w:color w:val="000000"/>
          <w:szCs w:val="20"/>
        </w:rPr>
        <w:t xml:space="preserve">s de Redução de Riscos - PMRR, </w:t>
      </w:r>
      <w:r w:rsidRPr="000E3655">
        <w:rPr>
          <w:rFonts w:cs="Arial"/>
          <w:color w:val="000000"/>
          <w:szCs w:val="20"/>
        </w:rPr>
        <w:t>o programa de prevenção de riscos conduzido pelo Ministério das</w:t>
      </w:r>
      <w:r>
        <w:rPr>
          <w:rFonts w:cs="Arial"/>
          <w:color w:val="000000"/>
          <w:szCs w:val="20"/>
        </w:rPr>
        <w:t xml:space="preserve"> Cidades, as cartas geotécnicas;</w:t>
      </w:r>
      <w:r w:rsidRPr="000E3655">
        <w:rPr>
          <w:rFonts w:cs="Arial"/>
          <w:color w:val="000000"/>
          <w:szCs w:val="20"/>
        </w:rPr>
        <w:t xml:space="preserve"> </w:t>
      </w:r>
      <w:r>
        <w:rPr>
          <w:rFonts w:cs="Arial"/>
          <w:color w:val="000000"/>
          <w:szCs w:val="20"/>
        </w:rPr>
        <w:t xml:space="preserve">as cartas de suscetibilidade a movimentos gravitacionais de massa e inundações elaboradas pelo IPT em parceria com o CPRM, entre 2013 e 2015, entre outros. </w:t>
      </w:r>
    </w:p>
    <w:p w:rsidR="00EF75D2" w:rsidRPr="007A4704" w:rsidRDefault="00EF75D2" w:rsidP="00EF75D2">
      <w:pPr>
        <w:ind w:firstLine="708"/>
        <w:jc w:val="both"/>
        <w:rPr>
          <w:rFonts w:cs="Arial"/>
          <w:color w:val="000000"/>
          <w:szCs w:val="24"/>
        </w:rPr>
      </w:pPr>
      <w:r>
        <w:rPr>
          <w:rFonts w:cs="Arial"/>
          <w:color w:val="000000"/>
          <w:szCs w:val="24"/>
        </w:rPr>
        <w:t xml:space="preserve">O Plano Municipal </w:t>
      </w:r>
      <w:r w:rsidRPr="007A4704">
        <w:rPr>
          <w:rFonts w:cs="Arial"/>
          <w:color w:val="000000"/>
          <w:szCs w:val="24"/>
        </w:rPr>
        <w:t>de Redução de Riscos</w:t>
      </w:r>
      <w:r>
        <w:rPr>
          <w:rFonts w:cs="Arial"/>
          <w:color w:val="000000"/>
          <w:szCs w:val="24"/>
        </w:rPr>
        <w:t>, que</w:t>
      </w:r>
      <w:r w:rsidRPr="007A4704">
        <w:rPr>
          <w:rFonts w:cs="Arial"/>
          <w:color w:val="000000"/>
          <w:szCs w:val="24"/>
        </w:rPr>
        <w:t xml:space="preserve"> parte do programa de Prevenção de Riscos conduzido pelo Ministério das Cidades</w:t>
      </w:r>
      <w:r>
        <w:rPr>
          <w:rFonts w:cs="Arial"/>
          <w:color w:val="000000"/>
          <w:szCs w:val="24"/>
        </w:rPr>
        <w:t xml:space="preserve">, é outro instrumento que o município pode lançar mão </w:t>
      </w:r>
      <w:r w:rsidRPr="007A4704">
        <w:rPr>
          <w:rFonts w:cs="Arial"/>
          <w:color w:val="000000"/>
          <w:szCs w:val="24"/>
        </w:rPr>
        <w:t xml:space="preserve">com o objetivo de “melhorar as condições de habitabilidade de </w:t>
      </w:r>
      <w:r w:rsidRPr="007A4704">
        <w:rPr>
          <w:rFonts w:cs="Arial"/>
          <w:color w:val="000000"/>
          <w:szCs w:val="24"/>
        </w:rPr>
        <w:lastRenderedPageBreak/>
        <w:t xml:space="preserve">assentamentos humanos precários, reduzir riscos mediante sua urbanização e regularização fundiária, integrando-os ao tecido urbano da cidade”. </w:t>
      </w:r>
    </w:p>
    <w:p w:rsidR="00EF75D2" w:rsidRPr="007A4704" w:rsidRDefault="00EF75D2" w:rsidP="00EF75D2">
      <w:pPr>
        <w:ind w:firstLine="708"/>
        <w:jc w:val="both"/>
        <w:rPr>
          <w:rFonts w:cs="Arial"/>
          <w:color w:val="000000"/>
          <w:szCs w:val="24"/>
        </w:rPr>
      </w:pPr>
      <w:r w:rsidRPr="007A4704">
        <w:rPr>
          <w:rFonts w:cs="Arial"/>
          <w:color w:val="000000"/>
          <w:szCs w:val="24"/>
        </w:rPr>
        <w:t xml:space="preserve">O PMRR pode ser elaborado – sempre em parceria com o Ministério das Cidades – por diferentes órgãos da </w:t>
      </w:r>
      <w:r>
        <w:rPr>
          <w:rFonts w:cs="Arial"/>
          <w:color w:val="000000"/>
          <w:szCs w:val="24"/>
        </w:rPr>
        <w:t>P</w:t>
      </w:r>
      <w:r w:rsidRPr="007A4704">
        <w:rPr>
          <w:rFonts w:cs="Arial"/>
          <w:color w:val="000000"/>
          <w:szCs w:val="24"/>
        </w:rPr>
        <w:t>refeitura</w:t>
      </w:r>
      <w:r>
        <w:rPr>
          <w:rFonts w:cs="Arial"/>
          <w:color w:val="000000"/>
          <w:szCs w:val="24"/>
        </w:rPr>
        <w:t xml:space="preserve"> Municipal</w:t>
      </w:r>
      <w:r w:rsidRPr="007A4704">
        <w:rPr>
          <w:rFonts w:cs="Arial"/>
          <w:color w:val="000000"/>
          <w:szCs w:val="24"/>
        </w:rPr>
        <w:t>. Em geral, o próprio órgão de proteção e defesa civil é o que busca o financiamento e se articula a outras secretarias – variáveis de município para município – para sua execução.</w:t>
      </w:r>
    </w:p>
    <w:p w:rsidR="00EF75D2" w:rsidRDefault="00EF75D2" w:rsidP="00EF75D2">
      <w:pPr>
        <w:ind w:firstLine="708"/>
        <w:jc w:val="both"/>
        <w:rPr>
          <w:rFonts w:cs="Arial"/>
          <w:color w:val="000000"/>
          <w:szCs w:val="24"/>
        </w:rPr>
      </w:pPr>
      <w:r w:rsidRPr="007A4704">
        <w:rPr>
          <w:rFonts w:cs="Arial"/>
          <w:color w:val="000000"/>
          <w:szCs w:val="24"/>
        </w:rPr>
        <w:t>Para desenvolver um PMRR é necessário realizar levantamentos, estudos e análises sobre as áreas de</w:t>
      </w:r>
      <w:r>
        <w:rPr>
          <w:rFonts w:cs="Arial"/>
          <w:color w:val="000000"/>
          <w:szCs w:val="24"/>
        </w:rPr>
        <w:t xml:space="preserve"> </w:t>
      </w:r>
      <w:r w:rsidRPr="007A4704">
        <w:rPr>
          <w:rFonts w:cs="Arial"/>
          <w:color w:val="000000"/>
          <w:szCs w:val="24"/>
        </w:rPr>
        <w:t xml:space="preserve">risco, que foquem em aspectos como: </w:t>
      </w:r>
    </w:p>
    <w:p w:rsidR="00EF75D2" w:rsidRPr="000C49A3" w:rsidRDefault="00EF75D2" w:rsidP="0066661F">
      <w:pPr>
        <w:pStyle w:val="PargrafodaLista"/>
        <w:numPr>
          <w:ilvl w:val="0"/>
          <w:numId w:val="108"/>
        </w:numPr>
        <w:spacing w:line="240" w:lineRule="auto"/>
        <w:rPr>
          <w:rFonts w:cs="Arial"/>
          <w:color w:val="000000"/>
          <w:szCs w:val="24"/>
        </w:rPr>
      </w:pPr>
      <w:r w:rsidRPr="000C49A3">
        <w:rPr>
          <w:rFonts w:cs="Arial"/>
          <w:color w:val="000000"/>
          <w:szCs w:val="24"/>
        </w:rPr>
        <w:t xml:space="preserve">Condições de riscos (geológico, geotécnico, hidrológico) com foco para as áreas vulneráveis e suscetíveis; </w:t>
      </w:r>
    </w:p>
    <w:p w:rsidR="00EF75D2" w:rsidRPr="000C49A3" w:rsidRDefault="00EF75D2" w:rsidP="0066661F">
      <w:pPr>
        <w:pStyle w:val="PargrafodaLista"/>
        <w:numPr>
          <w:ilvl w:val="0"/>
          <w:numId w:val="108"/>
        </w:numPr>
        <w:spacing w:line="240" w:lineRule="auto"/>
        <w:rPr>
          <w:rFonts w:cs="Arial"/>
          <w:color w:val="000000"/>
          <w:szCs w:val="24"/>
        </w:rPr>
      </w:pPr>
      <w:r w:rsidRPr="000C49A3">
        <w:rPr>
          <w:rFonts w:cs="Arial"/>
          <w:color w:val="000000"/>
          <w:szCs w:val="24"/>
        </w:rPr>
        <w:t xml:space="preserve">Critérios de hierarquização do risco; </w:t>
      </w:r>
    </w:p>
    <w:p w:rsidR="00EF75D2" w:rsidRPr="000C49A3" w:rsidRDefault="00EF75D2" w:rsidP="0066661F">
      <w:pPr>
        <w:pStyle w:val="PargrafodaLista"/>
        <w:numPr>
          <w:ilvl w:val="0"/>
          <w:numId w:val="108"/>
        </w:numPr>
        <w:spacing w:line="240" w:lineRule="auto"/>
        <w:rPr>
          <w:rFonts w:cs="Arial"/>
          <w:color w:val="000000"/>
          <w:szCs w:val="24"/>
        </w:rPr>
      </w:pPr>
      <w:r w:rsidRPr="000C49A3">
        <w:rPr>
          <w:rFonts w:cs="Arial"/>
          <w:color w:val="000000"/>
          <w:szCs w:val="24"/>
        </w:rPr>
        <w:t xml:space="preserve">Intervenções estruturais necessárias para reduzir e mitigar as situações de risco de desastre; </w:t>
      </w:r>
    </w:p>
    <w:p w:rsidR="00EF75D2" w:rsidRPr="000C49A3" w:rsidRDefault="00EF75D2" w:rsidP="0066661F">
      <w:pPr>
        <w:pStyle w:val="PargrafodaLista"/>
        <w:numPr>
          <w:ilvl w:val="0"/>
          <w:numId w:val="108"/>
        </w:numPr>
        <w:spacing w:line="240" w:lineRule="auto"/>
        <w:rPr>
          <w:rFonts w:cs="Arial"/>
          <w:color w:val="000000"/>
          <w:szCs w:val="24"/>
        </w:rPr>
      </w:pPr>
      <w:r w:rsidRPr="000C49A3">
        <w:rPr>
          <w:rFonts w:cs="Arial"/>
          <w:color w:val="000000"/>
          <w:szCs w:val="24"/>
        </w:rPr>
        <w:t xml:space="preserve">Estimativas de custos das intervenções propostas; </w:t>
      </w:r>
    </w:p>
    <w:p w:rsidR="00EF75D2" w:rsidRPr="000C49A3" w:rsidRDefault="00EF75D2" w:rsidP="0066661F">
      <w:pPr>
        <w:pStyle w:val="PargrafodaLista"/>
        <w:numPr>
          <w:ilvl w:val="0"/>
          <w:numId w:val="108"/>
        </w:numPr>
        <w:spacing w:line="240" w:lineRule="auto"/>
        <w:rPr>
          <w:rFonts w:cs="Arial"/>
          <w:color w:val="000000"/>
          <w:szCs w:val="24"/>
        </w:rPr>
      </w:pPr>
      <w:r w:rsidRPr="000C49A3">
        <w:rPr>
          <w:rFonts w:cs="Arial"/>
          <w:color w:val="000000"/>
          <w:szCs w:val="24"/>
        </w:rPr>
        <w:t xml:space="preserve">Mobilização, sensibilização e capacitação de comunidades e instituições; </w:t>
      </w:r>
    </w:p>
    <w:p w:rsidR="00EF75D2" w:rsidRDefault="00EF75D2" w:rsidP="0066661F">
      <w:pPr>
        <w:pStyle w:val="PargrafodaLista"/>
        <w:numPr>
          <w:ilvl w:val="0"/>
          <w:numId w:val="108"/>
        </w:numPr>
        <w:spacing w:line="240" w:lineRule="auto"/>
        <w:rPr>
          <w:rFonts w:cs="Arial"/>
          <w:color w:val="000000"/>
          <w:szCs w:val="24"/>
        </w:rPr>
      </w:pPr>
      <w:r w:rsidRPr="000C49A3">
        <w:rPr>
          <w:rFonts w:cs="Arial"/>
          <w:color w:val="000000"/>
          <w:szCs w:val="24"/>
        </w:rPr>
        <w:t>Audiências públicas</w:t>
      </w:r>
      <w:r>
        <w:rPr>
          <w:rFonts w:cs="Arial"/>
          <w:color w:val="000000"/>
          <w:szCs w:val="24"/>
          <w:lang w:val="pt-BR"/>
        </w:rPr>
        <w:t>.</w:t>
      </w:r>
    </w:p>
    <w:p w:rsidR="00EF75D2" w:rsidRPr="000C49A3" w:rsidRDefault="00EF75D2" w:rsidP="00EF75D2">
      <w:pPr>
        <w:jc w:val="both"/>
        <w:rPr>
          <w:rFonts w:cs="Arial"/>
          <w:color w:val="000000"/>
          <w:szCs w:val="24"/>
        </w:rPr>
      </w:pPr>
    </w:p>
    <w:p w:rsidR="00EF75D2" w:rsidRDefault="00EF75D2" w:rsidP="00EF75D2">
      <w:pPr>
        <w:ind w:firstLine="623"/>
        <w:jc w:val="both"/>
      </w:pPr>
      <w:r>
        <w:rPr>
          <w:rFonts w:cs="Arial"/>
          <w:color w:val="000000"/>
          <w:szCs w:val="20"/>
        </w:rPr>
        <w:t xml:space="preserve">Ressalta-se que </w:t>
      </w:r>
      <w:r>
        <w:t xml:space="preserve">a correta utilização das cartas geotécnicas pode auxiliar a prevenir e evitar problemas relacionados ao uso e ocupação do solo, desde os mais simples até os que tendem a gerar desastres naturais. </w:t>
      </w:r>
      <w:r>
        <w:rPr>
          <w:rFonts w:cs="Arial"/>
          <w:color w:val="000000"/>
          <w:szCs w:val="20"/>
        </w:rPr>
        <w:t xml:space="preserve">O </w:t>
      </w:r>
      <w:r>
        <w:t>Guia “</w:t>
      </w:r>
      <w:r w:rsidRPr="002544F2">
        <w:rPr>
          <w:i/>
        </w:rPr>
        <w:t xml:space="preserve">Cartas Geotécnicas </w:t>
      </w:r>
      <w:r>
        <w:rPr>
          <w:i/>
        </w:rPr>
        <w:t xml:space="preserve">- </w:t>
      </w:r>
      <w:r w:rsidRPr="002544F2">
        <w:rPr>
          <w:i/>
        </w:rPr>
        <w:t>orientações básicas aos municípios</w:t>
      </w:r>
      <w:r>
        <w:t>”, elaborado pelo IPT, tem a finalidade de subsidiar os municípios no atendimento a demandas estabelecidas recentemente pela legislação brasileira, com a perspectiva de contribuir para a compreensão e utilização de cartas geotécnicas no planejamento e ordenamento territorial e na proteção e defesa civil.</w:t>
      </w:r>
    </w:p>
    <w:p w:rsidR="00EF75D2" w:rsidRPr="009C3709" w:rsidRDefault="00EF75D2" w:rsidP="00BC01B1">
      <w:pPr>
        <w:pStyle w:val="Ttulo3"/>
      </w:pPr>
      <w:bookmarkStart w:id="1113" w:name="_Toc498594092"/>
      <w:bookmarkStart w:id="1114" w:name="_Toc509935586"/>
      <w:r w:rsidRPr="009C3709">
        <w:t>Plano de Conting</w:t>
      </w:r>
      <w:r>
        <w:t>ê</w:t>
      </w:r>
      <w:r w:rsidRPr="009C3709">
        <w:t>ncia</w:t>
      </w:r>
      <w:bookmarkEnd w:id="1113"/>
      <w:bookmarkEnd w:id="1114"/>
    </w:p>
    <w:p w:rsidR="00EF75D2" w:rsidRPr="00023E74" w:rsidRDefault="00EF75D2" w:rsidP="00023E74">
      <w:pPr>
        <w:ind w:firstLine="623"/>
        <w:jc w:val="both"/>
        <w:rPr>
          <w:rFonts w:cs="Arial"/>
          <w:bCs/>
          <w:szCs w:val="20"/>
        </w:rPr>
      </w:pPr>
      <w:r w:rsidRPr="00023E74">
        <w:rPr>
          <w:rFonts w:cs="Arial"/>
          <w:bCs/>
          <w:szCs w:val="20"/>
        </w:rPr>
        <w:t>O Plano de Contingência</w:t>
      </w:r>
      <w:r w:rsidRPr="00023E74">
        <w:rPr>
          <w:color w:val="000000"/>
          <w:szCs w:val="20"/>
          <w:vertAlign w:val="superscript"/>
        </w:rPr>
        <w:footnoteReference w:id="4"/>
      </w:r>
      <w:r w:rsidRPr="00023E74">
        <w:rPr>
          <w:rFonts w:cs="Arial"/>
          <w:bCs/>
          <w:color w:val="000000"/>
          <w:szCs w:val="20"/>
          <w:vertAlign w:val="superscript"/>
        </w:rPr>
        <w:t xml:space="preserve"> </w:t>
      </w:r>
      <w:r w:rsidRPr="00023E74">
        <w:rPr>
          <w:rFonts w:cs="Arial"/>
          <w:bCs/>
          <w:szCs w:val="20"/>
        </w:rPr>
        <w:t xml:space="preserve">funciona como um planejamento da resposta ao risco instalado e, por isso, deve ser elaborado em situação de normalidade, quando são definidos os procedimentos, ações e decisões que devem ser tomadas na ocorrência do desastre. Na etapa de resposta, por sua vez, tem-se a operacionalização do plano de contingência, quando todo o planejamento feito anteriormente é adaptado à situação real do desastre. </w:t>
      </w:r>
    </w:p>
    <w:p w:rsidR="00EF75D2" w:rsidRPr="00023E74" w:rsidRDefault="00EF75D2" w:rsidP="00023E74">
      <w:pPr>
        <w:ind w:firstLine="623"/>
        <w:jc w:val="both"/>
        <w:rPr>
          <w:rFonts w:cs="Arial"/>
          <w:bCs/>
          <w:szCs w:val="20"/>
        </w:rPr>
      </w:pPr>
      <w:r w:rsidRPr="00023E74">
        <w:rPr>
          <w:rFonts w:cs="Arial"/>
          <w:bCs/>
          <w:szCs w:val="20"/>
        </w:rPr>
        <w:lastRenderedPageBreak/>
        <w:t>Nesse contexto, a PNPDEC atribui aos municípios a responsabilidade pela execução do Plano de Contingência, bem como por manter a União e o estado informados sobre a ocorrência de desastres, segundo o Código Brasileiro de Desastres – COBRADE (</w:t>
      </w:r>
      <w:r w:rsidR="002055C4">
        <w:rPr>
          <w:rFonts w:cs="Arial"/>
          <w:bCs/>
          <w:szCs w:val="20"/>
        </w:rPr>
        <w:fldChar w:fldCharType="begin"/>
      </w:r>
      <w:r w:rsidR="002055C4">
        <w:rPr>
          <w:rFonts w:cs="Arial"/>
          <w:bCs/>
          <w:szCs w:val="20"/>
        </w:rPr>
        <w:instrText xml:space="preserve"> REF _Ref505849196 \h </w:instrText>
      </w:r>
      <w:r w:rsidR="002055C4">
        <w:rPr>
          <w:rFonts w:cs="Arial"/>
          <w:bCs/>
          <w:szCs w:val="20"/>
        </w:rPr>
      </w:r>
      <w:r w:rsidR="002055C4">
        <w:rPr>
          <w:rFonts w:cs="Arial"/>
          <w:bCs/>
          <w:szCs w:val="20"/>
        </w:rPr>
        <w:fldChar w:fldCharType="separate"/>
      </w:r>
      <w:r w:rsidR="001B481B">
        <w:t xml:space="preserve">Anexo </w:t>
      </w:r>
      <w:r w:rsidR="001B481B">
        <w:rPr>
          <w:noProof/>
        </w:rPr>
        <w:t>1</w:t>
      </w:r>
      <w:r w:rsidR="002055C4">
        <w:rPr>
          <w:rFonts w:cs="Arial"/>
          <w:bCs/>
          <w:szCs w:val="20"/>
        </w:rPr>
        <w:fldChar w:fldCharType="end"/>
      </w:r>
      <w:r w:rsidRPr="00023E74">
        <w:rPr>
          <w:rFonts w:cs="Arial"/>
          <w:bCs/>
          <w:szCs w:val="20"/>
        </w:rPr>
        <w:t>) e atividades de proteção civil no município como, por exemplo, o Plano de Contingência.</w:t>
      </w:r>
    </w:p>
    <w:p w:rsidR="00EF75D2" w:rsidRPr="00023E74" w:rsidRDefault="00EF75D2" w:rsidP="00023E74">
      <w:pPr>
        <w:ind w:firstLine="623"/>
        <w:jc w:val="both"/>
        <w:rPr>
          <w:rFonts w:cs="Arial"/>
          <w:bCs/>
          <w:szCs w:val="20"/>
        </w:rPr>
      </w:pPr>
      <w:r w:rsidRPr="00023E74">
        <w:rPr>
          <w:rFonts w:cs="Arial"/>
          <w:bCs/>
          <w:szCs w:val="20"/>
        </w:rPr>
        <w:t>Aos Estados e União cabem a função de apoiar a execução local, a exemplo da criação, pelo governo federal, de um módulo específico de registro dos planos de contingências (municipais) no Sistema Integrado de Informações sobre Desastres – S2ID.</w:t>
      </w:r>
    </w:p>
    <w:p w:rsidR="00EF75D2" w:rsidRPr="00023E74" w:rsidRDefault="00EF75D2" w:rsidP="00023E74">
      <w:pPr>
        <w:ind w:firstLine="623"/>
        <w:jc w:val="both"/>
        <w:rPr>
          <w:rFonts w:cs="Arial"/>
          <w:bCs/>
          <w:szCs w:val="20"/>
        </w:rPr>
      </w:pPr>
      <w:r w:rsidRPr="00023E74">
        <w:rPr>
          <w:rFonts w:cs="Arial"/>
          <w:bCs/>
          <w:szCs w:val="20"/>
        </w:rPr>
        <w:t>Ainda, segundo o conteúdo da PNPDEC constante na Lei nº 12.608/12, a competência da gestão municipal na elaboração do plano de contingência inclui sua avaliação e prestação anual de contas, por meio de audiência pública e realização regular de exercícios simulados (art. 22, §6°).</w:t>
      </w:r>
    </w:p>
    <w:p w:rsidR="00EF75D2" w:rsidRPr="00566E14" w:rsidRDefault="00EF75D2" w:rsidP="00EF75D2">
      <w:pPr>
        <w:ind w:firstLine="708"/>
        <w:jc w:val="both"/>
        <w:rPr>
          <w:rFonts w:cs="Arial"/>
          <w:szCs w:val="24"/>
        </w:rPr>
      </w:pPr>
      <w:r>
        <w:rPr>
          <w:rFonts w:cs="Arial"/>
          <w:color w:val="000000"/>
          <w:szCs w:val="24"/>
        </w:rPr>
        <w:t>Segundo a Lei nº 12.340/10, o governo f</w:t>
      </w:r>
      <w:r w:rsidRPr="00566E14">
        <w:rPr>
          <w:rFonts w:cs="Arial"/>
          <w:color w:val="000000"/>
          <w:szCs w:val="24"/>
        </w:rPr>
        <w:t>ederal instituirá cadastro nacional de municípios com áreas suscetíveis à ocorrência de deslizamentos de grande impacto, inundações bruscas ou processos geológicos ou hidrológicos c</w:t>
      </w:r>
      <w:r>
        <w:rPr>
          <w:rFonts w:cs="Arial"/>
          <w:color w:val="000000"/>
          <w:szCs w:val="24"/>
        </w:rPr>
        <w:t>orrelatos, conforme regulamento.</w:t>
      </w:r>
    </w:p>
    <w:p w:rsidR="00EF75D2" w:rsidRPr="009C27CD" w:rsidRDefault="00EF75D2" w:rsidP="00EF75D2">
      <w:pPr>
        <w:ind w:firstLine="708"/>
        <w:jc w:val="both"/>
        <w:rPr>
          <w:rFonts w:cs="Arial"/>
        </w:rPr>
      </w:pPr>
      <w:r>
        <w:rPr>
          <w:rFonts w:cs="Arial"/>
        </w:rPr>
        <w:t>Essa lei também d</w:t>
      </w:r>
      <w:r w:rsidRPr="009C27CD">
        <w:rPr>
          <w:rFonts w:cs="Arial"/>
        </w:rPr>
        <w:t>ispõe sobre as transferências de recursos da União aos órgãos e entidades dos Estados, Distrito Federal e Municípios para a execução de ações de prevenção em áreas de risco de desastres e de resposta e de recuperação em áreas atingidas por desastres e sobre o Fundo Nacional para Calamidades Públicas, Proteção e Defesa Civil.</w:t>
      </w:r>
    </w:p>
    <w:p w:rsidR="00EF75D2" w:rsidRPr="00023E74" w:rsidRDefault="00EF75D2" w:rsidP="00EF75D2">
      <w:pPr>
        <w:ind w:firstLine="708"/>
        <w:jc w:val="both"/>
        <w:rPr>
          <w:rFonts w:cs="Arial"/>
          <w:bCs/>
        </w:rPr>
      </w:pPr>
      <w:r w:rsidRPr="00023E74">
        <w:rPr>
          <w:rFonts w:cs="Arial"/>
          <w:bCs/>
        </w:rPr>
        <w:t>Conforme a Instrução Normativa n° 02 de 20 de dezembro de 2016 do Ministério da Integração Nacional (MIN), o Plano de Contingência é documento que registra o planejamento elaborado a partir da percepção do risco de determinado tipo de desastre e estabelece os procedimentos e responsabilidades.</w:t>
      </w:r>
    </w:p>
    <w:p w:rsidR="00EF75D2" w:rsidRDefault="00EF75D2" w:rsidP="00EF75D2">
      <w:pPr>
        <w:ind w:firstLine="708"/>
        <w:jc w:val="both"/>
        <w:rPr>
          <w:rFonts w:cs="Arial"/>
          <w:bCs/>
        </w:rPr>
      </w:pPr>
      <w:r w:rsidRPr="00023E74">
        <w:rPr>
          <w:rFonts w:cs="Arial"/>
          <w:bCs/>
        </w:rPr>
        <w:t>Os processos de elaboração de planos de contingência podem ser estruturados a partir de três questões básicas: (i) hipótese do desastre; (ii) preparação para desastres e (iii) desenvolvimento da resposta, conforme ilustra a</w:t>
      </w:r>
      <w:r w:rsidR="00982BA2">
        <w:rPr>
          <w:rFonts w:cs="Arial"/>
          <w:bCs/>
        </w:rPr>
        <w:t xml:space="preserve"> </w:t>
      </w:r>
      <w:r w:rsidR="00982BA2">
        <w:rPr>
          <w:rFonts w:cs="Arial"/>
          <w:bCs/>
        </w:rPr>
        <w:fldChar w:fldCharType="begin"/>
      </w:r>
      <w:r w:rsidR="00982BA2">
        <w:rPr>
          <w:rFonts w:cs="Arial"/>
          <w:bCs/>
        </w:rPr>
        <w:instrText xml:space="preserve"> REF _Ref506565630 \h </w:instrText>
      </w:r>
      <w:r w:rsidR="00982BA2">
        <w:rPr>
          <w:rFonts w:cs="Arial"/>
          <w:bCs/>
        </w:rPr>
      </w:r>
      <w:r w:rsidR="00982BA2">
        <w:rPr>
          <w:rFonts w:cs="Arial"/>
          <w:bCs/>
        </w:rPr>
        <w:fldChar w:fldCharType="separate"/>
      </w:r>
      <w:r w:rsidR="001B481B">
        <w:t xml:space="preserve">Figura </w:t>
      </w:r>
      <w:r w:rsidR="001B481B">
        <w:rPr>
          <w:noProof/>
        </w:rPr>
        <w:t>9</w:t>
      </w:r>
      <w:r w:rsidR="00982BA2">
        <w:rPr>
          <w:rFonts w:cs="Arial"/>
          <w:bCs/>
        </w:rPr>
        <w:fldChar w:fldCharType="end"/>
      </w:r>
      <w:r w:rsidRPr="00023E74">
        <w:rPr>
          <w:rFonts w:cs="Arial"/>
          <w:bCs/>
        </w:rPr>
        <w:t>, mostrada a seguir:</w:t>
      </w:r>
    </w:p>
    <w:p w:rsidR="00BE7A5C" w:rsidRPr="00023E74" w:rsidRDefault="00BE7A5C" w:rsidP="00BE7A5C">
      <w:pPr>
        <w:pStyle w:val="Legenda"/>
        <w:rPr>
          <w:rFonts w:cs="Arial"/>
          <w:bCs w:val="0"/>
        </w:rPr>
      </w:pPr>
      <w:bookmarkStart w:id="1115" w:name="_Ref506565630"/>
      <w:bookmarkStart w:id="1116" w:name="_Toc509935774"/>
      <w:r>
        <w:lastRenderedPageBreak/>
        <w:t xml:space="preserve">Figura </w:t>
      </w:r>
      <w:r w:rsidR="000A1C78">
        <w:fldChar w:fldCharType="begin"/>
      </w:r>
      <w:r w:rsidR="000A1C78">
        <w:instrText xml:space="preserve"> SEQ Figura \* ARABIC </w:instrText>
      </w:r>
      <w:r w:rsidR="000A1C78">
        <w:fldChar w:fldCharType="separate"/>
      </w:r>
      <w:r w:rsidR="001B481B">
        <w:rPr>
          <w:noProof/>
        </w:rPr>
        <w:t>9</w:t>
      </w:r>
      <w:r w:rsidR="000A1C78">
        <w:rPr>
          <w:noProof/>
        </w:rPr>
        <w:fldChar w:fldCharType="end"/>
      </w:r>
      <w:bookmarkEnd w:id="1115"/>
      <w:r>
        <w:rPr>
          <w:lang w:val="pt-BR"/>
        </w:rPr>
        <w:t xml:space="preserve"> - </w:t>
      </w:r>
      <w:r w:rsidRPr="009A05AA">
        <w:rPr>
          <w:lang w:val="pt-BR"/>
        </w:rPr>
        <w:t>Questões relevantes para estruturação de um plano de contingência</w:t>
      </w:r>
      <w:bookmarkEnd w:id="1116"/>
    </w:p>
    <w:p w:rsidR="00EF75D2" w:rsidRPr="00810C89" w:rsidRDefault="00EF75D2" w:rsidP="00810C89">
      <w:pPr>
        <w:pStyle w:val="figura"/>
        <w:rPr>
          <w:rStyle w:val="fontstyle01"/>
          <w:rFonts w:ascii="Arial" w:hAnsi="Arial"/>
          <w:b w:val="0"/>
          <w:bCs w:val="0"/>
          <w:color w:val="auto"/>
          <w:sz w:val="22"/>
        </w:rPr>
      </w:pPr>
      <w:r w:rsidRPr="00810C89">
        <w:rPr>
          <w:noProof/>
        </w:rPr>
        <w:drawing>
          <wp:inline distT="0" distB="0" distL="0" distR="0" wp14:anchorId="601636AA" wp14:editId="4F3C012E">
            <wp:extent cx="5076825" cy="2752725"/>
            <wp:effectExtent l="19050" t="19050" r="28575" b="2857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75">
                      <a:extLst>
                        <a:ext uri="{28A0092B-C50C-407E-A947-70E740481C1C}">
                          <a14:useLocalDpi xmlns:a14="http://schemas.microsoft.com/office/drawing/2010/main" val="0"/>
                        </a:ext>
                      </a:extLst>
                    </a:blip>
                    <a:srcRect t="-3215"/>
                    <a:stretch>
                      <a:fillRect/>
                    </a:stretch>
                  </pic:blipFill>
                  <pic:spPr bwMode="auto">
                    <a:xfrm>
                      <a:off x="0" y="0"/>
                      <a:ext cx="5076825" cy="2752725"/>
                    </a:xfrm>
                    <a:prstGeom prst="rect">
                      <a:avLst/>
                    </a:prstGeom>
                    <a:noFill/>
                    <a:ln w="19050" cmpd="sng">
                      <a:solidFill>
                        <a:srgbClr val="000000"/>
                      </a:solidFill>
                      <a:miter lim="800000"/>
                      <a:headEnd/>
                      <a:tailEnd/>
                    </a:ln>
                    <a:effectLst/>
                  </pic:spPr>
                </pic:pic>
              </a:graphicData>
            </a:graphic>
          </wp:inline>
        </w:drawing>
      </w:r>
    </w:p>
    <w:p w:rsidR="00EF75D2" w:rsidRPr="00F21622" w:rsidRDefault="00EF75D2" w:rsidP="00AC47A2">
      <w:pPr>
        <w:pStyle w:val="Fonte"/>
      </w:pPr>
      <w:r>
        <w:t>Fonte: D</w:t>
      </w:r>
      <w:r w:rsidRPr="00F21622">
        <w:t>efesa civil</w:t>
      </w:r>
      <w:r>
        <w:t xml:space="preserve">, </w:t>
      </w:r>
      <w:r w:rsidRPr="00F21622">
        <w:t>2017</w:t>
      </w:r>
      <w:r>
        <w:t xml:space="preserve">, apud </w:t>
      </w:r>
      <w:r w:rsidRPr="00F21622">
        <w:t>RED CROSS, 2012.</w:t>
      </w:r>
    </w:p>
    <w:p w:rsidR="00EF75D2" w:rsidRPr="0057599B" w:rsidRDefault="00EF75D2" w:rsidP="00EF75D2">
      <w:pPr>
        <w:ind w:firstLine="708"/>
        <w:jc w:val="both"/>
        <w:rPr>
          <w:rFonts w:cs="Arial"/>
        </w:rPr>
      </w:pPr>
      <w:r w:rsidRPr="0057599B">
        <w:rPr>
          <w:rFonts w:cs="Arial"/>
        </w:rPr>
        <w:t>Assim, os planos de contingência devem ser elaborados para cenários de riscos específicos, ainda que não seja possível determinar com exatidão seus impactos. Para tanto, trabalha-se com cenários de riscos de forma a pensar em impactos potenciais, e planejar aspectos de resposta</w:t>
      </w:r>
      <w:r>
        <w:rPr>
          <w:rFonts w:cs="Arial"/>
        </w:rPr>
        <w:t xml:space="preserve"> tais como </w:t>
      </w:r>
      <w:r w:rsidRPr="0057599B">
        <w:rPr>
          <w:rFonts w:cs="Arial"/>
        </w:rPr>
        <w:t>recursos necessários, tarefas e responsáveis.</w:t>
      </w:r>
    </w:p>
    <w:p w:rsidR="00EF75D2" w:rsidRPr="0057599B" w:rsidRDefault="00EF75D2" w:rsidP="00EF75D2">
      <w:pPr>
        <w:ind w:firstLine="708"/>
        <w:jc w:val="both"/>
        <w:rPr>
          <w:rFonts w:cs="Arial"/>
        </w:rPr>
      </w:pPr>
      <w:r w:rsidRPr="0057599B">
        <w:rPr>
          <w:rFonts w:cs="Arial"/>
        </w:rPr>
        <w:t>Além disso</w:t>
      </w:r>
      <w:r>
        <w:rPr>
          <w:rFonts w:cs="Arial"/>
        </w:rPr>
        <w:t>,</w:t>
      </w:r>
      <w:r w:rsidRPr="0057599B">
        <w:rPr>
          <w:rFonts w:cs="Arial"/>
        </w:rPr>
        <w:t xml:space="preserve"> existe um estreito vínculo entre planos de contingência e exercícios simulados de emergência, sendo </w:t>
      </w:r>
      <w:r>
        <w:rPr>
          <w:rFonts w:cs="Arial"/>
        </w:rPr>
        <w:t xml:space="preserve">esses </w:t>
      </w:r>
      <w:r w:rsidRPr="0057599B">
        <w:rPr>
          <w:rFonts w:cs="Arial"/>
        </w:rPr>
        <w:t>complementares um ao outro.</w:t>
      </w:r>
    </w:p>
    <w:p w:rsidR="00EF75D2" w:rsidRPr="0057599B" w:rsidRDefault="00EF75D2" w:rsidP="00EF75D2">
      <w:pPr>
        <w:ind w:firstLine="708"/>
        <w:jc w:val="both"/>
        <w:rPr>
          <w:rFonts w:cs="Arial"/>
        </w:rPr>
      </w:pPr>
      <w:r>
        <w:rPr>
          <w:rFonts w:cs="Arial"/>
        </w:rPr>
        <w:t>Assim</w:t>
      </w:r>
      <w:r w:rsidRPr="0057599B">
        <w:rPr>
          <w:rFonts w:cs="Arial"/>
        </w:rPr>
        <w:t xml:space="preserve">, enquanto o plano de contingência qualifica-se como um instrumento de planejamento de ações para o momento da resposta, os simulados são o momento de treinar, preparar-se e avaliar se o planejamento está adequado e se funciona. </w:t>
      </w:r>
      <w:r>
        <w:rPr>
          <w:rFonts w:cs="Arial"/>
        </w:rPr>
        <w:t xml:space="preserve">Se o </w:t>
      </w:r>
      <w:r w:rsidRPr="0057599B">
        <w:rPr>
          <w:rFonts w:cs="Arial"/>
        </w:rPr>
        <w:t xml:space="preserve">plano de contingência não é testado e </w:t>
      </w:r>
      <w:r>
        <w:rPr>
          <w:rFonts w:cs="Arial"/>
        </w:rPr>
        <w:t>a</w:t>
      </w:r>
      <w:r w:rsidRPr="0057599B">
        <w:rPr>
          <w:rFonts w:cs="Arial"/>
        </w:rPr>
        <w:t xml:space="preserve"> população não é treinada para sua execução, </w:t>
      </w:r>
      <w:r>
        <w:rPr>
          <w:rFonts w:cs="Arial"/>
        </w:rPr>
        <w:t>todas as ações de planejamento, visando à proteção da sociedade, perdem eficiência.</w:t>
      </w:r>
    </w:p>
    <w:p w:rsidR="00EF75D2" w:rsidRDefault="00EF75D2" w:rsidP="00EF75D2">
      <w:pPr>
        <w:ind w:firstLine="708"/>
        <w:jc w:val="both"/>
        <w:rPr>
          <w:rFonts w:cs="Arial"/>
        </w:rPr>
      </w:pPr>
      <w:r>
        <w:rPr>
          <w:rFonts w:cs="Arial"/>
        </w:rPr>
        <w:t xml:space="preserve">Do que se conclui que </w:t>
      </w:r>
      <w:r w:rsidRPr="00256F9F">
        <w:rPr>
          <w:rFonts w:cs="Arial"/>
        </w:rPr>
        <w:t>um bom plano de contingência tem a função de preparar instituições, profissionais e a população para uma resposta efetiva, e seu desenvolvimento envolve a tomada de decisão de forma antecipada no que diz respeito à gestão de recursos humanos e financeiros, institucionais, matérias/equipamentos, aos procedimentos de coord</w:t>
      </w:r>
      <w:r>
        <w:rPr>
          <w:rFonts w:cs="Arial"/>
        </w:rPr>
        <w:t>enação e comunicação e</w:t>
      </w:r>
      <w:r w:rsidRPr="00256F9F">
        <w:rPr>
          <w:rFonts w:cs="Arial"/>
        </w:rPr>
        <w:t xml:space="preserve"> à p</w:t>
      </w:r>
      <w:r>
        <w:rPr>
          <w:rFonts w:cs="Arial"/>
        </w:rPr>
        <w:t>reparação técnica e logística das</w:t>
      </w:r>
      <w:r w:rsidRPr="00256F9F">
        <w:rPr>
          <w:rFonts w:cs="Arial"/>
        </w:rPr>
        <w:t xml:space="preserve"> resposta</w:t>
      </w:r>
      <w:r>
        <w:rPr>
          <w:rFonts w:cs="Arial"/>
        </w:rPr>
        <w:t>s</w:t>
      </w:r>
      <w:r w:rsidRPr="00256F9F">
        <w:rPr>
          <w:rFonts w:cs="Arial"/>
        </w:rPr>
        <w:t>.</w:t>
      </w:r>
    </w:p>
    <w:p w:rsidR="00EF75D2" w:rsidRDefault="00EF75D2" w:rsidP="00EF75D2">
      <w:pPr>
        <w:ind w:firstLine="708"/>
        <w:jc w:val="both"/>
        <w:rPr>
          <w:rFonts w:cs="Arial"/>
        </w:rPr>
      </w:pPr>
      <w:r>
        <w:rPr>
          <w:rFonts w:cs="Arial"/>
        </w:rPr>
        <w:t xml:space="preserve">A Defesa Civil II (2017) </w:t>
      </w:r>
      <w:r w:rsidRPr="00956C7D">
        <w:rPr>
          <w:rFonts w:cs="Arial"/>
        </w:rPr>
        <w:t>apresenta os passos necessários para se construir um Plano de Conti</w:t>
      </w:r>
      <w:r>
        <w:rPr>
          <w:rFonts w:cs="Arial"/>
        </w:rPr>
        <w:t>ngência, conforme mostrados na T</w:t>
      </w:r>
      <w:r w:rsidRPr="00956C7D">
        <w:rPr>
          <w:rFonts w:cs="Arial"/>
        </w:rPr>
        <w:t>abela 7:</w:t>
      </w:r>
    </w:p>
    <w:p w:rsidR="00EF75D2" w:rsidRPr="00FD6557" w:rsidRDefault="00EF75D2" w:rsidP="00E95583">
      <w:pPr>
        <w:pStyle w:val="Legenda"/>
      </w:pPr>
      <w:bookmarkStart w:id="1117" w:name="_Ref494989138"/>
      <w:bookmarkStart w:id="1118" w:name="_Toc498594157"/>
      <w:bookmarkStart w:id="1119" w:name="_Toc509935877"/>
      <w:r w:rsidRPr="00FD6557">
        <w:lastRenderedPageBreak/>
        <w:t xml:space="preserve">Tabela </w:t>
      </w:r>
      <w:r w:rsidR="000A1C78">
        <w:fldChar w:fldCharType="begin"/>
      </w:r>
      <w:r w:rsidR="000A1C78">
        <w:instrText xml:space="preserve"> SEQ Tabela \* ARABIC </w:instrText>
      </w:r>
      <w:r w:rsidR="000A1C78">
        <w:fldChar w:fldCharType="separate"/>
      </w:r>
      <w:r w:rsidR="001B481B">
        <w:rPr>
          <w:noProof/>
        </w:rPr>
        <w:t>7</w:t>
      </w:r>
      <w:r w:rsidR="000A1C78">
        <w:rPr>
          <w:noProof/>
        </w:rPr>
        <w:fldChar w:fldCharType="end"/>
      </w:r>
      <w:bookmarkEnd w:id="1117"/>
      <w:r w:rsidRPr="00FD6557">
        <w:t xml:space="preserve"> -</w:t>
      </w:r>
      <w:r>
        <w:t xml:space="preserve"> </w:t>
      </w:r>
      <w:r w:rsidRPr="00FD6557">
        <w:t>Síntese das etapas para elaboração de um Plano de Conting</w:t>
      </w:r>
      <w:r>
        <w:t>ê</w:t>
      </w:r>
      <w:r w:rsidRPr="00FD6557">
        <w:t>ncia</w:t>
      </w:r>
      <w:bookmarkEnd w:id="1118"/>
      <w:bookmarkEnd w:id="1119"/>
    </w:p>
    <w:tbl>
      <w:tblPr>
        <w:tblW w:w="0" w:type="auto"/>
        <w:jc w:val="center"/>
        <w:tblCellMar>
          <w:left w:w="70" w:type="dxa"/>
          <w:right w:w="70" w:type="dxa"/>
        </w:tblCellMar>
        <w:tblLook w:val="04A0" w:firstRow="1" w:lastRow="0" w:firstColumn="1" w:lastColumn="0" w:noHBand="0" w:noVBand="1"/>
      </w:tblPr>
      <w:tblGrid>
        <w:gridCol w:w="911"/>
        <w:gridCol w:w="7283"/>
      </w:tblGrid>
      <w:tr w:rsidR="00EF75D2" w:rsidRPr="00215C95" w:rsidTr="00BE7A5C">
        <w:trPr>
          <w:trHeight w:val="20"/>
          <w:tblHeader/>
          <w:jc w:val="center"/>
        </w:trPr>
        <w:tc>
          <w:tcPr>
            <w:tcW w:w="0" w:type="auto"/>
            <w:tcBorders>
              <w:top w:val="single" w:sz="4" w:space="0" w:color="auto"/>
              <w:left w:val="nil"/>
              <w:bottom w:val="single" w:sz="4" w:space="0" w:color="auto"/>
              <w:right w:val="nil"/>
            </w:tcBorders>
            <w:shd w:val="clear" w:color="auto" w:fill="auto"/>
            <w:noWrap/>
            <w:vAlign w:val="center"/>
            <w:hideMark/>
          </w:tcPr>
          <w:p w:rsidR="00EF75D2" w:rsidRPr="00215C95" w:rsidRDefault="00EF75D2" w:rsidP="00BE7A5C">
            <w:pPr>
              <w:spacing w:before="120" w:after="120" w:line="240" w:lineRule="auto"/>
              <w:jc w:val="center"/>
              <w:rPr>
                <w:rFonts w:eastAsia="Times New Roman" w:cs="Arial"/>
                <w:b/>
                <w:bCs/>
                <w:color w:val="000000"/>
                <w:sz w:val="22"/>
                <w:lang w:eastAsia="pt-BR"/>
              </w:rPr>
            </w:pPr>
            <w:r w:rsidRPr="00215C95">
              <w:rPr>
                <w:rFonts w:eastAsia="Times New Roman" w:cs="Arial"/>
                <w:b/>
                <w:bCs/>
                <w:color w:val="000000"/>
                <w:sz w:val="22"/>
                <w:lang w:eastAsia="pt-BR"/>
              </w:rPr>
              <w:t>Passos</w:t>
            </w:r>
          </w:p>
        </w:tc>
        <w:tc>
          <w:tcPr>
            <w:tcW w:w="0" w:type="auto"/>
            <w:tcBorders>
              <w:top w:val="single" w:sz="4" w:space="0" w:color="auto"/>
              <w:left w:val="nil"/>
              <w:bottom w:val="single" w:sz="4" w:space="0" w:color="auto"/>
              <w:right w:val="nil"/>
            </w:tcBorders>
            <w:shd w:val="clear" w:color="auto" w:fill="auto"/>
            <w:vAlign w:val="center"/>
            <w:hideMark/>
          </w:tcPr>
          <w:p w:rsidR="00EF75D2" w:rsidRPr="00215C95" w:rsidRDefault="00EF75D2" w:rsidP="00BE7A5C">
            <w:pPr>
              <w:spacing w:before="120" w:after="120" w:line="240" w:lineRule="auto"/>
              <w:jc w:val="center"/>
              <w:rPr>
                <w:rFonts w:eastAsia="Times New Roman" w:cs="Arial"/>
                <w:b/>
                <w:bCs/>
                <w:color w:val="000000"/>
                <w:sz w:val="22"/>
                <w:lang w:eastAsia="pt-BR"/>
              </w:rPr>
            </w:pPr>
            <w:r w:rsidRPr="00215C95">
              <w:rPr>
                <w:rFonts w:eastAsia="Times New Roman" w:cs="Arial"/>
                <w:b/>
                <w:bCs/>
                <w:color w:val="000000"/>
                <w:sz w:val="22"/>
                <w:lang w:eastAsia="pt-BR"/>
              </w:rPr>
              <w:t>Descrição</w:t>
            </w:r>
          </w:p>
        </w:tc>
      </w:tr>
      <w:tr w:rsidR="00EF75D2" w:rsidRPr="00215C95" w:rsidTr="00BE7A5C">
        <w:trPr>
          <w:trHeight w:val="20"/>
          <w:jc w:val="center"/>
        </w:trPr>
        <w:tc>
          <w:tcPr>
            <w:tcW w:w="0" w:type="auto"/>
            <w:tcBorders>
              <w:top w:val="nil"/>
              <w:left w:val="nil"/>
              <w:bottom w:val="nil"/>
              <w:right w:val="nil"/>
            </w:tcBorders>
            <w:shd w:val="clear" w:color="auto" w:fill="auto"/>
            <w:noWrap/>
            <w:vAlign w:val="center"/>
            <w:hideMark/>
          </w:tcPr>
          <w:p w:rsidR="00EF75D2" w:rsidRPr="00215C95" w:rsidRDefault="00EF75D2" w:rsidP="00BE7A5C">
            <w:pPr>
              <w:spacing w:before="120" w:after="120" w:line="240" w:lineRule="auto"/>
              <w:jc w:val="center"/>
              <w:rPr>
                <w:rFonts w:eastAsia="Times New Roman" w:cs="Arial"/>
                <w:color w:val="000000"/>
                <w:sz w:val="22"/>
                <w:lang w:eastAsia="pt-BR"/>
              </w:rPr>
            </w:pPr>
            <w:r w:rsidRPr="00215C95">
              <w:rPr>
                <w:rFonts w:eastAsia="Times New Roman" w:cs="Arial"/>
                <w:color w:val="000000"/>
                <w:sz w:val="22"/>
                <w:lang w:eastAsia="pt-BR"/>
              </w:rPr>
              <w:t>1</w:t>
            </w:r>
          </w:p>
        </w:tc>
        <w:tc>
          <w:tcPr>
            <w:tcW w:w="0" w:type="auto"/>
            <w:tcBorders>
              <w:top w:val="nil"/>
              <w:left w:val="nil"/>
              <w:bottom w:val="nil"/>
              <w:right w:val="nil"/>
            </w:tcBorders>
            <w:shd w:val="clear" w:color="auto" w:fill="auto"/>
            <w:vAlign w:val="center"/>
            <w:hideMark/>
          </w:tcPr>
          <w:p w:rsidR="00EF75D2" w:rsidRPr="00215C95" w:rsidRDefault="00EF75D2" w:rsidP="00BE7A5C">
            <w:pPr>
              <w:spacing w:before="120" w:after="120" w:line="240" w:lineRule="auto"/>
              <w:rPr>
                <w:rFonts w:eastAsia="Times New Roman" w:cs="Arial"/>
                <w:color w:val="000000"/>
                <w:sz w:val="22"/>
                <w:szCs w:val="24"/>
                <w:lang w:eastAsia="pt-BR"/>
              </w:rPr>
            </w:pPr>
            <w:r w:rsidRPr="00215C95">
              <w:rPr>
                <w:rFonts w:eastAsia="Times New Roman" w:cs="Arial"/>
                <w:color w:val="000000"/>
                <w:sz w:val="22"/>
                <w:szCs w:val="24"/>
                <w:lang w:eastAsia="pt-BR"/>
              </w:rPr>
              <w:t>Percepção de risco: a decisão de construir um plano de contingência</w:t>
            </w:r>
          </w:p>
        </w:tc>
      </w:tr>
      <w:tr w:rsidR="00EF75D2" w:rsidRPr="00215C95" w:rsidTr="00BE7A5C">
        <w:trPr>
          <w:trHeight w:val="20"/>
          <w:jc w:val="center"/>
        </w:trPr>
        <w:tc>
          <w:tcPr>
            <w:tcW w:w="0" w:type="auto"/>
            <w:tcBorders>
              <w:top w:val="single" w:sz="4" w:space="0" w:color="auto"/>
              <w:left w:val="nil"/>
              <w:bottom w:val="nil"/>
              <w:right w:val="nil"/>
            </w:tcBorders>
            <w:shd w:val="clear" w:color="auto" w:fill="auto"/>
            <w:noWrap/>
            <w:vAlign w:val="center"/>
            <w:hideMark/>
          </w:tcPr>
          <w:p w:rsidR="00EF75D2" w:rsidRPr="00215C95" w:rsidRDefault="00EF75D2" w:rsidP="00BE7A5C">
            <w:pPr>
              <w:spacing w:before="120" w:after="120" w:line="240" w:lineRule="auto"/>
              <w:jc w:val="center"/>
              <w:rPr>
                <w:rFonts w:eastAsia="Times New Roman" w:cs="Arial"/>
                <w:color w:val="000000"/>
                <w:sz w:val="22"/>
                <w:lang w:eastAsia="pt-BR"/>
              </w:rPr>
            </w:pPr>
            <w:r w:rsidRPr="00215C95">
              <w:rPr>
                <w:rFonts w:eastAsia="Times New Roman" w:cs="Arial"/>
                <w:color w:val="000000"/>
                <w:sz w:val="22"/>
                <w:lang w:eastAsia="pt-BR"/>
              </w:rPr>
              <w:t>2</w:t>
            </w:r>
          </w:p>
        </w:tc>
        <w:tc>
          <w:tcPr>
            <w:tcW w:w="0" w:type="auto"/>
            <w:tcBorders>
              <w:top w:val="single" w:sz="4" w:space="0" w:color="auto"/>
              <w:left w:val="nil"/>
              <w:bottom w:val="nil"/>
              <w:right w:val="nil"/>
            </w:tcBorders>
            <w:shd w:val="clear" w:color="auto" w:fill="auto"/>
            <w:vAlign w:val="center"/>
            <w:hideMark/>
          </w:tcPr>
          <w:p w:rsidR="00EF75D2" w:rsidRPr="00215C95" w:rsidRDefault="00EF75D2" w:rsidP="00BE7A5C">
            <w:pPr>
              <w:spacing w:before="120" w:after="120" w:line="240" w:lineRule="auto"/>
              <w:rPr>
                <w:rFonts w:eastAsia="Times New Roman" w:cs="Arial"/>
                <w:color w:val="000000"/>
                <w:sz w:val="22"/>
                <w:szCs w:val="24"/>
                <w:lang w:eastAsia="pt-BR"/>
              </w:rPr>
            </w:pPr>
            <w:r w:rsidRPr="00215C95">
              <w:rPr>
                <w:rFonts w:eastAsia="Times New Roman" w:cs="Arial"/>
                <w:color w:val="000000"/>
                <w:sz w:val="22"/>
                <w:szCs w:val="24"/>
                <w:lang w:eastAsia="pt-BR"/>
              </w:rPr>
              <w:t>Constituição de um grupo de trabalho</w:t>
            </w:r>
          </w:p>
        </w:tc>
      </w:tr>
      <w:tr w:rsidR="00EF75D2" w:rsidRPr="00215C95" w:rsidTr="00BE7A5C">
        <w:trPr>
          <w:trHeight w:val="20"/>
          <w:jc w:val="center"/>
        </w:trPr>
        <w:tc>
          <w:tcPr>
            <w:tcW w:w="0" w:type="auto"/>
            <w:tcBorders>
              <w:top w:val="single" w:sz="4" w:space="0" w:color="auto"/>
              <w:left w:val="nil"/>
              <w:bottom w:val="nil"/>
              <w:right w:val="nil"/>
            </w:tcBorders>
            <w:shd w:val="clear" w:color="auto" w:fill="auto"/>
            <w:noWrap/>
            <w:vAlign w:val="center"/>
            <w:hideMark/>
          </w:tcPr>
          <w:p w:rsidR="00EF75D2" w:rsidRPr="00215C95" w:rsidRDefault="00EF75D2" w:rsidP="00BE7A5C">
            <w:pPr>
              <w:spacing w:before="120" w:after="120" w:line="240" w:lineRule="auto"/>
              <w:jc w:val="center"/>
              <w:rPr>
                <w:rFonts w:eastAsia="Times New Roman" w:cs="Arial"/>
                <w:color w:val="000000"/>
                <w:sz w:val="22"/>
                <w:lang w:eastAsia="pt-BR"/>
              </w:rPr>
            </w:pPr>
            <w:r w:rsidRPr="00215C95">
              <w:rPr>
                <w:rFonts w:eastAsia="Times New Roman" w:cs="Arial"/>
                <w:color w:val="000000"/>
                <w:sz w:val="22"/>
                <w:lang w:eastAsia="pt-BR"/>
              </w:rPr>
              <w:t>3</w:t>
            </w:r>
          </w:p>
        </w:tc>
        <w:tc>
          <w:tcPr>
            <w:tcW w:w="0" w:type="auto"/>
            <w:tcBorders>
              <w:top w:val="single" w:sz="4" w:space="0" w:color="auto"/>
              <w:left w:val="nil"/>
              <w:bottom w:val="nil"/>
              <w:right w:val="nil"/>
            </w:tcBorders>
            <w:shd w:val="clear" w:color="auto" w:fill="auto"/>
            <w:vAlign w:val="center"/>
            <w:hideMark/>
          </w:tcPr>
          <w:p w:rsidR="00EF75D2" w:rsidRPr="00215C95" w:rsidRDefault="00EF75D2" w:rsidP="00BE7A5C">
            <w:pPr>
              <w:spacing w:before="120" w:after="120" w:line="240" w:lineRule="auto"/>
              <w:rPr>
                <w:rFonts w:eastAsia="Times New Roman" w:cs="Arial"/>
                <w:color w:val="000000"/>
                <w:sz w:val="22"/>
                <w:szCs w:val="24"/>
                <w:lang w:eastAsia="pt-BR"/>
              </w:rPr>
            </w:pPr>
            <w:r w:rsidRPr="00215C95">
              <w:rPr>
                <w:rFonts w:eastAsia="Times New Roman" w:cs="Arial"/>
                <w:color w:val="000000"/>
                <w:sz w:val="22"/>
                <w:szCs w:val="24"/>
                <w:lang w:eastAsia="pt-BR"/>
              </w:rPr>
              <w:t>Análise do cenário de risco e cadastro de capacidades</w:t>
            </w:r>
          </w:p>
        </w:tc>
      </w:tr>
      <w:tr w:rsidR="00EF75D2" w:rsidRPr="00215C95" w:rsidTr="00BE7A5C">
        <w:trPr>
          <w:trHeight w:val="20"/>
          <w:jc w:val="center"/>
        </w:trPr>
        <w:tc>
          <w:tcPr>
            <w:tcW w:w="0" w:type="auto"/>
            <w:tcBorders>
              <w:top w:val="single" w:sz="4" w:space="0" w:color="auto"/>
              <w:left w:val="nil"/>
              <w:bottom w:val="nil"/>
              <w:right w:val="nil"/>
            </w:tcBorders>
            <w:shd w:val="clear" w:color="auto" w:fill="auto"/>
            <w:noWrap/>
            <w:vAlign w:val="center"/>
            <w:hideMark/>
          </w:tcPr>
          <w:p w:rsidR="00EF75D2" w:rsidRPr="00215C95" w:rsidRDefault="00EF75D2" w:rsidP="00BE7A5C">
            <w:pPr>
              <w:spacing w:before="120" w:after="120" w:line="240" w:lineRule="auto"/>
              <w:jc w:val="center"/>
              <w:rPr>
                <w:rFonts w:eastAsia="Times New Roman" w:cs="Arial"/>
                <w:color w:val="000000"/>
                <w:sz w:val="22"/>
                <w:lang w:eastAsia="pt-BR"/>
              </w:rPr>
            </w:pPr>
            <w:r w:rsidRPr="00215C95">
              <w:rPr>
                <w:rFonts w:eastAsia="Times New Roman" w:cs="Arial"/>
                <w:color w:val="000000"/>
                <w:sz w:val="22"/>
                <w:lang w:eastAsia="pt-BR"/>
              </w:rPr>
              <w:t xml:space="preserve">4  </w:t>
            </w:r>
          </w:p>
        </w:tc>
        <w:tc>
          <w:tcPr>
            <w:tcW w:w="0" w:type="auto"/>
            <w:tcBorders>
              <w:top w:val="single" w:sz="4" w:space="0" w:color="auto"/>
              <w:left w:val="nil"/>
              <w:bottom w:val="nil"/>
              <w:right w:val="nil"/>
            </w:tcBorders>
            <w:shd w:val="clear" w:color="auto" w:fill="auto"/>
            <w:vAlign w:val="center"/>
            <w:hideMark/>
          </w:tcPr>
          <w:p w:rsidR="00EF75D2" w:rsidRPr="00215C95" w:rsidRDefault="00EF75D2" w:rsidP="00BE7A5C">
            <w:pPr>
              <w:spacing w:before="120" w:after="120" w:line="240" w:lineRule="auto"/>
              <w:rPr>
                <w:rFonts w:eastAsia="Times New Roman" w:cs="Arial"/>
                <w:color w:val="000000"/>
                <w:sz w:val="22"/>
                <w:szCs w:val="24"/>
                <w:lang w:eastAsia="pt-BR"/>
              </w:rPr>
            </w:pPr>
            <w:r w:rsidRPr="00215C95">
              <w:rPr>
                <w:rFonts w:eastAsia="Times New Roman" w:cs="Arial"/>
                <w:color w:val="000000"/>
                <w:sz w:val="22"/>
                <w:szCs w:val="24"/>
                <w:lang w:eastAsia="pt-BR"/>
              </w:rPr>
              <w:t>Definição de ações e procedimentos:</w:t>
            </w:r>
          </w:p>
          <w:p w:rsidR="00EF75D2" w:rsidRPr="00215C95" w:rsidRDefault="00EF75D2" w:rsidP="00BE7A5C">
            <w:pPr>
              <w:spacing w:before="120" w:after="120" w:line="240" w:lineRule="auto"/>
              <w:rPr>
                <w:rFonts w:eastAsia="Times New Roman" w:cs="Arial"/>
                <w:color w:val="000000"/>
                <w:sz w:val="22"/>
                <w:szCs w:val="24"/>
                <w:lang w:eastAsia="pt-BR"/>
              </w:rPr>
            </w:pPr>
            <w:r w:rsidRPr="00215C95">
              <w:rPr>
                <w:rFonts w:eastAsia="Times New Roman" w:cs="Arial"/>
                <w:color w:val="000000"/>
                <w:sz w:val="22"/>
                <w:szCs w:val="24"/>
                <w:lang w:eastAsia="pt-BR"/>
              </w:rPr>
              <w:t xml:space="preserve">   </w:t>
            </w:r>
            <w:r w:rsidRPr="00215C95">
              <w:rPr>
                <w:rFonts w:eastAsia="Times New Roman" w:cs="Arial"/>
                <w:b/>
                <w:color w:val="000000"/>
                <w:sz w:val="22"/>
                <w:szCs w:val="24"/>
                <w:lang w:eastAsia="pt-BR"/>
              </w:rPr>
              <w:t>a</w:t>
            </w:r>
            <w:r w:rsidRPr="00215C95">
              <w:rPr>
                <w:rFonts w:eastAsia="Times New Roman" w:cs="Arial"/>
                <w:color w:val="000000"/>
                <w:sz w:val="22"/>
                <w:szCs w:val="24"/>
                <w:lang w:eastAsia="pt-BR"/>
              </w:rPr>
              <w:t xml:space="preserve"> - Definição de ações, procedimentos e recursos</w:t>
            </w:r>
            <w:r w:rsidRPr="00215C95">
              <w:rPr>
                <w:rFonts w:eastAsia="Times New Roman" w:cs="Arial"/>
                <w:color w:val="000000"/>
                <w:sz w:val="22"/>
                <w:szCs w:val="24"/>
                <w:lang w:eastAsia="pt-BR"/>
              </w:rPr>
              <w:br/>
              <w:t xml:space="preserve">      i - Monitoramento, Alerta e Alarme</w:t>
            </w:r>
            <w:r w:rsidRPr="00215C95">
              <w:rPr>
                <w:rFonts w:eastAsia="Times New Roman" w:cs="Arial"/>
                <w:color w:val="000000"/>
                <w:sz w:val="22"/>
                <w:szCs w:val="24"/>
                <w:lang w:eastAsia="pt-BR"/>
              </w:rPr>
              <w:br/>
              <w:t xml:space="preserve">      ii- Fuga (evacuação)</w:t>
            </w:r>
            <w:r w:rsidRPr="00215C95">
              <w:rPr>
                <w:rFonts w:eastAsia="Times New Roman" w:cs="Arial"/>
                <w:color w:val="000000"/>
                <w:sz w:val="22"/>
                <w:szCs w:val="24"/>
                <w:lang w:eastAsia="pt-BR"/>
              </w:rPr>
              <w:br/>
              <w:t xml:space="preserve">      iii. Ações de socorro</w:t>
            </w:r>
            <w:r w:rsidRPr="00215C95">
              <w:rPr>
                <w:rFonts w:eastAsia="Times New Roman" w:cs="Arial"/>
                <w:color w:val="000000"/>
                <w:sz w:val="22"/>
                <w:szCs w:val="24"/>
                <w:lang w:eastAsia="pt-BR"/>
              </w:rPr>
              <w:br/>
              <w:t xml:space="preserve">      iv. Assistência às vítimas</w:t>
            </w:r>
            <w:r w:rsidRPr="00215C95">
              <w:rPr>
                <w:rFonts w:eastAsia="Times New Roman" w:cs="Arial"/>
                <w:color w:val="000000"/>
                <w:sz w:val="22"/>
                <w:szCs w:val="24"/>
                <w:lang w:eastAsia="pt-BR"/>
              </w:rPr>
              <w:br/>
              <w:t xml:space="preserve">      v. Restabelecimento de serviços essenciais</w:t>
            </w:r>
          </w:p>
          <w:p w:rsidR="00EF75D2" w:rsidRPr="00215C95" w:rsidRDefault="00EF75D2" w:rsidP="00BE7A5C">
            <w:pPr>
              <w:spacing w:before="120" w:after="120" w:line="240" w:lineRule="auto"/>
              <w:rPr>
                <w:rFonts w:eastAsia="Times New Roman" w:cs="Arial"/>
                <w:color w:val="000000"/>
                <w:sz w:val="22"/>
                <w:szCs w:val="24"/>
                <w:lang w:eastAsia="pt-BR"/>
              </w:rPr>
            </w:pPr>
            <w:r w:rsidRPr="00215C95">
              <w:rPr>
                <w:rFonts w:eastAsia="Times New Roman" w:cs="Arial"/>
                <w:color w:val="000000"/>
                <w:sz w:val="22"/>
                <w:szCs w:val="24"/>
                <w:lang w:eastAsia="pt-BR"/>
              </w:rPr>
              <w:t xml:space="preserve">   </w:t>
            </w:r>
            <w:r w:rsidRPr="00215C95">
              <w:rPr>
                <w:rFonts w:eastAsia="Times New Roman" w:cs="Arial"/>
                <w:b/>
                <w:color w:val="000000"/>
                <w:sz w:val="22"/>
                <w:szCs w:val="24"/>
                <w:lang w:eastAsia="pt-BR"/>
              </w:rPr>
              <w:t>b</w:t>
            </w:r>
            <w:r w:rsidRPr="00215C95">
              <w:rPr>
                <w:rFonts w:eastAsia="Times New Roman" w:cs="Arial"/>
                <w:color w:val="000000"/>
                <w:sz w:val="22"/>
                <w:szCs w:val="24"/>
                <w:lang w:eastAsia="pt-BR"/>
              </w:rPr>
              <w:t>. Definição de atribuições e responsáveis</w:t>
            </w:r>
            <w:r w:rsidRPr="00215C95">
              <w:rPr>
                <w:rFonts w:eastAsia="Times New Roman" w:cs="Arial"/>
                <w:color w:val="000000"/>
                <w:sz w:val="22"/>
                <w:szCs w:val="24"/>
                <w:lang w:eastAsia="pt-BR"/>
              </w:rPr>
              <w:br/>
              <w:t xml:space="preserve">   </w:t>
            </w:r>
            <w:r w:rsidRPr="00215C95">
              <w:rPr>
                <w:rFonts w:eastAsia="Times New Roman" w:cs="Arial"/>
                <w:b/>
                <w:color w:val="000000"/>
                <w:sz w:val="22"/>
                <w:szCs w:val="24"/>
                <w:lang w:eastAsia="pt-BR"/>
              </w:rPr>
              <w:t>c</w:t>
            </w:r>
            <w:r w:rsidRPr="00215C95">
              <w:rPr>
                <w:rFonts w:eastAsia="Times New Roman" w:cs="Arial"/>
                <w:color w:val="000000"/>
                <w:sz w:val="22"/>
                <w:szCs w:val="24"/>
                <w:lang w:eastAsia="pt-BR"/>
              </w:rPr>
              <w:t>. Definição de mecanismos de coordenação</w:t>
            </w:r>
            <w:r w:rsidRPr="00215C95">
              <w:rPr>
                <w:rFonts w:eastAsia="Times New Roman" w:cs="Arial"/>
                <w:color w:val="000000"/>
                <w:sz w:val="22"/>
                <w:szCs w:val="24"/>
                <w:lang w:eastAsia="pt-BR"/>
              </w:rPr>
              <w:br/>
              <w:t xml:space="preserve">   e operação</w:t>
            </w:r>
            <w:r w:rsidRPr="00215C95">
              <w:rPr>
                <w:rFonts w:eastAsia="Times New Roman" w:cs="Arial"/>
                <w:color w:val="000000"/>
                <w:sz w:val="22"/>
                <w:szCs w:val="24"/>
                <w:lang w:eastAsia="pt-BR"/>
              </w:rPr>
              <w:br/>
              <w:t xml:space="preserve">   </w:t>
            </w:r>
            <w:r w:rsidRPr="00215C95">
              <w:rPr>
                <w:rFonts w:eastAsia="Times New Roman" w:cs="Arial"/>
                <w:b/>
                <w:color w:val="000000"/>
                <w:sz w:val="22"/>
                <w:szCs w:val="24"/>
                <w:lang w:eastAsia="pt-BR"/>
              </w:rPr>
              <w:t>d</w:t>
            </w:r>
            <w:r w:rsidRPr="00215C95">
              <w:rPr>
                <w:rFonts w:eastAsia="Times New Roman" w:cs="Arial"/>
                <w:color w:val="000000"/>
                <w:sz w:val="22"/>
                <w:szCs w:val="24"/>
                <w:lang w:eastAsia="pt-BR"/>
              </w:rPr>
              <w:t>. Definição de condições de aprovação,</w:t>
            </w:r>
            <w:r w:rsidR="003C0779">
              <w:rPr>
                <w:rFonts w:eastAsia="Times New Roman" w:cs="Arial"/>
                <w:color w:val="000000"/>
                <w:sz w:val="22"/>
                <w:szCs w:val="24"/>
                <w:lang w:eastAsia="pt-BR"/>
              </w:rPr>
              <w:t xml:space="preserve"> </w:t>
            </w:r>
            <w:r w:rsidRPr="00215C95">
              <w:rPr>
                <w:rFonts w:eastAsia="Times New Roman" w:cs="Arial"/>
                <w:color w:val="000000"/>
                <w:sz w:val="22"/>
                <w:szCs w:val="24"/>
                <w:lang w:eastAsia="pt-BR"/>
              </w:rPr>
              <w:t>divulgação e revisão do plano</w:t>
            </w:r>
          </w:p>
        </w:tc>
      </w:tr>
      <w:tr w:rsidR="00EF75D2" w:rsidRPr="00215C95" w:rsidTr="00BE7A5C">
        <w:trPr>
          <w:trHeight w:val="20"/>
          <w:jc w:val="center"/>
        </w:trPr>
        <w:tc>
          <w:tcPr>
            <w:tcW w:w="0" w:type="auto"/>
            <w:tcBorders>
              <w:top w:val="single" w:sz="4" w:space="0" w:color="auto"/>
              <w:left w:val="nil"/>
              <w:bottom w:val="nil"/>
              <w:right w:val="nil"/>
            </w:tcBorders>
            <w:shd w:val="clear" w:color="auto" w:fill="auto"/>
            <w:noWrap/>
            <w:vAlign w:val="center"/>
            <w:hideMark/>
          </w:tcPr>
          <w:p w:rsidR="00EF75D2" w:rsidRPr="00215C95" w:rsidRDefault="00EF75D2" w:rsidP="00BE7A5C">
            <w:pPr>
              <w:spacing w:before="120" w:after="120" w:line="240" w:lineRule="auto"/>
              <w:jc w:val="center"/>
              <w:rPr>
                <w:rFonts w:eastAsia="Times New Roman" w:cs="Arial"/>
                <w:color w:val="000000"/>
                <w:sz w:val="22"/>
                <w:lang w:eastAsia="pt-BR"/>
              </w:rPr>
            </w:pPr>
            <w:r w:rsidRPr="00215C95">
              <w:rPr>
                <w:rFonts w:eastAsia="Times New Roman" w:cs="Arial"/>
                <w:color w:val="000000"/>
                <w:sz w:val="22"/>
                <w:lang w:eastAsia="pt-BR"/>
              </w:rPr>
              <w:t>5</w:t>
            </w:r>
          </w:p>
        </w:tc>
        <w:tc>
          <w:tcPr>
            <w:tcW w:w="0" w:type="auto"/>
            <w:tcBorders>
              <w:top w:val="single" w:sz="4" w:space="0" w:color="auto"/>
              <w:left w:val="nil"/>
              <w:bottom w:val="nil"/>
              <w:right w:val="nil"/>
            </w:tcBorders>
            <w:shd w:val="clear" w:color="auto" w:fill="auto"/>
            <w:vAlign w:val="center"/>
            <w:hideMark/>
          </w:tcPr>
          <w:p w:rsidR="00EF75D2" w:rsidRPr="00215C95" w:rsidRDefault="00EF75D2" w:rsidP="00BE7A5C">
            <w:pPr>
              <w:spacing w:before="120" w:after="120" w:line="240" w:lineRule="auto"/>
              <w:rPr>
                <w:rFonts w:eastAsia="Times New Roman" w:cs="Arial"/>
                <w:color w:val="000000"/>
                <w:sz w:val="22"/>
                <w:szCs w:val="24"/>
                <w:lang w:eastAsia="pt-BR"/>
              </w:rPr>
            </w:pPr>
            <w:r w:rsidRPr="00215C95">
              <w:rPr>
                <w:rFonts w:eastAsia="Times New Roman" w:cs="Arial"/>
                <w:color w:val="000000"/>
                <w:sz w:val="22"/>
                <w:szCs w:val="24"/>
                <w:lang w:eastAsia="pt-BR"/>
              </w:rPr>
              <w:t>Aprovação</w:t>
            </w:r>
            <w:r w:rsidRPr="00215C95">
              <w:rPr>
                <w:rFonts w:eastAsia="Times New Roman" w:cs="Arial"/>
                <w:color w:val="000000"/>
                <w:sz w:val="22"/>
                <w:szCs w:val="24"/>
                <w:lang w:eastAsia="pt-BR"/>
              </w:rPr>
              <w:br/>
              <w:t xml:space="preserve">  - Consulta pública</w:t>
            </w:r>
            <w:r w:rsidRPr="00215C95">
              <w:rPr>
                <w:rFonts w:eastAsia="Times New Roman" w:cs="Arial"/>
                <w:color w:val="000000"/>
                <w:sz w:val="22"/>
                <w:szCs w:val="24"/>
                <w:lang w:eastAsia="pt-BR"/>
              </w:rPr>
              <w:br/>
              <w:t xml:space="preserve">  - Audiência pública</w:t>
            </w:r>
            <w:r w:rsidRPr="00215C95">
              <w:rPr>
                <w:rFonts w:eastAsia="Times New Roman" w:cs="Arial"/>
                <w:color w:val="000000"/>
                <w:sz w:val="22"/>
                <w:szCs w:val="24"/>
                <w:lang w:eastAsia="pt-BR"/>
              </w:rPr>
              <w:br/>
              <w:t xml:space="preserve">  - Validação</w:t>
            </w:r>
          </w:p>
        </w:tc>
      </w:tr>
      <w:tr w:rsidR="00EF75D2" w:rsidRPr="00215C95" w:rsidTr="00BE7A5C">
        <w:trPr>
          <w:trHeight w:val="20"/>
          <w:jc w:val="center"/>
        </w:trPr>
        <w:tc>
          <w:tcPr>
            <w:tcW w:w="0" w:type="auto"/>
            <w:tcBorders>
              <w:top w:val="single" w:sz="4" w:space="0" w:color="auto"/>
              <w:left w:val="nil"/>
              <w:bottom w:val="nil"/>
              <w:right w:val="nil"/>
            </w:tcBorders>
            <w:shd w:val="clear" w:color="auto" w:fill="auto"/>
            <w:noWrap/>
            <w:vAlign w:val="center"/>
            <w:hideMark/>
          </w:tcPr>
          <w:p w:rsidR="00EF75D2" w:rsidRPr="00215C95" w:rsidRDefault="00EF75D2" w:rsidP="00BE7A5C">
            <w:pPr>
              <w:spacing w:before="120" w:after="120" w:line="240" w:lineRule="auto"/>
              <w:jc w:val="center"/>
              <w:rPr>
                <w:rFonts w:eastAsia="Times New Roman" w:cs="Arial"/>
                <w:color w:val="000000"/>
                <w:sz w:val="22"/>
                <w:lang w:eastAsia="pt-BR"/>
              </w:rPr>
            </w:pPr>
            <w:r w:rsidRPr="00215C95">
              <w:rPr>
                <w:rFonts w:eastAsia="Times New Roman" w:cs="Arial"/>
                <w:color w:val="000000"/>
                <w:sz w:val="22"/>
                <w:lang w:eastAsia="pt-BR"/>
              </w:rPr>
              <w:t>6</w:t>
            </w:r>
          </w:p>
        </w:tc>
        <w:tc>
          <w:tcPr>
            <w:tcW w:w="0" w:type="auto"/>
            <w:tcBorders>
              <w:top w:val="single" w:sz="4" w:space="0" w:color="auto"/>
              <w:left w:val="nil"/>
              <w:bottom w:val="nil"/>
              <w:right w:val="nil"/>
            </w:tcBorders>
            <w:shd w:val="clear" w:color="auto" w:fill="auto"/>
            <w:vAlign w:val="center"/>
            <w:hideMark/>
          </w:tcPr>
          <w:p w:rsidR="00EF75D2" w:rsidRPr="00215C95" w:rsidRDefault="00EF75D2" w:rsidP="00BE7A5C">
            <w:pPr>
              <w:spacing w:before="120" w:after="120" w:line="240" w:lineRule="auto"/>
              <w:rPr>
                <w:rFonts w:eastAsia="Times New Roman" w:cs="Arial"/>
                <w:color w:val="000000"/>
                <w:sz w:val="22"/>
                <w:szCs w:val="24"/>
                <w:lang w:eastAsia="pt-BR"/>
              </w:rPr>
            </w:pPr>
            <w:r w:rsidRPr="00215C95">
              <w:rPr>
                <w:rFonts w:eastAsia="Times New Roman" w:cs="Arial"/>
                <w:color w:val="000000"/>
                <w:sz w:val="22"/>
                <w:szCs w:val="24"/>
                <w:lang w:eastAsia="pt-BR"/>
              </w:rPr>
              <w:t>Divulgação do plano de contingência</w:t>
            </w:r>
          </w:p>
        </w:tc>
      </w:tr>
      <w:tr w:rsidR="00EF75D2" w:rsidRPr="00215C95" w:rsidTr="00BE7A5C">
        <w:trPr>
          <w:trHeight w:val="20"/>
          <w:jc w:val="center"/>
        </w:trPr>
        <w:tc>
          <w:tcPr>
            <w:tcW w:w="0" w:type="auto"/>
            <w:tcBorders>
              <w:top w:val="single" w:sz="4" w:space="0" w:color="auto"/>
              <w:left w:val="nil"/>
              <w:bottom w:val="single" w:sz="4" w:space="0" w:color="auto"/>
              <w:right w:val="nil"/>
            </w:tcBorders>
            <w:shd w:val="clear" w:color="auto" w:fill="auto"/>
            <w:noWrap/>
            <w:vAlign w:val="center"/>
            <w:hideMark/>
          </w:tcPr>
          <w:p w:rsidR="00EF75D2" w:rsidRPr="00215C95" w:rsidRDefault="00EF75D2" w:rsidP="00BE7A5C">
            <w:pPr>
              <w:spacing w:before="120" w:after="120" w:line="240" w:lineRule="auto"/>
              <w:jc w:val="center"/>
              <w:rPr>
                <w:rFonts w:eastAsia="Times New Roman" w:cs="Arial"/>
                <w:color w:val="000000"/>
                <w:sz w:val="22"/>
                <w:lang w:eastAsia="pt-BR"/>
              </w:rPr>
            </w:pPr>
            <w:r w:rsidRPr="00215C95">
              <w:rPr>
                <w:rFonts w:eastAsia="Times New Roman" w:cs="Arial"/>
                <w:color w:val="000000"/>
                <w:sz w:val="22"/>
                <w:lang w:eastAsia="pt-BR"/>
              </w:rPr>
              <w:t>7</w:t>
            </w:r>
          </w:p>
        </w:tc>
        <w:tc>
          <w:tcPr>
            <w:tcW w:w="0" w:type="auto"/>
            <w:tcBorders>
              <w:top w:val="single" w:sz="4" w:space="0" w:color="auto"/>
              <w:left w:val="nil"/>
              <w:bottom w:val="single" w:sz="4" w:space="0" w:color="auto"/>
              <w:right w:val="nil"/>
            </w:tcBorders>
            <w:shd w:val="clear" w:color="auto" w:fill="auto"/>
            <w:vAlign w:val="center"/>
            <w:hideMark/>
          </w:tcPr>
          <w:p w:rsidR="00EF75D2" w:rsidRPr="00215C95" w:rsidRDefault="00EF75D2" w:rsidP="00BE7A5C">
            <w:pPr>
              <w:spacing w:before="120" w:after="120" w:line="240" w:lineRule="auto"/>
              <w:rPr>
                <w:rFonts w:eastAsia="Times New Roman" w:cs="Arial"/>
                <w:color w:val="000000"/>
                <w:sz w:val="22"/>
                <w:szCs w:val="24"/>
                <w:lang w:eastAsia="pt-BR"/>
              </w:rPr>
            </w:pPr>
            <w:r w:rsidRPr="00215C95">
              <w:rPr>
                <w:rFonts w:eastAsia="Times New Roman" w:cs="Arial"/>
                <w:color w:val="000000"/>
                <w:sz w:val="22"/>
                <w:szCs w:val="24"/>
                <w:lang w:eastAsia="pt-BR"/>
              </w:rPr>
              <w:t>Operacionalização</w:t>
            </w:r>
          </w:p>
        </w:tc>
      </w:tr>
      <w:tr w:rsidR="00EF75D2" w:rsidRPr="00215C95" w:rsidTr="00BE7A5C">
        <w:trPr>
          <w:trHeight w:val="20"/>
          <w:jc w:val="center"/>
        </w:trPr>
        <w:tc>
          <w:tcPr>
            <w:tcW w:w="0" w:type="auto"/>
            <w:tcBorders>
              <w:top w:val="single" w:sz="4" w:space="0" w:color="auto"/>
              <w:left w:val="nil"/>
              <w:bottom w:val="single" w:sz="4" w:space="0" w:color="auto"/>
              <w:right w:val="nil"/>
            </w:tcBorders>
            <w:shd w:val="clear" w:color="auto" w:fill="auto"/>
            <w:noWrap/>
            <w:vAlign w:val="center"/>
            <w:hideMark/>
          </w:tcPr>
          <w:p w:rsidR="00EF75D2" w:rsidRPr="00215C95" w:rsidRDefault="00EF75D2" w:rsidP="00BE7A5C">
            <w:pPr>
              <w:spacing w:before="120" w:after="120" w:line="240" w:lineRule="auto"/>
              <w:jc w:val="center"/>
              <w:rPr>
                <w:rFonts w:eastAsia="Times New Roman" w:cs="Arial"/>
                <w:color w:val="000000"/>
                <w:sz w:val="22"/>
                <w:lang w:eastAsia="pt-BR"/>
              </w:rPr>
            </w:pPr>
            <w:r w:rsidRPr="00215C95">
              <w:rPr>
                <w:rFonts w:eastAsia="Times New Roman" w:cs="Arial"/>
                <w:color w:val="000000"/>
                <w:sz w:val="22"/>
                <w:lang w:eastAsia="pt-BR"/>
              </w:rPr>
              <w:t>8</w:t>
            </w:r>
          </w:p>
        </w:tc>
        <w:tc>
          <w:tcPr>
            <w:tcW w:w="0" w:type="auto"/>
            <w:tcBorders>
              <w:top w:val="single" w:sz="4" w:space="0" w:color="auto"/>
              <w:left w:val="nil"/>
              <w:bottom w:val="single" w:sz="4" w:space="0" w:color="auto"/>
              <w:right w:val="nil"/>
            </w:tcBorders>
            <w:shd w:val="clear" w:color="auto" w:fill="auto"/>
            <w:vAlign w:val="center"/>
            <w:hideMark/>
          </w:tcPr>
          <w:p w:rsidR="00EF75D2" w:rsidRPr="00215C95" w:rsidRDefault="00EF75D2" w:rsidP="00BE7A5C">
            <w:pPr>
              <w:spacing w:before="120" w:after="120" w:line="240" w:lineRule="auto"/>
              <w:rPr>
                <w:rFonts w:eastAsia="Times New Roman" w:cs="Arial"/>
                <w:color w:val="000000"/>
                <w:sz w:val="22"/>
                <w:szCs w:val="24"/>
                <w:lang w:eastAsia="pt-BR"/>
              </w:rPr>
            </w:pPr>
            <w:r w:rsidRPr="00215C95">
              <w:rPr>
                <w:rFonts w:eastAsia="Times New Roman" w:cs="Arial"/>
                <w:color w:val="000000"/>
                <w:sz w:val="22"/>
                <w:szCs w:val="24"/>
                <w:lang w:eastAsia="pt-BR"/>
              </w:rPr>
              <w:t>Revisão</w:t>
            </w:r>
          </w:p>
        </w:tc>
      </w:tr>
    </w:tbl>
    <w:p w:rsidR="00EF75D2" w:rsidRDefault="00EF75D2" w:rsidP="00BE7A5C">
      <w:pPr>
        <w:pStyle w:val="Fonte"/>
      </w:pPr>
      <w:r w:rsidRPr="00956C7D">
        <w:t>Fonte: Defesa Civil II, 2017</w:t>
      </w:r>
      <w:r>
        <w:t>.</w:t>
      </w:r>
    </w:p>
    <w:p w:rsidR="00594A45" w:rsidRPr="0021113E" w:rsidRDefault="00594A45" w:rsidP="00BC01B1">
      <w:pPr>
        <w:pStyle w:val="SHS-Ttulo02"/>
        <w:rPr>
          <w:color w:val="FF0000"/>
        </w:rPr>
      </w:pPr>
      <w:bookmarkStart w:id="1120" w:name="_Toc509935587"/>
      <w:bookmarkStart w:id="1121" w:name="_Toc503538786"/>
      <w:bookmarkStart w:id="1122" w:name="_Toc504404463"/>
      <w:r w:rsidRPr="0021113E">
        <w:t>Aspectos metodológicos para definição de custos das ações</w:t>
      </w:r>
      <w:bookmarkEnd w:id="1120"/>
      <w:r w:rsidRPr="0021113E">
        <w:t xml:space="preserve"> </w:t>
      </w:r>
    </w:p>
    <w:p w:rsidR="00594A45" w:rsidRPr="0021113E" w:rsidRDefault="00594A45" w:rsidP="00BC01B1">
      <w:pPr>
        <w:pStyle w:val="Ttulo3"/>
      </w:pPr>
      <w:bookmarkStart w:id="1123" w:name="_Toc503538798"/>
      <w:bookmarkStart w:id="1124" w:name="_Toc504554501"/>
      <w:bookmarkStart w:id="1125" w:name="_Toc509935588"/>
      <w:r w:rsidRPr="0021113E">
        <w:t>Considerações iniciais</w:t>
      </w:r>
      <w:bookmarkEnd w:id="1123"/>
      <w:bookmarkEnd w:id="1124"/>
      <w:bookmarkEnd w:id="1125"/>
    </w:p>
    <w:p w:rsidR="00594A45" w:rsidRPr="00C35BE3" w:rsidRDefault="00594A45" w:rsidP="00594A45">
      <w:pPr>
        <w:ind w:firstLine="708"/>
        <w:jc w:val="both"/>
      </w:pPr>
      <w:r w:rsidRPr="00C35BE3">
        <w:t>Os orçamentos referentes às ações definidas para os quatro eixos do saneamento básico, assim como para o setor geral, foram compostos a partir de análise de custos de fontes diversas de informações, a fim de se estabelecer uma estimativa de valores, visando ao financiamento das ações que são necessárias para o alcance dos objetivos definidos. Considerando que se trata de uma estimativa de custos, os valores foram arredondados quando necessário.</w:t>
      </w:r>
    </w:p>
    <w:p w:rsidR="00594A45" w:rsidRPr="00C35BE3" w:rsidRDefault="00594A45" w:rsidP="00594A45">
      <w:pPr>
        <w:ind w:firstLine="708"/>
        <w:jc w:val="both"/>
      </w:pPr>
      <w:r w:rsidRPr="00C35BE3">
        <w:t>De forma geral, as ações propostas enquadram-se nas seguintes categorias:</w:t>
      </w:r>
    </w:p>
    <w:p w:rsidR="00594A45" w:rsidRPr="00C35BE3" w:rsidRDefault="00594A45" w:rsidP="00594A45">
      <w:pPr>
        <w:ind w:firstLine="709"/>
        <w:jc w:val="both"/>
        <w:rPr>
          <w:u w:val="single"/>
        </w:rPr>
      </w:pPr>
      <w:r w:rsidRPr="00C35BE3">
        <w:rPr>
          <w:u w:val="single"/>
        </w:rPr>
        <w:lastRenderedPageBreak/>
        <w:t>Ações estruturais:</w:t>
      </w:r>
    </w:p>
    <w:p w:rsidR="00594A45" w:rsidRPr="00C35BE3" w:rsidRDefault="00594A45" w:rsidP="0066661F">
      <w:pPr>
        <w:numPr>
          <w:ilvl w:val="0"/>
          <w:numId w:val="59"/>
        </w:numPr>
        <w:contextualSpacing/>
        <w:jc w:val="both"/>
        <w:rPr>
          <w:rFonts w:eastAsia="Times New Roman"/>
          <w:lang w:val="x-none" w:eastAsia="x-none"/>
        </w:rPr>
      </w:pPr>
      <w:r w:rsidRPr="00C35BE3">
        <w:rPr>
          <w:rFonts w:eastAsia="Times New Roman"/>
          <w:lang w:val="x-none" w:eastAsia="x-none"/>
        </w:rPr>
        <w:t>Obras: consistem</w:t>
      </w:r>
      <w:r w:rsidRPr="00C35BE3">
        <w:rPr>
          <w:rFonts w:eastAsia="Times New Roman"/>
          <w:szCs w:val="20"/>
          <w:lang w:val="x-none" w:eastAsia="x-none"/>
        </w:rPr>
        <w:t xml:space="preserve"> na ação de construir, reformar, fabricar, recuperar ou ampliar um bem, na qual seja necessária a utilização de conhecimentos técnicos específicos envolvendo a participação de profissionais habilitados conforme o disposto na Lei Federal nº 5.194/66.</w:t>
      </w:r>
    </w:p>
    <w:p w:rsidR="00594A45" w:rsidRPr="00C35BE3" w:rsidRDefault="00594A45" w:rsidP="00594A45">
      <w:pPr>
        <w:ind w:firstLine="709"/>
        <w:jc w:val="both"/>
        <w:rPr>
          <w:u w:val="single"/>
        </w:rPr>
      </w:pPr>
      <w:r w:rsidRPr="00C35BE3">
        <w:rPr>
          <w:u w:val="single"/>
        </w:rPr>
        <w:t>Ações não estruturais:</w:t>
      </w:r>
    </w:p>
    <w:p w:rsidR="00594A45" w:rsidRPr="00C35BE3" w:rsidRDefault="00594A45" w:rsidP="0066661F">
      <w:pPr>
        <w:numPr>
          <w:ilvl w:val="0"/>
          <w:numId w:val="59"/>
        </w:numPr>
        <w:contextualSpacing/>
        <w:jc w:val="both"/>
        <w:rPr>
          <w:rFonts w:eastAsia="Times New Roman"/>
          <w:szCs w:val="20"/>
          <w:lang w:val="x-none" w:eastAsia="x-none"/>
        </w:rPr>
      </w:pPr>
      <w:r w:rsidRPr="00C35BE3">
        <w:rPr>
          <w:rFonts w:eastAsia="Times New Roman"/>
          <w:szCs w:val="20"/>
          <w:lang w:val="x-none" w:eastAsia="x-none"/>
        </w:rPr>
        <w:t>Serviços de engenharia consultiva: são todas as atividades profissionais referentes aos serviços técnicos profissionais especializados de projetos e planejamentos, estudos técnicos, pareceres, perícias, avaliações, assessorias, consultorias, auditorias, fiscalização, supervisão ou gerenciamento.</w:t>
      </w:r>
    </w:p>
    <w:p w:rsidR="00594A45" w:rsidRDefault="00594A45" w:rsidP="00594A45">
      <w:pPr>
        <w:ind w:firstLine="708"/>
        <w:jc w:val="both"/>
      </w:pPr>
      <w:r w:rsidRPr="00C35BE3">
        <w:t>No presente PMSB as obras são representadas pelas implantações dos sistemas de esgotamento sanitário, sistemas de abastecimento de água, dispositivos de macro e microdrenagem e disposição final de resíduos sólidos de diferentes tipologias. Já os serviços de engenharia consultiva são representados pelos projetos dos sistemas de esgotamento sanitário, do sistema de abastecimento público, dos dispositivos de macro e microdrenagem e disposição final de resíduos sólidos, levantamentos cadastrais, além das avalições de estudos e legislação existente, elaboração de novos estudos, serviços de fiscalização, pesquisas, treinamentos técnicos, eventos, seminários e palestras.</w:t>
      </w:r>
    </w:p>
    <w:p w:rsidR="00594A45" w:rsidRDefault="00594A45" w:rsidP="00BC01B1">
      <w:pPr>
        <w:pStyle w:val="Ttulo3"/>
      </w:pPr>
      <w:bookmarkStart w:id="1126" w:name="_Toc505157038"/>
      <w:bookmarkStart w:id="1127" w:name="_Toc509935589"/>
      <w:bookmarkStart w:id="1128" w:name="_Toc505157028"/>
      <w:r>
        <w:t>Fontes consultadas</w:t>
      </w:r>
      <w:bookmarkEnd w:id="1126"/>
      <w:bookmarkEnd w:id="1127"/>
    </w:p>
    <w:p w:rsidR="00594A45" w:rsidRPr="0060092E" w:rsidRDefault="00594A45" w:rsidP="00594A45">
      <w:pPr>
        <w:tabs>
          <w:tab w:val="left" w:pos="4395"/>
        </w:tabs>
        <w:autoSpaceDE w:val="0"/>
        <w:autoSpaceDN w:val="0"/>
        <w:adjustRightInd w:val="0"/>
        <w:ind w:firstLine="425"/>
        <w:jc w:val="both"/>
        <w:rPr>
          <w:rFonts w:cs="Arial"/>
          <w:szCs w:val="24"/>
        </w:rPr>
      </w:pPr>
      <w:r w:rsidRPr="0060092E">
        <w:rPr>
          <w:rFonts w:cs="Arial"/>
          <w:szCs w:val="24"/>
        </w:rPr>
        <w:t>As fontes utilizadas para a composição de preços apresentada nes</w:t>
      </w:r>
      <w:r>
        <w:rPr>
          <w:rFonts w:cs="Arial"/>
          <w:szCs w:val="24"/>
        </w:rPr>
        <w:t>t</w:t>
      </w:r>
      <w:r w:rsidRPr="0060092E">
        <w:rPr>
          <w:rFonts w:cs="Arial"/>
          <w:szCs w:val="24"/>
        </w:rPr>
        <w:t xml:space="preserve">e PMSB </w:t>
      </w:r>
      <w:r w:rsidR="002C2555" w:rsidRPr="002143BE">
        <w:rPr>
          <w:rFonts w:cs="Arial"/>
          <w:szCs w:val="24"/>
        </w:rPr>
        <w:t>foram</w:t>
      </w:r>
      <w:r w:rsidRPr="0060092E">
        <w:rPr>
          <w:rFonts w:cs="Arial"/>
          <w:szCs w:val="24"/>
        </w:rPr>
        <w:t xml:space="preserve"> as seguintes:</w:t>
      </w:r>
    </w:p>
    <w:p w:rsidR="00594A45" w:rsidRPr="008D52D4" w:rsidRDefault="00594A45" w:rsidP="0066661F">
      <w:pPr>
        <w:pStyle w:val="PargrafodaLista"/>
        <w:numPr>
          <w:ilvl w:val="0"/>
          <w:numId w:val="92"/>
        </w:numPr>
        <w:spacing w:before="120" w:after="120"/>
        <w:rPr>
          <w:rFonts w:cs="Arial"/>
          <w:szCs w:val="24"/>
        </w:rPr>
      </w:pPr>
      <w:r w:rsidRPr="008D52D4">
        <w:rPr>
          <w:rFonts w:cs="Arial"/>
          <w:szCs w:val="24"/>
        </w:rPr>
        <w:t xml:space="preserve">Aparelhos eletrônicos e utilidades de escritório: </w:t>
      </w:r>
      <w:r>
        <w:rPr>
          <w:rFonts w:cs="Arial"/>
          <w:szCs w:val="24"/>
          <w:lang w:val="pt-BR"/>
        </w:rPr>
        <w:t>s</w:t>
      </w:r>
      <w:r w:rsidRPr="00723038">
        <w:rPr>
          <w:rFonts w:cs="Arial"/>
          <w:i/>
          <w:szCs w:val="24"/>
        </w:rPr>
        <w:t>ites</w:t>
      </w:r>
      <w:r w:rsidRPr="008D52D4">
        <w:rPr>
          <w:rFonts w:cs="Arial"/>
          <w:szCs w:val="24"/>
        </w:rPr>
        <w:t xml:space="preserve"> do Extra Hipermercados, </w:t>
      </w:r>
      <w:r w:rsidRPr="00143CD8">
        <w:rPr>
          <w:rFonts w:cs="Arial"/>
          <w:i/>
          <w:szCs w:val="24"/>
        </w:rPr>
        <w:t>Shoptime</w:t>
      </w:r>
      <w:r w:rsidRPr="008D52D4">
        <w:rPr>
          <w:rFonts w:cs="Arial"/>
          <w:szCs w:val="24"/>
        </w:rPr>
        <w:t>, Submarino e Americanas</w:t>
      </w:r>
      <w:r>
        <w:rPr>
          <w:rFonts w:cs="Arial"/>
          <w:szCs w:val="24"/>
          <w:lang w:val="pt-BR"/>
        </w:rPr>
        <w:t>.</w:t>
      </w:r>
    </w:p>
    <w:p w:rsidR="00594A45" w:rsidRPr="0060092E" w:rsidRDefault="00594A45" w:rsidP="0066661F">
      <w:pPr>
        <w:pStyle w:val="PargrafodaLista"/>
        <w:numPr>
          <w:ilvl w:val="0"/>
          <w:numId w:val="92"/>
        </w:numPr>
        <w:spacing w:before="120" w:after="120"/>
        <w:rPr>
          <w:rFonts w:cs="Arial"/>
          <w:szCs w:val="24"/>
        </w:rPr>
      </w:pPr>
      <w:r w:rsidRPr="0060092E">
        <w:rPr>
          <w:rFonts w:cs="Arial"/>
          <w:szCs w:val="24"/>
        </w:rPr>
        <w:t>Cadastro de rede com topografia: orçamento em três empresas do mercado que realizam cadastros d</w:t>
      </w:r>
      <w:r>
        <w:rPr>
          <w:rFonts w:cs="Arial"/>
          <w:szCs w:val="24"/>
        </w:rPr>
        <w:t>e redes de água, com topografia</w:t>
      </w:r>
      <w:r w:rsidRPr="0060092E">
        <w:rPr>
          <w:rFonts w:cs="Arial"/>
          <w:szCs w:val="24"/>
        </w:rPr>
        <w:t xml:space="preserve"> (ex</w:t>
      </w:r>
      <w:r>
        <w:rPr>
          <w:rFonts w:cs="Arial"/>
          <w:szCs w:val="24"/>
          <w:lang w:val="pt-BR"/>
        </w:rPr>
        <w:t>.</w:t>
      </w:r>
      <w:r w:rsidRPr="0060092E">
        <w:rPr>
          <w:rFonts w:cs="Arial"/>
          <w:szCs w:val="24"/>
        </w:rPr>
        <w:t>: Empresa NEXUS GeoEngenharia – São José dos Campos/SP).</w:t>
      </w:r>
    </w:p>
    <w:p w:rsidR="00594A45" w:rsidRPr="008D52D4" w:rsidRDefault="00594A45" w:rsidP="0066661F">
      <w:pPr>
        <w:pStyle w:val="PargrafodaLista"/>
        <w:numPr>
          <w:ilvl w:val="0"/>
          <w:numId w:val="92"/>
        </w:numPr>
        <w:spacing w:before="120" w:after="120"/>
        <w:rPr>
          <w:rFonts w:cs="Arial"/>
          <w:szCs w:val="24"/>
        </w:rPr>
      </w:pPr>
      <w:r w:rsidRPr="008D52D4">
        <w:rPr>
          <w:rFonts w:cs="Arial"/>
          <w:szCs w:val="24"/>
        </w:rPr>
        <w:t>Projetos estruturais:</w:t>
      </w:r>
    </w:p>
    <w:p w:rsidR="00594A45" w:rsidRPr="008D52D4" w:rsidRDefault="00594A45" w:rsidP="0066661F">
      <w:pPr>
        <w:pStyle w:val="PargrafodaLista"/>
        <w:numPr>
          <w:ilvl w:val="1"/>
          <w:numId w:val="92"/>
        </w:numPr>
        <w:spacing w:before="120" w:after="120"/>
        <w:rPr>
          <w:rFonts w:cs="Arial"/>
          <w:szCs w:val="24"/>
        </w:rPr>
      </w:pPr>
      <w:r w:rsidRPr="008D52D4">
        <w:rPr>
          <w:rFonts w:cs="Arial"/>
          <w:szCs w:val="24"/>
        </w:rPr>
        <w:lastRenderedPageBreak/>
        <w:t xml:space="preserve">SINAPI - Sistema Nacional de Pesquisa de Custos e Índices da Construção Civil (indicado pelo Decreto </w:t>
      </w:r>
      <w:r>
        <w:rPr>
          <w:rFonts w:cs="Arial"/>
          <w:szCs w:val="24"/>
          <w:lang w:val="pt-BR"/>
        </w:rPr>
        <w:t xml:space="preserve">nº </w:t>
      </w:r>
      <w:r w:rsidRPr="008D52D4">
        <w:rPr>
          <w:rFonts w:cs="Arial"/>
          <w:szCs w:val="24"/>
        </w:rPr>
        <w:t>7</w:t>
      </w:r>
      <w:r>
        <w:rPr>
          <w:rFonts w:cs="Arial"/>
          <w:szCs w:val="24"/>
          <w:lang w:val="pt-BR"/>
        </w:rPr>
        <w:t>.</w:t>
      </w:r>
      <w:r w:rsidRPr="008D52D4">
        <w:rPr>
          <w:rFonts w:cs="Arial"/>
          <w:szCs w:val="24"/>
        </w:rPr>
        <w:t>983/2013)</w:t>
      </w:r>
      <w:r>
        <w:rPr>
          <w:rFonts w:cs="Arial"/>
          <w:szCs w:val="24"/>
          <w:lang w:val="pt-BR"/>
        </w:rPr>
        <w:t>.</w:t>
      </w:r>
    </w:p>
    <w:p w:rsidR="00594A45" w:rsidRPr="009A0CC7" w:rsidRDefault="00594A45" w:rsidP="0066661F">
      <w:pPr>
        <w:pStyle w:val="PargrafodaLista"/>
        <w:numPr>
          <w:ilvl w:val="1"/>
          <w:numId w:val="92"/>
        </w:numPr>
        <w:spacing w:before="120" w:after="120"/>
        <w:rPr>
          <w:rFonts w:cs="Arial"/>
          <w:szCs w:val="24"/>
        </w:rPr>
      </w:pPr>
      <w:r w:rsidRPr="0060092E">
        <w:rPr>
          <w:rFonts w:cs="Arial"/>
          <w:szCs w:val="24"/>
        </w:rPr>
        <w:t xml:space="preserve">Orçamento em três empresas existentes no mercado que realizam projetos estruturais de estações de </w:t>
      </w:r>
      <w:r w:rsidRPr="009A0CC7">
        <w:rPr>
          <w:rFonts w:cs="Arial"/>
          <w:szCs w:val="24"/>
        </w:rPr>
        <w:t>tratamento de água e esgoto em fibra de vidro (ex</w:t>
      </w:r>
      <w:r w:rsidRPr="009A0CC7">
        <w:rPr>
          <w:rFonts w:cs="Arial"/>
          <w:szCs w:val="24"/>
          <w:lang w:val="pt-BR"/>
        </w:rPr>
        <w:t>.</w:t>
      </w:r>
      <w:r w:rsidRPr="009A0CC7">
        <w:rPr>
          <w:rFonts w:cs="Arial"/>
          <w:szCs w:val="24"/>
        </w:rPr>
        <w:t>: Arcoplan – Taubaté/SP)</w:t>
      </w:r>
      <w:r w:rsidRPr="009A0CC7">
        <w:rPr>
          <w:rFonts w:cs="Arial"/>
          <w:szCs w:val="24"/>
          <w:lang w:val="pt-BR"/>
        </w:rPr>
        <w:t>.</w:t>
      </w:r>
    </w:p>
    <w:p w:rsidR="00594A45" w:rsidRPr="009A0CC7" w:rsidRDefault="00594A45" w:rsidP="0066661F">
      <w:pPr>
        <w:pStyle w:val="PargrafodaLista"/>
        <w:numPr>
          <w:ilvl w:val="1"/>
          <w:numId w:val="92"/>
        </w:numPr>
        <w:spacing w:before="120" w:after="120"/>
        <w:rPr>
          <w:rFonts w:cs="Arial"/>
          <w:szCs w:val="24"/>
        </w:rPr>
      </w:pPr>
      <w:r w:rsidRPr="009A0CC7">
        <w:rPr>
          <w:rFonts w:cs="Arial"/>
          <w:szCs w:val="24"/>
        </w:rPr>
        <w:t>Projetos executivos já realizados pela SHS para sistemas de esgotamento sanitário (redes, ETE</w:t>
      </w:r>
      <w:r w:rsidRPr="009A0CC7">
        <w:rPr>
          <w:rFonts w:cs="Arial"/>
          <w:szCs w:val="24"/>
          <w:lang w:val="pt-BR"/>
        </w:rPr>
        <w:t>s</w:t>
      </w:r>
      <w:r w:rsidRPr="009A0CC7">
        <w:rPr>
          <w:rFonts w:cs="Arial"/>
          <w:szCs w:val="24"/>
        </w:rPr>
        <w:t>)</w:t>
      </w:r>
      <w:r w:rsidRPr="009A0CC7">
        <w:rPr>
          <w:rFonts w:cs="Arial"/>
          <w:szCs w:val="24"/>
          <w:lang w:val="pt-BR"/>
        </w:rPr>
        <w:t xml:space="preserve">, dispositivos </w:t>
      </w:r>
      <w:r w:rsidRPr="009A0CC7">
        <w:rPr>
          <w:rFonts w:cs="Arial"/>
          <w:szCs w:val="24"/>
        </w:rPr>
        <w:t>de drenagem (pontes, reservatórios)</w:t>
      </w:r>
      <w:r w:rsidRPr="009A0CC7">
        <w:rPr>
          <w:rFonts w:cs="Arial"/>
          <w:szCs w:val="24"/>
          <w:lang w:val="pt-BR"/>
        </w:rPr>
        <w:t xml:space="preserve"> </w:t>
      </w:r>
      <w:r w:rsidRPr="009A0CC7">
        <w:rPr>
          <w:rFonts w:cs="Arial"/>
          <w:szCs w:val="24"/>
        </w:rPr>
        <w:t>e manejo de recursos hídricos</w:t>
      </w:r>
      <w:r w:rsidRPr="009A0CC7">
        <w:rPr>
          <w:rFonts w:cs="Arial"/>
          <w:szCs w:val="24"/>
          <w:lang w:val="pt-BR"/>
        </w:rPr>
        <w:t>.</w:t>
      </w:r>
      <w:r w:rsidRPr="009A0CC7">
        <w:rPr>
          <w:rFonts w:cs="Arial"/>
          <w:szCs w:val="24"/>
        </w:rPr>
        <w:t xml:space="preserve"> </w:t>
      </w:r>
    </w:p>
    <w:p w:rsidR="00594A45" w:rsidRPr="009A0CC7" w:rsidRDefault="00594A45" w:rsidP="0066661F">
      <w:pPr>
        <w:pStyle w:val="PargrafodaLista"/>
        <w:numPr>
          <w:ilvl w:val="1"/>
          <w:numId w:val="92"/>
        </w:numPr>
        <w:spacing w:before="120" w:after="120"/>
        <w:rPr>
          <w:rFonts w:cs="Arial"/>
          <w:szCs w:val="24"/>
        </w:rPr>
      </w:pPr>
      <w:r w:rsidRPr="009A0CC7">
        <w:rPr>
          <w:rFonts w:cs="Arial"/>
          <w:szCs w:val="24"/>
        </w:rPr>
        <w:t>Projetos de saneamento rural desenvolvidos pela Embrapa</w:t>
      </w:r>
      <w:r w:rsidRPr="009A0CC7">
        <w:rPr>
          <w:rFonts w:cs="Arial"/>
          <w:szCs w:val="24"/>
          <w:lang w:val="pt-BR"/>
        </w:rPr>
        <w:t>.</w:t>
      </w:r>
    </w:p>
    <w:p w:rsidR="00594A45" w:rsidRPr="008D52D4" w:rsidRDefault="00594A45" w:rsidP="0066661F">
      <w:pPr>
        <w:pStyle w:val="PargrafodaLista"/>
        <w:numPr>
          <w:ilvl w:val="0"/>
          <w:numId w:val="92"/>
        </w:numPr>
        <w:spacing w:before="120" w:after="120"/>
        <w:rPr>
          <w:rFonts w:cs="Arial"/>
          <w:szCs w:val="24"/>
        </w:rPr>
      </w:pPr>
      <w:r w:rsidRPr="009A0CC7">
        <w:rPr>
          <w:rFonts w:cs="Arial"/>
          <w:szCs w:val="24"/>
        </w:rPr>
        <w:t xml:space="preserve">Cursos de capacitação: FEPESP – Federação dos </w:t>
      </w:r>
      <w:r w:rsidRPr="009A0CC7">
        <w:rPr>
          <w:rFonts w:cs="Arial"/>
          <w:szCs w:val="24"/>
          <w:lang w:val="pt-BR"/>
        </w:rPr>
        <w:t>P</w:t>
      </w:r>
      <w:r w:rsidRPr="009A0CC7">
        <w:rPr>
          <w:rFonts w:cs="Arial"/>
          <w:szCs w:val="24"/>
        </w:rPr>
        <w:t>rofessores</w:t>
      </w:r>
      <w:r w:rsidRPr="008D52D4">
        <w:rPr>
          <w:rFonts w:cs="Arial"/>
          <w:szCs w:val="24"/>
        </w:rPr>
        <w:t xml:space="preserve"> do Estado de São Paulo</w:t>
      </w:r>
      <w:r>
        <w:rPr>
          <w:rFonts w:cs="Arial"/>
          <w:szCs w:val="24"/>
          <w:lang w:val="pt-BR"/>
        </w:rPr>
        <w:t>.</w:t>
      </w:r>
    </w:p>
    <w:p w:rsidR="00594A45" w:rsidRPr="008D52D4" w:rsidRDefault="00594A45" w:rsidP="0066661F">
      <w:pPr>
        <w:pStyle w:val="PargrafodaLista"/>
        <w:numPr>
          <w:ilvl w:val="0"/>
          <w:numId w:val="92"/>
        </w:numPr>
        <w:spacing w:before="120" w:after="120"/>
        <w:rPr>
          <w:rFonts w:cs="Arial"/>
          <w:szCs w:val="24"/>
        </w:rPr>
      </w:pPr>
      <w:r w:rsidRPr="008D52D4">
        <w:rPr>
          <w:rFonts w:cs="Arial"/>
          <w:szCs w:val="24"/>
        </w:rPr>
        <w:t xml:space="preserve">Esteiras e prensas para galpões de reciclagem: </w:t>
      </w:r>
      <w:r>
        <w:rPr>
          <w:rFonts w:cs="Arial"/>
          <w:szCs w:val="24"/>
          <w:lang w:val="pt-BR"/>
        </w:rPr>
        <w:t>o</w:t>
      </w:r>
      <w:r w:rsidRPr="008D52D4">
        <w:rPr>
          <w:rFonts w:cs="Arial"/>
          <w:szCs w:val="24"/>
        </w:rPr>
        <w:t>rçamento em três empresas existentes no mercado (ex</w:t>
      </w:r>
      <w:r>
        <w:rPr>
          <w:rFonts w:cs="Arial"/>
          <w:szCs w:val="24"/>
          <w:lang w:val="pt-BR"/>
        </w:rPr>
        <w:t>.</w:t>
      </w:r>
      <w:r w:rsidRPr="008D52D4">
        <w:rPr>
          <w:rFonts w:cs="Arial"/>
          <w:szCs w:val="24"/>
        </w:rPr>
        <w:t>: Fragmaq - Diadema/SP).</w:t>
      </w:r>
    </w:p>
    <w:p w:rsidR="00594A45" w:rsidRPr="008D52D4" w:rsidRDefault="00594A45" w:rsidP="0066661F">
      <w:pPr>
        <w:pStyle w:val="PargrafodaLista"/>
        <w:numPr>
          <w:ilvl w:val="0"/>
          <w:numId w:val="92"/>
        </w:numPr>
        <w:spacing w:before="120" w:after="120"/>
        <w:rPr>
          <w:rFonts w:cs="Arial"/>
          <w:szCs w:val="24"/>
        </w:rPr>
      </w:pPr>
      <w:r w:rsidRPr="008D52D4">
        <w:rPr>
          <w:rFonts w:cs="Arial"/>
          <w:szCs w:val="24"/>
        </w:rPr>
        <w:t>Reflorestamento: custo médio calculado por especialistas (professor Ricardo Ribeiro Rodrigues – ESALQ)</w:t>
      </w:r>
      <w:r>
        <w:rPr>
          <w:rFonts w:cs="Arial"/>
          <w:szCs w:val="24"/>
          <w:lang w:val="pt-BR"/>
        </w:rPr>
        <w:t>.</w:t>
      </w:r>
    </w:p>
    <w:p w:rsidR="00594A45" w:rsidRPr="009A0CC7" w:rsidRDefault="00594A45" w:rsidP="0066661F">
      <w:pPr>
        <w:pStyle w:val="PargrafodaLista"/>
        <w:numPr>
          <w:ilvl w:val="0"/>
          <w:numId w:val="92"/>
        </w:numPr>
        <w:spacing w:before="120" w:after="120"/>
        <w:rPr>
          <w:rFonts w:cs="Arial"/>
          <w:szCs w:val="24"/>
        </w:rPr>
      </w:pPr>
      <w:r w:rsidRPr="008D52D4">
        <w:rPr>
          <w:rFonts w:cs="Arial"/>
          <w:szCs w:val="24"/>
        </w:rPr>
        <w:t>Análises químicas</w:t>
      </w:r>
      <w:r w:rsidRPr="009A0CC7">
        <w:rPr>
          <w:rFonts w:cs="Arial"/>
          <w:szCs w:val="24"/>
        </w:rPr>
        <w:t>: laboratório de saneamento da USP (Campus São Carlos)</w:t>
      </w:r>
      <w:r w:rsidRPr="009A0CC7">
        <w:rPr>
          <w:rFonts w:cs="Arial"/>
          <w:szCs w:val="24"/>
          <w:lang w:val="pt-BR"/>
        </w:rPr>
        <w:t>.</w:t>
      </w:r>
    </w:p>
    <w:p w:rsidR="00594A45" w:rsidRPr="009A0CC7" w:rsidRDefault="00594A45" w:rsidP="0066661F">
      <w:pPr>
        <w:pStyle w:val="PargrafodaLista"/>
        <w:numPr>
          <w:ilvl w:val="0"/>
          <w:numId w:val="92"/>
        </w:numPr>
        <w:spacing w:before="120" w:after="120"/>
        <w:rPr>
          <w:rFonts w:cs="Arial"/>
          <w:szCs w:val="24"/>
        </w:rPr>
      </w:pPr>
      <w:r w:rsidRPr="009A0CC7">
        <w:rPr>
          <w:rFonts w:cs="Arial"/>
          <w:szCs w:val="24"/>
        </w:rPr>
        <w:t>Salários e honorários:</w:t>
      </w:r>
    </w:p>
    <w:p w:rsidR="00594A45" w:rsidRPr="009A0CC7" w:rsidRDefault="00594A45" w:rsidP="0066661F">
      <w:pPr>
        <w:pStyle w:val="PargrafodaLista"/>
        <w:numPr>
          <w:ilvl w:val="1"/>
          <w:numId w:val="92"/>
        </w:numPr>
        <w:spacing w:before="120" w:after="120"/>
        <w:rPr>
          <w:rFonts w:cs="Arial"/>
          <w:szCs w:val="24"/>
        </w:rPr>
      </w:pPr>
      <w:r>
        <w:rPr>
          <w:rFonts w:cs="Arial"/>
          <w:szCs w:val="24"/>
        </w:rPr>
        <w:t>Sine</w:t>
      </w:r>
      <w:r>
        <w:rPr>
          <w:rFonts w:cs="Arial"/>
          <w:szCs w:val="24"/>
          <w:lang w:val="pt-BR"/>
        </w:rPr>
        <w:t xml:space="preserve"> - </w:t>
      </w:r>
      <w:r w:rsidRPr="00FB54C3">
        <w:rPr>
          <w:rFonts w:cs="Arial"/>
          <w:i/>
          <w:szCs w:val="24"/>
        </w:rPr>
        <w:t>Site</w:t>
      </w:r>
      <w:r w:rsidRPr="009A0CC7">
        <w:rPr>
          <w:rFonts w:cs="Arial"/>
          <w:szCs w:val="24"/>
        </w:rPr>
        <w:t xml:space="preserve"> Nacional de Empregos.</w:t>
      </w:r>
    </w:p>
    <w:p w:rsidR="00594A45" w:rsidRPr="009A0CC7" w:rsidRDefault="00594A45" w:rsidP="0066661F">
      <w:pPr>
        <w:pStyle w:val="PargrafodaLista"/>
        <w:numPr>
          <w:ilvl w:val="1"/>
          <w:numId w:val="92"/>
        </w:numPr>
        <w:spacing w:before="120" w:after="120"/>
        <w:rPr>
          <w:rFonts w:cs="Arial"/>
          <w:szCs w:val="24"/>
        </w:rPr>
      </w:pPr>
      <w:r w:rsidRPr="009A0CC7">
        <w:rPr>
          <w:rFonts w:cs="Arial"/>
          <w:szCs w:val="24"/>
        </w:rPr>
        <w:t xml:space="preserve">OAB </w:t>
      </w:r>
      <w:r>
        <w:rPr>
          <w:rFonts w:cs="Arial"/>
          <w:szCs w:val="24"/>
          <w:lang w:val="pt-BR"/>
        </w:rPr>
        <w:t xml:space="preserve">- </w:t>
      </w:r>
      <w:r w:rsidRPr="009A0CC7">
        <w:rPr>
          <w:rFonts w:cs="Arial"/>
          <w:szCs w:val="24"/>
        </w:rPr>
        <w:t>Minas Gerais</w:t>
      </w:r>
      <w:r>
        <w:rPr>
          <w:rFonts w:cs="Arial"/>
          <w:szCs w:val="24"/>
          <w:lang w:val="pt-BR"/>
        </w:rPr>
        <w:t>.</w:t>
      </w:r>
    </w:p>
    <w:p w:rsidR="00594A45" w:rsidRPr="009A0CC7" w:rsidRDefault="00594A45" w:rsidP="0066661F">
      <w:pPr>
        <w:pStyle w:val="PargrafodaLista"/>
        <w:numPr>
          <w:ilvl w:val="1"/>
          <w:numId w:val="92"/>
        </w:numPr>
        <w:spacing w:before="120" w:after="120"/>
        <w:rPr>
          <w:rFonts w:cs="Arial"/>
          <w:szCs w:val="24"/>
        </w:rPr>
      </w:pPr>
      <w:r w:rsidRPr="009A0CC7">
        <w:rPr>
          <w:rFonts w:cs="Arial"/>
          <w:szCs w:val="24"/>
        </w:rPr>
        <w:t>AEASC</w:t>
      </w:r>
      <w:r>
        <w:rPr>
          <w:rFonts w:cs="Arial"/>
          <w:szCs w:val="24"/>
          <w:lang w:val="pt-BR"/>
        </w:rPr>
        <w:t xml:space="preserve"> - </w:t>
      </w:r>
      <w:r w:rsidRPr="009A0CC7">
        <w:rPr>
          <w:rFonts w:cs="Arial"/>
          <w:szCs w:val="24"/>
        </w:rPr>
        <w:t>Associação dos Engenheiros, Arqui</w:t>
      </w:r>
      <w:r>
        <w:rPr>
          <w:rFonts w:cs="Arial"/>
          <w:szCs w:val="24"/>
        </w:rPr>
        <w:t>tetos e Agrônomos de São Carlos</w:t>
      </w:r>
      <w:r>
        <w:rPr>
          <w:rFonts w:cs="Arial"/>
          <w:szCs w:val="24"/>
          <w:lang w:val="pt-BR"/>
        </w:rPr>
        <w:t>.</w:t>
      </w:r>
    </w:p>
    <w:p w:rsidR="00594A45" w:rsidRPr="008D52D4" w:rsidRDefault="00594A45" w:rsidP="0066661F">
      <w:pPr>
        <w:pStyle w:val="PargrafodaLista"/>
        <w:numPr>
          <w:ilvl w:val="0"/>
          <w:numId w:val="92"/>
        </w:numPr>
        <w:spacing w:before="120" w:after="120"/>
        <w:rPr>
          <w:rFonts w:cs="Arial"/>
          <w:szCs w:val="24"/>
        </w:rPr>
      </w:pPr>
      <w:r w:rsidRPr="009A0CC7">
        <w:rPr>
          <w:rFonts w:cs="Arial"/>
          <w:szCs w:val="24"/>
        </w:rPr>
        <w:t>Eventos municipais: Kaniza Comunicação</w:t>
      </w:r>
      <w:r w:rsidRPr="008D52D4">
        <w:rPr>
          <w:rFonts w:cs="Arial"/>
          <w:szCs w:val="24"/>
        </w:rPr>
        <w:t xml:space="preserve"> (São Carlos)</w:t>
      </w:r>
      <w:r>
        <w:rPr>
          <w:rFonts w:cs="Arial"/>
          <w:szCs w:val="24"/>
          <w:lang w:val="pt-BR"/>
        </w:rPr>
        <w:t>.</w:t>
      </w:r>
    </w:p>
    <w:p w:rsidR="00594A45" w:rsidRPr="00D54B4D" w:rsidRDefault="00594A45" w:rsidP="0066661F">
      <w:pPr>
        <w:pStyle w:val="PargrafodaLista"/>
        <w:numPr>
          <w:ilvl w:val="0"/>
          <w:numId w:val="92"/>
        </w:numPr>
        <w:spacing w:before="120" w:after="120"/>
        <w:rPr>
          <w:rFonts w:cs="Arial"/>
          <w:szCs w:val="24"/>
        </w:rPr>
      </w:pPr>
      <w:r w:rsidRPr="008D52D4">
        <w:rPr>
          <w:rFonts w:cs="Arial"/>
          <w:szCs w:val="24"/>
        </w:rPr>
        <w:t xml:space="preserve">Veículos motorizados: </w:t>
      </w:r>
      <w:r w:rsidRPr="002546B2">
        <w:rPr>
          <w:rFonts w:cs="Arial"/>
          <w:i/>
          <w:szCs w:val="24"/>
        </w:rPr>
        <w:t>Site</w:t>
      </w:r>
      <w:r w:rsidRPr="008D52D4">
        <w:rPr>
          <w:rFonts w:cs="Arial"/>
          <w:szCs w:val="24"/>
        </w:rPr>
        <w:t xml:space="preserve"> Webmotors</w:t>
      </w:r>
      <w:r>
        <w:rPr>
          <w:rFonts w:cs="Arial"/>
          <w:szCs w:val="24"/>
          <w:lang w:val="pt-BR"/>
        </w:rPr>
        <w:t>.</w:t>
      </w:r>
    </w:p>
    <w:p w:rsidR="00594A45" w:rsidRPr="008D52D4" w:rsidRDefault="00594A45" w:rsidP="00BC01B1">
      <w:pPr>
        <w:pStyle w:val="Ttulo3"/>
      </w:pPr>
      <w:bookmarkStart w:id="1129" w:name="_Toc509935590"/>
      <w:r w:rsidRPr="008D52D4">
        <w:t>Plano de investimentos</w:t>
      </w:r>
      <w:bookmarkEnd w:id="1128"/>
      <w:bookmarkEnd w:id="1129"/>
    </w:p>
    <w:p w:rsidR="00594A45" w:rsidRPr="00D5711B" w:rsidRDefault="00594A45" w:rsidP="00594A45">
      <w:pPr>
        <w:spacing w:before="120" w:after="120"/>
        <w:ind w:firstLine="709"/>
        <w:contextualSpacing/>
        <w:jc w:val="both"/>
      </w:pPr>
      <w:r w:rsidRPr="00D5711B">
        <w:t xml:space="preserve">O Plano de Investimentos do PMSB do </w:t>
      </w:r>
      <w:r w:rsidRPr="0021113E">
        <w:t xml:space="preserve">município de </w:t>
      </w:r>
      <w:r w:rsidR="00171D9D" w:rsidRPr="00171D9D">
        <w:t>Córrego Novo</w:t>
      </w:r>
      <w:r w:rsidRPr="0021113E">
        <w:t xml:space="preserve"> foi </w:t>
      </w:r>
      <w:r w:rsidRPr="00D5711B">
        <w:t>desenvolvido</w:t>
      </w:r>
      <w:r>
        <w:t xml:space="preserve"> sob a forma de planilhas,</w:t>
      </w:r>
      <w:r w:rsidRPr="00D5711B">
        <w:t xml:space="preserve"> visando à </w:t>
      </w:r>
      <w:r>
        <w:t>determinação dos custos</w:t>
      </w:r>
      <w:r w:rsidRPr="00D5711B">
        <w:t xml:space="preserve"> das aç</w:t>
      </w:r>
      <w:r>
        <w:t>ões propostas neste mesmo Plano e do fluxo de caixa decorrente,</w:t>
      </w:r>
      <w:r w:rsidRPr="00D5711B">
        <w:t xml:space="preserve"> </w:t>
      </w:r>
      <w:r w:rsidRPr="00D9553A">
        <w:t xml:space="preserve">para cada setor de serviços de saneamento básico, inclusive para aquele denominado </w:t>
      </w:r>
      <w:r w:rsidRPr="00D9553A">
        <w:rPr>
          <w:i/>
        </w:rPr>
        <w:t>Setor Geral</w:t>
      </w:r>
      <w:r w:rsidRPr="00D9553A">
        <w:t>.</w:t>
      </w:r>
    </w:p>
    <w:p w:rsidR="00594A45" w:rsidRPr="00D5711B" w:rsidRDefault="00594A45" w:rsidP="00594A45">
      <w:pPr>
        <w:spacing w:before="120" w:after="120"/>
        <w:ind w:firstLine="709"/>
        <w:contextualSpacing/>
        <w:jc w:val="both"/>
      </w:pPr>
      <w:r w:rsidRPr="00D5711B">
        <w:t xml:space="preserve">Para </w:t>
      </w:r>
      <w:r>
        <w:t xml:space="preserve">cada </w:t>
      </w:r>
      <w:r w:rsidRPr="00D5711B">
        <w:t xml:space="preserve">ação foram determinadas as demandas necessárias para integralizá-la e, por sua vez, para cada item de demanda foi definida uma quantidade, unidade e </w:t>
      </w:r>
      <w:r w:rsidRPr="00D5711B">
        <w:lastRenderedPageBreak/>
        <w:t>periodicidade. Todos es</w:t>
      </w:r>
      <w:r w:rsidR="00E3565F">
        <w:t>s</w:t>
      </w:r>
      <w:r w:rsidRPr="00D5711B">
        <w:t xml:space="preserve">es dados foram organizados em uma planilha de cálculo do MS Excel, gerando uma previsão do fluxo </w:t>
      </w:r>
      <w:r w:rsidRPr="002416C8">
        <w:t xml:space="preserve">de caixa de desembolsos para cada ano do Plano. As planilhas contendo o detalhamento da metodologia </w:t>
      </w:r>
      <w:r w:rsidRPr="002143BE">
        <w:t>utilizada estão disponibilizadas na versão digital deste PMSB.</w:t>
      </w:r>
    </w:p>
    <w:p w:rsidR="00594A45" w:rsidRPr="0023242A" w:rsidRDefault="00594A45" w:rsidP="00594A45">
      <w:pPr>
        <w:spacing w:before="120" w:after="120"/>
        <w:ind w:firstLine="709"/>
        <w:contextualSpacing/>
        <w:jc w:val="both"/>
      </w:pPr>
      <w:r w:rsidRPr="00D5711B">
        <w:t>O fluxo de caixa tem como objetivo determinar o montante gasto com o PMSB em cada ano, na moeda corrente, ou seja</w:t>
      </w:r>
      <w:r w:rsidRPr="00B55E3E">
        <w:t>, adotando</w:t>
      </w:r>
      <w:r>
        <w:t xml:space="preserve"> </w:t>
      </w:r>
      <w:r w:rsidRPr="00B55E3E">
        <w:t>o valor</w:t>
      </w:r>
      <w:r w:rsidRPr="00D5711B">
        <w:t xml:space="preserve"> daquele período, considerando a previsão de desvalorização do Real até o ano em questão. Para isto, foi necessário adotar um valor médio de 4% para a </w:t>
      </w:r>
      <w:r w:rsidRPr="0023242A">
        <w:t xml:space="preserve">inflação anual, tendo como base o IPCA previsto pelo CMN - Conselho Monetário </w:t>
      </w:r>
      <w:r w:rsidRPr="002143BE">
        <w:t>Nacional</w:t>
      </w:r>
      <w:r w:rsidRPr="002143BE">
        <w:rPr>
          <w:rFonts w:cs="Arial"/>
          <w:szCs w:val="24"/>
          <w:lang w:eastAsia="pt-BR"/>
        </w:rPr>
        <w:t xml:space="preserve"> (GOVERNO DO BRASIL, 2017).</w:t>
      </w:r>
      <w:r w:rsidRPr="0023242A">
        <w:t xml:space="preserve"> </w:t>
      </w:r>
    </w:p>
    <w:p w:rsidR="00594A45" w:rsidRDefault="00594A45" w:rsidP="00594A45">
      <w:pPr>
        <w:spacing w:before="120" w:after="120"/>
        <w:ind w:firstLine="709"/>
        <w:contextualSpacing/>
        <w:jc w:val="both"/>
      </w:pPr>
      <w:r w:rsidRPr="0023242A">
        <w:t>Sobre es</w:t>
      </w:r>
      <w:r w:rsidR="00E3565F">
        <w:t>s</w:t>
      </w:r>
      <w:r w:rsidRPr="0023242A">
        <w:t>e índice, dois destaques são necessários:</w:t>
      </w:r>
      <w:r w:rsidRPr="00D5711B">
        <w:t xml:space="preserve"> trata-se de um parâmetro editável na planilha, podendo ser corrigido a cada ano com base na série histórica</w:t>
      </w:r>
      <w:r>
        <w:t>. A</w:t>
      </w:r>
      <w:r w:rsidRPr="00D5711B">
        <w:t xml:space="preserve">lém disso, sua importância consiste majoritariamente no cálculo de um número que corresponderá ao valor nominal gasto em cada ano do </w:t>
      </w:r>
      <w:r>
        <w:t>P</w:t>
      </w:r>
      <w:r w:rsidRPr="00D5711B">
        <w:t xml:space="preserve">lano. Já para cálculos de valores totais de cada ação e de todas as ações de um setor, os montantes utilizados foram aqueles em valor presente (correspondente à moeda de 2017), de modo que o índice adotado para a </w:t>
      </w:r>
      <w:r w:rsidRPr="00B55E3E">
        <w:t>inflação não teve influência</w:t>
      </w:r>
      <w:r w:rsidRPr="00D5711B">
        <w:t xml:space="preserve"> direta sobre es</w:t>
      </w:r>
      <w:r>
        <w:t>s</w:t>
      </w:r>
      <w:r w:rsidRPr="00D5711B">
        <w:t>es números.</w:t>
      </w:r>
    </w:p>
    <w:p w:rsidR="00594A45" w:rsidRPr="00305CF9" w:rsidRDefault="00594A45" w:rsidP="00BC01B1">
      <w:pPr>
        <w:pStyle w:val="Ttulo4"/>
      </w:pPr>
      <w:bookmarkStart w:id="1130" w:name="_Toc505157029"/>
      <w:bookmarkStart w:id="1131" w:name="_Toc509935591"/>
      <w:r w:rsidRPr="00305CF9">
        <w:t>Periodicidades e unidades</w:t>
      </w:r>
      <w:bookmarkEnd w:id="1130"/>
      <w:bookmarkEnd w:id="1131"/>
    </w:p>
    <w:p w:rsidR="00594A45" w:rsidRPr="000712C1" w:rsidRDefault="00594A45" w:rsidP="00594A45">
      <w:pPr>
        <w:tabs>
          <w:tab w:val="left" w:pos="4395"/>
        </w:tabs>
        <w:autoSpaceDE w:val="0"/>
        <w:autoSpaceDN w:val="0"/>
        <w:adjustRightInd w:val="0"/>
        <w:ind w:firstLine="425"/>
        <w:jc w:val="both"/>
        <w:rPr>
          <w:rFonts w:cs="Arial"/>
          <w:szCs w:val="24"/>
        </w:rPr>
      </w:pPr>
      <w:r w:rsidRPr="000712C1">
        <w:rPr>
          <w:rFonts w:cs="Arial"/>
          <w:szCs w:val="24"/>
        </w:rPr>
        <w:t xml:space="preserve">Algumas ações têm demandas contínuas, programadas para acontecer com certa frequência durante todo seu prazo de duração (previamente definido). Um exemplo são as reuniões que deverão acontecer semestralmente. Por ter uma periodicidade contínua, no campo denominado </w:t>
      </w:r>
      <w:r>
        <w:rPr>
          <w:rFonts w:cs="Arial"/>
          <w:szCs w:val="24"/>
        </w:rPr>
        <w:t>“</w:t>
      </w:r>
      <w:r w:rsidRPr="00CF615B">
        <w:rPr>
          <w:rFonts w:cs="Arial"/>
          <w:szCs w:val="24"/>
        </w:rPr>
        <w:t>unidade”</w:t>
      </w:r>
      <w:r w:rsidRPr="000712C1">
        <w:rPr>
          <w:rFonts w:cs="Arial"/>
          <w:szCs w:val="24"/>
        </w:rPr>
        <w:t xml:space="preserve"> es</w:t>
      </w:r>
      <w:r>
        <w:rPr>
          <w:rFonts w:cs="Arial"/>
          <w:szCs w:val="24"/>
        </w:rPr>
        <w:t>s</w:t>
      </w:r>
      <w:r w:rsidRPr="000712C1">
        <w:rPr>
          <w:rFonts w:cs="Arial"/>
          <w:szCs w:val="24"/>
        </w:rPr>
        <w:t xml:space="preserve">a demanda recebeu a expressão </w:t>
      </w:r>
      <w:r>
        <w:rPr>
          <w:rFonts w:cs="Arial"/>
          <w:szCs w:val="24"/>
        </w:rPr>
        <w:t>“</w:t>
      </w:r>
      <w:r w:rsidRPr="00CF615B">
        <w:rPr>
          <w:rFonts w:cs="Arial"/>
          <w:szCs w:val="24"/>
        </w:rPr>
        <w:t>reuniões/ano”</w:t>
      </w:r>
      <w:r w:rsidRPr="000712C1">
        <w:rPr>
          <w:rFonts w:cs="Arial"/>
          <w:szCs w:val="24"/>
        </w:rPr>
        <w:t xml:space="preserve"> e no campo </w:t>
      </w:r>
      <w:r>
        <w:rPr>
          <w:rFonts w:cs="Arial"/>
          <w:szCs w:val="24"/>
        </w:rPr>
        <w:t>“</w:t>
      </w:r>
      <w:r w:rsidRPr="00CF615B">
        <w:rPr>
          <w:rFonts w:cs="Arial"/>
          <w:szCs w:val="24"/>
        </w:rPr>
        <w:t>quantidade”</w:t>
      </w:r>
      <w:r w:rsidRPr="000712C1">
        <w:rPr>
          <w:rFonts w:cs="Arial"/>
          <w:szCs w:val="24"/>
        </w:rPr>
        <w:t xml:space="preserve"> recebeu o número 2 (dois). Desta maneira, foi estabelecida a ideia de que acontecerão duas reuniões por ano, começando no primeiro ano do prazo de início, até o último ano do prazo de conclusão da ação. </w:t>
      </w:r>
    </w:p>
    <w:p w:rsidR="00594A45" w:rsidRPr="008D52D4" w:rsidRDefault="00594A45" w:rsidP="00594A45">
      <w:pPr>
        <w:tabs>
          <w:tab w:val="left" w:pos="4395"/>
        </w:tabs>
        <w:autoSpaceDE w:val="0"/>
        <w:autoSpaceDN w:val="0"/>
        <w:adjustRightInd w:val="0"/>
        <w:ind w:firstLine="425"/>
        <w:jc w:val="both"/>
        <w:rPr>
          <w:rFonts w:cs="Arial"/>
          <w:szCs w:val="24"/>
        </w:rPr>
      </w:pPr>
      <w:r w:rsidRPr="000712C1">
        <w:rPr>
          <w:rFonts w:cs="Arial"/>
          <w:szCs w:val="24"/>
        </w:rPr>
        <w:t>É importante notar que todas as demandas contínuas tiveram sua quantidade expressa em relação à unidade</w:t>
      </w:r>
      <w:r w:rsidRPr="008D52D4">
        <w:rPr>
          <w:rFonts w:cs="Arial"/>
          <w:szCs w:val="24"/>
        </w:rPr>
        <w:t xml:space="preserve"> temporal </w:t>
      </w:r>
      <w:r w:rsidRPr="00CF615B">
        <w:rPr>
          <w:rFonts w:cs="Arial"/>
          <w:szCs w:val="24"/>
        </w:rPr>
        <w:t>“ano”.</w:t>
      </w:r>
      <w:r w:rsidRPr="008D52D4">
        <w:rPr>
          <w:rFonts w:cs="Arial"/>
          <w:szCs w:val="24"/>
        </w:rPr>
        <w:t xml:space="preserve"> Es</w:t>
      </w:r>
      <w:r>
        <w:rPr>
          <w:rFonts w:cs="Arial"/>
          <w:szCs w:val="24"/>
        </w:rPr>
        <w:t>s</w:t>
      </w:r>
      <w:r w:rsidRPr="008D52D4">
        <w:rPr>
          <w:rFonts w:cs="Arial"/>
          <w:szCs w:val="24"/>
        </w:rPr>
        <w:t xml:space="preserve">a escolha se deu por duas razões: padronização e praticidade de cálculo. A primeira é importante </w:t>
      </w:r>
      <w:r>
        <w:rPr>
          <w:rFonts w:cs="Arial"/>
          <w:szCs w:val="24"/>
        </w:rPr>
        <w:t>para</w:t>
      </w:r>
      <w:r w:rsidRPr="008D52D4">
        <w:rPr>
          <w:rFonts w:cs="Arial"/>
          <w:szCs w:val="24"/>
        </w:rPr>
        <w:t xml:space="preserve"> tornar mais claros o entendimento e a comparação de frequências por todo o </w:t>
      </w:r>
      <w:r>
        <w:rPr>
          <w:rFonts w:cs="Arial"/>
          <w:szCs w:val="24"/>
        </w:rPr>
        <w:t>P</w:t>
      </w:r>
      <w:r w:rsidRPr="008D52D4">
        <w:rPr>
          <w:rFonts w:cs="Arial"/>
          <w:szCs w:val="24"/>
        </w:rPr>
        <w:t xml:space="preserve">lano, evitando a confusão que poderia ser causada pelo uso de diferentes unidades de tempo. A segunda diz respeito à automatização dos cálculos da planilha de investimentos, pois para cada </w:t>
      </w:r>
      <w:r w:rsidRPr="008D52D4">
        <w:rPr>
          <w:rFonts w:cs="Arial"/>
          <w:szCs w:val="24"/>
        </w:rPr>
        <w:lastRenderedPageBreak/>
        <w:t>demanda foi calculado um custo anual, usado para construir o fluxo de caixa relativo a cada setor, no qual as despesas são discriminadas para cada ano da vigência do PMSB. Além disso, a padronização das unidades de tempo não implica em alterações na programação operacional proposta. Utilizando o mesmo exemplo das reuniões semestrais: não deverão ser realizadas duas reuniões no mesmo semestre apenas porque o Plano de Investimentos indica 2 reuniões/ano. Es</w:t>
      </w:r>
      <w:r>
        <w:rPr>
          <w:rFonts w:cs="Arial"/>
          <w:szCs w:val="24"/>
        </w:rPr>
        <w:t>s</w:t>
      </w:r>
      <w:r w:rsidRPr="008D52D4">
        <w:rPr>
          <w:rFonts w:cs="Arial"/>
          <w:szCs w:val="24"/>
        </w:rPr>
        <w:t>a mudança foi proposta apenas para fins de cálculos monetários, sem acarretar em alterações às ações anteriormente propostas.</w:t>
      </w:r>
    </w:p>
    <w:p w:rsidR="00594A45" w:rsidRPr="00AE5481" w:rsidRDefault="00594A45" w:rsidP="00594A45">
      <w:pPr>
        <w:tabs>
          <w:tab w:val="left" w:pos="4395"/>
        </w:tabs>
        <w:autoSpaceDE w:val="0"/>
        <w:autoSpaceDN w:val="0"/>
        <w:adjustRightInd w:val="0"/>
        <w:ind w:firstLine="425"/>
        <w:jc w:val="both"/>
        <w:rPr>
          <w:rFonts w:cs="Arial"/>
          <w:szCs w:val="24"/>
        </w:rPr>
      </w:pPr>
      <w:r w:rsidRPr="008D52D4">
        <w:rPr>
          <w:rFonts w:cs="Arial"/>
          <w:szCs w:val="24"/>
        </w:rPr>
        <w:t xml:space="preserve">Em contraposição às demandas contínuas, há aquelas de caráter pontual. Na planilha, elas podem ser identificadas pelas unidades não recorrentes. Por exemplo, se há alguma reunião inicial que deve acontecer apenas uma vez, sua unidade </w:t>
      </w:r>
      <w:r>
        <w:rPr>
          <w:rFonts w:cs="Arial"/>
          <w:szCs w:val="24"/>
        </w:rPr>
        <w:t>foi</w:t>
      </w:r>
      <w:r w:rsidRPr="008D52D4">
        <w:rPr>
          <w:rFonts w:cs="Arial"/>
          <w:szCs w:val="24"/>
        </w:rPr>
        <w:t xml:space="preserve"> designada como </w:t>
      </w:r>
      <w:r w:rsidRPr="00CF615B">
        <w:rPr>
          <w:rFonts w:cs="Arial"/>
          <w:szCs w:val="24"/>
        </w:rPr>
        <w:t>reunião</w:t>
      </w:r>
      <w:r w:rsidRPr="008D52D4">
        <w:rPr>
          <w:rFonts w:cs="Arial"/>
          <w:szCs w:val="24"/>
        </w:rPr>
        <w:t xml:space="preserve">, e não </w:t>
      </w:r>
      <w:r w:rsidRPr="00CF615B">
        <w:rPr>
          <w:rFonts w:cs="Arial"/>
          <w:szCs w:val="24"/>
        </w:rPr>
        <w:t>reuniões/ano</w:t>
      </w:r>
      <w:r w:rsidRPr="008D52D4">
        <w:rPr>
          <w:rFonts w:cs="Arial"/>
          <w:szCs w:val="24"/>
        </w:rPr>
        <w:t>. As ações estruturais (construções, reformas) normalmente t</w:t>
      </w:r>
      <w:r>
        <w:rPr>
          <w:rFonts w:cs="Arial"/>
          <w:szCs w:val="24"/>
        </w:rPr>
        <w:t>ê</w:t>
      </w:r>
      <w:r w:rsidRPr="008D52D4">
        <w:rPr>
          <w:rFonts w:cs="Arial"/>
          <w:szCs w:val="24"/>
        </w:rPr>
        <w:t>m es</w:t>
      </w:r>
      <w:r>
        <w:rPr>
          <w:rFonts w:cs="Arial"/>
          <w:szCs w:val="24"/>
        </w:rPr>
        <w:t>s</w:t>
      </w:r>
      <w:r w:rsidRPr="008D52D4">
        <w:rPr>
          <w:rFonts w:cs="Arial"/>
          <w:szCs w:val="24"/>
        </w:rPr>
        <w:t xml:space="preserve">e caráter pontual. Por esta razão, várias ações pontuais exigem considerável mobilização de recursos e têm prazos médios ou longos. Isto faz com que sua duração compreenda mais de um ano, de modo que </w:t>
      </w:r>
      <w:r>
        <w:rPr>
          <w:rFonts w:cs="Arial"/>
          <w:szCs w:val="24"/>
        </w:rPr>
        <w:t>foi</w:t>
      </w:r>
      <w:r w:rsidRPr="008D52D4">
        <w:rPr>
          <w:rFonts w:cs="Arial"/>
          <w:szCs w:val="24"/>
        </w:rPr>
        <w:t xml:space="preserve"> necessária a adoção de um método de distribuição temporal dos custos. Assim, foi feita a opção por distribuir os custos das ações pontuais ao longo de toda sua duração (do primeiro ano do prazo de início ao último ano do prazo de conclusão), por não haver meios mais precisos de rateio sem prejuízos à </w:t>
      </w:r>
      <w:r w:rsidRPr="00AE5481">
        <w:rPr>
          <w:rFonts w:cs="Arial"/>
          <w:szCs w:val="24"/>
        </w:rPr>
        <w:t>exatidão das premissas.</w:t>
      </w:r>
    </w:p>
    <w:p w:rsidR="00594A45" w:rsidRDefault="00594A45" w:rsidP="00594A45">
      <w:pPr>
        <w:tabs>
          <w:tab w:val="left" w:pos="4395"/>
        </w:tabs>
        <w:autoSpaceDE w:val="0"/>
        <w:autoSpaceDN w:val="0"/>
        <w:adjustRightInd w:val="0"/>
        <w:ind w:firstLine="425"/>
        <w:jc w:val="both"/>
        <w:rPr>
          <w:rFonts w:cs="Arial"/>
          <w:szCs w:val="24"/>
        </w:rPr>
      </w:pPr>
      <w:r w:rsidRPr="00CF615B">
        <w:rPr>
          <w:rFonts w:cs="Arial"/>
          <w:szCs w:val="24"/>
        </w:rPr>
        <w:t>Apesar de essa metodologia de estimativa de custo ser compatível com o nível de planejamento do PMSB, ela deve ser detalhada para as etapas de contratação dos serviços. Assim, caberá à Administração Municipal atualizar e adaptar os custos propostos aos projetos que serão elaborados e executados.</w:t>
      </w:r>
    </w:p>
    <w:p w:rsidR="00594A45" w:rsidRPr="00C35BE3" w:rsidRDefault="00594A45" w:rsidP="00BC01B1">
      <w:pPr>
        <w:pStyle w:val="SHS-Ttulo02"/>
      </w:pPr>
      <w:bookmarkStart w:id="1132" w:name="_Toc503538808"/>
      <w:bookmarkStart w:id="1133" w:name="_Toc509935592"/>
      <w:bookmarkStart w:id="1134" w:name="_Toc504554502"/>
      <w:r w:rsidRPr="00C35BE3">
        <w:t>Total dos investimentos</w:t>
      </w:r>
      <w:bookmarkEnd w:id="1132"/>
      <w:bookmarkEnd w:id="1133"/>
      <w:r>
        <w:t xml:space="preserve"> </w:t>
      </w:r>
      <w:bookmarkEnd w:id="1134"/>
    </w:p>
    <w:p w:rsidR="00594A45" w:rsidRDefault="00594A45" w:rsidP="00594A45">
      <w:pPr>
        <w:ind w:firstLine="708"/>
        <w:jc w:val="both"/>
      </w:pPr>
      <w:r w:rsidRPr="00C35BE3">
        <w:t xml:space="preserve">O </w:t>
      </w:r>
      <w:r w:rsidR="00171D9D">
        <w:fldChar w:fldCharType="begin"/>
      </w:r>
      <w:r w:rsidR="00171D9D">
        <w:instrText xml:space="preserve"> REF _Ref443037686 \h </w:instrText>
      </w:r>
      <w:r w:rsidR="00171D9D">
        <w:fldChar w:fldCharType="separate"/>
      </w:r>
      <w:r w:rsidR="001B481B" w:rsidRPr="00C35BE3">
        <w:t xml:space="preserve">Quadro </w:t>
      </w:r>
      <w:r w:rsidR="001B481B">
        <w:rPr>
          <w:noProof/>
        </w:rPr>
        <w:t>92</w:t>
      </w:r>
      <w:r w:rsidR="00171D9D">
        <w:fldChar w:fldCharType="end"/>
      </w:r>
      <w:r w:rsidRPr="00C35BE3">
        <w:t xml:space="preserve"> apresenta o valor total dos investimentos necessários para a consolidação das ações previstas para o sistema geral de saneamento básico municipal e para os quatro eixos do saneamento.</w:t>
      </w:r>
    </w:p>
    <w:p w:rsidR="008861C0" w:rsidRDefault="008861C0" w:rsidP="00594A45">
      <w:pPr>
        <w:ind w:firstLine="708"/>
        <w:jc w:val="both"/>
      </w:pPr>
    </w:p>
    <w:p w:rsidR="00810C89" w:rsidRDefault="00810C89" w:rsidP="00594A45">
      <w:pPr>
        <w:ind w:firstLine="708"/>
        <w:jc w:val="both"/>
      </w:pPr>
    </w:p>
    <w:p w:rsidR="00594A45" w:rsidRPr="00C35BE3" w:rsidRDefault="00594A45" w:rsidP="00E95583">
      <w:pPr>
        <w:pStyle w:val="Legenda"/>
        <w:rPr>
          <w:lang w:eastAsia="pt-BR"/>
        </w:rPr>
      </w:pPr>
      <w:bookmarkStart w:id="1135" w:name="_Ref443037686"/>
      <w:bookmarkStart w:id="1136" w:name="_Toc503538847"/>
      <w:bookmarkStart w:id="1137" w:name="_Toc504554653"/>
      <w:bookmarkStart w:id="1138" w:name="_Toc509935869"/>
      <w:r w:rsidRPr="00C35BE3">
        <w:lastRenderedPageBreak/>
        <w:t xml:space="preserve">Quadro </w:t>
      </w:r>
      <w:r w:rsidR="000A1C78">
        <w:fldChar w:fldCharType="begin"/>
      </w:r>
      <w:r w:rsidR="000A1C78">
        <w:instrText xml:space="preserve"> SEQ Quadro \* ARABIC </w:instrText>
      </w:r>
      <w:r w:rsidR="000A1C78">
        <w:fldChar w:fldCharType="separate"/>
      </w:r>
      <w:r w:rsidR="001B481B">
        <w:rPr>
          <w:noProof/>
        </w:rPr>
        <w:t>92</w:t>
      </w:r>
      <w:r w:rsidR="000A1C78">
        <w:rPr>
          <w:noProof/>
        </w:rPr>
        <w:fldChar w:fldCharType="end"/>
      </w:r>
      <w:bookmarkEnd w:id="1135"/>
      <w:r w:rsidRPr="00C35BE3">
        <w:t xml:space="preserve"> - Valores dos investimentos por componente</w:t>
      </w:r>
      <w:bookmarkEnd w:id="1136"/>
      <w:bookmarkEnd w:id="1137"/>
      <w:bookmarkEnd w:id="1138"/>
    </w:p>
    <w:tbl>
      <w:tblPr>
        <w:tblW w:w="0" w:type="auto"/>
        <w:jc w:val="center"/>
        <w:tblCellMar>
          <w:left w:w="70" w:type="dxa"/>
          <w:right w:w="70" w:type="dxa"/>
        </w:tblCellMar>
        <w:tblLook w:val="04A0" w:firstRow="1" w:lastRow="0" w:firstColumn="1" w:lastColumn="0" w:noHBand="0" w:noVBand="1"/>
      </w:tblPr>
      <w:tblGrid>
        <w:gridCol w:w="1717"/>
        <w:gridCol w:w="1547"/>
      </w:tblGrid>
      <w:tr w:rsidR="00171D9D" w:rsidRPr="00BE7A5C" w:rsidTr="00BE7A5C">
        <w:trPr>
          <w:trHeight w:val="20"/>
          <w:jc w:val="center"/>
        </w:trPr>
        <w:tc>
          <w:tcPr>
            <w:tcW w:w="0" w:type="auto"/>
            <w:tcBorders>
              <w:top w:val="single" w:sz="8" w:space="0" w:color="auto"/>
              <w:left w:val="single" w:sz="8" w:space="0" w:color="auto"/>
              <w:bottom w:val="single" w:sz="4" w:space="0" w:color="auto"/>
              <w:right w:val="single" w:sz="4" w:space="0" w:color="auto"/>
            </w:tcBorders>
            <w:shd w:val="pct15" w:color="000000" w:fill="FFFFFF"/>
            <w:noWrap/>
            <w:vAlign w:val="center"/>
            <w:hideMark/>
          </w:tcPr>
          <w:p w:rsidR="00171D9D" w:rsidRPr="007E1F54" w:rsidRDefault="00171D9D" w:rsidP="00810C89">
            <w:pPr>
              <w:spacing w:before="120" w:after="120" w:line="240" w:lineRule="auto"/>
              <w:jc w:val="center"/>
              <w:rPr>
                <w:rFonts w:eastAsia="Times New Roman" w:cs="Arial"/>
                <w:b/>
                <w:bCs/>
                <w:color w:val="000000"/>
                <w:sz w:val="22"/>
                <w:lang w:eastAsia="pt-BR"/>
              </w:rPr>
            </w:pPr>
            <w:r w:rsidRPr="007E1F54">
              <w:rPr>
                <w:rFonts w:eastAsia="Times New Roman" w:cs="Arial"/>
                <w:b/>
                <w:bCs/>
                <w:color w:val="000000"/>
                <w:sz w:val="22"/>
                <w:lang w:eastAsia="pt-BR"/>
              </w:rPr>
              <w:t>COMPONENTE</w:t>
            </w:r>
          </w:p>
        </w:tc>
        <w:tc>
          <w:tcPr>
            <w:tcW w:w="0" w:type="auto"/>
            <w:tcBorders>
              <w:top w:val="single" w:sz="8" w:space="0" w:color="auto"/>
              <w:left w:val="nil"/>
              <w:bottom w:val="single" w:sz="4" w:space="0" w:color="auto"/>
              <w:right w:val="single" w:sz="8" w:space="0" w:color="auto"/>
            </w:tcBorders>
            <w:shd w:val="pct15" w:color="000000" w:fill="FFFFFF"/>
            <w:noWrap/>
            <w:vAlign w:val="center"/>
            <w:hideMark/>
          </w:tcPr>
          <w:p w:rsidR="00171D9D" w:rsidRPr="007E1F54" w:rsidRDefault="00171D9D" w:rsidP="00810C89">
            <w:pPr>
              <w:spacing w:before="120" w:after="120" w:line="240" w:lineRule="auto"/>
              <w:jc w:val="center"/>
              <w:rPr>
                <w:rFonts w:eastAsia="Times New Roman" w:cs="Arial"/>
                <w:b/>
                <w:bCs/>
                <w:color w:val="000000"/>
                <w:sz w:val="22"/>
                <w:lang w:eastAsia="pt-BR"/>
              </w:rPr>
            </w:pPr>
            <w:r w:rsidRPr="007E1F54">
              <w:rPr>
                <w:rFonts w:eastAsia="Times New Roman" w:cs="Arial"/>
                <w:b/>
                <w:bCs/>
                <w:color w:val="000000"/>
                <w:sz w:val="22"/>
                <w:lang w:eastAsia="pt-BR"/>
              </w:rPr>
              <w:t>VALOR (R$)</w:t>
            </w:r>
          </w:p>
        </w:tc>
      </w:tr>
      <w:tr w:rsidR="00171D9D" w:rsidRPr="00BE7A5C" w:rsidTr="00BE7A5C">
        <w:trPr>
          <w:trHeight w:val="20"/>
          <w:jc w:val="center"/>
        </w:trPr>
        <w:tc>
          <w:tcPr>
            <w:tcW w:w="0" w:type="auto"/>
            <w:tcBorders>
              <w:top w:val="nil"/>
              <w:left w:val="single" w:sz="8" w:space="0" w:color="auto"/>
              <w:bottom w:val="single" w:sz="4" w:space="0" w:color="auto"/>
              <w:right w:val="single" w:sz="4" w:space="0" w:color="auto"/>
            </w:tcBorders>
            <w:shd w:val="clear" w:color="000000" w:fill="FFFFFF"/>
            <w:noWrap/>
            <w:vAlign w:val="center"/>
            <w:hideMark/>
          </w:tcPr>
          <w:p w:rsidR="00171D9D" w:rsidRPr="007E1F54" w:rsidRDefault="00171D9D" w:rsidP="00810C89">
            <w:pPr>
              <w:spacing w:before="120" w:after="120" w:line="240" w:lineRule="auto"/>
              <w:rPr>
                <w:rFonts w:eastAsia="Times New Roman" w:cs="Arial"/>
                <w:color w:val="000000"/>
                <w:sz w:val="22"/>
                <w:lang w:eastAsia="pt-BR"/>
              </w:rPr>
            </w:pPr>
            <w:r w:rsidRPr="007E1F54">
              <w:rPr>
                <w:rFonts w:eastAsia="Times New Roman" w:cs="Arial"/>
                <w:color w:val="000000"/>
                <w:sz w:val="22"/>
                <w:lang w:eastAsia="pt-BR"/>
              </w:rPr>
              <w:t>Geral</w:t>
            </w:r>
          </w:p>
        </w:tc>
        <w:tc>
          <w:tcPr>
            <w:tcW w:w="0" w:type="auto"/>
            <w:tcBorders>
              <w:top w:val="nil"/>
              <w:left w:val="nil"/>
              <w:bottom w:val="single" w:sz="4" w:space="0" w:color="auto"/>
              <w:right w:val="single" w:sz="8" w:space="0" w:color="auto"/>
            </w:tcBorders>
            <w:shd w:val="clear" w:color="000000" w:fill="FFFFFF"/>
            <w:vAlign w:val="center"/>
            <w:hideMark/>
          </w:tcPr>
          <w:p w:rsidR="00171D9D" w:rsidRPr="007E1F54" w:rsidRDefault="00171D9D" w:rsidP="00810C89">
            <w:pPr>
              <w:spacing w:before="120" w:after="120" w:line="240" w:lineRule="auto"/>
              <w:jc w:val="right"/>
              <w:rPr>
                <w:rFonts w:cs="Arial"/>
                <w:color w:val="000000"/>
                <w:sz w:val="22"/>
              </w:rPr>
            </w:pPr>
            <w:r w:rsidRPr="00BB1A75">
              <w:rPr>
                <w:rFonts w:cs="Arial"/>
                <w:color w:val="000000"/>
                <w:sz w:val="22"/>
              </w:rPr>
              <w:t>4.251.811,12</w:t>
            </w:r>
          </w:p>
        </w:tc>
      </w:tr>
      <w:tr w:rsidR="00171D9D" w:rsidRPr="00BE7A5C" w:rsidTr="00BE7A5C">
        <w:trPr>
          <w:trHeight w:val="20"/>
          <w:jc w:val="center"/>
        </w:trPr>
        <w:tc>
          <w:tcPr>
            <w:tcW w:w="0" w:type="auto"/>
            <w:tcBorders>
              <w:top w:val="nil"/>
              <w:left w:val="single" w:sz="8" w:space="0" w:color="auto"/>
              <w:bottom w:val="single" w:sz="4" w:space="0" w:color="auto"/>
              <w:right w:val="single" w:sz="4" w:space="0" w:color="auto"/>
            </w:tcBorders>
            <w:shd w:val="clear" w:color="000000" w:fill="FFFFFF"/>
            <w:noWrap/>
            <w:vAlign w:val="center"/>
            <w:hideMark/>
          </w:tcPr>
          <w:p w:rsidR="00171D9D" w:rsidRPr="007E1F54" w:rsidRDefault="00171D9D" w:rsidP="00810C89">
            <w:pPr>
              <w:spacing w:before="120" w:after="120" w:line="240" w:lineRule="auto"/>
              <w:rPr>
                <w:rFonts w:eastAsia="Times New Roman" w:cs="Arial"/>
                <w:color w:val="000000"/>
                <w:sz w:val="22"/>
                <w:lang w:eastAsia="pt-BR"/>
              </w:rPr>
            </w:pPr>
            <w:r w:rsidRPr="007E1F54">
              <w:rPr>
                <w:rFonts w:eastAsia="Times New Roman" w:cs="Arial"/>
                <w:color w:val="000000"/>
                <w:sz w:val="22"/>
                <w:lang w:eastAsia="pt-BR"/>
              </w:rPr>
              <w:t>Água</w:t>
            </w:r>
          </w:p>
        </w:tc>
        <w:tc>
          <w:tcPr>
            <w:tcW w:w="0" w:type="auto"/>
            <w:tcBorders>
              <w:top w:val="nil"/>
              <w:left w:val="nil"/>
              <w:bottom w:val="single" w:sz="4" w:space="0" w:color="auto"/>
              <w:right w:val="single" w:sz="8" w:space="0" w:color="auto"/>
            </w:tcBorders>
            <w:shd w:val="clear" w:color="000000" w:fill="FFFFFF"/>
            <w:vAlign w:val="center"/>
            <w:hideMark/>
          </w:tcPr>
          <w:p w:rsidR="00171D9D" w:rsidRPr="007E1F54" w:rsidRDefault="00171D9D" w:rsidP="00810C89">
            <w:pPr>
              <w:spacing w:before="120" w:after="120" w:line="240" w:lineRule="auto"/>
              <w:jc w:val="right"/>
              <w:rPr>
                <w:rFonts w:cs="Arial"/>
                <w:color w:val="000000"/>
                <w:sz w:val="22"/>
              </w:rPr>
            </w:pPr>
            <w:r w:rsidRPr="007E1F54">
              <w:rPr>
                <w:rFonts w:cs="Arial"/>
                <w:color w:val="000000"/>
                <w:sz w:val="22"/>
              </w:rPr>
              <w:t>5.037.902,52</w:t>
            </w:r>
          </w:p>
        </w:tc>
      </w:tr>
      <w:tr w:rsidR="00171D9D" w:rsidRPr="00BE7A5C" w:rsidTr="00BE7A5C">
        <w:trPr>
          <w:trHeight w:val="20"/>
          <w:jc w:val="center"/>
        </w:trPr>
        <w:tc>
          <w:tcPr>
            <w:tcW w:w="0" w:type="auto"/>
            <w:tcBorders>
              <w:top w:val="nil"/>
              <w:left w:val="single" w:sz="8" w:space="0" w:color="auto"/>
              <w:bottom w:val="single" w:sz="4" w:space="0" w:color="auto"/>
              <w:right w:val="single" w:sz="4" w:space="0" w:color="auto"/>
            </w:tcBorders>
            <w:shd w:val="clear" w:color="000000" w:fill="FFFFFF"/>
            <w:noWrap/>
            <w:vAlign w:val="center"/>
            <w:hideMark/>
          </w:tcPr>
          <w:p w:rsidR="00171D9D" w:rsidRPr="007E1F54" w:rsidRDefault="00171D9D" w:rsidP="00810C89">
            <w:pPr>
              <w:spacing w:before="120" w:after="120" w:line="240" w:lineRule="auto"/>
              <w:rPr>
                <w:rFonts w:eastAsia="Times New Roman" w:cs="Arial"/>
                <w:color w:val="000000"/>
                <w:sz w:val="22"/>
                <w:lang w:eastAsia="pt-BR"/>
              </w:rPr>
            </w:pPr>
            <w:r w:rsidRPr="007E1F54">
              <w:rPr>
                <w:rFonts w:eastAsia="Times New Roman" w:cs="Arial"/>
                <w:color w:val="000000"/>
                <w:sz w:val="22"/>
                <w:lang w:eastAsia="pt-BR"/>
              </w:rPr>
              <w:t>Esgoto</w:t>
            </w:r>
          </w:p>
        </w:tc>
        <w:tc>
          <w:tcPr>
            <w:tcW w:w="0" w:type="auto"/>
            <w:tcBorders>
              <w:top w:val="nil"/>
              <w:left w:val="nil"/>
              <w:bottom w:val="single" w:sz="4" w:space="0" w:color="auto"/>
              <w:right w:val="single" w:sz="8" w:space="0" w:color="auto"/>
            </w:tcBorders>
            <w:shd w:val="clear" w:color="000000" w:fill="FFFFFF"/>
            <w:vAlign w:val="center"/>
            <w:hideMark/>
          </w:tcPr>
          <w:p w:rsidR="00171D9D" w:rsidRPr="007E1F54" w:rsidRDefault="00171D9D" w:rsidP="00810C89">
            <w:pPr>
              <w:spacing w:before="120" w:after="120" w:line="240" w:lineRule="auto"/>
              <w:jc w:val="right"/>
              <w:rPr>
                <w:rFonts w:cs="Arial"/>
                <w:color w:val="000000"/>
                <w:sz w:val="22"/>
              </w:rPr>
            </w:pPr>
            <w:r w:rsidRPr="007E1F54">
              <w:rPr>
                <w:rFonts w:cs="Arial"/>
                <w:color w:val="000000"/>
                <w:sz w:val="22"/>
              </w:rPr>
              <w:t>11.317.310,88</w:t>
            </w:r>
          </w:p>
        </w:tc>
      </w:tr>
      <w:tr w:rsidR="00171D9D" w:rsidRPr="00BE7A5C" w:rsidTr="00BE7A5C">
        <w:trPr>
          <w:trHeight w:val="20"/>
          <w:jc w:val="center"/>
        </w:trPr>
        <w:tc>
          <w:tcPr>
            <w:tcW w:w="0" w:type="auto"/>
            <w:tcBorders>
              <w:top w:val="nil"/>
              <w:left w:val="single" w:sz="8" w:space="0" w:color="auto"/>
              <w:bottom w:val="single" w:sz="4" w:space="0" w:color="auto"/>
              <w:right w:val="single" w:sz="4" w:space="0" w:color="auto"/>
            </w:tcBorders>
            <w:shd w:val="clear" w:color="000000" w:fill="FFFFFF"/>
            <w:noWrap/>
            <w:vAlign w:val="center"/>
            <w:hideMark/>
          </w:tcPr>
          <w:p w:rsidR="00171D9D" w:rsidRPr="007E1F54" w:rsidRDefault="00171D9D" w:rsidP="00810C89">
            <w:pPr>
              <w:spacing w:before="120" w:after="120" w:line="240" w:lineRule="auto"/>
              <w:rPr>
                <w:rFonts w:eastAsia="Times New Roman" w:cs="Arial"/>
                <w:color w:val="000000"/>
                <w:sz w:val="22"/>
                <w:lang w:eastAsia="pt-BR"/>
              </w:rPr>
            </w:pPr>
            <w:r w:rsidRPr="007E1F54">
              <w:rPr>
                <w:rFonts w:eastAsia="Times New Roman" w:cs="Arial"/>
                <w:color w:val="000000"/>
                <w:sz w:val="22"/>
                <w:lang w:eastAsia="pt-BR"/>
              </w:rPr>
              <w:t>Drenagem</w:t>
            </w:r>
          </w:p>
        </w:tc>
        <w:tc>
          <w:tcPr>
            <w:tcW w:w="0" w:type="auto"/>
            <w:tcBorders>
              <w:top w:val="nil"/>
              <w:left w:val="nil"/>
              <w:bottom w:val="single" w:sz="4" w:space="0" w:color="auto"/>
              <w:right w:val="single" w:sz="8" w:space="0" w:color="auto"/>
            </w:tcBorders>
            <w:shd w:val="clear" w:color="000000" w:fill="FFFFFF"/>
            <w:vAlign w:val="center"/>
            <w:hideMark/>
          </w:tcPr>
          <w:p w:rsidR="00171D9D" w:rsidRPr="007E1F54" w:rsidRDefault="00171D9D" w:rsidP="00810C89">
            <w:pPr>
              <w:spacing w:before="120" w:after="120" w:line="240" w:lineRule="auto"/>
              <w:jc w:val="right"/>
              <w:rPr>
                <w:rFonts w:cs="Arial"/>
                <w:color w:val="000000"/>
                <w:sz w:val="22"/>
              </w:rPr>
            </w:pPr>
            <w:r w:rsidRPr="00AE5597">
              <w:rPr>
                <w:rFonts w:cs="Arial"/>
                <w:color w:val="000000"/>
                <w:sz w:val="22"/>
              </w:rPr>
              <w:t>10.656.739,11</w:t>
            </w:r>
          </w:p>
        </w:tc>
      </w:tr>
      <w:tr w:rsidR="00171D9D" w:rsidRPr="00BE7A5C" w:rsidTr="00BE7A5C">
        <w:trPr>
          <w:trHeight w:val="20"/>
          <w:jc w:val="center"/>
        </w:trPr>
        <w:tc>
          <w:tcPr>
            <w:tcW w:w="0" w:type="auto"/>
            <w:tcBorders>
              <w:top w:val="nil"/>
              <w:left w:val="single" w:sz="8" w:space="0" w:color="auto"/>
              <w:bottom w:val="single" w:sz="8" w:space="0" w:color="auto"/>
              <w:right w:val="single" w:sz="4" w:space="0" w:color="auto"/>
            </w:tcBorders>
            <w:shd w:val="clear" w:color="000000" w:fill="FFFFFF"/>
            <w:noWrap/>
            <w:vAlign w:val="center"/>
            <w:hideMark/>
          </w:tcPr>
          <w:p w:rsidR="00171D9D" w:rsidRPr="007E1F54" w:rsidRDefault="00171D9D" w:rsidP="00810C89">
            <w:pPr>
              <w:spacing w:before="120" w:after="120" w:line="240" w:lineRule="auto"/>
              <w:rPr>
                <w:rFonts w:eastAsia="Times New Roman" w:cs="Arial"/>
                <w:color w:val="000000"/>
                <w:sz w:val="22"/>
                <w:lang w:eastAsia="pt-BR"/>
              </w:rPr>
            </w:pPr>
            <w:r w:rsidRPr="007E1F54">
              <w:rPr>
                <w:rFonts w:eastAsia="Times New Roman" w:cs="Arial"/>
                <w:color w:val="000000"/>
                <w:sz w:val="22"/>
                <w:lang w:eastAsia="pt-BR"/>
              </w:rPr>
              <w:t>Resíduos</w:t>
            </w:r>
          </w:p>
        </w:tc>
        <w:tc>
          <w:tcPr>
            <w:tcW w:w="0" w:type="auto"/>
            <w:tcBorders>
              <w:top w:val="nil"/>
              <w:left w:val="nil"/>
              <w:bottom w:val="single" w:sz="8" w:space="0" w:color="auto"/>
              <w:right w:val="single" w:sz="8" w:space="0" w:color="auto"/>
            </w:tcBorders>
            <w:shd w:val="clear" w:color="000000" w:fill="FFFFFF"/>
            <w:vAlign w:val="center"/>
            <w:hideMark/>
          </w:tcPr>
          <w:p w:rsidR="00171D9D" w:rsidRPr="007E1F54" w:rsidRDefault="00171D9D" w:rsidP="00810C89">
            <w:pPr>
              <w:spacing w:before="120" w:after="120" w:line="240" w:lineRule="auto"/>
              <w:jc w:val="right"/>
              <w:rPr>
                <w:rFonts w:cs="Arial"/>
                <w:color w:val="000000"/>
                <w:sz w:val="22"/>
              </w:rPr>
            </w:pPr>
            <w:r w:rsidRPr="007E1F54">
              <w:rPr>
                <w:rFonts w:cs="Arial"/>
                <w:color w:val="000000"/>
                <w:sz w:val="22"/>
              </w:rPr>
              <w:t>12.869.483,38</w:t>
            </w:r>
          </w:p>
        </w:tc>
      </w:tr>
      <w:tr w:rsidR="00171D9D" w:rsidRPr="00BE7A5C" w:rsidTr="00BE7A5C">
        <w:trPr>
          <w:trHeight w:val="20"/>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rsidR="00171D9D" w:rsidRPr="007E1F54" w:rsidRDefault="00171D9D" w:rsidP="00810C89">
            <w:pPr>
              <w:spacing w:before="120" w:after="120" w:line="240" w:lineRule="auto"/>
              <w:rPr>
                <w:rFonts w:eastAsia="Times New Roman" w:cs="Arial"/>
                <w:b/>
                <w:color w:val="000000"/>
                <w:sz w:val="22"/>
                <w:lang w:eastAsia="pt-BR"/>
              </w:rPr>
            </w:pPr>
            <w:r w:rsidRPr="007E1F54">
              <w:rPr>
                <w:rFonts w:eastAsia="Times New Roman" w:cs="Arial"/>
                <w:b/>
                <w:color w:val="000000"/>
                <w:sz w:val="22"/>
                <w:lang w:eastAsia="pt-BR"/>
              </w:rPr>
              <w:t>Total</w:t>
            </w:r>
          </w:p>
        </w:tc>
        <w:tc>
          <w:tcPr>
            <w:tcW w:w="0" w:type="auto"/>
            <w:tcBorders>
              <w:top w:val="nil"/>
              <w:left w:val="nil"/>
              <w:bottom w:val="single" w:sz="8" w:space="0" w:color="auto"/>
              <w:right w:val="single" w:sz="8" w:space="0" w:color="auto"/>
            </w:tcBorders>
            <w:shd w:val="clear" w:color="000000" w:fill="FFFFFF"/>
            <w:vAlign w:val="center"/>
            <w:hideMark/>
          </w:tcPr>
          <w:p w:rsidR="00171D9D" w:rsidRPr="007E1F54" w:rsidRDefault="00171D9D" w:rsidP="00810C89">
            <w:pPr>
              <w:spacing w:before="120" w:after="120" w:line="240" w:lineRule="auto"/>
              <w:jc w:val="right"/>
              <w:rPr>
                <w:rFonts w:eastAsia="Times New Roman" w:cs="Arial"/>
                <w:b/>
                <w:bCs/>
                <w:color w:val="000000"/>
                <w:sz w:val="22"/>
                <w:lang w:eastAsia="pt-BR"/>
              </w:rPr>
            </w:pPr>
            <w:r>
              <w:rPr>
                <w:rFonts w:eastAsia="Times New Roman" w:cs="Arial"/>
                <w:b/>
                <w:bCs/>
                <w:color w:val="000000"/>
                <w:sz w:val="22"/>
                <w:lang w:eastAsia="pt-BR"/>
              </w:rPr>
              <w:t>44.133.247,01</w:t>
            </w:r>
          </w:p>
        </w:tc>
      </w:tr>
    </w:tbl>
    <w:p w:rsidR="00BE7A5C" w:rsidRDefault="00BE7A5C" w:rsidP="00BE7A5C">
      <w:pPr>
        <w:pStyle w:val="Fonte"/>
      </w:pPr>
    </w:p>
    <w:p w:rsidR="0070106C" w:rsidRPr="00A16B56" w:rsidRDefault="001800AD" w:rsidP="00BC01B1">
      <w:pPr>
        <w:pStyle w:val="SHS-Ttulo02"/>
      </w:pPr>
      <w:bookmarkStart w:id="1139" w:name="_Toc509935593"/>
      <w:r w:rsidRPr="00A16B56">
        <w:t xml:space="preserve">Fontes de </w:t>
      </w:r>
      <w:r w:rsidR="002579AF" w:rsidRPr="00A16B56">
        <w:t>financiamento</w:t>
      </w:r>
      <w:r w:rsidRPr="00A16B56">
        <w:t xml:space="preserve"> para o saneamento básico</w:t>
      </w:r>
      <w:bookmarkEnd w:id="1121"/>
      <w:bookmarkEnd w:id="1122"/>
      <w:bookmarkEnd w:id="1139"/>
      <w:r w:rsidR="0070106C" w:rsidRPr="00A16B56">
        <w:t xml:space="preserve"> </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 xml:space="preserve">O setor de saneamento básico brasileiro apresenta estrutura de oferta dos serviços majoritariamente pública. Tal estrutura teve origem na década de 70, quando da implementação, pelo governo federal, do Plano Nacional de Saneamento (PLANASA), por meio do qual os governos municipais foram incentivados a conceder – de fato ou de direito – a prestação dos serviços às então criadas concessionárias estaduais. Estas concessionárias, por sua vez, teriam acesso aos recursos do Fundo de Garantia do Tempo de Serviço (FGTS), destinados ao PLANASA. </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 xml:space="preserve">A partir de 2007, o governo federal promoveu a retomada do planejamento e execução de grandes obras de infraestrutura social, urbana, logística e energética do país, contribuindo para o seu desenvolvimento acelerado e sustentável, através do Programa de Aceleração do Crescimento (PAC). O capital utilizado </w:t>
      </w:r>
      <w:r w:rsidRPr="002C2555">
        <w:rPr>
          <w:rFonts w:cs="Arial"/>
          <w:szCs w:val="24"/>
        </w:rPr>
        <w:t>no PAC é originário</w:t>
      </w:r>
      <w:r w:rsidRPr="0070106C">
        <w:rPr>
          <w:rFonts w:cs="Arial"/>
          <w:szCs w:val="24"/>
        </w:rPr>
        <w:t xml:space="preserve"> das seguintes fontes principais: recursos da União (orçamento do governo federal), capitais de investimentos de empresas estatais (exemplo: Petrobrás) e investimentos privados com estímulos de investimentos públicos e parcerias.</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 xml:space="preserve">Em 2011, o PAC entrou na sua segunda fase, com o mesmo pensamento estratégico, mais recursos e mais parcerias com Estados e Municípios, para a execução de obras estruturantes </w:t>
      </w:r>
      <w:r w:rsidRPr="008B306C">
        <w:rPr>
          <w:rFonts w:cs="Arial"/>
          <w:szCs w:val="24"/>
        </w:rPr>
        <w:t xml:space="preserve">que </w:t>
      </w:r>
      <w:r w:rsidR="002C2555" w:rsidRPr="008B306C">
        <w:rPr>
          <w:rFonts w:cs="Arial"/>
          <w:szCs w:val="24"/>
        </w:rPr>
        <w:t>pudessem</w:t>
      </w:r>
      <w:r w:rsidRPr="008B306C">
        <w:rPr>
          <w:rFonts w:cs="Arial"/>
          <w:szCs w:val="24"/>
        </w:rPr>
        <w:t xml:space="preserve"> melhorar a qualidade</w:t>
      </w:r>
      <w:r w:rsidRPr="0070106C">
        <w:rPr>
          <w:rFonts w:cs="Arial"/>
          <w:szCs w:val="24"/>
        </w:rPr>
        <w:t xml:space="preserve"> de vida nas cidades brasileiras. </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lastRenderedPageBreak/>
        <w:t xml:space="preserve">Na área do saneamento esse programa visa aumentar a cobertura de coleta e tratamento de esgoto, a proteção dos mananciais, a despoluição de cursos d’água e o tratamento de resíduos sólidos, sendo uma importante fonte de recursos.  </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Para efeito de distribuição dos recursos em saneamento, o PAC classificou os municípios brasileiros da seguinte forma:</w:t>
      </w:r>
    </w:p>
    <w:p w:rsidR="0070106C" w:rsidRPr="0070106C" w:rsidRDefault="0070106C" w:rsidP="0070106C">
      <w:pPr>
        <w:ind w:left="1701" w:hanging="992"/>
        <w:jc w:val="both"/>
        <w:rPr>
          <w:rFonts w:cs="Arial"/>
          <w:szCs w:val="24"/>
        </w:rPr>
      </w:pPr>
      <w:r w:rsidRPr="0070106C">
        <w:rPr>
          <w:rFonts w:cs="Arial"/>
          <w:szCs w:val="24"/>
        </w:rPr>
        <w:t xml:space="preserve">GRUPO 1: grandes regiões metropolitanas do país, municípios com mais de 70 mil habitantes nas regiões Norte, Nordeste e Centro-Oeste, e acima de 100 mil nas regiões Sul e Sudeste; </w:t>
      </w:r>
    </w:p>
    <w:p w:rsidR="0070106C" w:rsidRPr="0070106C" w:rsidRDefault="0070106C" w:rsidP="0070106C">
      <w:pPr>
        <w:ind w:left="1701" w:hanging="992"/>
        <w:jc w:val="both"/>
        <w:rPr>
          <w:rFonts w:cs="Arial"/>
          <w:szCs w:val="24"/>
        </w:rPr>
      </w:pPr>
      <w:r w:rsidRPr="0070106C">
        <w:rPr>
          <w:rFonts w:cs="Arial"/>
          <w:szCs w:val="24"/>
        </w:rPr>
        <w:t>GRUPO 2: municípios com população entre 50 mil e 70 mil nas regiões Norte, Nordeste e Centro-Oeste, e municípios com população entre 50 mil e 100 mil habitantes nas regiões Sul e Sudeste;</w:t>
      </w:r>
    </w:p>
    <w:p w:rsidR="0070106C" w:rsidRPr="0070106C" w:rsidRDefault="0070106C" w:rsidP="0070106C">
      <w:pPr>
        <w:ind w:left="1701" w:hanging="992"/>
        <w:jc w:val="both"/>
        <w:rPr>
          <w:rFonts w:cs="Arial"/>
          <w:szCs w:val="24"/>
        </w:rPr>
      </w:pPr>
      <w:r w:rsidRPr="0070106C">
        <w:rPr>
          <w:rFonts w:cs="Arial"/>
          <w:szCs w:val="24"/>
        </w:rPr>
        <w:t>GRUPO 3: municípios com menos de 50 mil habitantes coordenados pela FUNASA.</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 xml:space="preserve">O documento Panorama do Saneamento </w:t>
      </w:r>
      <w:r w:rsidRPr="008B306C">
        <w:rPr>
          <w:rFonts w:cs="Arial"/>
          <w:szCs w:val="24"/>
        </w:rPr>
        <w:t>Básico no Brasil – Vol. VI (BRASIL 2014a, p.46 e 47) cita que a priorização dos investimentos</w:t>
      </w:r>
      <w:r w:rsidRPr="0070106C">
        <w:rPr>
          <w:rFonts w:cs="Arial"/>
          <w:szCs w:val="24"/>
        </w:rPr>
        <w:t xml:space="preserve"> deverá obedecer a critérios técnicos, tais como os de caráter epidemiológico, sanitário e social, cabendo ao governo federal o papel de principal financiador. </w:t>
      </w:r>
    </w:p>
    <w:p w:rsidR="0070106C" w:rsidRDefault="0070106C" w:rsidP="00BE7A5C">
      <w:pPr>
        <w:tabs>
          <w:tab w:val="left" w:pos="4395"/>
        </w:tabs>
        <w:autoSpaceDE w:val="0"/>
        <w:autoSpaceDN w:val="0"/>
        <w:adjustRightInd w:val="0"/>
        <w:ind w:firstLine="709"/>
        <w:jc w:val="both"/>
        <w:rPr>
          <w:rFonts w:cs="Arial"/>
          <w:szCs w:val="24"/>
        </w:rPr>
      </w:pPr>
      <w:r w:rsidRPr="002C2555">
        <w:rPr>
          <w:rFonts w:cs="Arial"/>
          <w:szCs w:val="24"/>
        </w:rPr>
        <w:t>O Ministério do Planejamento, Desenvolvimento e Gestão (MP)</w:t>
      </w:r>
      <w:r w:rsidRPr="0070106C">
        <w:rPr>
          <w:rFonts w:cs="Arial"/>
          <w:szCs w:val="24"/>
        </w:rPr>
        <w:t xml:space="preserve"> divulgou, em agosto de 2017, um </w:t>
      </w:r>
      <w:hyperlink r:id="rId76" w:history="1">
        <w:r w:rsidRPr="0070106C">
          <w:rPr>
            <w:rFonts w:cs="Arial"/>
            <w:szCs w:val="24"/>
          </w:rPr>
          <w:t>balanço das ações do PAC</w:t>
        </w:r>
      </w:hyperlink>
      <w:r w:rsidRPr="0070106C">
        <w:rPr>
          <w:rFonts w:cs="Arial"/>
          <w:szCs w:val="24"/>
        </w:rPr>
        <w:t xml:space="preserve">. A publicação traz resultados compilados dos eixos do programa mostrando que, do total previsto para o período de 2015-2018, o PAC executou 65,6%. Nesse período, as intervenções voltadas ao abastecimento de água, esgotamento sanitário e manejo de resíduos sólidos totalizaram R$ 73,4 bilhões em investimentos </w:t>
      </w:r>
      <w:r w:rsidRPr="002C2555">
        <w:rPr>
          <w:rFonts w:cs="Arial"/>
          <w:szCs w:val="24"/>
        </w:rPr>
        <w:t xml:space="preserve">(Fonte: </w:t>
      </w:r>
      <w:hyperlink r:id="rId77" w:history="1">
        <w:r w:rsidRPr="002C2555">
          <w:rPr>
            <w:rFonts w:cs="Arial"/>
            <w:szCs w:val="24"/>
            <w:u w:val="single"/>
          </w:rPr>
          <w:t>http://www.pac.gov.br/noticia/3cda3a2e</w:t>
        </w:r>
      </w:hyperlink>
      <w:r w:rsidRPr="002C2555">
        <w:rPr>
          <w:rFonts w:cs="Arial"/>
          <w:szCs w:val="24"/>
        </w:rPr>
        <w:t>).</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 xml:space="preserve">Atualmente, a Lei nº 11.445/07 trata no inciso VII do art. 2º da necessidade de o setor de saneamento municipal apresentar “eficiência e sustentabilidade econômica”.  Assim, o município ao detectar no diagnóstico dos serviços de saneamento um </w:t>
      </w:r>
      <w:r w:rsidRPr="0070106C">
        <w:rPr>
          <w:rFonts w:cs="Arial"/>
          <w:i/>
          <w:szCs w:val="24"/>
        </w:rPr>
        <w:t>déficit</w:t>
      </w:r>
      <w:r w:rsidRPr="0070106C">
        <w:rPr>
          <w:rFonts w:cs="Arial"/>
          <w:szCs w:val="24"/>
        </w:rPr>
        <w:t xml:space="preserve"> atual, ou no prognóstico um </w:t>
      </w:r>
      <w:r w:rsidRPr="0070106C">
        <w:rPr>
          <w:rFonts w:cs="Arial"/>
          <w:i/>
          <w:szCs w:val="24"/>
        </w:rPr>
        <w:t>déficit</w:t>
      </w:r>
      <w:r w:rsidRPr="0070106C">
        <w:rPr>
          <w:rFonts w:cs="Arial"/>
          <w:szCs w:val="24"/>
        </w:rPr>
        <w:t xml:space="preserve"> futuro, deve estabelecer, no âmbito da gestão desses serviços, uma diretriz geral no sentido de alcançar a sustentabilidade requerida na lei.</w:t>
      </w:r>
    </w:p>
    <w:p w:rsidR="0070106C" w:rsidRPr="008B306C" w:rsidRDefault="0070106C" w:rsidP="00BE7A5C">
      <w:pPr>
        <w:tabs>
          <w:tab w:val="left" w:pos="4395"/>
        </w:tabs>
        <w:autoSpaceDE w:val="0"/>
        <w:autoSpaceDN w:val="0"/>
        <w:adjustRightInd w:val="0"/>
        <w:ind w:firstLine="709"/>
        <w:jc w:val="both"/>
        <w:rPr>
          <w:rFonts w:cs="Arial"/>
          <w:szCs w:val="24"/>
        </w:rPr>
      </w:pPr>
      <w:r w:rsidRPr="0070106C">
        <w:rPr>
          <w:rFonts w:cs="Arial"/>
          <w:szCs w:val="24"/>
        </w:rPr>
        <w:lastRenderedPageBreak/>
        <w:t xml:space="preserve">Uma das possibilidades para que o princípio da sustentabilidade econômica seja atendido é a criação de um fundo municipal de recursos destinados a sustentar as ações em saneamento no município. Esse fundo pode ser alimentado com recursos advindos da </w:t>
      </w:r>
      <w:r w:rsidRPr="008B306C">
        <w:rPr>
          <w:rFonts w:cs="Arial"/>
          <w:szCs w:val="24"/>
        </w:rPr>
        <w:t>própria cobrança pelos serviços ou por recursos captados em outras instâncias.</w:t>
      </w:r>
    </w:p>
    <w:p w:rsidR="0070106C" w:rsidRPr="0070106C" w:rsidRDefault="00940B6C" w:rsidP="00BE7A5C">
      <w:pPr>
        <w:tabs>
          <w:tab w:val="left" w:pos="4395"/>
        </w:tabs>
        <w:autoSpaceDE w:val="0"/>
        <w:autoSpaceDN w:val="0"/>
        <w:adjustRightInd w:val="0"/>
        <w:ind w:firstLine="709"/>
        <w:jc w:val="both"/>
        <w:rPr>
          <w:rFonts w:cs="Arial"/>
          <w:szCs w:val="24"/>
        </w:rPr>
      </w:pPr>
      <w:r w:rsidRPr="008B306C">
        <w:rPr>
          <w:rFonts w:cs="Arial"/>
          <w:szCs w:val="24"/>
        </w:rPr>
        <w:t xml:space="preserve">Para os </w:t>
      </w:r>
      <w:r w:rsidR="0070106C" w:rsidRPr="008B306C">
        <w:rPr>
          <w:rFonts w:cs="Arial"/>
          <w:szCs w:val="24"/>
        </w:rPr>
        <w:t>investimento</w:t>
      </w:r>
      <w:r w:rsidRPr="008B306C">
        <w:rPr>
          <w:rFonts w:cs="Arial"/>
          <w:szCs w:val="24"/>
        </w:rPr>
        <w:t>s</w:t>
      </w:r>
      <w:r w:rsidR="0070106C" w:rsidRPr="008B306C">
        <w:rPr>
          <w:rFonts w:cs="Arial"/>
          <w:szCs w:val="24"/>
        </w:rPr>
        <w:t xml:space="preserve"> </w:t>
      </w:r>
      <w:r w:rsidRPr="008B306C">
        <w:rPr>
          <w:rFonts w:cs="Arial"/>
          <w:szCs w:val="24"/>
        </w:rPr>
        <w:t>do</w:t>
      </w:r>
      <w:r w:rsidR="0070106C" w:rsidRPr="008B306C">
        <w:rPr>
          <w:rFonts w:cs="Arial"/>
          <w:szCs w:val="24"/>
        </w:rPr>
        <w:t xml:space="preserve"> setor de saneamento básico no Brasil, as duas principais formas de disponibilização dos recursos são:</w:t>
      </w:r>
    </w:p>
    <w:p w:rsidR="0070106C" w:rsidRPr="0070106C" w:rsidRDefault="0070106C" w:rsidP="0066661F">
      <w:pPr>
        <w:numPr>
          <w:ilvl w:val="0"/>
          <w:numId w:val="81"/>
        </w:numPr>
        <w:spacing w:after="200"/>
        <w:ind w:hanging="357"/>
        <w:jc w:val="both"/>
        <w:rPr>
          <w:rFonts w:cs="Arial"/>
          <w:szCs w:val="24"/>
        </w:rPr>
      </w:pPr>
      <w:r w:rsidRPr="0070106C">
        <w:rPr>
          <w:rFonts w:cs="Arial"/>
          <w:b/>
          <w:szCs w:val="24"/>
        </w:rPr>
        <w:t>Recursos onerosos</w:t>
      </w:r>
      <w:r w:rsidRPr="0070106C">
        <w:rPr>
          <w:rFonts w:cs="Arial"/>
          <w:szCs w:val="24"/>
        </w:rPr>
        <w:t>: de natureza extraorçamentária, geridos pelo Governo Federal, como o Fundo de Garantia do Tempo de Serviço (FGTS) e o Fundo de Amparo ao Trabalhador (FAT/</w:t>
      </w:r>
      <w:r w:rsidRPr="00940B6C">
        <w:rPr>
          <w:rFonts w:cs="Arial"/>
          <w:szCs w:val="24"/>
        </w:rPr>
        <w:t>BNDES)</w:t>
      </w:r>
      <w:r w:rsidRPr="0070106C">
        <w:rPr>
          <w:rFonts w:cs="Arial"/>
          <w:szCs w:val="24"/>
        </w:rPr>
        <w:t xml:space="preserve">. Esses recursos vêm sendo alocados para os prestadores de serviços que demonstram capacidade técnica, operacional e, principalmente, financeira para contrair empréstimos. No caso da </w:t>
      </w:r>
      <w:r w:rsidRPr="008B306C">
        <w:rPr>
          <w:rFonts w:cs="Arial"/>
          <w:szCs w:val="24"/>
        </w:rPr>
        <w:t>Caixa Econômica Federal (CEF),</w:t>
      </w:r>
      <w:r w:rsidRPr="0070106C">
        <w:rPr>
          <w:rFonts w:cs="Arial"/>
          <w:szCs w:val="24"/>
        </w:rPr>
        <w:t xml:space="preserve"> os financiamentos contam com a contrapartida dos beneficiários, com uma variação média de 23% do valor total do empreendimento.</w:t>
      </w:r>
    </w:p>
    <w:p w:rsidR="0070106C" w:rsidRPr="0070106C" w:rsidRDefault="0070106C" w:rsidP="0066661F">
      <w:pPr>
        <w:numPr>
          <w:ilvl w:val="0"/>
          <w:numId w:val="81"/>
        </w:numPr>
        <w:spacing w:after="200"/>
        <w:ind w:hanging="357"/>
        <w:jc w:val="both"/>
        <w:rPr>
          <w:rFonts w:cs="Arial"/>
          <w:szCs w:val="24"/>
        </w:rPr>
      </w:pPr>
      <w:r w:rsidRPr="0070106C">
        <w:rPr>
          <w:rFonts w:cs="Arial"/>
          <w:b/>
          <w:szCs w:val="24"/>
        </w:rPr>
        <w:t>Recursos não onerosos</w:t>
      </w:r>
      <w:r w:rsidRPr="0070106C">
        <w:rPr>
          <w:rFonts w:cs="Arial"/>
          <w:szCs w:val="24"/>
        </w:rPr>
        <w:t xml:space="preserve">: são derivados da Lei Orçamentária Anual (LOA), também conhecida como OGU (Orçamento Geral da União) e, também, de orçamentos de Estados e Municípios. São obtidos via transferência fiscal entre entes federados, não havendo incidência de juros reais. Na aplicação de recursos não onerosos da União, é dada prioridade às ações e empreendimentos que visem ao atendimento de usuários ou municípios que não tenham capacidade de pagamento compatível com a autossustentação econômico-financeira dos serviços e às ações voltadas para a promoção das condições adequadas de salubridade ambiental aos povos indígenas e a outras populações tradicionais. </w:t>
      </w:r>
    </w:p>
    <w:p w:rsidR="00940B6C" w:rsidRDefault="00940B6C" w:rsidP="00940B6C">
      <w:pPr>
        <w:spacing w:after="200"/>
        <w:ind w:left="720"/>
        <w:contextualSpacing/>
        <w:jc w:val="both"/>
        <w:rPr>
          <w:rFonts w:eastAsia="Times New Roman" w:cs="Arial"/>
          <w:szCs w:val="24"/>
          <w:lang w:eastAsia="x-none"/>
        </w:rPr>
      </w:pPr>
      <w:r>
        <w:rPr>
          <w:rFonts w:eastAsia="Times New Roman" w:cs="Arial"/>
          <w:szCs w:val="24"/>
          <w:lang w:eastAsia="x-none"/>
        </w:rPr>
        <w:t xml:space="preserve">Outras fontes </w:t>
      </w:r>
      <w:r w:rsidR="00F61204">
        <w:rPr>
          <w:rFonts w:eastAsia="Times New Roman" w:cs="Arial"/>
          <w:szCs w:val="24"/>
          <w:lang w:eastAsia="x-none"/>
        </w:rPr>
        <w:t xml:space="preserve">de recursos </w:t>
      </w:r>
      <w:r>
        <w:rPr>
          <w:rFonts w:eastAsia="Times New Roman" w:cs="Arial"/>
          <w:szCs w:val="24"/>
          <w:lang w:eastAsia="x-none"/>
        </w:rPr>
        <w:t>são:</w:t>
      </w:r>
    </w:p>
    <w:p w:rsidR="0070106C" w:rsidRPr="00F61204" w:rsidRDefault="0070106C" w:rsidP="0066661F">
      <w:pPr>
        <w:numPr>
          <w:ilvl w:val="0"/>
          <w:numId w:val="81"/>
        </w:numPr>
        <w:spacing w:after="200"/>
        <w:ind w:hanging="357"/>
        <w:jc w:val="both"/>
        <w:rPr>
          <w:rFonts w:cs="Arial"/>
          <w:szCs w:val="24"/>
        </w:rPr>
      </w:pPr>
      <w:r w:rsidRPr="00F61204">
        <w:rPr>
          <w:rFonts w:cs="Arial"/>
          <w:szCs w:val="24"/>
        </w:rPr>
        <w:t>Recursos provenientes de empréstimos internacionais, contraídos junto às agências multilaterais de crédito, tais como o Banco Interamericano de Desenvolvimento (</w:t>
      </w:r>
      <w:r w:rsidR="00F61204">
        <w:rPr>
          <w:rFonts w:cs="Arial"/>
          <w:szCs w:val="24"/>
        </w:rPr>
        <w:t xml:space="preserve">BID) e o Banco Mundial (BIRD). </w:t>
      </w:r>
    </w:p>
    <w:p w:rsidR="0070106C" w:rsidRPr="00F61204" w:rsidRDefault="0070106C" w:rsidP="0066661F">
      <w:pPr>
        <w:numPr>
          <w:ilvl w:val="0"/>
          <w:numId w:val="81"/>
        </w:numPr>
        <w:spacing w:after="200"/>
        <w:ind w:hanging="357"/>
        <w:jc w:val="both"/>
        <w:rPr>
          <w:rFonts w:cs="Arial"/>
          <w:szCs w:val="24"/>
        </w:rPr>
      </w:pPr>
      <w:r w:rsidRPr="00F61204">
        <w:rPr>
          <w:rFonts w:cs="Arial"/>
          <w:szCs w:val="24"/>
        </w:rPr>
        <w:lastRenderedPageBreak/>
        <w:t xml:space="preserve">Recursos próprios dos prestadores de serviços: são aqueles resultantes de superávits de arrecadação. </w:t>
      </w:r>
    </w:p>
    <w:p w:rsidR="0070106C" w:rsidRPr="00F61204" w:rsidRDefault="0070106C" w:rsidP="0066661F">
      <w:pPr>
        <w:numPr>
          <w:ilvl w:val="0"/>
          <w:numId w:val="81"/>
        </w:numPr>
        <w:spacing w:after="200"/>
        <w:ind w:hanging="357"/>
        <w:jc w:val="both"/>
        <w:rPr>
          <w:rFonts w:cs="Arial"/>
          <w:szCs w:val="24"/>
        </w:rPr>
      </w:pPr>
      <w:r w:rsidRPr="00F61204">
        <w:rPr>
          <w:rFonts w:cs="Arial"/>
          <w:szCs w:val="24"/>
        </w:rPr>
        <w:t xml:space="preserve">Recursos provenientes da cobrança pelo uso dos recursos hídricos: obtidos através dos Fundos Estaduais de Recursos Hídricos. </w:t>
      </w:r>
    </w:p>
    <w:p w:rsidR="0070106C" w:rsidRPr="00F61204" w:rsidRDefault="0070106C" w:rsidP="0066661F">
      <w:pPr>
        <w:numPr>
          <w:ilvl w:val="0"/>
          <w:numId w:val="81"/>
        </w:numPr>
        <w:spacing w:after="200"/>
        <w:ind w:hanging="357"/>
        <w:jc w:val="both"/>
        <w:rPr>
          <w:rFonts w:cs="Arial"/>
          <w:szCs w:val="24"/>
        </w:rPr>
      </w:pPr>
      <w:r w:rsidRPr="00F61204">
        <w:rPr>
          <w:rFonts w:cs="Arial"/>
          <w:szCs w:val="24"/>
        </w:rPr>
        <w:t xml:space="preserve">Recursos provenientes do “Fundo Voluntário para a Recuperação do Rio Doce”: fundo a ser criado pela empresa mineradora brasileira Vale S.A. e a anglo-australiana BHP Billinton, donas da Samarco. O objetivo do fundo é a recuperação ambiental do Rio Doce impactado pelo rompimento da barragem de resíduos da empresa, na qual ações de saneamento básico deverão ser contempladas. </w:t>
      </w:r>
    </w:p>
    <w:p w:rsidR="0070106C" w:rsidRPr="0070106C" w:rsidRDefault="0070106C" w:rsidP="0070106C">
      <w:pPr>
        <w:ind w:firstLine="709"/>
        <w:jc w:val="both"/>
        <w:rPr>
          <w:rFonts w:cs="Arial"/>
          <w:szCs w:val="24"/>
        </w:rPr>
      </w:pPr>
      <w:r w:rsidRPr="0070106C">
        <w:rPr>
          <w:rFonts w:cs="Arial"/>
          <w:szCs w:val="24"/>
        </w:rPr>
        <w:t xml:space="preserve">O Plano Nacional de Saneamento Básico coloca a importância da definição de critérios a serem considerados na seleção de </w:t>
      </w:r>
      <w:r w:rsidRPr="00F61204">
        <w:rPr>
          <w:rFonts w:cs="Arial"/>
          <w:szCs w:val="24"/>
        </w:rPr>
        <w:t>projetos</w:t>
      </w:r>
      <w:r w:rsidR="00F61204" w:rsidRPr="00F61204">
        <w:rPr>
          <w:rFonts w:cs="Arial"/>
          <w:szCs w:val="24"/>
        </w:rPr>
        <w:t xml:space="preserve"> d</w:t>
      </w:r>
      <w:r w:rsidR="00F61204">
        <w:rPr>
          <w:rFonts w:cs="Arial"/>
          <w:szCs w:val="24"/>
        </w:rPr>
        <w:t>estinados à captação de recursos</w:t>
      </w:r>
      <w:r w:rsidRPr="0070106C">
        <w:rPr>
          <w:rFonts w:cs="Arial"/>
          <w:szCs w:val="24"/>
        </w:rPr>
        <w:t xml:space="preserve">. Esses critérios, de uma forma geral, são os seguintes: </w:t>
      </w:r>
    </w:p>
    <w:p w:rsidR="0070106C" w:rsidRPr="0070106C" w:rsidRDefault="0070106C" w:rsidP="0066661F">
      <w:pPr>
        <w:numPr>
          <w:ilvl w:val="0"/>
          <w:numId w:val="91"/>
        </w:numPr>
        <w:spacing w:after="200"/>
        <w:ind w:hanging="357"/>
        <w:contextualSpacing/>
        <w:jc w:val="both"/>
        <w:rPr>
          <w:rFonts w:eastAsia="Times New Roman" w:cs="Arial"/>
          <w:szCs w:val="24"/>
          <w:lang w:val="x-none" w:eastAsia="x-none"/>
        </w:rPr>
      </w:pPr>
      <w:r w:rsidRPr="0070106C">
        <w:rPr>
          <w:rFonts w:eastAsia="Times New Roman" w:cs="Arial"/>
          <w:szCs w:val="24"/>
          <w:lang w:val="x-none" w:eastAsia="x-none"/>
        </w:rPr>
        <w:t xml:space="preserve">Pertencimento </w:t>
      </w:r>
      <w:r w:rsidRPr="0070106C">
        <w:rPr>
          <w:rFonts w:eastAsia="Times New Roman" w:cs="Arial"/>
          <w:szCs w:val="24"/>
          <w:lang w:eastAsia="x-none"/>
        </w:rPr>
        <w:t>à</w:t>
      </w:r>
      <w:r w:rsidRPr="0070106C">
        <w:rPr>
          <w:rFonts w:eastAsia="Times New Roman" w:cs="Arial"/>
          <w:szCs w:val="24"/>
          <w:lang w:val="x-none" w:eastAsia="x-none"/>
        </w:rPr>
        <w:t xml:space="preserve"> área ou comunidade eleita para focalização; </w:t>
      </w:r>
    </w:p>
    <w:p w:rsidR="0070106C" w:rsidRPr="0070106C" w:rsidRDefault="0070106C" w:rsidP="0066661F">
      <w:pPr>
        <w:numPr>
          <w:ilvl w:val="0"/>
          <w:numId w:val="91"/>
        </w:numPr>
        <w:spacing w:after="200"/>
        <w:ind w:hanging="357"/>
        <w:contextualSpacing/>
        <w:jc w:val="both"/>
        <w:rPr>
          <w:rFonts w:eastAsia="Times New Roman" w:cs="Arial"/>
          <w:szCs w:val="24"/>
          <w:lang w:val="x-none" w:eastAsia="x-none"/>
        </w:rPr>
      </w:pPr>
      <w:r w:rsidRPr="0070106C">
        <w:rPr>
          <w:rFonts w:eastAsia="Times New Roman" w:cs="Arial"/>
          <w:szCs w:val="24"/>
          <w:lang w:val="x-none" w:eastAsia="x-none"/>
        </w:rPr>
        <w:t xml:space="preserve">Solicitação voltada para área de risco para desastres e intervenção claramente orientada para a redução desse risco; </w:t>
      </w:r>
    </w:p>
    <w:p w:rsidR="0070106C" w:rsidRPr="0070106C" w:rsidRDefault="0070106C" w:rsidP="0066661F">
      <w:pPr>
        <w:numPr>
          <w:ilvl w:val="0"/>
          <w:numId w:val="91"/>
        </w:numPr>
        <w:spacing w:after="200"/>
        <w:ind w:hanging="357"/>
        <w:contextualSpacing/>
        <w:jc w:val="both"/>
        <w:rPr>
          <w:rFonts w:eastAsia="Times New Roman" w:cs="Arial"/>
          <w:szCs w:val="24"/>
          <w:lang w:val="x-none" w:eastAsia="x-none"/>
        </w:rPr>
      </w:pPr>
      <w:r w:rsidRPr="0070106C">
        <w:rPr>
          <w:rFonts w:eastAsia="Times New Roman" w:cs="Arial"/>
          <w:szCs w:val="24"/>
          <w:lang w:val="x-none" w:eastAsia="x-none"/>
        </w:rPr>
        <w:t>Solicitação por consórcio público, por esquema de parcerias entre entes federados ou outros arranjos institucionais que demonstrem ganhos de escala na gestão e</w:t>
      </w:r>
      <w:r w:rsidRPr="0070106C">
        <w:rPr>
          <w:rFonts w:eastAsia="Times New Roman" w:cs="Arial"/>
          <w:szCs w:val="24"/>
          <w:lang w:eastAsia="x-none"/>
        </w:rPr>
        <w:t>/</w:t>
      </w:r>
      <w:r w:rsidRPr="0070106C">
        <w:rPr>
          <w:rFonts w:eastAsia="Times New Roman" w:cs="Arial"/>
          <w:szCs w:val="24"/>
          <w:lang w:val="x-none" w:eastAsia="x-none"/>
        </w:rPr>
        <w:t xml:space="preserve">ou na prestação do serviço; </w:t>
      </w:r>
    </w:p>
    <w:p w:rsidR="0070106C" w:rsidRPr="0070106C" w:rsidRDefault="0070106C" w:rsidP="0066661F">
      <w:pPr>
        <w:numPr>
          <w:ilvl w:val="0"/>
          <w:numId w:val="91"/>
        </w:numPr>
        <w:spacing w:after="200"/>
        <w:ind w:hanging="357"/>
        <w:contextualSpacing/>
        <w:jc w:val="both"/>
        <w:rPr>
          <w:rFonts w:eastAsia="Times New Roman" w:cs="Arial"/>
          <w:szCs w:val="24"/>
          <w:lang w:val="x-none" w:eastAsia="x-none"/>
        </w:rPr>
      </w:pPr>
      <w:r w:rsidRPr="0070106C">
        <w:rPr>
          <w:rFonts w:eastAsia="Times New Roman" w:cs="Arial"/>
          <w:szCs w:val="24"/>
          <w:lang w:val="x-none" w:eastAsia="x-none"/>
        </w:rPr>
        <w:t xml:space="preserve">Pedido que considere a integralidade das ações de saneamento básico; </w:t>
      </w:r>
    </w:p>
    <w:p w:rsidR="0070106C" w:rsidRPr="0070106C" w:rsidRDefault="0070106C" w:rsidP="0066661F">
      <w:pPr>
        <w:numPr>
          <w:ilvl w:val="0"/>
          <w:numId w:val="91"/>
        </w:numPr>
        <w:spacing w:after="200"/>
        <w:ind w:hanging="357"/>
        <w:contextualSpacing/>
        <w:jc w:val="both"/>
        <w:rPr>
          <w:rFonts w:eastAsia="Times New Roman" w:cs="Arial"/>
          <w:szCs w:val="24"/>
          <w:lang w:val="x-none" w:eastAsia="x-none"/>
        </w:rPr>
      </w:pPr>
      <w:r w:rsidRPr="0070106C">
        <w:rPr>
          <w:rFonts w:eastAsia="Times New Roman" w:cs="Arial"/>
          <w:szCs w:val="24"/>
          <w:lang w:val="x-none" w:eastAsia="x-none"/>
        </w:rPr>
        <w:t xml:space="preserve">Município com baixo Índice de Desenvolvimento Humano Municipal (IDH-M), com elevados indicadores de enfermidades evitáveis pelo saneamento e com grave condição de insalubridade ambiental; </w:t>
      </w:r>
    </w:p>
    <w:p w:rsidR="0070106C" w:rsidRPr="0070106C" w:rsidRDefault="0070106C" w:rsidP="0066661F">
      <w:pPr>
        <w:numPr>
          <w:ilvl w:val="0"/>
          <w:numId w:val="91"/>
        </w:numPr>
        <w:spacing w:after="200"/>
        <w:ind w:hanging="357"/>
        <w:contextualSpacing/>
        <w:jc w:val="both"/>
        <w:rPr>
          <w:rFonts w:eastAsia="Times New Roman" w:cs="Arial"/>
          <w:szCs w:val="24"/>
          <w:lang w:val="x-none" w:eastAsia="x-none"/>
        </w:rPr>
      </w:pPr>
      <w:r w:rsidRPr="0070106C">
        <w:rPr>
          <w:rFonts w:eastAsia="Times New Roman" w:cs="Arial"/>
          <w:szCs w:val="24"/>
          <w:lang w:val="x-none" w:eastAsia="x-none"/>
        </w:rPr>
        <w:t xml:space="preserve">Pedido de medida estrutural articulado com um conjunto coerente de medidas estruturantes; </w:t>
      </w:r>
    </w:p>
    <w:p w:rsidR="0070106C" w:rsidRPr="0070106C" w:rsidRDefault="0070106C" w:rsidP="0066661F">
      <w:pPr>
        <w:numPr>
          <w:ilvl w:val="0"/>
          <w:numId w:val="91"/>
        </w:numPr>
        <w:spacing w:after="200"/>
        <w:ind w:hanging="357"/>
        <w:contextualSpacing/>
        <w:jc w:val="both"/>
        <w:rPr>
          <w:rFonts w:eastAsia="Times New Roman" w:cs="Arial"/>
          <w:szCs w:val="24"/>
          <w:lang w:val="x-none" w:eastAsia="x-none"/>
        </w:rPr>
      </w:pPr>
      <w:r w:rsidRPr="0070106C">
        <w:rPr>
          <w:rFonts w:eastAsia="Times New Roman" w:cs="Arial"/>
          <w:szCs w:val="24"/>
          <w:lang w:val="x-none" w:eastAsia="x-none"/>
        </w:rPr>
        <w:t>Previsão de ações intersetoriais coerentes.</w:t>
      </w:r>
    </w:p>
    <w:p w:rsidR="0070106C" w:rsidRPr="0070106C" w:rsidRDefault="0070106C" w:rsidP="0066661F">
      <w:pPr>
        <w:numPr>
          <w:ilvl w:val="0"/>
          <w:numId w:val="91"/>
        </w:numPr>
        <w:spacing w:after="200"/>
        <w:ind w:hanging="357"/>
        <w:contextualSpacing/>
        <w:jc w:val="both"/>
        <w:rPr>
          <w:rFonts w:eastAsia="Times New Roman" w:cs="Arial"/>
          <w:szCs w:val="24"/>
          <w:lang w:val="x-none" w:eastAsia="x-none"/>
        </w:rPr>
      </w:pPr>
      <w:r w:rsidRPr="0070106C">
        <w:rPr>
          <w:rFonts w:eastAsia="Times New Roman" w:cs="Arial"/>
          <w:szCs w:val="24"/>
          <w:lang w:val="x-none" w:eastAsia="x-none"/>
        </w:rPr>
        <w:t xml:space="preserve">Pedido que considere a compatibilidade do empreendimento com a disponibilidade hídrica dos mananciais e com a capacidade de suporte dos corpos receptores, em sintonia com o planejamento e a gestão dos recursos hídricos; </w:t>
      </w:r>
    </w:p>
    <w:p w:rsidR="0070106C" w:rsidRPr="0070106C" w:rsidRDefault="0070106C" w:rsidP="0066661F">
      <w:pPr>
        <w:numPr>
          <w:ilvl w:val="0"/>
          <w:numId w:val="91"/>
        </w:numPr>
        <w:spacing w:after="200"/>
        <w:ind w:hanging="357"/>
        <w:contextualSpacing/>
        <w:jc w:val="both"/>
        <w:rPr>
          <w:rFonts w:eastAsia="Times New Roman" w:cs="Arial"/>
          <w:szCs w:val="24"/>
          <w:lang w:val="x-none" w:eastAsia="x-none"/>
        </w:rPr>
      </w:pPr>
      <w:r w:rsidRPr="0070106C">
        <w:rPr>
          <w:rFonts w:eastAsia="Times New Roman" w:cs="Arial"/>
          <w:szCs w:val="24"/>
          <w:lang w:val="x-none" w:eastAsia="x-none"/>
        </w:rPr>
        <w:lastRenderedPageBreak/>
        <w:t xml:space="preserve">Existência de instância de controle social, com concepção e estrutura suficientes para sinalizar sua capacidade de fiscalização do uso do recurso público; </w:t>
      </w:r>
    </w:p>
    <w:p w:rsidR="0070106C" w:rsidRPr="0070106C" w:rsidRDefault="0070106C" w:rsidP="0066661F">
      <w:pPr>
        <w:numPr>
          <w:ilvl w:val="0"/>
          <w:numId w:val="91"/>
        </w:numPr>
        <w:spacing w:after="200"/>
        <w:ind w:hanging="357"/>
        <w:contextualSpacing/>
        <w:jc w:val="both"/>
        <w:rPr>
          <w:rFonts w:eastAsia="Times New Roman" w:cs="Arial"/>
          <w:szCs w:val="24"/>
          <w:lang w:val="x-none" w:eastAsia="x-none"/>
        </w:rPr>
      </w:pPr>
      <w:r w:rsidRPr="0070106C">
        <w:rPr>
          <w:rFonts w:eastAsia="Times New Roman" w:cs="Arial"/>
          <w:szCs w:val="24"/>
          <w:lang w:val="x-none" w:eastAsia="x-none"/>
        </w:rPr>
        <w:t xml:space="preserve">Alcance mínimo de metas de desempenho operacional previamente estabelecidas; </w:t>
      </w:r>
    </w:p>
    <w:p w:rsidR="0070106C" w:rsidRPr="0070106C" w:rsidRDefault="0070106C" w:rsidP="0066661F">
      <w:pPr>
        <w:numPr>
          <w:ilvl w:val="0"/>
          <w:numId w:val="91"/>
        </w:numPr>
        <w:spacing w:after="200"/>
        <w:ind w:hanging="357"/>
        <w:contextualSpacing/>
        <w:jc w:val="both"/>
        <w:rPr>
          <w:rFonts w:eastAsia="Times New Roman" w:cs="Arial"/>
          <w:szCs w:val="24"/>
          <w:lang w:val="x-none" w:eastAsia="x-none"/>
        </w:rPr>
      </w:pPr>
      <w:r w:rsidRPr="0070106C">
        <w:rPr>
          <w:rFonts w:eastAsia="Times New Roman" w:cs="Arial"/>
          <w:szCs w:val="24"/>
          <w:lang w:val="x-none" w:eastAsia="x-none"/>
        </w:rPr>
        <w:t>Existência de iniciativas concretas ou implementação efetiva de programa de redução de perdas no sistema de abastecimento de água;</w:t>
      </w:r>
    </w:p>
    <w:p w:rsidR="0070106C" w:rsidRPr="0070106C" w:rsidRDefault="0070106C" w:rsidP="0066661F">
      <w:pPr>
        <w:numPr>
          <w:ilvl w:val="0"/>
          <w:numId w:val="91"/>
        </w:numPr>
        <w:spacing w:after="200"/>
        <w:ind w:hanging="357"/>
        <w:contextualSpacing/>
        <w:jc w:val="both"/>
        <w:rPr>
          <w:rFonts w:eastAsia="Times New Roman" w:cs="Arial"/>
          <w:szCs w:val="24"/>
          <w:lang w:val="x-none" w:eastAsia="x-none"/>
        </w:rPr>
      </w:pPr>
      <w:r w:rsidRPr="0070106C">
        <w:rPr>
          <w:rFonts w:eastAsia="Times New Roman" w:cs="Arial"/>
          <w:szCs w:val="24"/>
          <w:lang w:val="x-none" w:eastAsia="x-none"/>
        </w:rPr>
        <w:t>Existência de legislação municipal referente a medidas não estruturais relacionadas à retenção de águas pluviais em lotes;</w:t>
      </w:r>
    </w:p>
    <w:p w:rsidR="0070106C" w:rsidRPr="0070106C" w:rsidRDefault="0070106C" w:rsidP="0066661F">
      <w:pPr>
        <w:numPr>
          <w:ilvl w:val="0"/>
          <w:numId w:val="91"/>
        </w:numPr>
        <w:spacing w:after="200"/>
        <w:ind w:hanging="357"/>
        <w:contextualSpacing/>
        <w:jc w:val="both"/>
        <w:rPr>
          <w:rFonts w:eastAsia="Times New Roman" w:cs="Arial"/>
          <w:szCs w:val="24"/>
          <w:lang w:val="x-none" w:eastAsia="x-none"/>
        </w:rPr>
      </w:pPr>
      <w:r w:rsidRPr="0070106C">
        <w:rPr>
          <w:rFonts w:eastAsia="Times New Roman" w:cs="Arial"/>
          <w:szCs w:val="24"/>
          <w:lang w:val="x-none" w:eastAsia="x-none"/>
        </w:rPr>
        <w:t xml:space="preserve">Adequada operação e manutenção dos empreendimentos anteriormente financiados; </w:t>
      </w:r>
    </w:p>
    <w:p w:rsidR="0070106C" w:rsidRPr="0070106C" w:rsidRDefault="0070106C" w:rsidP="0066661F">
      <w:pPr>
        <w:numPr>
          <w:ilvl w:val="0"/>
          <w:numId w:val="91"/>
        </w:numPr>
        <w:spacing w:after="200"/>
        <w:ind w:hanging="357"/>
        <w:contextualSpacing/>
        <w:jc w:val="both"/>
        <w:rPr>
          <w:rFonts w:eastAsia="Times New Roman"/>
          <w:szCs w:val="20"/>
          <w:lang w:val="x-none" w:eastAsia="x-none"/>
        </w:rPr>
      </w:pPr>
      <w:r w:rsidRPr="0070106C">
        <w:rPr>
          <w:rFonts w:eastAsia="Times New Roman" w:cs="Arial"/>
          <w:szCs w:val="24"/>
          <w:lang w:val="x-none" w:eastAsia="x-none"/>
        </w:rPr>
        <w:t>No caso de recursos onerosos, a capacidade de endividamento do tomador.</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A seguir são apresentadas as principais instituições financiadoras das ações em saneamento básico em âmbito federal, estadual e municipal.</w:t>
      </w:r>
    </w:p>
    <w:p w:rsidR="0070106C" w:rsidRPr="0070106C" w:rsidRDefault="0070106C" w:rsidP="0070106C">
      <w:pPr>
        <w:ind w:firstLine="709"/>
        <w:jc w:val="both"/>
        <w:rPr>
          <w:rFonts w:cs="Arial"/>
          <w:szCs w:val="24"/>
          <w:u w:val="single"/>
        </w:rPr>
      </w:pPr>
      <w:r w:rsidRPr="0070106C">
        <w:rPr>
          <w:rFonts w:cs="Arial"/>
          <w:szCs w:val="24"/>
          <w:u w:val="single"/>
        </w:rPr>
        <w:t xml:space="preserve">Federal: </w:t>
      </w:r>
    </w:p>
    <w:p w:rsidR="0070106C" w:rsidRPr="0070106C" w:rsidRDefault="0070106C" w:rsidP="0066661F">
      <w:pPr>
        <w:numPr>
          <w:ilvl w:val="0"/>
          <w:numId w:val="84"/>
        </w:numPr>
        <w:spacing w:after="200"/>
        <w:ind w:hanging="357"/>
        <w:jc w:val="both"/>
        <w:rPr>
          <w:rFonts w:cs="Arial"/>
          <w:szCs w:val="24"/>
        </w:rPr>
      </w:pPr>
      <w:r w:rsidRPr="0070106C">
        <w:rPr>
          <w:rFonts w:cs="Arial"/>
          <w:szCs w:val="24"/>
        </w:rPr>
        <w:t xml:space="preserve">ANA – Agência Nacional de Águas – PRODES (Programa Despoluição de Bacias Hidrográficas) /Programa de Gestão de Recursos Hídricos, etc. </w:t>
      </w:r>
    </w:p>
    <w:p w:rsidR="0070106C" w:rsidRPr="0070106C" w:rsidRDefault="0070106C" w:rsidP="0066661F">
      <w:pPr>
        <w:numPr>
          <w:ilvl w:val="0"/>
          <w:numId w:val="84"/>
        </w:numPr>
        <w:spacing w:after="200"/>
        <w:ind w:hanging="357"/>
        <w:jc w:val="both"/>
        <w:rPr>
          <w:rFonts w:cs="Arial"/>
          <w:szCs w:val="24"/>
        </w:rPr>
      </w:pPr>
      <w:r w:rsidRPr="0070106C">
        <w:rPr>
          <w:rFonts w:cs="Arial"/>
          <w:szCs w:val="24"/>
        </w:rPr>
        <w:t>BNDES – Banco Nacional de Desenvolvimento Econômico e Social.</w:t>
      </w:r>
    </w:p>
    <w:p w:rsidR="0070106C" w:rsidRPr="0070106C" w:rsidRDefault="0070106C" w:rsidP="0066661F">
      <w:pPr>
        <w:numPr>
          <w:ilvl w:val="0"/>
          <w:numId w:val="84"/>
        </w:numPr>
        <w:spacing w:after="200"/>
        <w:ind w:hanging="357"/>
        <w:jc w:val="both"/>
        <w:rPr>
          <w:rFonts w:cs="Arial"/>
          <w:szCs w:val="24"/>
        </w:rPr>
      </w:pPr>
      <w:r w:rsidRPr="0070106C">
        <w:rPr>
          <w:rFonts w:cs="Arial"/>
          <w:szCs w:val="24"/>
        </w:rPr>
        <w:t xml:space="preserve">CEF – Caixa Econômica Federal – Abastecimento de Água/Esgotamento Sanitário/Brasil Joga Limpo/Serviços Urbanos de Água e Esgoto, etc. </w:t>
      </w:r>
    </w:p>
    <w:p w:rsidR="0070106C" w:rsidRPr="0070106C" w:rsidRDefault="0070106C" w:rsidP="0066661F">
      <w:pPr>
        <w:numPr>
          <w:ilvl w:val="0"/>
          <w:numId w:val="84"/>
        </w:numPr>
        <w:spacing w:after="200"/>
        <w:ind w:hanging="357"/>
        <w:jc w:val="both"/>
        <w:rPr>
          <w:rFonts w:cs="Arial"/>
          <w:szCs w:val="24"/>
        </w:rPr>
      </w:pPr>
      <w:r w:rsidRPr="0070106C">
        <w:rPr>
          <w:rFonts w:cs="Arial"/>
          <w:szCs w:val="24"/>
        </w:rPr>
        <w:t xml:space="preserve">Ministério das Cidades – Saneamento para Todos. </w:t>
      </w:r>
    </w:p>
    <w:p w:rsidR="0070106C" w:rsidRPr="0070106C" w:rsidRDefault="0070106C" w:rsidP="0066661F">
      <w:pPr>
        <w:numPr>
          <w:ilvl w:val="0"/>
          <w:numId w:val="84"/>
        </w:numPr>
        <w:spacing w:after="200"/>
        <w:ind w:hanging="357"/>
        <w:jc w:val="both"/>
        <w:rPr>
          <w:rFonts w:cs="Arial"/>
          <w:szCs w:val="24"/>
        </w:rPr>
      </w:pPr>
      <w:r w:rsidRPr="0070106C">
        <w:rPr>
          <w:rFonts w:cs="Arial"/>
          <w:szCs w:val="24"/>
        </w:rPr>
        <w:t xml:space="preserve">Ministério da Saúde - FUNASA. </w:t>
      </w:r>
    </w:p>
    <w:p w:rsidR="0070106C" w:rsidRPr="0070106C" w:rsidRDefault="0070106C" w:rsidP="0066661F">
      <w:pPr>
        <w:numPr>
          <w:ilvl w:val="0"/>
          <w:numId w:val="84"/>
        </w:numPr>
        <w:spacing w:after="200"/>
        <w:ind w:hanging="357"/>
        <w:jc w:val="both"/>
        <w:rPr>
          <w:rFonts w:cs="Arial"/>
          <w:szCs w:val="24"/>
        </w:rPr>
      </w:pPr>
      <w:r w:rsidRPr="0070106C">
        <w:rPr>
          <w:rFonts w:cs="Arial"/>
          <w:szCs w:val="24"/>
        </w:rPr>
        <w:t xml:space="preserve">FNMA – Fundo Nacional do Meio Ambiente. </w:t>
      </w:r>
    </w:p>
    <w:p w:rsidR="0070106C" w:rsidRPr="0070106C" w:rsidRDefault="0070106C" w:rsidP="0066661F">
      <w:pPr>
        <w:numPr>
          <w:ilvl w:val="0"/>
          <w:numId w:val="84"/>
        </w:numPr>
        <w:spacing w:after="200"/>
        <w:ind w:hanging="357"/>
        <w:jc w:val="both"/>
        <w:rPr>
          <w:rFonts w:cs="Arial"/>
          <w:szCs w:val="24"/>
        </w:rPr>
      </w:pPr>
      <w:r w:rsidRPr="0070106C">
        <w:rPr>
          <w:rFonts w:cs="Arial"/>
          <w:szCs w:val="24"/>
        </w:rPr>
        <w:t>Ministério do Meio Ambiente.</w:t>
      </w:r>
    </w:p>
    <w:p w:rsidR="0070106C" w:rsidRPr="0070106C" w:rsidRDefault="0070106C" w:rsidP="0070106C">
      <w:pPr>
        <w:ind w:firstLine="709"/>
        <w:jc w:val="both"/>
        <w:rPr>
          <w:rFonts w:cs="Arial"/>
          <w:szCs w:val="24"/>
          <w:u w:val="single"/>
        </w:rPr>
      </w:pPr>
      <w:r w:rsidRPr="0070106C">
        <w:rPr>
          <w:rFonts w:cs="Arial"/>
          <w:szCs w:val="24"/>
          <w:u w:val="single"/>
        </w:rPr>
        <w:t xml:space="preserve">Estadual: </w:t>
      </w:r>
    </w:p>
    <w:p w:rsidR="0070106C" w:rsidRPr="0070106C" w:rsidRDefault="0070106C" w:rsidP="0066661F">
      <w:pPr>
        <w:numPr>
          <w:ilvl w:val="0"/>
          <w:numId w:val="85"/>
        </w:numPr>
        <w:spacing w:after="200"/>
        <w:ind w:hanging="357"/>
        <w:jc w:val="both"/>
        <w:rPr>
          <w:rFonts w:cs="Arial"/>
          <w:szCs w:val="24"/>
        </w:rPr>
      </w:pPr>
      <w:r w:rsidRPr="0070106C">
        <w:rPr>
          <w:rFonts w:cs="Arial"/>
          <w:szCs w:val="24"/>
        </w:rPr>
        <w:t>FHIDRO – Fundo de Recuperação, Proteção e Desenvolvimento Sustentável das Bacias Hidrográficas do Estado de Minas Gerais.</w:t>
      </w:r>
    </w:p>
    <w:p w:rsidR="0070106C" w:rsidRPr="0070106C" w:rsidRDefault="0070106C" w:rsidP="0066661F">
      <w:pPr>
        <w:numPr>
          <w:ilvl w:val="0"/>
          <w:numId w:val="85"/>
        </w:numPr>
        <w:spacing w:after="200"/>
        <w:ind w:hanging="357"/>
        <w:jc w:val="both"/>
        <w:rPr>
          <w:rFonts w:cs="Arial"/>
          <w:szCs w:val="24"/>
        </w:rPr>
      </w:pPr>
      <w:r w:rsidRPr="0070106C">
        <w:rPr>
          <w:rFonts w:cs="Arial"/>
          <w:szCs w:val="24"/>
        </w:rPr>
        <w:lastRenderedPageBreak/>
        <w:t>BDMG – Banco de Desenvolvimento de Minas Gerais.</w:t>
      </w:r>
    </w:p>
    <w:p w:rsidR="0070106C" w:rsidRPr="00A7281D" w:rsidRDefault="0070106C" w:rsidP="0066661F">
      <w:pPr>
        <w:numPr>
          <w:ilvl w:val="0"/>
          <w:numId w:val="85"/>
        </w:numPr>
        <w:spacing w:after="200"/>
        <w:ind w:hanging="357"/>
        <w:jc w:val="both"/>
        <w:rPr>
          <w:rFonts w:cs="Arial"/>
          <w:szCs w:val="24"/>
        </w:rPr>
      </w:pPr>
      <w:r w:rsidRPr="00A7281D">
        <w:rPr>
          <w:rFonts w:cs="Arial"/>
          <w:szCs w:val="24"/>
        </w:rPr>
        <w:t xml:space="preserve">CBH-Doce - </w:t>
      </w:r>
      <w:r w:rsidRPr="00A7281D">
        <w:rPr>
          <w:rFonts w:cs="Arial"/>
          <w:szCs w:val="24"/>
          <w:shd w:val="clear" w:color="auto" w:fill="FFFFFF"/>
        </w:rPr>
        <w:t>Tem poder de Estado e atribuição legal de deliberar sobre a gestão da água. O órgão tem o IBIO-AGB Doce como entidade delegatária com funções de Agência de Água da Bacia Hidrográfica do Rio Doce.</w:t>
      </w:r>
    </w:p>
    <w:p w:rsidR="0070106C" w:rsidRPr="0070106C" w:rsidRDefault="0070106C" w:rsidP="0070106C">
      <w:pPr>
        <w:ind w:firstLine="709"/>
        <w:jc w:val="both"/>
        <w:rPr>
          <w:rFonts w:cs="Arial"/>
          <w:szCs w:val="24"/>
          <w:u w:val="single"/>
        </w:rPr>
      </w:pPr>
      <w:r w:rsidRPr="0070106C">
        <w:rPr>
          <w:rFonts w:cs="Arial"/>
          <w:szCs w:val="24"/>
        </w:rPr>
        <w:t xml:space="preserve"> </w:t>
      </w:r>
      <w:r w:rsidRPr="0070106C">
        <w:rPr>
          <w:rFonts w:cs="Arial"/>
          <w:szCs w:val="24"/>
          <w:u w:val="single"/>
        </w:rPr>
        <w:t>Municipal:</w:t>
      </w:r>
    </w:p>
    <w:p w:rsidR="0070106C" w:rsidRPr="0070106C" w:rsidRDefault="0070106C" w:rsidP="0066661F">
      <w:pPr>
        <w:numPr>
          <w:ilvl w:val="0"/>
          <w:numId w:val="86"/>
        </w:numPr>
        <w:spacing w:after="200" w:line="276" w:lineRule="auto"/>
        <w:jc w:val="both"/>
        <w:rPr>
          <w:rFonts w:cs="Arial"/>
          <w:szCs w:val="24"/>
        </w:rPr>
      </w:pPr>
      <w:r w:rsidRPr="0070106C">
        <w:rPr>
          <w:rFonts w:cs="Arial"/>
          <w:szCs w:val="24"/>
        </w:rPr>
        <w:t>Prefeitura Municipal - Recursos próprios do município.</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Deve-se ainda considerar os Planos Plurianuais do Governo do Estado de Minas Gerais, que destina verbas a diversos programas aplicáveis ao saneamento básico do Estado de Minas Gerais.</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 xml:space="preserve">São </w:t>
      </w:r>
      <w:r w:rsidR="00A7281D">
        <w:rPr>
          <w:rFonts w:cs="Arial"/>
          <w:szCs w:val="24"/>
        </w:rPr>
        <w:t>apresentados</w:t>
      </w:r>
      <w:r w:rsidRPr="0070106C">
        <w:rPr>
          <w:rFonts w:cs="Arial"/>
          <w:szCs w:val="24"/>
        </w:rPr>
        <w:t xml:space="preserve"> a segui</w:t>
      </w:r>
      <w:r w:rsidR="00A7281D">
        <w:rPr>
          <w:rFonts w:cs="Arial"/>
          <w:szCs w:val="24"/>
        </w:rPr>
        <w:t>r</w:t>
      </w:r>
      <w:r w:rsidRPr="0070106C">
        <w:rPr>
          <w:rFonts w:cs="Arial"/>
          <w:szCs w:val="24"/>
        </w:rPr>
        <w:t xml:space="preserve"> alguns programas</w:t>
      </w:r>
      <w:r w:rsidR="00A7281D">
        <w:rPr>
          <w:rFonts w:cs="Arial"/>
          <w:szCs w:val="24"/>
        </w:rPr>
        <w:t xml:space="preserve"> e agências </w:t>
      </w:r>
      <w:r w:rsidR="00BF3404">
        <w:rPr>
          <w:rFonts w:cs="Arial"/>
          <w:szCs w:val="24"/>
        </w:rPr>
        <w:t xml:space="preserve">fomentadoras </w:t>
      </w:r>
      <w:r w:rsidR="00A7281D">
        <w:rPr>
          <w:rFonts w:cs="Arial"/>
          <w:szCs w:val="24"/>
        </w:rPr>
        <w:t xml:space="preserve"> </w:t>
      </w:r>
      <w:r w:rsidRPr="0070106C">
        <w:rPr>
          <w:rFonts w:cs="Arial"/>
          <w:szCs w:val="24"/>
        </w:rPr>
        <w:t xml:space="preserve">considerados de especial interesse no âmbito do saneamento básico do país. </w:t>
      </w:r>
    </w:p>
    <w:p w:rsidR="0070106C" w:rsidRPr="00990FBB" w:rsidRDefault="0070106C" w:rsidP="00BC01B1">
      <w:pPr>
        <w:pStyle w:val="Ttulo3"/>
      </w:pPr>
      <w:bookmarkStart w:id="1140" w:name="_Toc503538789"/>
      <w:bookmarkStart w:id="1141" w:name="_Toc504404466"/>
      <w:bookmarkStart w:id="1142" w:name="_Toc509935594"/>
      <w:bookmarkStart w:id="1143" w:name="_Toc445718819"/>
      <w:bookmarkStart w:id="1144" w:name="_Toc445732327"/>
      <w:bookmarkStart w:id="1145" w:name="_Toc445796723"/>
      <w:r w:rsidRPr="00990FBB">
        <w:t>Programa “Avançar Cidades – Saneamento”</w:t>
      </w:r>
      <w:bookmarkEnd w:id="1140"/>
      <w:bookmarkEnd w:id="1141"/>
      <w:bookmarkEnd w:id="1142"/>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O Programa </w:t>
      </w:r>
      <w:r w:rsidRPr="0070106C">
        <w:rPr>
          <w:bCs/>
          <w:szCs w:val="24"/>
        </w:rPr>
        <w:t>Avançar Cidades - Saneamento</w:t>
      </w:r>
      <w:r w:rsidRPr="0070106C">
        <w:rPr>
          <w:rFonts w:cs="Arial"/>
          <w:szCs w:val="24"/>
        </w:rPr>
        <w:t> tem o objetivo de promover a melhoria do saneamento básico do país por meio do financiamento de ações nas modalidades de abastecimento de água, esgotamento sanitário, manejo de resíduos sólidos, manejo de águas pluviais, redução e controle de perdas, estudos e projetos, e planos de saneamento.</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No processo seletivo em curso não há disponibilidade para solicitação de recursos do Orçamento Geral da União (recursos a fundo perdido). Estão sendo disponibilizados recursos onerosos, nos quais incidirão encargos financeiros aplicados pelos agentes financeiros (taxa de </w:t>
      </w:r>
      <w:r w:rsidRPr="0070106C">
        <w:rPr>
          <w:bCs/>
          <w:szCs w:val="24"/>
        </w:rPr>
        <w:t>juros</w:t>
      </w:r>
      <w:r w:rsidRPr="0070106C">
        <w:rPr>
          <w:rFonts w:cs="Arial"/>
          <w:szCs w:val="24"/>
        </w:rPr>
        <w:t>, taxa de </w:t>
      </w:r>
      <w:r w:rsidRPr="0070106C">
        <w:rPr>
          <w:bCs/>
          <w:szCs w:val="24"/>
        </w:rPr>
        <w:t>risco de crédito</w:t>
      </w:r>
      <w:r w:rsidRPr="0070106C">
        <w:rPr>
          <w:rFonts w:cs="Arial"/>
          <w:szCs w:val="24"/>
        </w:rPr>
        <w:t>, entre outros).</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A primeira lista de propostas de saneamento enquadradas no Programa Avançar Cidades – Saneamento foram apresentadas por municípios, estados e concessionárias, nas modalidades de abastecimento de água, esgotamento sanitário, manejo de resíduos sólidos, manejo de águas pluviais, redução e controle de perdas, estudos e projetos e planos de saneamento básico.</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O Programa visa atender a todos os municípios do país independente do porte populacional, sendo que cada município tem a oportunidade de cadastrar uma proposta para cada modalidade nessa seleção.</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lastRenderedPageBreak/>
        <w:t xml:space="preserve"> Como exemplo, entre os itens apoiáveis nas modalidades de abastecimento de água e esgoto sanitário, está a possibilidade de implantação/ampliação de estações de tratamento de água e esgoto, redes de distribuição de águas, ligações prediais, reservatórios, estações elevatórias de esgoto, redes coletoras de esgoto, ligações prediais, bem como estudos e projetos de engenharia.</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Os recursos de financiamento serão disponibilizados no âmbito do Programa Avançar Cidades - Saneamento, sendo o valor mínimo financiável de R$ 200 mil. Para a segunda fase, o cadastramento das propostas será feito por meio de cartas-consulta, em formulário eletrônico disponível no </w:t>
      </w:r>
      <w:hyperlink r:id="rId78" w:history="1">
        <w:r w:rsidRPr="0070106C">
          <w:rPr>
            <w:i/>
            <w:szCs w:val="24"/>
          </w:rPr>
          <w:t>site</w:t>
        </w:r>
      </w:hyperlink>
      <w:r w:rsidRPr="0070106C">
        <w:rPr>
          <w:b/>
          <w:bCs/>
          <w:szCs w:val="24"/>
        </w:rPr>
        <w:t> </w:t>
      </w:r>
      <w:r w:rsidRPr="008B306C">
        <w:rPr>
          <w:rFonts w:cs="Arial"/>
          <w:szCs w:val="24"/>
        </w:rPr>
        <w:t>do Ministério das Cidades.</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 xml:space="preserve">A seguir, no </w:t>
      </w:r>
      <w:r w:rsidRPr="0070106C">
        <w:rPr>
          <w:rFonts w:cs="Arial"/>
          <w:szCs w:val="24"/>
        </w:rPr>
        <w:fldChar w:fldCharType="begin"/>
      </w:r>
      <w:r w:rsidRPr="0070106C">
        <w:rPr>
          <w:rFonts w:cs="Arial"/>
          <w:szCs w:val="24"/>
        </w:rPr>
        <w:instrText xml:space="preserve"> REF _Ref503192731 \h  \* MERGEFORMAT </w:instrText>
      </w:r>
      <w:r w:rsidRPr="0070106C">
        <w:rPr>
          <w:rFonts w:cs="Arial"/>
          <w:szCs w:val="24"/>
        </w:rPr>
      </w:r>
      <w:r w:rsidRPr="0070106C">
        <w:rPr>
          <w:rFonts w:cs="Arial"/>
          <w:szCs w:val="24"/>
        </w:rPr>
        <w:fldChar w:fldCharType="separate"/>
      </w:r>
      <w:r w:rsidR="001B481B" w:rsidRPr="001B481B">
        <w:rPr>
          <w:rFonts w:eastAsia="Times New Roman" w:cs="Arial"/>
          <w:bCs/>
          <w:szCs w:val="24"/>
          <w:lang w:val="x-none" w:eastAsia="x-none"/>
        </w:rPr>
        <w:t xml:space="preserve">Quadro </w:t>
      </w:r>
      <w:r w:rsidR="001B481B" w:rsidRPr="001B481B">
        <w:rPr>
          <w:rFonts w:eastAsia="Times New Roman" w:cs="Arial"/>
          <w:bCs/>
          <w:noProof/>
          <w:szCs w:val="24"/>
          <w:lang w:val="x-none" w:eastAsia="x-none"/>
        </w:rPr>
        <w:t>93</w:t>
      </w:r>
      <w:r w:rsidRPr="0070106C">
        <w:rPr>
          <w:rFonts w:cs="Arial"/>
          <w:szCs w:val="24"/>
        </w:rPr>
        <w:fldChar w:fldCharType="end"/>
      </w:r>
      <w:r w:rsidRPr="0070106C">
        <w:rPr>
          <w:rFonts w:cs="Arial"/>
          <w:szCs w:val="24"/>
        </w:rPr>
        <w:t>, está a lista de projetos/documentos a serem encaminhados junto à carta-consulta.</w:t>
      </w:r>
    </w:p>
    <w:p w:rsidR="0070106C" w:rsidRPr="0070106C" w:rsidRDefault="0070106C" w:rsidP="00E95583">
      <w:pPr>
        <w:pStyle w:val="Legenda"/>
      </w:pPr>
      <w:bookmarkStart w:id="1146" w:name="_Ref503192731"/>
      <w:bookmarkStart w:id="1147" w:name="_Toc503538816"/>
      <w:bookmarkStart w:id="1148" w:name="_Toc503949470"/>
      <w:bookmarkStart w:id="1149" w:name="_Toc509935870"/>
      <w:r w:rsidRPr="0070106C">
        <w:lastRenderedPageBreak/>
        <w:t xml:space="preserve">Quadro </w:t>
      </w:r>
      <w:r w:rsidR="000A1C78">
        <w:fldChar w:fldCharType="begin"/>
      </w:r>
      <w:r w:rsidR="000A1C78">
        <w:instrText xml:space="preserve"> SEQ Quadro \* ARABIC </w:instrText>
      </w:r>
      <w:r w:rsidR="000A1C78">
        <w:fldChar w:fldCharType="separate"/>
      </w:r>
      <w:r w:rsidR="001B481B">
        <w:rPr>
          <w:noProof/>
        </w:rPr>
        <w:t>93</w:t>
      </w:r>
      <w:r w:rsidR="000A1C78">
        <w:rPr>
          <w:noProof/>
        </w:rPr>
        <w:fldChar w:fldCharType="end"/>
      </w:r>
      <w:bookmarkEnd w:id="1146"/>
      <w:r w:rsidRPr="0070106C">
        <w:t xml:space="preserve"> - Projetos/documentos a serem encaminhados que compõem a carta-consulta do Programa Avançar Cidades</w:t>
      </w:r>
      <w:bookmarkEnd w:id="1147"/>
      <w:bookmarkEnd w:id="1148"/>
      <w:bookmarkEnd w:id="1149"/>
    </w:p>
    <w:p w:rsidR="0070106C" w:rsidRPr="0070106C" w:rsidRDefault="0070106C" w:rsidP="00BE7A5C">
      <w:pPr>
        <w:pStyle w:val="figura"/>
        <w:rPr>
          <w:noProof/>
        </w:rPr>
      </w:pPr>
      <w:r w:rsidRPr="0070106C">
        <w:rPr>
          <w:noProof/>
        </w:rPr>
        <w:drawing>
          <wp:inline distT="0" distB="0" distL="0" distR="0" wp14:anchorId="403217F1" wp14:editId="5CCD5982">
            <wp:extent cx="5943600" cy="5943600"/>
            <wp:effectExtent l="0" t="0" r="0" b="0"/>
            <wp:docPr id="410" name="Imagem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43600" cy="5943600"/>
                    </a:xfrm>
                    <a:prstGeom prst="rect">
                      <a:avLst/>
                    </a:prstGeom>
                    <a:noFill/>
                    <a:ln>
                      <a:noFill/>
                    </a:ln>
                  </pic:spPr>
                </pic:pic>
              </a:graphicData>
            </a:graphic>
          </wp:inline>
        </w:drawing>
      </w:r>
    </w:p>
    <w:p w:rsidR="0070106C" w:rsidRPr="0070106C" w:rsidRDefault="0070106C" w:rsidP="00BE7A5C">
      <w:pPr>
        <w:pStyle w:val="Fonte"/>
      </w:pPr>
      <w:r w:rsidRPr="0070106C">
        <w:t xml:space="preserve">Fonte: </w:t>
      </w:r>
      <w:hyperlink r:id="rId80" w:history="1">
        <w:r w:rsidRPr="0070106C">
          <w:t>http://www.cidades.gov.br/images/stories/ArquivosSNSA/Arquivos_PDF/Anexo-Documentos-da-Proposta-Tcnica.pdf</w:t>
        </w:r>
      </w:hyperlink>
    </w:p>
    <w:p w:rsidR="0070106C" w:rsidRPr="00990FBB" w:rsidRDefault="0070106C" w:rsidP="00BC01B1">
      <w:pPr>
        <w:pStyle w:val="Ttulo3"/>
      </w:pPr>
      <w:bookmarkStart w:id="1150" w:name="_Toc503538790"/>
      <w:bookmarkStart w:id="1151" w:name="_Toc504404467"/>
      <w:bookmarkStart w:id="1152" w:name="_Toc509935595"/>
      <w:r w:rsidRPr="00990FBB">
        <w:t>Programa de Despoluição de Bacias Hidrográficas - PRODES</w:t>
      </w:r>
      <w:bookmarkEnd w:id="1143"/>
      <w:bookmarkEnd w:id="1144"/>
      <w:bookmarkEnd w:id="1145"/>
      <w:bookmarkEnd w:id="1150"/>
      <w:bookmarkEnd w:id="1151"/>
      <w:bookmarkEnd w:id="1152"/>
      <w:r w:rsidRPr="00990FBB">
        <w:t xml:space="preserve"> </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Criado pela Agência Nacional de Águas (ANA) em março de 2001, o Programa de Despoluição de Bacias Hidrográficas (PRODES) é uma iniciativa inovadora, pois paga pelo esgoto efetivamente tratado.</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 xml:space="preserve">O PRODES consiste na concessão de estímulo financeiro pela União, na forma de pagamento pelo esgoto tratado a prestadores de serviço de saneamento que </w:t>
      </w:r>
      <w:r w:rsidRPr="0070106C">
        <w:rPr>
          <w:rFonts w:cs="Arial"/>
          <w:szCs w:val="24"/>
        </w:rPr>
        <w:lastRenderedPageBreak/>
        <w:t>investirem na implantação e operação de Estações de Tratamento de Esgotos (ETEs), desde que cumpridas as condições previstas em contrato.</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 xml:space="preserve">Participam, direta ou indiretamente, do PRODES: </w:t>
      </w:r>
    </w:p>
    <w:p w:rsidR="0070106C" w:rsidRPr="0070106C" w:rsidRDefault="0070106C" w:rsidP="0070106C">
      <w:pPr>
        <w:ind w:firstLine="709"/>
        <w:jc w:val="both"/>
        <w:rPr>
          <w:rFonts w:cs="Arial"/>
          <w:szCs w:val="24"/>
        </w:rPr>
      </w:pPr>
      <w:r w:rsidRPr="0070106C">
        <w:rPr>
          <w:rFonts w:cs="Arial"/>
          <w:szCs w:val="24"/>
        </w:rPr>
        <w:t xml:space="preserve">I – a Agência Nacional de Águas, na condição de entidade executora e disciplinadora do PRODES, durante as etapas do processo de seleção, e de contratante no âmbito do processo de certificação; </w:t>
      </w:r>
    </w:p>
    <w:p w:rsidR="0070106C" w:rsidRPr="0070106C" w:rsidRDefault="0070106C" w:rsidP="0070106C">
      <w:pPr>
        <w:ind w:firstLine="709"/>
        <w:jc w:val="both"/>
        <w:rPr>
          <w:rFonts w:cs="Arial"/>
          <w:szCs w:val="24"/>
        </w:rPr>
      </w:pPr>
      <w:r w:rsidRPr="0070106C">
        <w:rPr>
          <w:rFonts w:cs="Arial"/>
          <w:szCs w:val="24"/>
        </w:rPr>
        <w:t xml:space="preserve">II – os prestadores de serviços de saneamento (prestadores), entidades públicas ou privadas, integrantes ou não da administração do titular, legalmente constituídas e detentoras das competências para realização de serviços, infraestruturas e instalações operacionais de coleta, transporte, tratamento e disposição final adequados dos esgotos sanitários, desde as ligações prediais até o seu lançamento final no meio; </w:t>
      </w:r>
    </w:p>
    <w:p w:rsidR="0070106C" w:rsidRPr="0070106C" w:rsidRDefault="0070106C" w:rsidP="0070106C">
      <w:pPr>
        <w:ind w:firstLine="709"/>
        <w:jc w:val="both"/>
        <w:rPr>
          <w:rFonts w:cs="Arial"/>
          <w:szCs w:val="24"/>
        </w:rPr>
      </w:pPr>
      <w:r w:rsidRPr="0070106C">
        <w:rPr>
          <w:rFonts w:cs="Arial"/>
          <w:szCs w:val="24"/>
        </w:rPr>
        <w:t xml:space="preserve">III – os titulares dos serviços públicos de saneamento básico (titulares), representantes do poder público, responsáveis pela organização, regulação, fiscalização e a prestação desses serviços, nos termos do art. 175 da Constituição Federal; </w:t>
      </w:r>
    </w:p>
    <w:p w:rsidR="0070106C" w:rsidRPr="0070106C" w:rsidRDefault="0070106C" w:rsidP="0070106C">
      <w:pPr>
        <w:ind w:firstLine="709"/>
        <w:jc w:val="both"/>
        <w:rPr>
          <w:rFonts w:cs="Arial"/>
          <w:szCs w:val="24"/>
        </w:rPr>
      </w:pPr>
      <w:r w:rsidRPr="0070106C">
        <w:rPr>
          <w:rFonts w:cs="Arial"/>
          <w:szCs w:val="24"/>
        </w:rPr>
        <w:t xml:space="preserve">IV – os comitês de bacia hidrográfica ou, na ausência desses, os conselhos estaduais de recursos hídricos, previstos na Lei nº 9.433, de 8 de janeiro de 1997, art. 33, incisos II e III, respectivamente; </w:t>
      </w:r>
    </w:p>
    <w:p w:rsidR="0070106C" w:rsidRPr="0070106C" w:rsidRDefault="0070106C" w:rsidP="0070106C">
      <w:pPr>
        <w:ind w:firstLine="709"/>
        <w:jc w:val="both"/>
        <w:rPr>
          <w:rFonts w:cs="Arial"/>
          <w:szCs w:val="24"/>
        </w:rPr>
      </w:pPr>
      <w:r w:rsidRPr="0070106C">
        <w:rPr>
          <w:rFonts w:cs="Arial"/>
          <w:szCs w:val="24"/>
        </w:rPr>
        <w:t>V – a Caixa Econômica Federal, na condição de instituição financeira (agente financeiro) responsável pela administração dos recursos aplicados em fundo de investimentos específico do PRODES (fundo).</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 xml:space="preserve">Os recursos financeiros para a implementação do PRODES serão provenientes: </w:t>
      </w:r>
    </w:p>
    <w:p w:rsidR="0070106C" w:rsidRPr="0070106C" w:rsidRDefault="0070106C" w:rsidP="0070106C">
      <w:pPr>
        <w:ind w:firstLine="709"/>
        <w:jc w:val="both"/>
        <w:rPr>
          <w:rFonts w:cs="Arial"/>
          <w:szCs w:val="24"/>
        </w:rPr>
      </w:pPr>
      <w:r w:rsidRPr="0070106C">
        <w:rPr>
          <w:rFonts w:cs="Arial"/>
          <w:szCs w:val="24"/>
        </w:rPr>
        <w:t xml:space="preserve">I – do Orçamento Geral da União (OGU) consignado à ANA; </w:t>
      </w:r>
    </w:p>
    <w:p w:rsidR="0070106C" w:rsidRPr="0070106C" w:rsidRDefault="0070106C" w:rsidP="0070106C">
      <w:pPr>
        <w:ind w:firstLine="709"/>
        <w:jc w:val="both"/>
        <w:rPr>
          <w:rFonts w:cs="Arial"/>
          <w:szCs w:val="24"/>
        </w:rPr>
      </w:pPr>
      <w:r w:rsidRPr="0070106C">
        <w:rPr>
          <w:rFonts w:cs="Arial"/>
          <w:szCs w:val="24"/>
        </w:rPr>
        <w:t xml:space="preserve">II – de parcela de arrecadação da cobrança pelo direito de uso dos recursos hídricos e de outras fontes de recursos administradas pelos comitês de bacia hidrográfica, acordada, em cada caso, entre eles e a ANA; </w:t>
      </w:r>
    </w:p>
    <w:p w:rsidR="0070106C" w:rsidRPr="0070106C" w:rsidRDefault="0070106C" w:rsidP="0070106C">
      <w:pPr>
        <w:ind w:firstLine="709"/>
        <w:jc w:val="both"/>
        <w:rPr>
          <w:rFonts w:cs="Arial"/>
          <w:szCs w:val="24"/>
        </w:rPr>
      </w:pPr>
      <w:r w:rsidRPr="0070106C">
        <w:rPr>
          <w:rFonts w:cs="Arial"/>
          <w:szCs w:val="24"/>
        </w:rPr>
        <w:t xml:space="preserve">III – dos fundos de recursos hídricos; e </w:t>
      </w:r>
    </w:p>
    <w:p w:rsidR="0070106C" w:rsidRPr="0070106C" w:rsidRDefault="0070106C" w:rsidP="0070106C">
      <w:pPr>
        <w:ind w:firstLine="709"/>
        <w:jc w:val="both"/>
        <w:rPr>
          <w:rFonts w:cs="Arial"/>
          <w:szCs w:val="24"/>
        </w:rPr>
      </w:pPr>
      <w:r w:rsidRPr="0070106C">
        <w:rPr>
          <w:rFonts w:cs="Arial"/>
          <w:szCs w:val="24"/>
        </w:rPr>
        <w:t>IV – de doações, legados, subvenções e outros que lhe forem destinados.</w:t>
      </w:r>
    </w:p>
    <w:p w:rsidR="0070106C" w:rsidRPr="00990FBB" w:rsidRDefault="0070106C" w:rsidP="00BC01B1">
      <w:pPr>
        <w:pStyle w:val="Ttulo3"/>
      </w:pPr>
      <w:bookmarkStart w:id="1153" w:name="_Toc445718820"/>
      <w:bookmarkStart w:id="1154" w:name="_Toc445732328"/>
      <w:bookmarkStart w:id="1155" w:name="_Toc445796724"/>
      <w:bookmarkStart w:id="1156" w:name="_Toc503538791"/>
      <w:bookmarkStart w:id="1157" w:name="_Toc504404468"/>
      <w:bookmarkStart w:id="1158" w:name="_Toc509935596"/>
      <w:r w:rsidRPr="0070106C">
        <w:t>Programa Saneamento Para Todos</w:t>
      </w:r>
      <w:bookmarkEnd w:id="1153"/>
      <w:bookmarkEnd w:id="1154"/>
      <w:bookmarkEnd w:id="1155"/>
      <w:bookmarkEnd w:id="1156"/>
      <w:bookmarkEnd w:id="1157"/>
      <w:bookmarkEnd w:id="1158"/>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 xml:space="preserve">Foi instituído pela Resolução 476 de 2005, com o objetivo de promover a melhoria das condições de saúde e da qualidade de vida da população por meio de </w:t>
      </w:r>
      <w:r w:rsidRPr="0070106C">
        <w:rPr>
          <w:rFonts w:cs="Arial"/>
          <w:szCs w:val="24"/>
        </w:rPr>
        <w:lastRenderedPageBreak/>
        <w:t>ações integradas e articuladas de saneamento básico no âmbito urbano com outras políticas setoriais, com vistas ao aumento da cobertura dos serviços de saneamento básico.</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 xml:space="preserve">Este programa foi regulamentado pela Instrução Normativa 23 de 2005, do Ministério das Cidades, que prevê as regras para o financiamento dos projetos com utilização dos recursos do Fundo de Garantia do Tempo de Serviço – (FGTS). </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Podem contratar empréstimos no âmbito do programa os mutuários públicos, os Estados, os Municípios, o Distrito Federal e suas entidades da Administração descentralizada, inclusive empresas públicas, sociedade de economia mista e consórcios públicos de direito público.</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Os recursos do programa são oriundos do FGTS e da contrapartida do solicitante.</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As modalidades passíveis de financiamento são:</w:t>
      </w:r>
    </w:p>
    <w:p w:rsidR="0070106C" w:rsidRPr="0070106C" w:rsidRDefault="0070106C" w:rsidP="0070106C">
      <w:pPr>
        <w:ind w:firstLine="709"/>
        <w:jc w:val="both"/>
        <w:rPr>
          <w:rFonts w:cs="Arial"/>
          <w:szCs w:val="24"/>
        </w:rPr>
      </w:pPr>
      <w:r w:rsidRPr="0070106C">
        <w:rPr>
          <w:rFonts w:cs="Arial"/>
          <w:szCs w:val="24"/>
        </w:rPr>
        <w:t xml:space="preserve">- </w:t>
      </w:r>
      <w:r w:rsidRPr="0070106C">
        <w:rPr>
          <w:rFonts w:cs="Arial"/>
          <w:b/>
          <w:szCs w:val="24"/>
        </w:rPr>
        <w:t>Abastecimento de água</w:t>
      </w:r>
      <w:r w:rsidRPr="0070106C">
        <w:rPr>
          <w:rFonts w:cs="Arial"/>
          <w:szCs w:val="24"/>
        </w:rPr>
        <w:t>: destina-se à promoção de ações que visem ao aumento da cobertura ou da capacidade de produção do sistema de abastecimento de água.</w:t>
      </w:r>
    </w:p>
    <w:p w:rsidR="0070106C" w:rsidRPr="0070106C" w:rsidRDefault="0070106C" w:rsidP="0070106C">
      <w:pPr>
        <w:ind w:firstLine="709"/>
        <w:jc w:val="both"/>
        <w:rPr>
          <w:rFonts w:cs="Arial"/>
          <w:szCs w:val="24"/>
        </w:rPr>
      </w:pPr>
      <w:r w:rsidRPr="0070106C">
        <w:rPr>
          <w:rFonts w:cs="Arial"/>
          <w:szCs w:val="24"/>
        </w:rPr>
        <w:t xml:space="preserve">- </w:t>
      </w:r>
      <w:r w:rsidRPr="0070106C">
        <w:rPr>
          <w:rFonts w:cs="Arial"/>
          <w:b/>
          <w:szCs w:val="24"/>
        </w:rPr>
        <w:t>Esgotamento sanitário</w:t>
      </w:r>
      <w:r w:rsidRPr="0070106C">
        <w:rPr>
          <w:rFonts w:cs="Arial"/>
          <w:szCs w:val="24"/>
        </w:rPr>
        <w:t>: destina-se à promoção de ações para o aumento da cobertura dos sistemas de esgotamento sanitário ou da capacidade de tratamento e destinação final adequados de efluentes.</w:t>
      </w:r>
    </w:p>
    <w:p w:rsidR="0070106C" w:rsidRPr="0070106C" w:rsidRDefault="0070106C" w:rsidP="0070106C">
      <w:pPr>
        <w:ind w:firstLine="709"/>
        <w:jc w:val="both"/>
        <w:rPr>
          <w:rFonts w:cs="Arial"/>
          <w:szCs w:val="24"/>
        </w:rPr>
      </w:pPr>
      <w:r w:rsidRPr="0070106C">
        <w:rPr>
          <w:rFonts w:cs="Arial"/>
          <w:szCs w:val="24"/>
        </w:rPr>
        <w:t xml:space="preserve">- </w:t>
      </w:r>
      <w:r w:rsidRPr="0070106C">
        <w:rPr>
          <w:rFonts w:cs="Arial"/>
          <w:b/>
          <w:szCs w:val="24"/>
        </w:rPr>
        <w:t>Saneamento integrado</w:t>
      </w:r>
      <w:r w:rsidRPr="0070106C">
        <w:rPr>
          <w:rFonts w:cs="Arial"/>
          <w:szCs w:val="24"/>
        </w:rPr>
        <w:t>: destina-se à promoção de ações integradas de saneamento em áreas ocupadas por população de baixa renda, onde esteja caracterizada a precariedade ou a inexistência de condições sanitárias e ambientais mínimas. O programa é efetivado por meio de soluções técnicas adequadas, abrangendo abastecimento de água, esgotamento sanitário, manejo de águas pluviais, manejo de resíduos sólidos, implantação de unidades sanitárias domiciliares e outras ações relativas ao trabalho socioambiental nas áreas de educação ambiental, além da promoção da participação comunitária e, quando for o caso, ao trabalho social destinado à inclusão social de catadores e aproveitamento econômico de material reciclável, visando à sustentabilidade socioeconômica e ambiental dos empreendimentos.</w:t>
      </w:r>
    </w:p>
    <w:p w:rsidR="0070106C" w:rsidRPr="0070106C" w:rsidRDefault="0070106C" w:rsidP="0070106C">
      <w:pPr>
        <w:ind w:firstLine="709"/>
        <w:jc w:val="both"/>
        <w:rPr>
          <w:rFonts w:cs="Arial"/>
          <w:szCs w:val="24"/>
        </w:rPr>
      </w:pPr>
      <w:r w:rsidRPr="0070106C">
        <w:rPr>
          <w:rFonts w:cs="Arial"/>
          <w:szCs w:val="24"/>
        </w:rPr>
        <w:lastRenderedPageBreak/>
        <w:t xml:space="preserve">- </w:t>
      </w:r>
      <w:r w:rsidRPr="0070106C">
        <w:rPr>
          <w:rFonts w:cs="Arial"/>
          <w:b/>
          <w:szCs w:val="24"/>
        </w:rPr>
        <w:t>Desenvolvimento institucional</w:t>
      </w:r>
      <w:r w:rsidRPr="0070106C">
        <w:rPr>
          <w:rFonts w:cs="Arial"/>
          <w:szCs w:val="24"/>
        </w:rPr>
        <w:t>: destina-se à promoção de ações articuladas, visando ao aumento da eficiência dos prestadores de serviços públicos de:</w:t>
      </w:r>
    </w:p>
    <w:p w:rsidR="0070106C" w:rsidRPr="0070106C" w:rsidRDefault="0070106C" w:rsidP="0070106C">
      <w:pPr>
        <w:ind w:firstLine="709"/>
        <w:jc w:val="both"/>
        <w:rPr>
          <w:rFonts w:cs="Arial"/>
          <w:szCs w:val="24"/>
        </w:rPr>
      </w:pPr>
      <w:r w:rsidRPr="0070106C">
        <w:rPr>
          <w:rFonts w:cs="Arial"/>
          <w:szCs w:val="24"/>
        </w:rPr>
        <w:t>a) Abastecimento de água e esgotamento sanitário, por meio da promoção de melhorias operacionais, incluindo reabilitação e recuperação de instalações e redes existentes, outras ações de redução de custos e de perdas, e de preservação de mananciais utilizados para o abastecimento público.</w:t>
      </w:r>
    </w:p>
    <w:p w:rsidR="0070106C" w:rsidRPr="0070106C" w:rsidRDefault="0070106C" w:rsidP="0070106C">
      <w:pPr>
        <w:ind w:firstLine="709"/>
        <w:jc w:val="both"/>
        <w:rPr>
          <w:rFonts w:cs="Arial"/>
          <w:szCs w:val="24"/>
        </w:rPr>
      </w:pPr>
      <w:r w:rsidRPr="0070106C">
        <w:rPr>
          <w:rFonts w:cs="Arial"/>
          <w:szCs w:val="24"/>
        </w:rPr>
        <w:t>b) Limpeza urbana e manejo de resíduos sólidos, por meio de promoção de melhorias operacionais, incluindo reabilitação e recuperação de instalações existentes e outras ações de redução de custos e aumento de eficiência.</w:t>
      </w:r>
    </w:p>
    <w:p w:rsidR="0070106C" w:rsidRPr="0070106C" w:rsidRDefault="0070106C" w:rsidP="0070106C">
      <w:pPr>
        <w:ind w:firstLine="709"/>
        <w:jc w:val="both"/>
        <w:rPr>
          <w:rFonts w:cs="Arial"/>
          <w:szCs w:val="24"/>
        </w:rPr>
      </w:pPr>
      <w:r w:rsidRPr="0070106C">
        <w:rPr>
          <w:rFonts w:cs="Arial"/>
          <w:szCs w:val="24"/>
        </w:rPr>
        <w:t xml:space="preserve">- </w:t>
      </w:r>
      <w:r w:rsidRPr="0070106C">
        <w:rPr>
          <w:rFonts w:cs="Arial"/>
          <w:b/>
          <w:szCs w:val="24"/>
        </w:rPr>
        <w:t>Manejo de águas pluviais</w:t>
      </w:r>
      <w:r w:rsidRPr="0070106C">
        <w:rPr>
          <w:rFonts w:cs="Arial"/>
          <w:szCs w:val="24"/>
        </w:rPr>
        <w:t>: destina-se à promoção de ações com vistas à melhoria das condições de salubridade ambiental associadas ao manejo das águas pluviais, em particular, por meio de promoção de ações de prevenção e de controle de enchentes, inundações e de seus danos nas áreas urbanas, bem como melhoria da qualidade da água dos corpos que recebem lançamentos de águas pluviais.</w:t>
      </w:r>
    </w:p>
    <w:p w:rsidR="0070106C" w:rsidRPr="0070106C" w:rsidRDefault="0070106C" w:rsidP="0070106C">
      <w:pPr>
        <w:ind w:firstLine="709"/>
        <w:jc w:val="both"/>
        <w:rPr>
          <w:rFonts w:cs="Arial"/>
          <w:szCs w:val="24"/>
        </w:rPr>
      </w:pPr>
      <w:r w:rsidRPr="0070106C">
        <w:rPr>
          <w:rFonts w:cs="Arial"/>
          <w:szCs w:val="24"/>
        </w:rPr>
        <w:t xml:space="preserve">- </w:t>
      </w:r>
      <w:r w:rsidRPr="0070106C">
        <w:rPr>
          <w:rFonts w:cs="Arial"/>
          <w:b/>
          <w:szCs w:val="24"/>
        </w:rPr>
        <w:t>Manejo de resíduos sólidos</w:t>
      </w:r>
      <w:r w:rsidRPr="0070106C">
        <w:rPr>
          <w:rFonts w:cs="Arial"/>
          <w:szCs w:val="24"/>
        </w:rPr>
        <w:t xml:space="preserve">: destina-se à promoção de ações com vistas ao aumento da cobertura dos serviços de coleta, transporte, tratamento e disposição final de resíduos sólidos urbanos domiciliares e assemelhados e à implantação de infraestrutura necessária à execução de coleta de resíduos de serviços de saúde, varrição, capina, poda e atividades congêneres, bem como ao apoio à implementação de ações relativas à coleta seletiva, à triagem e à reciclagem, além da infraestrutura necessária à implementação de ações de redução de emissão de gases de efeito estufa em projetos </w:t>
      </w:r>
      <w:r w:rsidRPr="008B3022">
        <w:rPr>
          <w:rFonts w:cs="Arial"/>
          <w:szCs w:val="24"/>
        </w:rPr>
        <w:t>de Mecanismo de Desenvolvimento Limpo</w:t>
      </w:r>
      <w:r w:rsidR="00DB5A1B" w:rsidRPr="008B3022">
        <w:rPr>
          <w:rFonts w:cs="Arial"/>
          <w:szCs w:val="24"/>
        </w:rPr>
        <w:t xml:space="preserve"> (MDL)</w:t>
      </w:r>
      <w:r w:rsidRPr="008B3022">
        <w:rPr>
          <w:rFonts w:cs="Arial"/>
          <w:szCs w:val="24"/>
        </w:rPr>
        <w:t>.</w:t>
      </w:r>
    </w:p>
    <w:p w:rsidR="0070106C" w:rsidRPr="0070106C" w:rsidRDefault="0070106C" w:rsidP="0070106C">
      <w:pPr>
        <w:ind w:firstLine="709"/>
        <w:jc w:val="both"/>
        <w:rPr>
          <w:rFonts w:cs="Arial"/>
          <w:szCs w:val="24"/>
        </w:rPr>
      </w:pPr>
      <w:r w:rsidRPr="0070106C">
        <w:rPr>
          <w:rFonts w:cs="Arial"/>
          <w:szCs w:val="24"/>
        </w:rPr>
        <w:t xml:space="preserve">- </w:t>
      </w:r>
      <w:r w:rsidRPr="0070106C">
        <w:rPr>
          <w:rFonts w:cs="Arial"/>
          <w:b/>
          <w:szCs w:val="24"/>
        </w:rPr>
        <w:t>Manejo de resíduos da construção e demolição</w:t>
      </w:r>
      <w:r w:rsidRPr="0070106C">
        <w:rPr>
          <w:rFonts w:cs="Arial"/>
          <w:szCs w:val="24"/>
        </w:rPr>
        <w:t>: destina-se à promoção de ações com vistas ao acondicionamento, à coleta e transporte, ao transbordo, à triagem, à reciclagem e à destinação final dos resíduos oriundos das atividades de construção e demolição, incluindo as ações similares que envolvam resíduos volumosos, por meio da implantação e ampliação de instalações físicas, inclusive aterros, e de aquisição de equipamento novos.</w:t>
      </w:r>
    </w:p>
    <w:p w:rsidR="0070106C" w:rsidRPr="0070106C" w:rsidRDefault="0070106C" w:rsidP="0070106C">
      <w:pPr>
        <w:ind w:firstLine="709"/>
        <w:jc w:val="both"/>
        <w:rPr>
          <w:rFonts w:cs="Arial"/>
          <w:szCs w:val="24"/>
        </w:rPr>
      </w:pPr>
      <w:r w:rsidRPr="0070106C">
        <w:rPr>
          <w:rFonts w:cs="Arial"/>
          <w:szCs w:val="24"/>
        </w:rPr>
        <w:t xml:space="preserve">- </w:t>
      </w:r>
      <w:r w:rsidRPr="0070106C">
        <w:rPr>
          <w:rFonts w:cs="Arial"/>
          <w:b/>
          <w:szCs w:val="24"/>
        </w:rPr>
        <w:t>Preservação e recuperação de mananciais</w:t>
      </w:r>
      <w:r w:rsidRPr="0070106C">
        <w:rPr>
          <w:rFonts w:cs="Arial"/>
          <w:szCs w:val="24"/>
        </w:rPr>
        <w:t xml:space="preserve">: destina-se à promoção da preservação e da recuperação de mananciais para o abastecimento público de água, por intermédio de ações: na bacia do manancial; de coleta, transporte, tratamento de </w:t>
      </w:r>
      <w:r w:rsidRPr="0070106C">
        <w:rPr>
          <w:rFonts w:cs="Arial"/>
          <w:szCs w:val="24"/>
        </w:rPr>
        <w:lastRenderedPageBreak/>
        <w:t>esgotos sanitários; instalações de ramais prediais ou ramais condominiais de esgoto sanitário e de unidades sanitárias em domicílios de baixa renda; de desassoreamento de cursos d’ água; de proteção de nascentes; de recomposição de matas ciliares; de recuperação de margens; de recuperação de áreas degradadas, inclusive pela deposição indevida de resíduos sólidos; de prevenção de processos erosivos, em particular os causados por drenagem inadequada de água em vias de rodagem; e de apoio à implantação de coleta seletiva de materiais recicláveis.</w:t>
      </w:r>
    </w:p>
    <w:p w:rsidR="0070106C" w:rsidRPr="0070106C" w:rsidRDefault="0070106C" w:rsidP="0070106C">
      <w:pPr>
        <w:ind w:firstLine="709"/>
        <w:jc w:val="both"/>
        <w:rPr>
          <w:rFonts w:cs="Arial"/>
          <w:szCs w:val="24"/>
        </w:rPr>
      </w:pPr>
      <w:r w:rsidRPr="0070106C">
        <w:rPr>
          <w:rFonts w:cs="Arial"/>
          <w:szCs w:val="24"/>
        </w:rPr>
        <w:t xml:space="preserve">- </w:t>
      </w:r>
      <w:r w:rsidRPr="0070106C">
        <w:rPr>
          <w:rFonts w:cs="Arial"/>
          <w:b/>
          <w:szCs w:val="24"/>
        </w:rPr>
        <w:t>Estudos e projetos</w:t>
      </w:r>
      <w:r w:rsidRPr="0070106C">
        <w:rPr>
          <w:rFonts w:cs="Arial"/>
          <w:szCs w:val="24"/>
        </w:rPr>
        <w:t xml:space="preserve">: destina-se à elaboração de planos municipais e regionais de saneamento básico, à elaboração de estudos de concepção e projetos para empreendimentos de abastecimento de água, esgotamento sanitário, saneamento integrado, desenvolvimento institucional, manejo de águas pluviais, manejo de resíduos sólidos, incluindo os que visem à redução de emissão de gases de efeito estufa, enquadrados como projetos </w:t>
      </w:r>
      <w:r w:rsidRPr="0068258E">
        <w:rPr>
          <w:rFonts w:cs="Arial"/>
          <w:szCs w:val="24"/>
        </w:rPr>
        <w:t>de MDL no</w:t>
      </w:r>
      <w:r w:rsidRPr="0070106C">
        <w:rPr>
          <w:rFonts w:cs="Arial"/>
          <w:szCs w:val="24"/>
        </w:rPr>
        <w:t xml:space="preserve"> âmbito do Protocolo de Quioto, e manejo da construção e demolição e preservação de mananciais, desde que esses empreendimentos possam ser enquadrados nas demais modalidades.</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A contrapartida mínima segue os seguintes critérios:</w:t>
      </w:r>
    </w:p>
    <w:p w:rsidR="0070106C" w:rsidRPr="0070106C" w:rsidRDefault="0070106C" w:rsidP="0066661F">
      <w:pPr>
        <w:numPr>
          <w:ilvl w:val="0"/>
          <w:numId w:val="81"/>
        </w:numPr>
        <w:spacing w:after="200" w:line="276" w:lineRule="auto"/>
        <w:jc w:val="both"/>
        <w:rPr>
          <w:rFonts w:cs="Arial"/>
          <w:szCs w:val="24"/>
        </w:rPr>
      </w:pPr>
      <w:r w:rsidRPr="0070106C">
        <w:rPr>
          <w:rFonts w:cs="Arial"/>
          <w:szCs w:val="24"/>
        </w:rPr>
        <w:t>Em operações com o setor público, o valor correspondente à contrapartida mínima é de 5% do valor do investimento, exceto na modalidade Abastecimento de Água, onde a contrapartida mínima é de 10%.</w:t>
      </w:r>
    </w:p>
    <w:p w:rsidR="0070106C" w:rsidRPr="0070106C" w:rsidRDefault="0070106C" w:rsidP="0066661F">
      <w:pPr>
        <w:numPr>
          <w:ilvl w:val="0"/>
          <w:numId w:val="82"/>
        </w:numPr>
        <w:spacing w:after="200" w:line="276" w:lineRule="auto"/>
        <w:jc w:val="both"/>
        <w:rPr>
          <w:rFonts w:cs="Arial"/>
          <w:szCs w:val="24"/>
        </w:rPr>
      </w:pPr>
      <w:r w:rsidRPr="0070106C">
        <w:rPr>
          <w:rFonts w:cs="Arial"/>
          <w:szCs w:val="24"/>
        </w:rPr>
        <w:t>Em operações com o setor privado, o valor correspondente à contrapartida mínima é de 20% do valor do Investimento.</w:t>
      </w:r>
    </w:p>
    <w:p w:rsidR="0070106C" w:rsidRPr="0070106C" w:rsidRDefault="0070106C" w:rsidP="0066661F">
      <w:pPr>
        <w:numPr>
          <w:ilvl w:val="0"/>
          <w:numId w:val="82"/>
        </w:numPr>
        <w:spacing w:after="200" w:line="276" w:lineRule="auto"/>
        <w:jc w:val="both"/>
        <w:rPr>
          <w:rFonts w:cs="Arial"/>
          <w:szCs w:val="24"/>
        </w:rPr>
      </w:pPr>
      <w:r w:rsidRPr="0070106C">
        <w:rPr>
          <w:rFonts w:cs="Arial"/>
          <w:szCs w:val="24"/>
        </w:rPr>
        <w:t>O prazo é limitado a 48 meses, contados a partir da assinatura do contrato de financiamento, sendo permitida a prorrogação por até metade do prazo de carência originalmente pactuado.</w:t>
      </w:r>
    </w:p>
    <w:p w:rsidR="0070106C" w:rsidRPr="0070106C" w:rsidRDefault="0070106C" w:rsidP="0066661F">
      <w:pPr>
        <w:numPr>
          <w:ilvl w:val="0"/>
          <w:numId w:val="82"/>
        </w:numPr>
        <w:spacing w:after="200" w:line="276" w:lineRule="auto"/>
        <w:jc w:val="both"/>
        <w:rPr>
          <w:rFonts w:cs="Arial"/>
          <w:szCs w:val="24"/>
        </w:rPr>
      </w:pPr>
      <w:r w:rsidRPr="0070106C">
        <w:rPr>
          <w:rFonts w:cs="Arial"/>
          <w:szCs w:val="24"/>
        </w:rPr>
        <w:t>Os juros, à taxa nominal, são de 6% ao ano, exceto para a modalidade Saneamento Integrado que possui taxa nominal de 5% ao ano, sendo a remuneração da CAIXA de 2% sobre o saldo devedor.</w:t>
      </w:r>
    </w:p>
    <w:p w:rsidR="0070106C" w:rsidRPr="0070106C" w:rsidRDefault="0070106C" w:rsidP="00BC01B1">
      <w:pPr>
        <w:pStyle w:val="Ttulo3"/>
        <w:rPr>
          <w:rFonts w:cs="Arial"/>
          <w:lang w:eastAsia="pt-BR"/>
        </w:rPr>
      </w:pPr>
      <w:bookmarkStart w:id="1159" w:name="_Toc445718821"/>
      <w:bookmarkStart w:id="1160" w:name="_Toc445732329"/>
      <w:bookmarkStart w:id="1161" w:name="_Toc445796725"/>
      <w:bookmarkStart w:id="1162" w:name="_Toc503538792"/>
      <w:bookmarkStart w:id="1163" w:name="_Toc504404469"/>
      <w:bookmarkStart w:id="1164" w:name="_Toc509935597"/>
      <w:r w:rsidRPr="00990FBB">
        <w:t>Fundação Nacional de Saúde - FUNASA</w:t>
      </w:r>
      <w:bookmarkEnd w:id="1159"/>
      <w:bookmarkEnd w:id="1160"/>
      <w:bookmarkEnd w:id="1161"/>
      <w:bookmarkEnd w:id="1162"/>
      <w:bookmarkEnd w:id="1163"/>
      <w:bookmarkEnd w:id="1164"/>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 xml:space="preserve">A FUNASA é uma das instituições do Governo Federal responsável por promover a inclusão social por meio de ações de saneamento para prevenção e controle de doenças. Neste sentido, financia a universalização dos sistemas de </w:t>
      </w:r>
      <w:r w:rsidRPr="0070106C">
        <w:rPr>
          <w:rFonts w:cs="Arial"/>
          <w:szCs w:val="24"/>
        </w:rPr>
        <w:lastRenderedPageBreak/>
        <w:t xml:space="preserve">abastecimento de água, esgotamento sanitário e gestão de resíduos sólidos urbanos. Além disso, a Fundação promove melhorias sanitárias domiciliares, cooperação técnica, estudos e pesquisas e ações de saneamento rural, contribuindo para a erradicação da extrema pobreza. </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 xml:space="preserve">Cabe à FUNASA a responsabilidade de alocar recursos não onerosos para sistemas de abastecimento de água, esgotamento sanitário, manejo de resíduos sólidos e melhorias sanitárias domiciliares prioritariamente para municípios com população inferior a 50 mil habitantes e em comunidades quilombolas, assentamentos e áreas rurais. </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Entre os programas e ações financiáveis, no âmbito da FUNASA, destacam-se aqueles relacionados ao saneamento básico:</w:t>
      </w:r>
    </w:p>
    <w:p w:rsidR="0070106C" w:rsidRPr="0070106C" w:rsidRDefault="0070106C" w:rsidP="0070106C">
      <w:pPr>
        <w:ind w:firstLine="709"/>
        <w:jc w:val="both"/>
        <w:rPr>
          <w:rFonts w:cs="Arial"/>
          <w:b/>
          <w:szCs w:val="24"/>
          <w:u w:val="single"/>
        </w:rPr>
      </w:pPr>
      <w:r w:rsidRPr="0070106C">
        <w:rPr>
          <w:rFonts w:cs="Arial"/>
          <w:b/>
          <w:szCs w:val="24"/>
          <w:u w:val="single"/>
        </w:rPr>
        <w:t>Engenharia de Saúde Pública</w:t>
      </w:r>
    </w:p>
    <w:p w:rsidR="0070106C" w:rsidRPr="0070106C" w:rsidRDefault="0070106C" w:rsidP="0070106C">
      <w:pPr>
        <w:ind w:firstLine="709"/>
        <w:jc w:val="both"/>
        <w:rPr>
          <w:rFonts w:cs="Arial"/>
          <w:szCs w:val="24"/>
        </w:rPr>
      </w:pPr>
      <w:r w:rsidRPr="0070106C">
        <w:rPr>
          <w:rFonts w:cs="Arial"/>
          <w:szCs w:val="24"/>
        </w:rPr>
        <w:t>» Programa: Saneamento Básico</w:t>
      </w:r>
    </w:p>
    <w:p w:rsidR="0070106C" w:rsidRPr="0070106C" w:rsidRDefault="001B481B" w:rsidP="0066661F">
      <w:pPr>
        <w:numPr>
          <w:ilvl w:val="0"/>
          <w:numId w:val="87"/>
        </w:numPr>
        <w:spacing w:after="200" w:line="276" w:lineRule="auto"/>
        <w:jc w:val="both"/>
        <w:rPr>
          <w:rFonts w:cs="Arial"/>
          <w:szCs w:val="24"/>
        </w:rPr>
      </w:pPr>
      <w:hyperlink r:id="rId81" w:history="1">
        <w:r w:rsidR="0070106C" w:rsidRPr="0070106C">
          <w:rPr>
            <w:rFonts w:cs="Arial"/>
            <w:szCs w:val="24"/>
          </w:rPr>
          <w:t xml:space="preserve">Ação: Sistemas Públicos de Abastecimento de Água </w:t>
        </w:r>
      </w:hyperlink>
    </w:p>
    <w:p w:rsidR="0070106C" w:rsidRPr="0070106C" w:rsidRDefault="001B481B" w:rsidP="0066661F">
      <w:pPr>
        <w:numPr>
          <w:ilvl w:val="0"/>
          <w:numId w:val="87"/>
        </w:numPr>
        <w:spacing w:after="200" w:line="276" w:lineRule="auto"/>
        <w:jc w:val="both"/>
        <w:rPr>
          <w:rFonts w:cs="Arial"/>
          <w:szCs w:val="24"/>
        </w:rPr>
      </w:pPr>
      <w:hyperlink r:id="rId82" w:history="1">
        <w:r w:rsidR="0070106C" w:rsidRPr="0070106C">
          <w:rPr>
            <w:rFonts w:cs="Arial"/>
            <w:szCs w:val="24"/>
          </w:rPr>
          <w:t xml:space="preserve">Ação: Sistemas Públicos de Esgotamento Sanitário </w:t>
        </w:r>
      </w:hyperlink>
    </w:p>
    <w:p w:rsidR="0070106C" w:rsidRPr="0070106C" w:rsidRDefault="001B481B" w:rsidP="0066661F">
      <w:pPr>
        <w:numPr>
          <w:ilvl w:val="0"/>
          <w:numId w:val="87"/>
        </w:numPr>
        <w:spacing w:after="200" w:line="276" w:lineRule="auto"/>
        <w:jc w:val="both"/>
        <w:rPr>
          <w:rFonts w:cs="Arial"/>
          <w:szCs w:val="24"/>
        </w:rPr>
      </w:pPr>
      <w:hyperlink r:id="rId83" w:history="1">
        <w:r w:rsidR="0070106C" w:rsidRPr="0070106C">
          <w:rPr>
            <w:rFonts w:cs="Arial"/>
            <w:szCs w:val="24"/>
          </w:rPr>
          <w:t>Ação: Apoio à Gestão dos Sistemas de Saneamento Básico</w:t>
        </w:r>
      </w:hyperlink>
    </w:p>
    <w:p w:rsidR="0070106C" w:rsidRPr="0070106C" w:rsidRDefault="001B481B" w:rsidP="0066661F">
      <w:pPr>
        <w:numPr>
          <w:ilvl w:val="0"/>
          <w:numId w:val="87"/>
        </w:numPr>
        <w:spacing w:after="200" w:line="276" w:lineRule="auto"/>
        <w:jc w:val="both"/>
        <w:rPr>
          <w:rFonts w:cs="Arial"/>
          <w:szCs w:val="24"/>
        </w:rPr>
      </w:pPr>
      <w:hyperlink r:id="rId84" w:history="1">
        <w:r w:rsidR="0070106C" w:rsidRPr="0070106C">
          <w:rPr>
            <w:rFonts w:cs="Arial"/>
            <w:szCs w:val="24"/>
          </w:rPr>
          <w:t>Ação: Melhorias Sanitárias Domiciliares</w:t>
        </w:r>
      </w:hyperlink>
    </w:p>
    <w:p w:rsidR="0070106C" w:rsidRPr="0070106C" w:rsidRDefault="001B481B" w:rsidP="0066661F">
      <w:pPr>
        <w:numPr>
          <w:ilvl w:val="0"/>
          <w:numId w:val="87"/>
        </w:numPr>
        <w:spacing w:after="200" w:line="276" w:lineRule="auto"/>
        <w:jc w:val="both"/>
        <w:rPr>
          <w:rFonts w:cs="Arial"/>
          <w:szCs w:val="24"/>
        </w:rPr>
      </w:pPr>
      <w:hyperlink r:id="rId85" w:history="1">
        <w:r w:rsidR="0070106C" w:rsidRPr="0070106C">
          <w:rPr>
            <w:rFonts w:cs="Arial"/>
            <w:szCs w:val="24"/>
          </w:rPr>
          <w:t xml:space="preserve">Ação: Sistemas Públicos de Manejo de Resíduos Sólidos </w:t>
        </w:r>
      </w:hyperlink>
    </w:p>
    <w:p w:rsidR="0070106C" w:rsidRPr="0070106C" w:rsidRDefault="001B481B" w:rsidP="0066661F">
      <w:pPr>
        <w:numPr>
          <w:ilvl w:val="0"/>
          <w:numId w:val="87"/>
        </w:numPr>
        <w:spacing w:after="200" w:line="276" w:lineRule="auto"/>
        <w:jc w:val="both"/>
        <w:rPr>
          <w:rFonts w:cs="Arial"/>
          <w:szCs w:val="24"/>
        </w:rPr>
      </w:pPr>
      <w:hyperlink r:id="rId86" w:history="1">
        <w:r w:rsidR="0070106C" w:rsidRPr="0070106C">
          <w:rPr>
            <w:rFonts w:cs="Arial"/>
            <w:szCs w:val="24"/>
          </w:rPr>
          <w:t>Ação: Saneamento em Áreas Rurais (Áreas Especiais)</w:t>
        </w:r>
      </w:hyperlink>
    </w:p>
    <w:p w:rsidR="0070106C" w:rsidRPr="0070106C" w:rsidRDefault="001B481B" w:rsidP="0066661F">
      <w:pPr>
        <w:numPr>
          <w:ilvl w:val="0"/>
          <w:numId w:val="87"/>
        </w:numPr>
        <w:spacing w:after="200" w:line="276" w:lineRule="auto"/>
        <w:jc w:val="both"/>
        <w:rPr>
          <w:rFonts w:cs="Arial"/>
          <w:szCs w:val="24"/>
        </w:rPr>
      </w:pPr>
      <w:hyperlink r:id="rId87" w:history="1">
        <w:r w:rsidR="0070106C" w:rsidRPr="0070106C">
          <w:rPr>
            <w:rFonts w:cs="Arial"/>
            <w:szCs w:val="24"/>
          </w:rPr>
          <w:t xml:space="preserve">Ação: Sistemas Públicos de Esgotamento Sanitário </w:t>
        </w:r>
      </w:hyperlink>
    </w:p>
    <w:p w:rsidR="0070106C" w:rsidRPr="0070106C" w:rsidRDefault="001B481B" w:rsidP="0066661F">
      <w:pPr>
        <w:numPr>
          <w:ilvl w:val="0"/>
          <w:numId w:val="87"/>
        </w:numPr>
        <w:spacing w:after="200" w:line="276" w:lineRule="auto"/>
        <w:jc w:val="both"/>
        <w:rPr>
          <w:rFonts w:cs="Arial"/>
          <w:szCs w:val="24"/>
        </w:rPr>
      </w:pPr>
      <w:hyperlink r:id="rId88" w:history="1">
        <w:r w:rsidR="0070106C" w:rsidRPr="0070106C">
          <w:rPr>
            <w:rFonts w:cs="Arial"/>
            <w:szCs w:val="24"/>
          </w:rPr>
          <w:t>Ação: Sistemas Públicos de Manejo de Resíduos Sólidos</w:t>
        </w:r>
      </w:hyperlink>
    </w:p>
    <w:p w:rsidR="0070106C" w:rsidRPr="0070106C" w:rsidRDefault="001B481B" w:rsidP="0066661F">
      <w:pPr>
        <w:numPr>
          <w:ilvl w:val="0"/>
          <w:numId w:val="87"/>
        </w:numPr>
        <w:spacing w:after="200" w:line="276" w:lineRule="auto"/>
        <w:jc w:val="both"/>
        <w:rPr>
          <w:rFonts w:cs="Arial"/>
          <w:szCs w:val="24"/>
        </w:rPr>
      </w:pPr>
      <w:hyperlink r:id="rId89" w:history="1">
        <w:r w:rsidR="0070106C" w:rsidRPr="0070106C">
          <w:rPr>
            <w:rFonts w:cs="Arial"/>
            <w:szCs w:val="24"/>
          </w:rPr>
          <w:t xml:space="preserve">Ação: Sistemas Públicos de Abastecimento de Água </w:t>
        </w:r>
      </w:hyperlink>
    </w:p>
    <w:p w:rsidR="0070106C" w:rsidRPr="0070106C" w:rsidRDefault="001B481B" w:rsidP="0066661F">
      <w:pPr>
        <w:numPr>
          <w:ilvl w:val="0"/>
          <w:numId w:val="87"/>
        </w:numPr>
        <w:spacing w:after="200" w:line="276" w:lineRule="auto"/>
        <w:jc w:val="both"/>
        <w:rPr>
          <w:rFonts w:cs="Arial"/>
          <w:szCs w:val="24"/>
        </w:rPr>
      </w:pPr>
      <w:hyperlink r:id="rId90" w:history="1">
        <w:r w:rsidR="0070106C" w:rsidRPr="0070106C">
          <w:rPr>
            <w:rFonts w:cs="Arial"/>
            <w:szCs w:val="24"/>
          </w:rPr>
          <w:t>Ação: Projetos de Saneamento</w:t>
        </w:r>
      </w:hyperlink>
    </w:p>
    <w:p w:rsidR="0070106C" w:rsidRPr="0070106C" w:rsidRDefault="001B481B" w:rsidP="0066661F">
      <w:pPr>
        <w:numPr>
          <w:ilvl w:val="0"/>
          <w:numId w:val="87"/>
        </w:numPr>
        <w:spacing w:after="200" w:line="276" w:lineRule="auto"/>
        <w:jc w:val="both"/>
        <w:rPr>
          <w:rFonts w:cs="Arial"/>
          <w:szCs w:val="24"/>
        </w:rPr>
      </w:pPr>
      <w:hyperlink r:id="rId91" w:history="1">
        <w:r w:rsidR="0070106C" w:rsidRPr="0070106C">
          <w:rPr>
            <w:rFonts w:cs="Arial"/>
            <w:szCs w:val="24"/>
          </w:rPr>
          <w:t>Ação: Serviços de Drenagem e Manejo Ambiental</w:t>
        </w:r>
      </w:hyperlink>
    </w:p>
    <w:p w:rsidR="0070106C" w:rsidRPr="0070106C" w:rsidRDefault="0070106C" w:rsidP="0070106C">
      <w:pPr>
        <w:ind w:firstLine="709"/>
        <w:jc w:val="both"/>
        <w:rPr>
          <w:rFonts w:cs="Arial"/>
          <w:szCs w:val="24"/>
        </w:rPr>
      </w:pPr>
      <w:r w:rsidRPr="0070106C">
        <w:rPr>
          <w:rFonts w:cs="Arial"/>
          <w:szCs w:val="24"/>
        </w:rPr>
        <w:t>» Programa: Resíduos Sólidos Urbanos</w:t>
      </w:r>
    </w:p>
    <w:p w:rsidR="0070106C" w:rsidRPr="0070106C" w:rsidRDefault="001B481B" w:rsidP="0066661F">
      <w:pPr>
        <w:numPr>
          <w:ilvl w:val="0"/>
          <w:numId w:val="88"/>
        </w:numPr>
        <w:spacing w:after="200" w:line="276" w:lineRule="auto"/>
        <w:jc w:val="both"/>
        <w:rPr>
          <w:rFonts w:cs="Arial"/>
          <w:szCs w:val="24"/>
        </w:rPr>
      </w:pPr>
      <w:hyperlink r:id="rId92" w:history="1">
        <w:r w:rsidR="0070106C" w:rsidRPr="0070106C">
          <w:rPr>
            <w:rFonts w:cs="Arial"/>
            <w:szCs w:val="24"/>
          </w:rPr>
          <w:t>Ação: Coleta e Reciclagem de Materiais</w:t>
        </w:r>
      </w:hyperlink>
    </w:p>
    <w:p w:rsidR="0070106C" w:rsidRPr="0070106C" w:rsidRDefault="0070106C" w:rsidP="0070106C">
      <w:pPr>
        <w:ind w:firstLine="709"/>
        <w:jc w:val="both"/>
        <w:rPr>
          <w:rFonts w:cs="Arial"/>
          <w:b/>
          <w:szCs w:val="24"/>
          <w:u w:val="single"/>
        </w:rPr>
      </w:pPr>
      <w:r w:rsidRPr="0070106C">
        <w:rPr>
          <w:rFonts w:cs="Arial"/>
          <w:b/>
          <w:szCs w:val="24"/>
          <w:u w:val="single"/>
        </w:rPr>
        <w:t>Saúde Ambiental</w:t>
      </w:r>
    </w:p>
    <w:p w:rsidR="0070106C" w:rsidRPr="0070106C" w:rsidRDefault="0070106C" w:rsidP="0070106C">
      <w:pPr>
        <w:ind w:firstLine="709"/>
        <w:jc w:val="both"/>
        <w:rPr>
          <w:rFonts w:cs="Arial"/>
          <w:szCs w:val="24"/>
        </w:rPr>
      </w:pPr>
      <w:r w:rsidRPr="0070106C">
        <w:rPr>
          <w:rFonts w:cs="Arial"/>
          <w:szCs w:val="24"/>
        </w:rPr>
        <w:t>» Programa: Saneamento Básico</w:t>
      </w:r>
    </w:p>
    <w:p w:rsidR="0070106C" w:rsidRPr="0070106C" w:rsidRDefault="001B481B" w:rsidP="0066661F">
      <w:pPr>
        <w:numPr>
          <w:ilvl w:val="0"/>
          <w:numId w:val="88"/>
        </w:numPr>
        <w:spacing w:after="200" w:line="276" w:lineRule="auto"/>
        <w:jc w:val="both"/>
        <w:rPr>
          <w:rFonts w:cs="Arial"/>
          <w:szCs w:val="24"/>
        </w:rPr>
      </w:pPr>
      <w:hyperlink r:id="rId93" w:history="1">
        <w:r w:rsidR="0070106C" w:rsidRPr="0070106C">
          <w:rPr>
            <w:rFonts w:cs="Arial"/>
            <w:szCs w:val="24"/>
          </w:rPr>
          <w:t>Ação: Apoio ao Controle da Qualidade da Água para Consumo Humano</w:t>
        </w:r>
      </w:hyperlink>
    </w:p>
    <w:p w:rsidR="0070106C" w:rsidRPr="0070106C" w:rsidRDefault="001B481B" w:rsidP="0066661F">
      <w:pPr>
        <w:numPr>
          <w:ilvl w:val="0"/>
          <w:numId w:val="88"/>
        </w:numPr>
        <w:spacing w:after="200" w:line="276" w:lineRule="auto"/>
        <w:jc w:val="both"/>
        <w:rPr>
          <w:rFonts w:cs="Arial"/>
          <w:szCs w:val="24"/>
        </w:rPr>
      </w:pPr>
      <w:hyperlink r:id="rId94" w:history="1">
        <w:r w:rsidR="0070106C" w:rsidRPr="0070106C">
          <w:rPr>
            <w:rFonts w:cs="Arial"/>
            <w:szCs w:val="24"/>
          </w:rPr>
          <w:t>Ação: Educação em Saúde Ambiental</w:t>
        </w:r>
      </w:hyperlink>
    </w:p>
    <w:p w:rsidR="0070106C" w:rsidRPr="0070106C" w:rsidRDefault="0070106C" w:rsidP="00BC01B1">
      <w:pPr>
        <w:pStyle w:val="Ttulo3"/>
        <w:rPr>
          <w:rFonts w:cs="Arial"/>
          <w:lang w:eastAsia="pt-BR"/>
        </w:rPr>
      </w:pPr>
      <w:bookmarkStart w:id="1165" w:name="_Toc445718822"/>
      <w:bookmarkStart w:id="1166" w:name="_Toc445732330"/>
      <w:bookmarkStart w:id="1167" w:name="_Toc445796726"/>
      <w:bookmarkStart w:id="1168" w:name="_Toc503538793"/>
      <w:bookmarkStart w:id="1169" w:name="_Toc504404470"/>
      <w:bookmarkStart w:id="1170" w:name="_Toc509935598"/>
      <w:r w:rsidRPr="00990FBB">
        <w:t>Banco Nacional de Desenvolvimento Econômico e Social - BNDES/FINEM</w:t>
      </w:r>
      <w:bookmarkEnd w:id="1165"/>
      <w:bookmarkEnd w:id="1166"/>
      <w:bookmarkEnd w:id="1167"/>
      <w:bookmarkEnd w:id="1168"/>
      <w:bookmarkEnd w:id="1169"/>
      <w:bookmarkEnd w:id="1170"/>
      <w:r w:rsidRPr="00990FBB">
        <w:t xml:space="preserve"> </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 xml:space="preserve">O BNDES poderá financiar os projetos de saneamento, incluindo: </w:t>
      </w:r>
    </w:p>
    <w:p w:rsidR="0070106C" w:rsidRPr="0070106C" w:rsidRDefault="0070106C" w:rsidP="0066661F">
      <w:pPr>
        <w:numPr>
          <w:ilvl w:val="0"/>
          <w:numId w:val="89"/>
        </w:numPr>
        <w:spacing w:after="200" w:line="276" w:lineRule="auto"/>
        <w:jc w:val="both"/>
        <w:rPr>
          <w:rFonts w:cs="Arial"/>
          <w:szCs w:val="24"/>
        </w:rPr>
      </w:pPr>
      <w:r w:rsidRPr="0070106C">
        <w:rPr>
          <w:rFonts w:cs="Arial"/>
          <w:szCs w:val="24"/>
        </w:rPr>
        <w:t xml:space="preserve">Abastecimento de água; </w:t>
      </w:r>
    </w:p>
    <w:p w:rsidR="0070106C" w:rsidRPr="0070106C" w:rsidRDefault="0070106C" w:rsidP="0066661F">
      <w:pPr>
        <w:numPr>
          <w:ilvl w:val="0"/>
          <w:numId w:val="89"/>
        </w:numPr>
        <w:spacing w:after="200" w:line="276" w:lineRule="auto"/>
        <w:jc w:val="both"/>
        <w:rPr>
          <w:rFonts w:cs="Arial"/>
          <w:szCs w:val="24"/>
        </w:rPr>
      </w:pPr>
      <w:r w:rsidRPr="0070106C">
        <w:rPr>
          <w:rFonts w:cs="Arial"/>
          <w:szCs w:val="24"/>
        </w:rPr>
        <w:t xml:space="preserve">Esgotamento sanitário; </w:t>
      </w:r>
    </w:p>
    <w:p w:rsidR="0070106C" w:rsidRPr="0070106C" w:rsidRDefault="0070106C" w:rsidP="0066661F">
      <w:pPr>
        <w:numPr>
          <w:ilvl w:val="0"/>
          <w:numId w:val="89"/>
        </w:numPr>
        <w:spacing w:after="200" w:line="276" w:lineRule="auto"/>
        <w:jc w:val="both"/>
        <w:rPr>
          <w:rFonts w:cs="Arial"/>
          <w:szCs w:val="24"/>
        </w:rPr>
      </w:pPr>
      <w:r w:rsidRPr="0070106C">
        <w:rPr>
          <w:rFonts w:cs="Arial"/>
          <w:szCs w:val="24"/>
        </w:rPr>
        <w:t xml:space="preserve">Efluentes e resíduos industriais; </w:t>
      </w:r>
    </w:p>
    <w:p w:rsidR="0070106C" w:rsidRPr="0070106C" w:rsidRDefault="0070106C" w:rsidP="0066661F">
      <w:pPr>
        <w:numPr>
          <w:ilvl w:val="0"/>
          <w:numId w:val="89"/>
        </w:numPr>
        <w:spacing w:after="200" w:line="276" w:lineRule="auto"/>
        <w:jc w:val="both"/>
        <w:rPr>
          <w:rFonts w:cs="Arial"/>
          <w:szCs w:val="24"/>
        </w:rPr>
      </w:pPr>
      <w:r w:rsidRPr="0070106C">
        <w:rPr>
          <w:rFonts w:cs="Arial"/>
          <w:szCs w:val="24"/>
        </w:rPr>
        <w:t xml:space="preserve">Resíduos sólidos; </w:t>
      </w:r>
    </w:p>
    <w:p w:rsidR="0070106C" w:rsidRPr="0070106C" w:rsidRDefault="0070106C" w:rsidP="0066661F">
      <w:pPr>
        <w:numPr>
          <w:ilvl w:val="0"/>
          <w:numId w:val="89"/>
        </w:numPr>
        <w:spacing w:after="200" w:line="276" w:lineRule="auto"/>
        <w:jc w:val="both"/>
        <w:rPr>
          <w:rFonts w:cs="Arial"/>
          <w:szCs w:val="24"/>
        </w:rPr>
      </w:pPr>
      <w:r w:rsidRPr="0070106C">
        <w:rPr>
          <w:rFonts w:cs="Arial"/>
          <w:szCs w:val="24"/>
        </w:rPr>
        <w:t xml:space="preserve">Gestão de recursos hídricos (tecnologias e processos, bacias hidrográficas); </w:t>
      </w:r>
    </w:p>
    <w:p w:rsidR="0070106C" w:rsidRPr="0070106C" w:rsidRDefault="0070106C" w:rsidP="0066661F">
      <w:pPr>
        <w:numPr>
          <w:ilvl w:val="0"/>
          <w:numId w:val="89"/>
        </w:numPr>
        <w:spacing w:after="200" w:line="276" w:lineRule="auto"/>
        <w:jc w:val="both"/>
        <w:rPr>
          <w:rFonts w:cs="Arial"/>
          <w:szCs w:val="24"/>
        </w:rPr>
      </w:pPr>
      <w:r w:rsidRPr="0070106C">
        <w:rPr>
          <w:rFonts w:cs="Arial"/>
          <w:szCs w:val="24"/>
        </w:rPr>
        <w:t xml:space="preserve">Recuperação de áreas ambientalmente degradadas; </w:t>
      </w:r>
    </w:p>
    <w:p w:rsidR="0070106C" w:rsidRPr="0070106C" w:rsidRDefault="0070106C" w:rsidP="0066661F">
      <w:pPr>
        <w:numPr>
          <w:ilvl w:val="0"/>
          <w:numId w:val="89"/>
        </w:numPr>
        <w:spacing w:after="200" w:line="276" w:lineRule="auto"/>
        <w:jc w:val="both"/>
        <w:rPr>
          <w:rFonts w:cs="Arial"/>
          <w:szCs w:val="24"/>
        </w:rPr>
      </w:pPr>
      <w:r w:rsidRPr="0070106C">
        <w:rPr>
          <w:rFonts w:cs="Arial"/>
          <w:szCs w:val="24"/>
        </w:rPr>
        <w:t xml:space="preserve">Desenvolvimento institucional; </w:t>
      </w:r>
    </w:p>
    <w:p w:rsidR="0070106C" w:rsidRPr="0070106C" w:rsidRDefault="0070106C" w:rsidP="0066661F">
      <w:pPr>
        <w:numPr>
          <w:ilvl w:val="0"/>
          <w:numId w:val="89"/>
        </w:numPr>
        <w:spacing w:after="200" w:line="276" w:lineRule="auto"/>
        <w:jc w:val="both"/>
        <w:rPr>
          <w:rFonts w:cs="Arial"/>
          <w:szCs w:val="24"/>
        </w:rPr>
      </w:pPr>
      <w:r w:rsidRPr="0070106C">
        <w:rPr>
          <w:rFonts w:cs="Arial"/>
          <w:szCs w:val="24"/>
        </w:rPr>
        <w:t xml:space="preserve">Despoluição de bacias, em regiões onde já estejam constituídos comitês; </w:t>
      </w:r>
    </w:p>
    <w:p w:rsidR="0070106C" w:rsidRPr="0070106C" w:rsidRDefault="0070106C" w:rsidP="0066661F">
      <w:pPr>
        <w:numPr>
          <w:ilvl w:val="0"/>
          <w:numId w:val="89"/>
        </w:numPr>
        <w:spacing w:after="200" w:line="276" w:lineRule="auto"/>
        <w:jc w:val="both"/>
        <w:rPr>
          <w:rFonts w:cs="Arial"/>
          <w:szCs w:val="24"/>
        </w:rPr>
      </w:pPr>
      <w:r w:rsidRPr="0070106C">
        <w:rPr>
          <w:rFonts w:cs="Arial"/>
          <w:szCs w:val="24"/>
        </w:rPr>
        <w:t xml:space="preserve">Macrodrenagem. </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A taxa de juros de longo prazo é de 6% ao ano e a remuneração do BNDES é de 0,9% ao ano.</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 xml:space="preserve">A participação máxima do BNDES no financiamento não deverá ultrapassar 80% dos itens financiáveis, no entanto, esse limite pode ser ampliado para 100% nos casos: </w:t>
      </w:r>
    </w:p>
    <w:p w:rsidR="0070106C" w:rsidRPr="0070106C" w:rsidRDefault="0070106C" w:rsidP="0066661F">
      <w:pPr>
        <w:numPr>
          <w:ilvl w:val="0"/>
          <w:numId w:val="83"/>
        </w:numPr>
        <w:spacing w:after="200" w:line="276" w:lineRule="auto"/>
        <w:jc w:val="both"/>
        <w:rPr>
          <w:rFonts w:cs="Arial"/>
          <w:szCs w:val="24"/>
        </w:rPr>
      </w:pPr>
      <w:r w:rsidRPr="0070106C">
        <w:rPr>
          <w:rFonts w:cs="Arial"/>
          <w:szCs w:val="24"/>
        </w:rPr>
        <w:t xml:space="preserve">Em que o cliente tenha arcado com os custos referentes à aquisição do terreno destinado ao referido projeto, 180 dias anteriores à data de protocolo da Consulta Prévia no BNDES. </w:t>
      </w:r>
    </w:p>
    <w:p w:rsidR="0070106C" w:rsidRPr="0070106C" w:rsidRDefault="0070106C" w:rsidP="0066661F">
      <w:pPr>
        <w:numPr>
          <w:ilvl w:val="0"/>
          <w:numId w:val="83"/>
        </w:numPr>
        <w:spacing w:after="200" w:line="276" w:lineRule="auto"/>
        <w:jc w:val="both"/>
        <w:rPr>
          <w:rFonts w:cs="Arial"/>
          <w:szCs w:val="24"/>
        </w:rPr>
      </w:pPr>
      <w:r w:rsidRPr="0070106C">
        <w:rPr>
          <w:rFonts w:cs="Arial"/>
          <w:szCs w:val="24"/>
        </w:rPr>
        <w:t>Em que esteja contemplada uma solução de tratamentos dos resíduos, como compostagem, “</w:t>
      </w:r>
      <w:r w:rsidRPr="0070106C">
        <w:rPr>
          <w:rFonts w:cs="Arial"/>
          <w:i/>
          <w:szCs w:val="24"/>
        </w:rPr>
        <w:t>massburning</w:t>
      </w:r>
      <w:r w:rsidRPr="0070106C">
        <w:rPr>
          <w:rFonts w:cs="Arial"/>
          <w:szCs w:val="24"/>
        </w:rPr>
        <w:t>”, aproveitamento energético, plantas de blendagem de resíduos, transformação de resíduos em matéria-prima, entre outros.</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 xml:space="preserve">O prazo total de financiamento será determinado em função da capacidade de pagamento do empreendimento, da empresa e do grupo econômico. </w:t>
      </w:r>
    </w:p>
    <w:p w:rsidR="0070106C" w:rsidRPr="0070106C" w:rsidRDefault="0070106C" w:rsidP="00BE7A5C">
      <w:pPr>
        <w:tabs>
          <w:tab w:val="left" w:pos="4395"/>
        </w:tabs>
        <w:autoSpaceDE w:val="0"/>
        <w:autoSpaceDN w:val="0"/>
        <w:adjustRightInd w:val="0"/>
        <w:ind w:firstLine="709"/>
        <w:jc w:val="both"/>
        <w:rPr>
          <w:rFonts w:cs="Arial"/>
          <w:szCs w:val="24"/>
        </w:rPr>
      </w:pPr>
      <w:r w:rsidRPr="0070106C">
        <w:rPr>
          <w:rFonts w:cs="Arial"/>
          <w:szCs w:val="24"/>
        </w:rPr>
        <w:t xml:space="preserve">Para a solicitação de empréstimo junto ao BNDES, faz-se necessária a apresentação de um modelo de avaliação econômica do empreendimento. O </w:t>
      </w:r>
      <w:r w:rsidRPr="0070106C">
        <w:rPr>
          <w:rFonts w:cs="Arial"/>
          <w:szCs w:val="24"/>
        </w:rPr>
        <w:lastRenderedPageBreak/>
        <w:t>proponente, na apresentação dos estudos e projetos e no encaminhamento das solicitações de financiamento referentes à implantação e ampliação de sistemas, deve apresentar a Avaliação Econômica do correspondente empreendimento. Esta deverá incluir os critérios e rotinas para obtenção dos resultados econômicos, tais como cálculo da tarifa média, despesas com energia, pessoal, etc.</w:t>
      </w:r>
    </w:p>
    <w:p w:rsidR="0070106C" w:rsidRPr="00990FBB" w:rsidRDefault="0070106C" w:rsidP="00BC01B1">
      <w:pPr>
        <w:pStyle w:val="Ttulo3"/>
      </w:pPr>
      <w:bookmarkStart w:id="1171" w:name="_Toc445732331"/>
      <w:bookmarkStart w:id="1172" w:name="_Toc445796727"/>
      <w:bookmarkStart w:id="1173" w:name="_Toc503538794"/>
      <w:bookmarkStart w:id="1174" w:name="_Toc504404471"/>
      <w:bookmarkStart w:id="1175" w:name="_Toc509935599"/>
      <w:r w:rsidRPr="00990FBB">
        <w:t>Fundo de Recuperação, Proteção e Desenvolvimento Sustentável das Bacias Hidrográficas do Estado de Minas Gerais – FHIDRO</w:t>
      </w:r>
      <w:bookmarkEnd w:id="1171"/>
      <w:bookmarkEnd w:id="1172"/>
      <w:bookmarkEnd w:id="1173"/>
      <w:bookmarkEnd w:id="1174"/>
      <w:bookmarkEnd w:id="1175"/>
    </w:p>
    <w:p w:rsidR="0070106C" w:rsidRPr="0070106C" w:rsidRDefault="0070106C" w:rsidP="0070106C">
      <w:pPr>
        <w:autoSpaceDE w:val="0"/>
        <w:autoSpaceDN w:val="0"/>
        <w:adjustRightInd w:val="0"/>
        <w:spacing w:before="120" w:after="120"/>
        <w:ind w:firstLine="709"/>
        <w:contextualSpacing/>
        <w:jc w:val="both"/>
        <w:rPr>
          <w:rFonts w:cs="Arial"/>
          <w:color w:val="000000"/>
          <w:szCs w:val="24"/>
        </w:rPr>
      </w:pPr>
      <w:r w:rsidRPr="0070106C">
        <w:rPr>
          <w:rFonts w:cs="Arial"/>
          <w:color w:val="000000"/>
          <w:szCs w:val="24"/>
        </w:rPr>
        <w:t>O FHIDRO tem por objetivo dar suporte financeiro a programas e projetos que promovam a racionalização do uso e a melhoria dos recursos hídricos, quanto aos aspectos qualitativos e quantitativos, inclusive os ligados à prevenção de inundações e o controle da erosão do solo, em consonância com as Leis Federais nºs 6.938/1981 e 9.433/1997, e com a Lei Estadual nº 13.199/1999.</w:t>
      </w:r>
    </w:p>
    <w:p w:rsidR="0070106C" w:rsidRPr="0070106C" w:rsidRDefault="0070106C" w:rsidP="0070106C">
      <w:pPr>
        <w:autoSpaceDE w:val="0"/>
        <w:autoSpaceDN w:val="0"/>
        <w:adjustRightInd w:val="0"/>
        <w:spacing w:before="120" w:after="120"/>
        <w:ind w:firstLine="709"/>
        <w:contextualSpacing/>
        <w:jc w:val="both"/>
        <w:rPr>
          <w:rFonts w:cs="Arial"/>
          <w:color w:val="000000"/>
          <w:szCs w:val="24"/>
        </w:rPr>
      </w:pPr>
      <w:r w:rsidRPr="0070106C">
        <w:rPr>
          <w:rFonts w:cs="Arial"/>
          <w:color w:val="000000"/>
          <w:szCs w:val="24"/>
        </w:rPr>
        <w:t>De acordo com o artigo 4º da Lei nº 15.910 de 21 de dezembro de 2005, poderão ser beneficiários de programas financiados pelo FHIDRO:</w:t>
      </w:r>
    </w:p>
    <w:p w:rsidR="0070106C" w:rsidRPr="0070106C" w:rsidRDefault="0070106C" w:rsidP="0070106C">
      <w:pPr>
        <w:ind w:firstLine="709"/>
        <w:jc w:val="both"/>
        <w:rPr>
          <w:rFonts w:cs="Arial"/>
          <w:szCs w:val="24"/>
        </w:rPr>
      </w:pPr>
      <w:r w:rsidRPr="0070106C">
        <w:rPr>
          <w:rFonts w:cs="Arial"/>
          <w:szCs w:val="24"/>
        </w:rPr>
        <w:t>I - pessoas jurídicas de direito público, estaduais ou municipais;</w:t>
      </w:r>
    </w:p>
    <w:p w:rsidR="0070106C" w:rsidRPr="0070106C" w:rsidRDefault="0070106C" w:rsidP="0070106C">
      <w:pPr>
        <w:ind w:firstLine="709"/>
        <w:jc w:val="both"/>
        <w:rPr>
          <w:rFonts w:cs="Arial"/>
          <w:szCs w:val="24"/>
        </w:rPr>
      </w:pPr>
      <w:r w:rsidRPr="0070106C">
        <w:rPr>
          <w:rFonts w:cs="Arial"/>
          <w:szCs w:val="24"/>
        </w:rPr>
        <w:t>II - pessoas jurídicas de direito privado e pessoas físicas, usuárias de recursos hídricos, mediante financiamento reembolsável;</w:t>
      </w:r>
    </w:p>
    <w:p w:rsidR="0070106C" w:rsidRPr="0070106C" w:rsidRDefault="0070106C" w:rsidP="0070106C">
      <w:pPr>
        <w:ind w:firstLine="709"/>
        <w:jc w:val="both"/>
        <w:rPr>
          <w:rFonts w:cs="Arial"/>
          <w:szCs w:val="24"/>
        </w:rPr>
      </w:pPr>
      <w:r w:rsidRPr="0070106C">
        <w:rPr>
          <w:rFonts w:cs="Arial"/>
          <w:szCs w:val="24"/>
        </w:rPr>
        <w:t>III - concessionárias de serviços públicos municipais que tenham por objetivo atuar nas áreas de saneamento e meio ambiente;</w:t>
      </w:r>
    </w:p>
    <w:p w:rsidR="0070106C" w:rsidRPr="0070106C" w:rsidRDefault="0070106C" w:rsidP="0070106C">
      <w:pPr>
        <w:ind w:firstLine="709"/>
        <w:jc w:val="both"/>
        <w:rPr>
          <w:rFonts w:cs="Arial"/>
          <w:szCs w:val="24"/>
        </w:rPr>
      </w:pPr>
      <w:r w:rsidRPr="0070106C">
        <w:rPr>
          <w:rFonts w:cs="Arial"/>
          <w:szCs w:val="24"/>
        </w:rPr>
        <w:t>IV - consórcios intermunicipais regularmente constituídos que tenham por objetivo atuar nas áreas de saneamento e meio ambiente;</w:t>
      </w:r>
    </w:p>
    <w:p w:rsidR="0070106C" w:rsidRPr="0070106C" w:rsidRDefault="0070106C" w:rsidP="0070106C">
      <w:pPr>
        <w:ind w:firstLine="709"/>
        <w:jc w:val="both"/>
        <w:rPr>
          <w:rFonts w:cs="Arial"/>
          <w:szCs w:val="24"/>
        </w:rPr>
      </w:pPr>
      <w:r w:rsidRPr="0070106C">
        <w:rPr>
          <w:rFonts w:cs="Arial"/>
          <w:szCs w:val="24"/>
        </w:rPr>
        <w:t>V - agências de bacias hidrográficas ou entidades a elas equiparadas;</w:t>
      </w:r>
    </w:p>
    <w:p w:rsidR="0070106C" w:rsidRPr="0070106C" w:rsidRDefault="0070106C" w:rsidP="0070106C">
      <w:pPr>
        <w:ind w:firstLine="709"/>
        <w:jc w:val="both"/>
        <w:rPr>
          <w:rFonts w:cs="Arial"/>
          <w:szCs w:val="24"/>
        </w:rPr>
      </w:pPr>
      <w:r w:rsidRPr="0070106C">
        <w:rPr>
          <w:rFonts w:cs="Arial"/>
          <w:szCs w:val="24"/>
        </w:rPr>
        <w:t>VI - entidades privadas sem finalidades lucrativas dedicadas às atividades de conservação, preservação e melhoria do meio ambiente;</w:t>
      </w:r>
    </w:p>
    <w:p w:rsidR="0070106C" w:rsidRPr="0070106C" w:rsidRDefault="0070106C" w:rsidP="0070106C">
      <w:pPr>
        <w:ind w:firstLine="709"/>
        <w:jc w:val="both"/>
        <w:rPr>
          <w:rFonts w:cs="Arial"/>
          <w:szCs w:val="24"/>
        </w:rPr>
      </w:pPr>
      <w:r w:rsidRPr="0070106C">
        <w:rPr>
          <w:rFonts w:cs="Arial"/>
          <w:szCs w:val="24"/>
        </w:rPr>
        <w:t xml:space="preserve">VII - as seguintes entidades civis previstas nos </w:t>
      </w:r>
      <w:hyperlink r:id="rId95" w:tgtFrame="_blank" w:history="1">
        <w:r w:rsidRPr="0070106C">
          <w:rPr>
            <w:rFonts w:cs="Arial"/>
            <w:szCs w:val="24"/>
          </w:rPr>
          <w:t>arts. 46 a 49 da Lei nº 13.199, de 20 de janeiro de 1999</w:t>
        </w:r>
      </w:hyperlink>
      <w:r w:rsidRPr="0070106C">
        <w:rPr>
          <w:rFonts w:cs="Arial"/>
          <w:szCs w:val="24"/>
        </w:rPr>
        <w:t>:</w:t>
      </w:r>
    </w:p>
    <w:p w:rsidR="0070106C" w:rsidRPr="0070106C" w:rsidRDefault="0070106C" w:rsidP="0070106C">
      <w:pPr>
        <w:ind w:firstLine="1134"/>
        <w:jc w:val="both"/>
        <w:rPr>
          <w:rFonts w:cs="Arial"/>
          <w:szCs w:val="24"/>
        </w:rPr>
      </w:pPr>
      <w:r w:rsidRPr="0070106C">
        <w:rPr>
          <w:rFonts w:cs="Arial"/>
          <w:szCs w:val="24"/>
        </w:rPr>
        <w:t>a) consórcios e associações intermunicipais de bacias hidrográficas;</w:t>
      </w:r>
    </w:p>
    <w:p w:rsidR="0070106C" w:rsidRPr="0070106C" w:rsidRDefault="0070106C" w:rsidP="0070106C">
      <w:pPr>
        <w:ind w:firstLine="1134"/>
        <w:jc w:val="both"/>
        <w:rPr>
          <w:rFonts w:cs="Arial"/>
          <w:szCs w:val="24"/>
        </w:rPr>
      </w:pPr>
      <w:r w:rsidRPr="0070106C">
        <w:rPr>
          <w:rFonts w:cs="Arial"/>
          <w:szCs w:val="24"/>
        </w:rPr>
        <w:t>b) associações de usuários de recursos hídricos;</w:t>
      </w:r>
    </w:p>
    <w:p w:rsidR="0070106C" w:rsidRPr="0070106C" w:rsidRDefault="0070106C" w:rsidP="0070106C">
      <w:pPr>
        <w:ind w:firstLine="1134"/>
        <w:jc w:val="both"/>
        <w:rPr>
          <w:rFonts w:cs="Arial"/>
          <w:szCs w:val="24"/>
        </w:rPr>
      </w:pPr>
      <w:r w:rsidRPr="0070106C">
        <w:rPr>
          <w:rFonts w:cs="Arial"/>
          <w:szCs w:val="24"/>
        </w:rPr>
        <w:t>c) organizações técnicas de ensino e pesquisa; e</w:t>
      </w:r>
    </w:p>
    <w:p w:rsidR="0070106C" w:rsidRPr="0070106C" w:rsidRDefault="0070106C" w:rsidP="0070106C">
      <w:pPr>
        <w:ind w:firstLine="1134"/>
        <w:jc w:val="both"/>
        <w:rPr>
          <w:rFonts w:cs="Arial"/>
          <w:szCs w:val="24"/>
        </w:rPr>
      </w:pPr>
      <w:r w:rsidRPr="0070106C">
        <w:rPr>
          <w:rFonts w:cs="Arial"/>
          <w:szCs w:val="24"/>
        </w:rPr>
        <w:t>d) organizações não governamentais.</w:t>
      </w:r>
    </w:p>
    <w:p w:rsidR="0070106C" w:rsidRPr="0070106C" w:rsidRDefault="0070106C" w:rsidP="0070106C">
      <w:pPr>
        <w:autoSpaceDE w:val="0"/>
        <w:autoSpaceDN w:val="0"/>
        <w:adjustRightInd w:val="0"/>
        <w:spacing w:before="120" w:after="120"/>
        <w:ind w:firstLine="709"/>
        <w:contextualSpacing/>
        <w:jc w:val="both"/>
        <w:rPr>
          <w:rFonts w:cs="Arial"/>
          <w:color w:val="000000"/>
          <w:szCs w:val="24"/>
        </w:rPr>
      </w:pPr>
      <w:r w:rsidRPr="0070106C">
        <w:rPr>
          <w:rFonts w:cs="Arial"/>
          <w:color w:val="000000"/>
          <w:szCs w:val="24"/>
        </w:rPr>
        <w:lastRenderedPageBreak/>
        <w:t>Os beneficiários de recursos não reembolsáveis deverão apresentar comprovação de sua atuação na preservação, na conservação ou na melhoria dos recursos naturais.</w:t>
      </w:r>
    </w:p>
    <w:p w:rsidR="0070106C" w:rsidRPr="0070106C" w:rsidRDefault="0070106C" w:rsidP="0070106C">
      <w:pPr>
        <w:autoSpaceDE w:val="0"/>
        <w:autoSpaceDN w:val="0"/>
        <w:adjustRightInd w:val="0"/>
        <w:spacing w:before="120" w:after="120"/>
        <w:ind w:firstLine="709"/>
        <w:contextualSpacing/>
        <w:jc w:val="both"/>
        <w:rPr>
          <w:rFonts w:cs="Arial"/>
          <w:color w:val="000000"/>
          <w:szCs w:val="24"/>
        </w:rPr>
      </w:pPr>
      <w:r w:rsidRPr="0070106C">
        <w:rPr>
          <w:rFonts w:cs="Arial"/>
          <w:color w:val="000000"/>
          <w:szCs w:val="24"/>
        </w:rPr>
        <w:t>Os recursos não reembolsáveis deverão ser aplicados para pagamento de despesas de consultoria, elaboração e implantação de projetos ou empreendimentos de proteção e melhoria dos recursos hídricos aprovados pelos comitês de bacia hidrográfica.</w:t>
      </w:r>
    </w:p>
    <w:p w:rsidR="0070106C" w:rsidRPr="0070106C" w:rsidRDefault="0070106C" w:rsidP="0070106C">
      <w:pPr>
        <w:autoSpaceDE w:val="0"/>
        <w:autoSpaceDN w:val="0"/>
        <w:adjustRightInd w:val="0"/>
        <w:spacing w:before="120" w:after="120"/>
        <w:ind w:firstLine="709"/>
        <w:contextualSpacing/>
        <w:jc w:val="both"/>
        <w:rPr>
          <w:rFonts w:cs="Arial"/>
          <w:color w:val="000000"/>
          <w:szCs w:val="24"/>
        </w:rPr>
      </w:pPr>
      <w:r w:rsidRPr="0070106C">
        <w:rPr>
          <w:rFonts w:cs="Arial"/>
          <w:color w:val="000000"/>
          <w:szCs w:val="24"/>
        </w:rPr>
        <w:t xml:space="preserve">O FHIDRO pode financiar recursos, na modalidade não reembolsável, na proporção de até 90% do valor do projeto. O proponente deverá oferecer contrapartida de, no mínimo, 10%. </w:t>
      </w:r>
    </w:p>
    <w:p w:rsidR="0070106C" w:rsidRPr="00990FBB" w:rsidRDefault="0070106C" w:rsidP="00BC01B1">
      <w:pPr>
        <w:pStyle w:val="Ttulo3"/>
      </w:pPr>
      <w:bookmarkStart w:id="1176" w:name="_Toc445732332"/>
      <w:bookmarkStart w:id="1177" w:name="_Toc445796728"/>
      <w:bookmarkStart w:id="1178" w:name="_Toc503538795"/>
      <w:bookmarkStart w:id="1179" w:name="_Toc504404472"/>
      <w:bookmarkStart w:id="1180" w:name="_Toc509935600"/>
      <w:r w:rsidRPr="0070106C">
        <w:t>Banco de Desenvolvimento de Minas Gerais – BDMG</w:t>
      </w:r>
      <w:bookmarkEnd w:id="1176"/>
      <w:bookmarkEnd w:id="1177"/>
      <w:bookmarkEnd w:id="1178"/>
      <w:bookmarkEnd w:id="1179"/>
      <w:bookmarkEnd w:id="1180"/>
      <w:r w:rsidRPr="0070106C">
        <w:t xml:space="preserve"> </w:t>
      </w:r>
    </w:p>
    <w:p w:rsidR="0070106C" w:rsidRPr="0070106C" w:rsidRDefault="0070106C" w:rsidP="0070106C">
      <w:pPr>
        <w:autoSpaceDE w:val="0"/>
        <w:autoSpaceDN w:val="0"/>
        <w:adjustRightInd w:val="0"/>
        <w:spacing w:before="120" w:after="120"/>
        <w:ind w:firstLine="709"/>
        <w:contextualSpacing/>
        <w:jc w:val="both"/>
        <w:rPr>
          <w:rFonts w:cs="Arial"/>
          <w:color w:val="000000"/>
          <w:szCs w:val="24"/>
        </w:rPr>
      </w:pPr>
      <w:r w:rsidRPr="0070106C">
        <w:rPr>
          <w:rFonts w:cs="Arial"/>
          <w:color w:val="000000"/>
          <w:szCs w:val="24"/>
        </w:rPr>
        <w:t xml:space="preserve">O Banco Nacional de Desenvolvimento de Minas Gerais – BDMG – criou, com recursos próprios, uma linha de financiamento para apoiar a modernização dos municípios e a melhoria da qualidade de vida da população mineira, denominado Programa de Modernização Institucional e Ampliação da Infraestrutura em Municípios do Estado de Minas Gerais – NOVO SOMMA URBANIZA. Sua finalidade consiste no apoio a projetos de investimentos na infraestrutura dos municípios mineiros, sendo financiáveis os seguintes projetos: </w:t>
      </w:r>
    </w:p>
    <w:p w:rsidR="0070106C" w:rsidRPr="0070106C" w:rsidRDefault="0070106C" w:rsidP="0066661F">
      <w:pPr>
        <w:numPr>
          <w:ilvl w:val="0"/>
          <w:numId w:val="90"/>
        </w:numPr>
        <w:spacing w:before="120" w:after="120"/>
        <w:ind w:hanging="357"/>
        <w:contextualSpacing/>
        <w:jc w:val="both"/>
        <w:rPr>
          <w:rFonts w:cs="Arial"/>
          <w:szCs w:val="24"/>
        </w:rPr>
      </w:pPr>
      <w:r w:rsidRPr="0070106C">
        <w:rPr>
          <w:rFonts w:cs="Arial"/>
          <w:szCs w:val="24"/>
        </w:rPr>
        <w:t>Saneamento básico - sistemas de água para abastecimento público, de esgotamento sanitário e planos municipais de saneamento básico.</w:t>
      </w:r>
    </w:p>
    <w:p w:rsidR="0070106C" w:rsidRPr="0070106C" w:rsidRDefault="0070106C" w:rsidP="0066661F">
      <w:pPr>
        <w:numPr>
          <w:ilvl w:val="0"/>
          <w:numId w:val="90"/>
        </w:numPr>
        <w:spacing w:before="120" w:after="120"/>
        <w:ind w:hanging="357"/>
        <w:contextualSpacing/>
        <w:jc w:val="both"/>
        <w:rPr>
          <w:rFonts w:cs="Arial"/>
          <w:szCs w:val="24"/>
        </w:rPr>
      </w:pPr>
      <w:r w:rsidRPr="0070106C">
        <w:rPr>
          <w:rFonts w:cs="Arial"/>
          <w:szCs w:val="24"/>
        </w:rPr>
        <w:t>Mobilidade urbana – implantação, ampliação, modernização e/ou adequação das vias de transporte público e ações voltadas à inclusão social, à mobilidade urbana e à acessibilidade.</w:t>
      </w:r>
    </w:p>
    <w:p w:rsidR="0070106C" w:rsidRPr="0070106C" w:rsidRDefault="0070106C" w:rsidP="0066661F">
      <w:pPr>
        <w:numPr>
          <w:ilvl w:val="0"/>
          <w:numId w:val="90"/>
        </w:numPr>
        <w:spacing w:before="120" w:after="120"/>
        <w:ind w:hanging="357"/>
        <w:contextualSpacing/>
        <w:jc w:val="both"/>
        <w:rPr>
          <w:rFonts w:cs="Arial"/>
          <w:szCs w:val="24"/>
        </w:rPr>
      </w:pPr>
      <w:r w:rsidRPr="0070106C">
        <w:rPr>
          <w:rFonts w:cs="Arial"/>
          <w:szCs w:val="24"/>
        </w:rPr>
        <w:t>Drenagem urbana - para minimizar os efeitos de enchentes e inundações e melhorar a qualidade das águas pluviais - execução de obras e serviços de drenagem, execução de outros itens necessários e elaboração de plano diretor de manejo de águas pluviais.</w:t>
      </w:r>
    </w:p>
    <w:p w:rsidR="0070106C" w:rsidRPr="0070106C" w:rsidRDefault="0070106C" w:rsidP="00BE7A5C">
      <w:pPr>
        <w:autoSpaceDE w:val="0"/>
        <w:autoSpaceDN w:val="0"/>
        <w:adjustRightInd w:val="0"/>
        <w:spacing w:before="120" w:after="120"/>
        <w:ind w:firstLine="709"/>
        <w:contextualSpacing/>
        <w:jc w:val="both"/>
        <w:rPr>
          <w:rFonts w:cs="Arial"/>
          <w:color w:val="000000"/>
          <w:szCs w:val="24"/>
        </w:rPr>
      </w:pPr>
      <w:r w:rsidRPr="0070106C">
        <w:rPr>
          <w:rFonts w:cs="Arial"/>
          <w:color w:val="000000"/>
          <w:szCs w:val="24"/>
        </w:rPr>
        <w:t>Alguns condicionantes para viabilizar esse financiamento são:</w:t>
      </w:r>
    </w:p>
    <w:p w:rsidR="0070106C" w:rsidRPr="0070106C" w:rsidRDefault="0070106C" w:rsidP="0066661F">
      <w:pPr>
        <w:numPr>
          <w:ilvl w:val="0"/>
          <w:numId w:val="90"/>
        </w:numPr>
        <w:spacing w:before="120" w:after="120"/>
        <w:ind w:hanging="357"/>
        <w:contextualSpacing/>
        <w:jc w:val="both"/>
        <w:rPr>
          <w:rFonts w:cs="Arial"/>
          <w:szCs w:val="24"/>
        </w:rPr>
      </w:pPr>
      <w:r w:rsidRPr="0070106C">
        <w:rPr>
          <w:rFonts w:cs="Arial"/>
          <w:szCs w:val="24"/>
        </w:rPr>
        <w:t>O financiamento não poderá exceder R$ 5 milhões por beneficiário.</w:t>
      </w:r>
    </w:p>
    <w:p w:rsidR="0070106C" w:rsidRPr="0070106C" w:rsidRDefault="0070106C" w:rsidP="0066661F">
      <w:pPr>
        <w:numPr>
          <w:ilvl w:val="0"/>
          <w:numId w:val="90"/>
        </w:numPr>
        <w:spacing w:before="120" w:after="120"/>
        <w:ind w:hanging="357"/>
        <w:contextualSpacing/>
        <w:jc w:val="both"/>
        <w:rPr>
          <w:rFonts w:cs="Arial"/>
          <w:szCs w:val="24"/>
        </w:rPr>
      </w:pPr>
      <w:r w:rsidRPr="0070106C">
        <w:rPr>
          <w:rFonts w:cs="Arial"/>
          <w:szCs w:val="24"/>
        </w:rPr>
        <w:t xml:space="preserve">Será exigida contrapartida mínima de 10% do valor do projeto. </w:t>
      </w:r>
    </w:p>
    <w:p w:rsidR="0070106C" w:rsidRPr="0070106C" w:rsidRDefault="0070106C" w:rsidP="0066661F">
      <w:pPr>
        <w:numPr>
          <w:ilvl w:val="0"/>
          <w:numId w:val="90"/>
        </w:numPr>
        <w:spacing w:before="120" w:after="120"/>
        <w:ind w:hanging="357"/>
        <w:contextualSpacing/>
        <w:jc w:val="both"/>
        <w:rPr>
          <w:rFonts w:cs="Arial"/>
          <w:szCs w:val="24"/>
        </w:rPr>
      </w:pPr>
      <w:r w:rsidRPr="0070106C">
        <w:rPr>
          <w:rFonts w:cs="Arial"/>
          <w:szCs w:val="24"/>
        </w:rPr>
        <w:lastRenderedPageBreak/>
        <w:t xml:space="preserve">O prazo de financiamento para projetos de saneamento básico é de até quinze anos, incluídos até três de carência. </w:t>
      </w:r>
    </w:p>
    <w:p w:rsidR="0070106C" w:rsidRPr="0070106C" w:rsidRDefault="0070106C" w:rsidP="0066661F">
      <w:pPr>
        <w:numPr>
          <w:ilvl w:val="0"/>
          <w:numId w:val="90"/>
        </w:numPr>
        <w:spacing w:before="120" w:after="120"/>
        <w:ind w:hanging="357"/>
        <w:contextualSpacing/>
        <w:jc w:val="both"/>
        <w:rPr>
          <w:rFonts w:cs="Arial"/>
          <w:szCs w:val="24"/>
        </w:rPr>
      </w:pPr>
      <w:r w:rsidRPr="0070106C">
        <w:rPr>
          <w:rFonts w:cs="Arial"/>
          <w:szCs w:val="24"/>
        </w:rPr>
        <w:t>O prazo para projetos de mobilidade e drenagem urbana é de até dez anos, incluídos até dois de carência.</w:t>
      </w:r>
    </w:p>
    <w:p w:rsidR="0070106C" w:rsidRPr="0070106C" w:rsidRDefault="0070106C" w:rsidP="0066661F">
      <w:pPr>
        <w:numPr>
          <w:ilvl w:val="0"/>
          <w:numId w:val="90"/>
        </w:numPr>
        <w:spacing w:before="120" w:after="120"/>
        <w:ind w:hanging="357"/>
        <w:contextualSpacing/>
        <w:jc w:val="both"/>
        <w:rPr>
          <w:rFonts w:cs="Arial"/>
          <w:szCs w:val="24"/>
        </w:rPr>
      </w:pPr>
      <w:r w:rsidRPr="0070106C">
        <w:rPr>
          <w:rFonts w:cs="Arial"/>
          <w:szCs w:val="24"/>
        </w:rPr>
        <w:t>Os juros são de 4% ao ano.</w:t>
      </w:r>
    </w:p>
    <w:p w:rsidR="0070106C" w:rsidRPr="0070106C" w:rsidRDefault="0070106C" w:rsidP="00BC01B1">
      <w:pPr>
        <w:pStyle w:val="Ttulo3"/>
      </w:pPr>
      <w:bookmarkStart w:id="1181" w:name="_Toc445732333"/>
      <w:bookmarkStart w:id="1182" w:name="_Toc445796729"/>
      <w:bookmarkStart w:id="1183" w:name="_Toc503538796"/>
      <w:bookmarkStart w:id="1184" w:name="_Toc504404473"/>
      <w:bookmarkStart w:id="1185" w:name="_Toc509935601"/>
      <w:r w:rsidRPr="0070106C">
        <w:t>Recursos Próprios do Município</w:t>
      </w:r>
      <w:bookmarkEnd w:id="1181"/>
      <w:bookmarkEnd w:id="1182"/>
      <w:bookmarkEnd w:id="1183"/>
      <w:bookmarkEnd w:id="1184"/>
      <w:bookmarkEnd w:id="1185"/>
      <w:r w:rsidRPr="0070106C">
        <w:t xml:space="preserve"> </w:t>
      </w:r>
    </w:p>
    <w:p w:rsidR="0070106C" w:rsidRPr="0070106C" w:rsidRDefault="0070106C" w:rsidP="00BE7A5C">
      <w:pPr>
        <w:autoSpaceDE w:val="0"/>
        <w:autoSpaceDN w:val="0"/>
        <w:adjustRightInd w:val="0"/>
        <w:spacing w:before="120" w:after="120"/>
        <w:ind w:firstLine="709"/>
        <w:contextualSpacing/>
        <w:jc w:val="both"/>
        <w:rPr>
          <w:rFonts w:cs="Arial"/>
          <w:color w:val="000000"/>
          <w:szCs w:val="24"/>
        </w:rPr>
      </w:pPr>
      <w:r w:rsidRPr="0070106C">
        <w:rPr>
          <w:rFonts w:cs="Arial"/>
          <w:color w:val="000000"/>
          <w:szCs w:val="24"/>
        </w:rPr>
        <w:t>Geração de recursos tarifários (receitas menos despesas) para:</w:t>
      </w:r>
    </w:p>
    <w:p w:rsidR="0070106C" w:rsidRPr="0070106C" w:rsidRDefault="0070106C" w:rsidP="0066661F">
      <w:pPr>
        <w:numPr>
          <w:ilvl w:val="0"/>
          <w:numId w:val="90"/>
        </w:numPr>
        <w:spacing w:before="120" w:after="120"/>
        <w:ind w:hanging="357"/>
        <w:contextualSpacing/>
        <w:jc w:val="both"/>
        <w:rPr>
          <w:rFonts w:cs="Arial"/>
          <w:szCs w:val="24"/>
        </w:rPr>
      </w:pPr>
      <w:r w:rsidRPr="0070106C">
        <w:rPr>
          <w:rFonts w:cs="Arial"/>
          <w:szCs w:val="24"/>
        </w:rPr>
        <w:t>investimentos diretos;</w:t>
      </w:r>
    </w:p>
    <w:p w:rsidR="0070106C" w:rsidRPr="0070106C" w:rsidRDefault="0070106C" w:rsidP="0066661F">
      <w:pPr>
        <w:numPr>
          <w:ilvl w:val="0"/>
          <w:numId w:val="90"/>
        </w:numPr>
        <w:spacing w:before="120" w:after="120"/>
        <w:ind w:hanging="357"/>
        <w:contextualSpacing/>
        <w:jc w:val="both"/>
        <w:rPr>
          <w:rFonts w:cs="Arial"/>
          <w:szCs w:val="24"/>
        </w:rPr>
      </w:pPr>
      <w:r w:rsidRPr="0070106C">
        <w:rPr>
          <w:rFonts w:cs="Arial"/>
          <w:szCs w:val="24"/>
        </w:rPr>
        <w:t xml:space="preserve">contrapartidas de financiamentos; </w:t>
      </w:r>
    </w:p>
    <w:p w:rsidR="0070106C" w:rsidRPr="0070106C" w:rsidRDefault="0070106C" w:rsidP="0066661F">
      <w:pPr>
        <w:numPr>
          <w:ilvl w:val="0"/>
          <w:numId w:val="90"/>
        </w:numPr>
        <w:spacing w:before="120" w:after="120"/>
        <w:ind w:hanging="357"/>
        <w:contextualSpacing/>
        <w:jc w:val="both"/>
        <w:rPr>
          <w:rFonts w:cs="Arial"/>
          <w:szCs w:val="24"/>
        </w:rPr>
      </w:pPr>
      <w:r w:rsidRPr="0070106C">
        <w:rPr>
          <w:rFonts w:cs="Arial"/>
          <w:szCs w:val="24"/>
        </w:rPr>
        <w:t xml:space="preserve">reposição do parque produtivo; </w:t>
      </w:r>
    </w:p>
    <w:p w:rsidR="0070106C" w:rsidRPr="0070106C" w:rsidRDefault="0070106C" w:rsidP="0066661F">
      <w:pPr>
        <w:numPr>
          <w:ilvl w:val="0"/>
          <w:numId w:val="90"/>
        </w:numPr>
        <w:spacing w:before="120" w:after="120"/>
        <w:ind w:hanging="357"/>
        <w:contextualSpacing/>
        <w:jc w:val="both"/>
        <w:rPr>
          <w:rFonts w:cs="Arial"/>
          <w:szCs w:val="24"/>
        </w:rPr>
      </w:pPr>
      <w:r w:rsidRPr="0070106C">
        <w:rPr>
          <w:rFonts w:cs="Arial"/>
          <w:szCs w:val="24"/>
        </w:rPr>
        <w:t>garantias financeiras de financiamentos;</w:t>
      </w:r>
    </w:p>
    <w:p w:rsidR="0070106C" w:rsidRPr="0070106C" w:rsidRDefault="0070106C" w:rsidP="0066661F">
      <w:pPr>
        <w:numPr>
          <w:ilvl w:val="0"/>
          <w:numId w:val="90"/>
        </w:numPr>
        <w:spacing w:before="120" w:after="120"/>
        <w:ind w:hanging="357"/>
        <w:contextualSpacing/>
        <w:jc w:val="both"/>
        <w:rPr>
          <w:rFonts w:cs="Arial"/>
          <w:szCs w:val="24"/>
        </w:rPr>
      </w:pPr>
      <w:r w:rsidRPr="0070106C">
        <w:rPr>
          <w:rFonts w:cs="Arial"/>
          <w:szCs w:val="24"/>
        </w:rPr>
        <w:t xml:space="preserve">recursos orçamentários municipais. </w:t>
      </w:r>
    </w:p>
    <w:p w:rsidR="0070106C" w:rsidRPr="00290EEF" w:rsidRDefault="0070106C" w:rsidP="00BE7A5C">
      <w:pPr>
        <w:autoSpaceDE w:val="0"/>
        <w:autoSpaceDN w:val="0"/>
        <w:adjustRightInd w:val="0"/>
        <w:spacing w:before="120" w:after="120"/>
        <w:ind w:firstLine="709"/>
        <w:contextualSpacing/>
        <w:jc w:val="both"/>
        <w:rPr>
          <w:rFonts w:cs="Arial"/>
          <w:szCs w:val="24"/>
        </w:rPr>
      </w:pPr>
      <w:r w:rsidRPr="0070106C">
        <w:rPr>
          <w:rFonts w:cs="Arial"/>
          <w:color w:val="000000"/>
          <w:szCs w:val="24"/>
        </w:rPr>
        <w:t xml:space="preserve">Esses </w:t>
      </w:r>
      <w:r w:rsidRPr="00290EEF">
        <w:rPr>
          <w:rFonts w:cs="Arial"/>
          <w:szCs w:val="24"/>
        </w:rPr>
        <w:t xml:space="preserve">recursos são gerados internamente através da cobrança de tarifa de exploração dos sistemas. </w:t>
      </w:r>
    </w:p>
    <w:p w:rsidR="00560A79" w:rsidRPr="00290EEF" w:rsidRDefault="00560A79" w:rsidP="00BC01B1">
      <w:pPr>
        <w:pStyle w:val="SHS-Ttulo01"/>
      </w:pPr>
      <w:bookmarkStart w:id="1186" w:name="_Toc503538810"/>
      <w:bookmarkStart w:id="1187" w:name="_Toc504404459"/>
      <w:bookmarkStart w:id="1188" w:name="_Toc509935602"/>
      <w:r w:rsidRPr="00290EEF">
        <w:t>A</w:t>
      </w:r>
      <w:r w:rsidR="001800AD" w:rsidRPr="00290EEF">
        <w:t>nálise de viabilidade econômica e financeira</w:t>
      </w:r>
      <w:bookmarkEnd w:id="1186"/>
      <w:bookmarkEnd w:id="1187"/>
      <w:bookmarkEnd w:id="1188"/>
    </w:p>
    <w:p w:rsidR="00560A79" w:rsidRPr="00290EEF" w:rsidRDefault="00560A79" w:rsidP="00BC01B1">
      <w:pPr>
        <w:pStyle w:val="Ttulo3"/>
      </w:pPr>
      <w:bookmarkStart w:id="1189" w:name="_Toc449597691"/>
      <w:bookmarkStart w:id="1190" w:name="_Toc503538811"/>
      <w:bookmarkStart w:id="1191" w:name="_Toc504404460"/>
      <w:bookmarkStart w:id="1192" w:name="_Toc509935603"/>
      <w:r w:rsidRPr="00290EEF">
        <w:t>Sistemas de Abastecimento de Água e de Esgotamento Sanitário</w:t>
      </w:r>
      <w:bookmarkEnd w:id="1189"/>
      <w:bookmarkEnd w:id="1190"/>
      <w:bookmarkEnd w:id="1191"/>
      <w:bookmarkEnd w:id="1192"/>
    </w:p>
    <w:p w:rsidR="00560A79" w:rsidRPr="00560A79" w:rsidRDefault="00560A79" w:rsidP="00560A79">
      <w:pPr>
        <w:spacing w:before="120" w:after="120"/>
        <w:ind w:firstLine="708"/>
        <w:contextualSpacing/>
        <w:jc w:val="both"/>
        <w:rPr>
          <w:rFonts w:cs="Arial"/>
          <w:szCs w:val="24"/>
          <w:lang w:eastAsia="pt-BR"/>
        </w:rPr>
      </w:pPr>
      <w:r w:rsidRPr="00290EEF">
        <w:rPr>
          <w:rFonts w:cs="Arial"/>
          <w:szCs w:val="24"/>
          <w:lang w:eastAsia="pt-BR"/>
        </w:rPr>
        <w:t>O estudo de viabilidade econômica e financeira considerou um período de 20 anos a partir da realização dos investimentos e analisou como seria o aporte desses investimentos pelo Sistema de Abastecimento de Água (SAA) e Sistema de Esgotamento Sanitário (SES</w:t>
      </w:r>
      <w:r w:rsidRPr="00560A79">
        <w:rPr>
          <w:rFonts w:cs="Arial"/>
          <w:szCs w:val="24"/>
          <w:lang w:eastAsia="pt-BR"/>
        </w:rPr>
        <w:t>) do município, partindo das seguintes premissas:</w:t>
      </w:r>
    </w:p>
    <w:p w:rsidR="00560A79" w:rsidRPr="00560A79" w:rsidRDefault="00560A79" w:rsidP="0066661F">
      <w:pPr>
        <w:numPr>
          <w:ilvl w:val="0"/>
          <w:numId w:val="93"/>
        </w:numPr>
        <w:spacing w:before="120" w:after="120"/>
        <w:ind w:left="1423" w:hanging="357"/>
        <w:contextualSpacing/>
        <w:jc w:val="both"/>
        <w:rPr>
          <w:rFonts w:cs="Arial"/>
          <w:szCs w:val="24"/>
          <w:lang w:eastAsia="pt-BR"/>
        </w:rPr>
      </w:pPr>
      <w:r w:rsidRPr="00560A79">
        <w:rPr>
          <w:rFonts w:cs="Arial"/>
          <w:szCs w:val="24"/>
          <w:lang w:eastAsia="pt-BR"/>
        </w:rPr>
        <w:t>Crescimento da população e nível de atendimento de acordo com o Objetivo 1 dos eixos de água e esgoto.</w:t>
      </w:r>
    </w:p>
    <w:p w:rsidR="00560A79" w:rsidRPr="00560A79" w:rsidRDefault="00560A79" w:rsidP="0066661F">
      <w:pPr>
        <w:numPr>
          <w:ilvl w:val="0"/>
          <w:numId w:val="93"/>
        </w:numPr>
        <w:spacing w:before="120" w:after="120"/>
        <w:ind w:left="1423" w:hanging="357"/>
        <w:contextualSpacing/>
        <w:jc w:val="both"/>
        <w:rPr>
          <w:rFonts w:cs="Arial"/>
          <w:szCs w:val="24"/>
          <w:lang w:eastAsia="pt-BR"/>
        </w:rPr>
      </w:pPr>
      <w:r w:rsidRPr="00560A79">
        <w:rPr>
          <w:rFonts w:cs="Arial"/>
          <w:szCs w:val="24"/>
          <w:lang w:eastAsia="pt-BR"/>
        </w:rPr>
        <w:t xml:space="preserve">Utilização do sistema </w:t>
      </w:r>
      <w:r w:rsidRPr="00560A79">
        <w:rPr>
          <w:rFonts w:cs="Arial"/>
          <w:i/>
          <w:szCs w:val="24"/>
          <w:lang w:eastAsia="pt-BR"/>
        </w:rPr>
        <w:t>price</w:t>
      </w:r>
      <w:r w:rsidRPr="00560A79">
        <w:rPr>
          <w:rFonts w:cs="Arial"/>
          <w:szCs w:val="24"/>
          <w:lang w:eastAsia="pt-BR"/>
        </w:rPr>
        <w:t xml:space="preserve"> de amortização.</w:t>
      </w:r>
    </w:p>
    <w:p w:rsidR="00560A79" w:rsidRPr="00560A79" w:rsidRDefault="00560A79" w:rsidP="0066661F">
      <w:pPr>
        <w:numPr>
          <w:ilvl w:val="0"/>
          <w:numId w:val="93"/>
        </w:numPr>
        <w:spacing w:before="120" w:after="120"/>
        <w:ind w:left="1423" w:hanging="357"/>
        <w:contextualSpacing/>
        <w:jc w:val="both"/>
        <w:rPr>
          <w:rFonts w:cs="Arial"/>
          <w:szCs w:val="24"/>
          <w:lang w:eastAsia="pt-BR"/>
        </w:rPr>
      </w:pPr>
      <w:r w:rsidRPr="00560A79">
        <w:rPr>
          <w:rFonts w:cs="Arial"/>
          <w:szCs w:val="24"/>
          <w:lang w:eastAsia="pt-BR"/>
        </w:rPr>
        <w:t xml:space="preserve">A inadimplência, 1,53%, e a tarifa social, 21,54%, juntas representam aproximadamente 23% do total do faturamento. </w:t>
      </w:r>
    </w:p>
    <w:p w:rsidR="00560A79" w:rsidRPr="00560A79" w:rsidRDefault="00560A79" w:rsidP="0066661F">
      <w:pPr>
        <w:numPr>
          <w:ilvl w:val="0"/>
          <w:numId w:val="93"/>
        </w:numPr>
        <w:spacing w:before="120" w:after="120"/>
        <w:ind w:left="1423" w:hanging="357"/>
        <w:contextualSpacing/>
        <w:jc w:val="both"/>
        <w:rPr>
          <w:rFonts w:cs="Arial"/>
          <w:szCs w:val="24"/>
          <w:lang w:eastAsia="pt-BR"/>
        </w:rPr>
      </w:pPr>
      <w:r w:rsidRPr="00560A79">
        <w:rPr>
          <w:rFonts w:cs="Arial"/>
          <w:szCs w:val="24"/>
          <w:lang w:eastAsia="pt-BR"/>
        </w:rPr>
        <w:t>O custo de oportunidade do capital é de 2% ao ano (juros compostos).</w:t>
      </w:r>
    </w:p>
    <w:p w:rsidR="00560A79" w:rsidRPr="00560A79" w:rsidRDefault="00560A79" w:rsidP="0066661F">
      <w:pPr>
        <w:numPr>
          <w:ilvl w:val="0"/>
          <w:numId w:val="93"/>
        </w:numPr>
        <w:spacing w:before="120" w:after="120"/>
        <w:ind w:left="1423" w:hanging="357"/>
        <w:contextualSpacing/>
        <w:jc w:val="both"/>
        <w:rPr>
          <w:rFonts w:cs="Arial"/>
          <w:szCs w:val="24"/>
          <w:lang w:eastAsia="pt-BR"/>
        </w:rPr>
      </w:pPr>
      <w:r w:rsidRPr="00560A79">
        <w:rPr>
          <w:rFonts w:cs="Arial"/>
          <w:szCs w:val="24"/>
          <w:lang w:eastAsia="pt-BR"/>
        </w:rPr>
        <w:t>Os custos com despesas financeiras representam juros e impostos, como IOF.</w:t>
      </w:r>
    </w:p>
    <w:p w:rsidR="00560A79" w:rsidRPr="00560A79" w:rsidRDefault="00560A79" w:rsidP="0066661F">
      <w:pPr>
        <w:numPr>
          <w:ilvl w:val="0"/>
          <w:numId w:val="93"/>
        </w:numPr>
        <w:spacing w:before="120" w:after="120"/>
        <w:ind w:left="1423" w:hanging="357"/>
        <w:contextualSpacing/>
        <w:jc w:val="both"/>
        <w:rPr>
          <w:rFonts w:cs="Arial"/>
          <w:szCs w:val="24"/>
          <w:lang w:eastAsia="pt-BR"/>
        </w:rPr>
      </w:pPr>
      <w:r w:rsidRPr="00560A79">
        <w:rPr>
          <w:rFonts w:cs="Arial"/>
          <w:szCs w:val="24"/>
          <w:lang w:eastAsia="pt-BR"/>
        </w:rPr>
        <w:lastRenderedPageBreak/>
        <w:t>Adota-se 0,5% de aumento anual no preço dos produtos químicos, mão de obra terceirizada, salário dos empregados e energia elétrica.</w:t>
      </w:r>
    </w:p>
    <w:p w:rsidR="00560A79" w:rsidRPr="00560A79" w:rsidRDefault="00560A79" w:rsidP="0066661F">
      <w:pPr>
        <w:numPr>
          <w:ilvl w:val="0"/>
          <w:numId w:val="93"/>
        </w:numPr>
        <w:spacing w:before="120" w:after="120"/>
        <w:ind w:left="1423" w:hanging="357"/>
        <w:contextualSpacing/>
        <w:jc w:val="both"/>
        <w:rPr>
          <w:rFonts w:cs="Arial"/>
          <w:szCs w:val="24"/>
          <w:lang w:eastAsia="pt-BR"/>
        </w:rPr>
      </w:pPr>
      <w:r w:rsidRPr="00560A79">
        <w:rPr>
          <w:rFonts w:cs="Arial"/>
          <w:szCs w:val="24"/>
          <w:lang w:eastAsia="pt-BR"/>
        </w:rPr>
        <w:t>A partir das ações de manutenção preventiva e substituição de equipamentos, estima-se a redução de custos com energia elétrica e produtos químicos de 1% ao ano.</w:t>
      </w:r>
    </w:p>
    <w:p w:rsidR="00560A79" w:rsidRPr="00560A79" w:rsidRDefault="00560A79" w:rsidP="0066661F">
      <w:pPr>
        <w:numPr>
          <w:ilvl w:val="0"/>
          <w:numId w:val="93"/>
        </w:numPr>
        <w:spacing w:before="120" w:after="120"/>
        <w:ind w:left="1423" w:hanging="357"/>
        <w:contextualSpacing/>
        <w:jc w:val="both"/>
        <w:rPr>
          <w:rFonts w:cs="Arial"/>
          <w:szCs w:val="24"/>
          <w:lang w:eastAsia="pt-BR"/>
        </w:rPr>
      </w:pPr>
      <w:r w:rsidRPr="00560A79">
        <w:rPr>
          <w:rFonts w:cs="Arial"/>
          <w:szCs w:val="24"/>
          <w:lang w:eastAsia="pt-BR"/>
        </w:rPr>
        <w:t>Cada ETA nova na sede ocasiona aumento de 40% nos gastos operacionais do sistema e nos distritos o aumento é de 20%.</w:t>
      </w:r>
    </w:p>
    <w:p w:rsidR="00560A79" w:rsidRPr="00560A79" w:rsidRDefault="00560A79" w:rsidP="0066661F">
      <w:pPr>
        <w:numPr>
          <w:ilvl w:val="0"/>
          <w:numId w:val="93"/>
        </w:numPr>
        <w:spacing w:before="120" w:after="120"/>
        <w:ind w:left="1423" w:hanging="357"/>
        <w:contextualSpacing/>
        <w:jc w:val="both"/>
        <w:rPr>
          <w:rFonts w:cs="Arial"/>
          <w:szCs w:val="24"/>
          <w:lang w:eastAsia="pt-BR"/>
        </w:rPr>
      </w:pPr>
      <w:r w:rsidRPr="00560A79">
        <w:rPr>
          <w:rFonts w:cs="Arial"/>
          <w:szCs w:val="24"/>
          <w:lang w:eastAsia="pt-BR"/>
        </w:rPr>
        <w:t>Cada ETE nova na sede ocasiona aumento de 60% nos gastos operacionais do sistema e nos distritos o aumento é de 30%.</w:t>
      </w:r>
    </w:p>
    <w:p w:rsidR="00560A79" w:rsidRPr="00560A79" w:rsidRDefault="00560A79" w:rsidP="00560A79">
      <w:pPr>
        <w:spacing w:before="120" w:after="120"/>
        <w:ind w:firstLine="708"/>
        <w:contextualSpacing/>
        <w:jc w:val="both"/>
        <w:rPr>
          <w:rFonts w:cs="Arial"/>
          <w:szCs w:val="24"/>
          <w:lang w:eastAsia="pt-BR"/>
        </w:rPr>
      </w:pPr>
      <w:r w:rsidRPr="00560A79">
        <w:rPr>
          <w:rFonts w:cs="Arial"/>
          <w:szCs w:val="24"/>
          <w:lang w:eastAsia="pt-BR"/>
        </w:rPr>
        <w:t>A receita anual foi estimada a partir da soma das receitas diretas de água e esgoto, retirando os prejuízos com tarifa social e inadimplência. A receita direta de água foi adquirida pela fórmula:</w:t>
      </w:r>
    </w:p>
    <w:p w:rsidR="00560A79" w:rsidRPr="00560A79" w:rsidRDefault="00560A79" w:rsidP="00560A79">
      <w:pPr>
        <w:spacing w:before="120" w:after="120"/>
        <w:ind w:firstLine="708"/>
        <w:contextualSpacing/>
        <w:jc w:val="both"/>
        <w:rPr>
          <w:rFonts w:cs="Arial"/>
          <w:szCs w:val="24"/>
          <w:lang w:eastAsia="pt-BR"/>
        </w:rPr>
      </w:pPr>
    </w:p>
    <w:p w:rsidR="00560A79" w:rsidRPr="00560A79" w:rsidRDefault="00560A79" w:rsidP="00560A79">
      <w:pPr>
        <w:spacing w:before="120" w:after="120"/>
        <w:contextualSpacing/>
        <w:jc w:val="center"/>
        <w:rPr>
          <w:rFonts w:cs="Arial"/>
          <w:i/>
          <w:sz w:val="20"/>
          <w:szCs w:val="20"/>
          <w:lang w:eastAsia="pt-BR"/>
        </w:rPr>
      </w:pPr>
      <w:r w:rsidRPr="00560A79">
        <w:rPr>
          <w:rFonts w:cs="Arial"/>
          <w:i/>
          <w:sz w:val="20"/>
          <w:szCs w:val="20"/>
          <w:lang w:eastAsia="pt-BR"/>
        </w:rPr>
        <w:t>Receita Direta (água) = População urbana projetada x Índice de atendimento com água x Consumo per capita x Tarifa média praticada</w:t>
      </w:r>
    </w:p>
    <w:p w:rsidR="00560A79" w:rsidRPr="00560A79" w:rsidRDefault="00560A79" w:rsidP="00560A79">
      <w:pPr>
        <w:spacing w:before="120" w:after="120"/>
        <w:contextualSpacing/>
        <w:jc w:val="center"/>
        <w:rPr>
          <w:rFonts w:cs="Arial"/>
          <w:i/>
          <w:sz w:val="20"/>
          <w:szCs w:val="20"/>
          <w:lang w:eastAsia="pt-BR"/>
        </w:rPr>
      </w:pPr>
    </w:p>
    <w:p w:rsidR="00560A79" w:rsidRPr="00560A79" w:rsidRDefault="00560A79" w:rsidP="00560A79">
      <w:pPr>
        <w:spacing w:before="120" w:after="120"/>
        <w:ind w:firstLine="708"/>
        <w:contextualSpacing/>
        <w:jc w:val="both"/>
        <w:rPr>
          <w:rFonts w:cs="Arial"/>
          <w:szCs w:val="24"/>
          <w:lang w:eastAsia="pt-BR"/>
        </w:rPr>
      </w:pPr>
      <w:r w:rsidRPr="00560A79">
        <w:rPr>
          <w:rFonts w:cs="Arial"/>
          <w:szCs w:val="24"/>
          <w:lang w:eastAsia="pt-BR"/>
        </w:rPr>
        <w:t>Já a receita direta com esgoto foi adquirida por meio da seguinte fórmula:</w:t>
      </w:r>
    </w:p>
    <w:p w:rsidR="00560A79" w:rsidRPr="00560A79" w:rsidRDefault="00560A79" w:rsidP="00560A79">
      <w:pPr>
        <w:spacing w:before="120" w:after="120"/>
        <w:contextualSpacing/>
        <w:jc w:val="center"/>
        <w:rPr>
          <w:rFonts w:cs="Arial"/>
          <w:i/>
          <w:sz w:val="20"/>
          <w:szCs w:val="20"/>
          <w:lang w:eastAsia="pt-BR"/>
        </w:rPr>
      </w:pPr>
    </w:p>
    <w:p w:rsidR="00560A79" w:rsidRPr="00560A79" w:rsidRDefault="00560A79" w:rsidP="00560A79">
      <w:pPr>
        <w:spacing w:before="120" w:after="120"/>
        <w:contextualSpacing/>
        <w:jc w:val="center"/>
        <w:rPr>
          <w:rFonts w:cs="Arial"/>
          <w:i/>
          <w:sz w:val="20"/>
          <w:szCs w:val="20"/>
          <w:lang w:eastAsia="pt-BR"/>
        </w:rPr>
      </w:pPr>
      <w:r w:rsidRPr="00560A79">
        <w:rPr>
          <w:rFonts w:cs="Arial"/>
          <w:i/>
          <w:sz w:val="20"/>
          <w:szCs w:val="20"/>
          <w:lang w:eastAsia="pt-BR"/>
        </w:rPr>
        <w:t>Receita Direta (esgoto) = Receita Direta (água) x Índice de atendimento com esgoto x Percentual de retorno de esgoto*</w:t>
      </w:r>
    </w:p>
    <w:p w:rsidR="00560A79" w:rsidRPr="00560A79" w:rsidRDefault="00560A79" w:rsidP="00560A79">
      <w:pPr>
        <w:spacing w:before="120" w:after="120"/>
        <w:ind w:firstLine="708"/>
        <w:contextualSpacing/>
        <w:jc w:val="both"/>
        <w:rPr>
          <w:rFonts w:cs="Arial"/>
          <w:szCs w:val="24"/>
          <w:lang w:eastAsia="pt-BR"/>
        </w:rPr>
      </w:pPr>
    </w:p>
    <w:p w:rsidR="00560A79" w:rsidRPr="00560A79" w:rsidRDefault="00560A79" w:rsidP="00560A79">
      <w:pPr>
        <w:spacing w:before="120" w:after="120"/>
        <w:ind w:firstLine="708"/>
        <w:contextualSpacing/>
        <w:jc w:val="both"/>
        <w:rPr>
          <w:rFonts w:cs="Arial"/>
          <w:szCs w:val="24"/>
          <w:lang w:eastAsia="pt-BR"/>
        </w:rPr>
      </w:pPr>
      <w:r w:rsidRPr="00560A79">
        <w:rPr>
          <w:rFonts w:cs="Arial"/>
          <w:szCs w:val="24"/>
          <w:lang w:eastAsia="pt-BR"/>
        </w:rPr>
        <w:t>*O percentual de retorno de esgoto foi adotado como 0,9 quando há tratamento e 0,5 quando há apenas coleta.</w:t>
      </w:r>
    </w:p>
    <w:p w:rsidR="00560A79" w:rsidRPr="00560A79" w:rsidRDefault="00560A79" w:rsidP="00560A79">
      <w:pPr>
        <w:spacing w:before="120" w:after="120"/>
        <w:ind w:firstLine="708"/>
        <w:contextualSpacing/>
        <w:jc w:val="both"/>
        <w:rPr>
          <w:rFonts w:cs="Arial"/>
          <w:szCs w:val="24"/>
          <w:lang w:eastAsia="pt-BR"/>
        </w:rPr>
      </w:pPr>
    </w:p>
    <w:p w:rsidR="00560A79" w:rsidRPr="00560A79" w:rsidRDefault="00560A79" w:rsidP="00560A79">
      <w:pPr>
        <w:spacing w:before="120" w:after="120"/>
        <w:ind w:firstLine="708"/>
        <w:contextualSpacing/>
        <w:jc w:val="both"/>
        <w:rPr>
          <w:rFonts w:cs="Arial"/>
          <w:szCs w:val="24"/>
          <w:lang w:eastAsia="pt-BR"/>
        </w:rPr>
      </w:pPr>
      <w:r w:rsidRPr="00560A79">
        <w:rPr>
          <w:rFonts w:cs="Arial"/>
          <w:szCs w:val="24"/>
          <w:lang w:eastAsia="pt-BR"/>
        </w:rPr>
        <w:t>Os gastos anuais foram estimados a partir do pagamento da parcela de possível empréstimo do valor total dos investimentos provenientes das ações do PMSB para água e esgoto, além das despesas operacionais (despesa com pessoal próprio; despesa com produtos químicos; despesa com energia elétrica; despesa com serviços de terceiros; outras despesas de exploração) provenientes do SNIS.</w:t>
      </w:r>
    </w:p>
    <w:p w:rsidR="00560A79" w:rsidRPr="00560A79" w:rsidRDefault="00560A79" w:rsidP="00560A79">
      <w:pPr>
        <w:spacing w:before="120" w:after="120"/>
        <w:ind w:firstLine="708"/>
        <w:contextualSpacing/>
        <w:jc w:val="both"/>
        <w:rPr>
          <w:rFonts w:cs="Arial"/>
          <w:szCs w:val="24"/>
          <w:lang w:eastAsia="pt-BR"/>
        </w:rPr>
      </w:pPr>
      <w:r w:rsidRPr="00560A79">
        <w:rPr>
          <w:rFonts w:cs="Arial"/>
          <w:szCs w:val="24"/>
          <w:lang w:eastAsia="pt-BR"/>
        </w:rPr>
        <w:t xml:space="preserve">Inicialmente, utilizou-se as informações de despesas do SNIS 2015 e dividiu-se pela população atendida no mesmo ano e, assim, adquiriu-se valores individualizados </w:t>
      </w:r>
      <w:r w:rsidRPr="00560A79">
        <w:rPr>
          <w:rFonts w:cs="Arial"/>
          <w:szCs w:val="24"/>
          <w:lang w:eastAsia="pt-BR"/>
        </w:rPr>
        <w:lastRenderedPageBreak/>
        <w:t>dos custos operacionais. Posteriormente, multiplicou-se pela população atendida projetada e pelas taxas de aumento de preços e de diminuição de custos operacionais.</w:t>
      </w:r>
    </w:p>
    <w:p w:rsidR="00560A79" w:rsidRPr="0021113E" w:rsidRDefault="00560A79" w:rsidP="00560A79">
      <w:pPr>
        <w:spacing w:before="120" w:after="120"/>
        <w:ind w:firstLine="708"/>
        <w:contextualSpacing/>
        <w:jc w:val="both"/>
        <w:rPr>
          <w:rFonts w:cs="Arial"/>
          <w:szCs w:val="24"/>
          <w:lang w:eastAsia="pt-BR"/>
        </w:rPr>
      </w:pPr>
      <w:r w:rsidRPr="00646E1B">
        <w:rPr>
          <w:rFonts w:cs="Arial"/>
          <w:szCs w:val="24"/>
          <w:lang w:eastAsia="pt-BR"/>
        </w:rPr>
        <w:t xml:space="preserve">O </w:t>
      </w:r>
      <w:r w:rsidR="004C267D">
        <w:rPr>
          <w:rFonts w:cs="Arial"/>
          <w:szCs w:val="24"/>
          <w:lang w:eastAsia="pt-BR"/>
        </w:rPr>
        <w:fldChar w:fldCharType="begin"/>
      </w:r>
      <w:r w:rsidR="004C267D">
        <w:rPr>
          <w:rFonts w:cs="Arial"/>
          <w:szCs w:val="24"/>
          <w:lang w:eastAsia="pt-BR"/>
        </w:rPr>
        <w:instrText xml:space="preserve"> REF _Ref505841326 \h </w:instrText>
      </w:r>
      <w:r w:rsidR="004C267D">
        <w:rPr>
          <w:rFonts w:cs="Arial"/>
          <w:szCs w:val="24"/>
          <w:lang w:eastAsia="pt-BR"/>
        </w:rPr>
      </w:r>
      <w:r w:rsidR="004C267D">
        <w:rPr>
          <w:rFonts w:cs="Arial"/>
          <w:szCs w:val="24"/>
          <w:lang w:eastAsia="pt-BR"/>
        </w:rPr>
        <w:fldChar w:fldCharType="separate"/>
      </w:r>
      <w:r w:rsidR="001B481B">
        <w:t xml:space="preserve">Anexo </w:t>
      </w:r>
      <w:r w:rsidR="001B481B">
        <w:rPr>
          <w:noProof/>
        </w:rPr>
        <w:t>2</w:t>
      </w:r>
      <w:r w:rsidR="004C267D">
        <w:rPr>
          <w:rFonts w:cs="Arial"/>
          <w:szCs w:val="24"/>
          <w:lang w:eastAsia="pt-BR"/>
        </w:rPr>
        <w:fldChar w:fldCharType="end"/>
      </w:r>
      <w:r w:rsidR="004C267D">
        <w:rPr>
          <w:rFonts w:cs="Arial"/>
          <w:szCs w:val="24"/>
          <w:lang w:eastAsia="pt-BR"/>
        </w:rPr>
        <w:t xml:space="preserve"> </w:t>
      </w:r>
      <w:r w:rsidRPr="00646E1B">
        <w:rPr>
          <w:rFonts w:cs="Arial"/>
          <w:szCs w:val="24"/>
          <w:lang w:eastAsia="pt-BR"/>
        </w:rPr>
        <w:t>apresenta a projeção da sustentabilidade econômica dos setores de abastecimento de água e esgotamento sanitário.</w:t>
      </w:r>
      <w:r w:rsidRPr="00560A79">
        <w:rPr>
          <w:rFonts w:cs="Arial"/>
          <w:szCs w:val="24"/>
          <w:lang w:eastAsia="pt-BR"/>
        </w:rPr>
        <w:t xml:space="preserve"> Segundo o cenário adotado, concluiu-se que os investimentos aportados seriam pagos em 20 anos, a partir dos quais os sistemas passarão a apresentar sustentabilidade </w:t>
      </w:r>
      <w:r w:rsidRPr="0021113E">
        <w:rPr>
          <w:rFonts w:cs="Arial"/>
          <w:szCs w:val="24"/>
          <w:lang w:eastAsia="pt-BR"/>
        </w:rPr>
        <w:t xml:space="preserve">econômica e capacidade financeira do município perante os investimentos do PMSB, </w:t>
      </w:r>
      <w:r w:rsidR="00171D9D">
        <w:rPr>
          <w:rFonts w:cs="Arial"/>
          <w:szCs w:val="24"/>
          <w:lang w:eastAsia="pt-BR"/>
        </w:rPr>
        <w:t>caso se pratique uma tarifa média de 4,60 R$/m³ e um aumento de 1,5% ao ano da mesma.</w:t>
      </w:r>
      <w:r w:rsidRPr="008861C0">
        <w:rPr>
          <w:rFonts w:cs="Arial"/>
          <w:b/>
          <w:color w:val="FF0000"/>
          <w:szCs w:val="24"/>
          <w:highlight w:val="cyan"/>
          <w:lang w:eastAsia="pt-BR"/>
        </w:rPr>
        <w:t xml:space="preserve"> </w:t>
      </w:r>
    </w:p>
    <w:p w:rsidR="00560A79" w:rsidRDefault="00560A79" w:rsidP="00560A79">
      <w:pPr>
        <w:spacing w:before="120" w:after="120"/>
        <w:ind w:firstLine="708"/>
        <w:contextualSpacing/>
        <w:jc w:val="both"/>
        <w:rPr>
          <w:rFonts w:cs="Arial"/>
          <w:szCs w:val="24"/>
          <w:lang w:eastAsia="pt-BR"/>
        </w:rPr>
      </w:pPr>
      <w:r w:rsidRPr="0021113E">
        <w:rPr>
          <w:rFonts w:cs="Arial"/>
          <w:szCs w:val="24"/>
          <w:lang w:eastAsia="pt-BR"/>
        </w:rPr>
        <w:t>Dadas as externalidades positivas que o projeto abrange, como: melhora visível nas condições sanitárias dos ambientes antrópicos e naturais</w:t>
      </w:r>
      <w:r w:rsidRPr="00560A79">
        <w:rPr>
          <w:rFonts w:cs="Arial"/>
          <w:szCs w:val="24"/>
          <w:lang w:eastAsia="pt-BR"/>
        </w:rPr>
        <w:t>; diminuição da incidência de diversas doenças causadas por falta de saneamento básico; melhorias no índice de desenvolvimento humano e inclusão de tarifa social, entre outras que não são mensuradas no fluxo financeiro do projeto, pode-se considerar que os investimentos são de suma importância para o município.</w:t>
      </w:r>
    </w:p>
    <w:p w:rsidR="00560A79" w:rsidRPr="00EB0EE5" w:rsidRDefault="00560A79" w:rsidP="00BC01B1">
      <w:pPr>
        <w:pStyle w:val="Ttulo3"/>
      </w:pPr>
      <w:bookmarkStart w:id="1193" w:name="_Toc449597692"/>
      <w:bookmarkStart w:id="1194" w:name="_Toc503538812"/>
      <w:bookmarkStart w:id="1195" w:name="_Toc504404461"/>
      <w:bookmarkStart w:id="1196" w:name="_Toc509935604"/>
      <w:r w:rsidRPr="00EB0EE5">
        <w:t>Sistema de Drenagem Urbana</w:t>
      </w:r>
      <w:bookmarkEnd w:id="1193"/>
      <w:r w:rsidRPr="00EB0EE5">
        <w:t xml:space="preserve"> e Manejo de Águas Pluviais</w:t>
      </w:r>
      <w:bookmarkEnd w:id="1194"/>
      <w:bookmarkEnd w:id="1195"/>
      <w:bookmarkEnd w:id="1196"/>
    </w:p>
    <w:p w:rsidR="00560A79" w:rsidRPr="00560A79" w:rsidRDefault="00560A79" w:rsidP="00560A79">
      <w:pPr>
        <w:spacing w:before="120" w:after="120"/>
        <w:ind w:firstLine="709"/>
        <w:contextualSpacing/>
        <w:jc w:val="both"/>
        <w:rPr>
          <w:lang w:eastAsia="pt-BR"/>
        </w:rPr>
      </w:pPr>
      <w:r w:rsidRPr="00560A79">
        <w:rPr>
          <w:lang w:eastAsia="pt-BR"/>
        </w:rPr>
        <w:t>Neste PMSB admite-se que os serviços relacionados ao manejo de águas pluviais são compartilhados de forma coletiva, uma vez que seus benefícios não podem ser individualizados. Sendo assim, o pagamento pelos serviços não pode ser feito através de tarifas, devendo ser remunerado a partir de taxas ou impostos. Essa última modalidade é a mais encontrada na realidade brasileira.</w:t>
      </w:r>
    </w:p>
    <w:p w:rsidR="00560A79" w:rsidRPr="00560A79" w:rsidRDefault="00560A79" w:rsidP="00560A79">
      <w:pPr>
        <w:spacing w:before="120" w:after="120"/>
        <w:ind w:firstLine="709"/>
        <w:contextualSpacing/>
        <w:jc w:val="both"/>
        <w:rPr>
          <w:lang w:eastAsia="pt-BR"/>
        </w:rPr>
      </w:pPr>
      <w:r w:rsidRPr="00560A79">
        <w:rPr>
          <w:lang w:eastAsia="pt-BR"/>
        </w:rPr>
        <w:t>A Constituição Federal (CF/88) atribuiu às pessoas políticas competência para a instituição de “taxas, em razão do exercício do poder de polícia ou pela utilização, efetiva ou potencial, de serviços públicos específicos e divisíveis, prestados ao contribuinte ou postos a sua disposição” (art. 145, inc. II).</w:t>
      </w:r>
    </w:p>
    <w:p w:rsidR="00560A79" w:rsidRPr="00560A79" w:rsidRDefault="00560A79" w:rsidP="00560A79">
      <w:pPr>
        <w:spacing w:before="120" w:after="120"/>
        <w:ind w:firstLine="709"/>
        <w:contextualSpacing/>
        <w:jc w:val="both"/>
        <w:rPr>
          <w:lang w:eastAsia="pt-BR"/>
        </w:rPr>
      </w:pPr>
      <w:r w:rsidRPr="00560A79">
        <w:rPr>
          <w:lang w:eastAsia="pt-BR"/>
        </w:rPr>
        <w:t xml:space="preserve">A Lei de Saneamento nº 11.445/07 prevê a cobrança pelos serviços de drenagem urbana, destacando que um dos critérios da cobrança de taxa de drenagem pode ser o percentual de impermeabilização do lote urbano e a existência de dispositivos de amortecimento ou de retenção de água de chuva. No entanto, o município </w:t>
      </w:r>
      <w:r w:rsidRPr="0021113E">
        <w:rPr>
          <w:lang w:eastAsia="pt-BR"/>
        </w:rPr>
        <w:t xml:space="preserve">de </w:t>
      </w:r>
      <w:r w:rsidR="00813DDC" w:rsidRPr="00813DDC">
        <w:rPr>
          <w:lang w:eastAsia="pt-BR"/>
        </w:rPr>
        <w:t>Córrego Novo</w:t>
      </w:r>
      <w:r w:rsidRPr="0021113E">
        <w:rPr>
          <w:lang w:eastAsia="pt-BR"/>
        </w:rPr>
        <w:t xml:space="preserve"> não mantém </w:t>
      </w:r>
      <w:r w:rsidRPr="00560A79">
        <w:rPr>
          <w:lang w:eastAsia="pt-BR"/>
        </w:rPr>
        <w:t xml:space="preserve">registros ou empreende monitoramento sobre os percentuais de impermeabilização de seus lotes. Essa questão será analisada no âmbito do Plano de Macrodrenagem, previsto para ser elaborado entre as ações do </w:t>
      </w:r>
      <w:r w:rsidRPr="00560A79">
        <w:rPr>
          <w:lang w:eastAsia="pt-BR"/>
        </w:rPr>
        <w:lastRenderedPageBreak/>
        <w:t>PMSB. Até lá, não se tem parâmetros suficientes para o embasamento da previsão de valores de taxas para remunerar os serviços de drenagem.</w:t>
      </w:r>
    </w:p>
    <w:p w:rsidR="0058577E" w:rsidRDefault="0058577E" w:rsidP="00BC01B1">
      <w:pPr>
        <w:pStyle w:val="Ttulo3"/>
      </w:pPr>
      <w:bookmarkStart w:id="1197" w:name="_Toc509935605"/>
      <w:bookmarkStart w:id="1198" w:name="_Toc449597693"/>
      <w:bookmarkStart w:id="1199" w:name="_Toc503538813"/>
      <w:bookmarkStart w:id="1200" w:name="_Toc504404462"/>
      <w:r>
        <w:t>Considerações iniciais sobre a gestão do SLU</w:t>
      </w:r>
      <w:bookmarkEnd w:id="1197"/>
    </w:p>
    <w:p w:rsidR="0058577E" w:rsidRDefault="0058577E" w:rsidP="0058577E">
      <w:pPr>
        <w:spacing w:before="120" w:after="120"/>
        <w:ind w:firstLine="709"/>
        <w:jc w:val="both"/>
        <w:rPr>
          <w:rFonts w:cs="Arial"/>
          <w:szCs w:val="24"/>
        </w:rPr>
      </w:pPr>
      <w:r>
        <w:rPr>
          <w:rFonts w:cs="Arial"/>
          <w:szCs w:val="24"/>
        </w:rPr>
        <w:t>Quanto aos aspectos legais da remuneração dos serviços públicos, as “Orientações para elaboração de Plano Simplificado de Gestão Integrada de Resíduos Sólidos – PSGIRS para municípios com população inferior a 20 mil habitantes” (2013) dispõem que:</w:t>
      </w:r>
    </w:p>
    <w:p w:rsidR="0058577E" w:rsidRDefault="0058577E" w:rsidP="0058577E">
      <w:pPr>
        <w:spacing w:before="120" w:after="120"/>
        <w:ind w:left="1134" w:firstLine="567"/>
        <w:jc w:val="both"/>
        <w:rPr>
          <w:rFonts w:cs="Arial"/>
          <w:i/>
          <w:sz w:val="20"/>
          <w:szCs w:val="20"/>
        </w:rPr>
      </w:pPr>
      <w:r>
        <w:rPr>
          <w:rFonts w:cs="Arial"/>
          <w:i/>
          <w:sz w:val="20"/>
          <w:szCs w:val="20"/>
        </w:rPr>
        <w:t>“De acordo com o artigo 145, da Constituição Federal de 1988, a União, os estados, o Distrito Federal e os municípios podem instituir taxas, em razão de exercício do poder de polícia ou pela utilização, efetiva ou potencial, de serviços públicos específicos e divisíveis, prestados ao contribuinte ou postos a sua disposição. Cabe destacar que a hipótese de incidência dessa espécie tributária só pode consistir em prestação de serviço público ou exercício do poder de polícia, por limitação do próprio texto constitucional.</w:t>
      </w:r>
    </w:p>
    <w:p w:rsidR="0058577E" w:rsidRDefault="0058577E" w:rsidP="0058577E">
      <w:pPr>
        <w:spacing w:before="120" w:after="120"/>
        <w:ind w:left="1134" w:firstLine="567"/>
        <w:jc w:val="both"/>
        <w:rPr>
          <w:rFonts w:cs="Arial"/>
          <w:i/>
          <w:sz w:val="20"/>
          <w:szCs w:val="20"/>
        </w:rPr>
      </w:pPr>
      <w:r>
        <w:rPr>
          <w:rFonts w:cs="Arial"/>
          <w:i/>
          <w:sz w:val="20"/>
          <w:szCs w:val="20"/>
        </w:rPr>
        <w:t xml:space="preserve">A taxa, por ser tributo, é compulsória, e por isso pode ser cobrada mesmo que não exista efetiva utilização do serviço, bastando unicamente a sua oferta ao público. Porém, deve ser instituída por lei e seus aumentos só podem ser cobrados no primeiro dia do ano posterior à publicação da lei e depois de decorridos noventa dias da data em que haja sido publicada a lei que os instituiu ou aumentou. </w:t>
      </w:r>
    </w:p>
    <w:p w:rsidR="0058577E" w:rsidRDefault="0058577E" w:rsidP="0058577E">
      <w:pPr>
        <w:spacing w:before="120" w:after="120"/>
        <w:ind w:left="1134" w:firstLine="567"/>
        <w:jc w:val="both"/>
        <w:rPr>
          <w:rFonts w:cs="Arial"/>
          <w:i/>
          <w:sz w:val="20"/>
          <w:szCs w:val="20"/>
        </w:rPr>
      </w:pPr>
      <w:r>
        <w:rPr>
          <w:rFonts w:cs="Arial"/>
          <w:i/>
          <w:sz w:val="20"/>
          <w:szCs w:val="20"/>
        </w:rPr>
        <w:t xml:space="preserve">A tarifa é cobrança facultativa em decorrência da utilização de serviço público, feita indiretamente pelo estado, por meio de empresas que prestam serviços em nome do mesmo. </w:t>
      </w:r>
    </w:p>
    <w:p w:rsidR="0058577E" w:rsidRDefault="0058577E" w:rsidP="0058577E">
      <w:pPr>
        <w:spacing w:before="120" w:after="120"/>
        <w:ind w:left="1134" w:firstLine="567"/>
        <w:jc w:val="both"/>
        <w:rPr>
          <w:rFonts w:cs="Arial"/>
          <w:i/>
          <w:sz w:val="20"/>
          <w:szCs w:val="20"/>
        </w:rPr>
      </w:pPr>
      <w:r>
        <w:rPr>
          <w:rFonts w:cs="Arial"/>
          <w:i/>
          <w:sz w:val="20"/>
          <w:szCs w:val="20"/>
        </w:rPr>
        <w:t>Resumindo, a diferença entre taxa e tarifa, consiste em que a primeira é um tributo que tem como fato gerador a utilização, efetiva ou potencial, de serviço público específico e divisível, prestado ao contribuinte ou posto à sua disposição. Enquanto a tarifa é um preço público unitário preestabelecido cobrado pela prestação de serviço de caráter individualizado e facultativo. A tarifa não tem natureza tributária, estando relacionada à quantidade do serviço efetivamente prestado (por exemplo: à massa ou ao volume de resíduos recolhidos) e à possibilidade de rescisão”.</w:t>
      </w:r>
    </w:p>
    <w:p w:rsidR="0058577E" w:rsidRDefault="0058577E" w:rsidP="0058577E">
      <w:pPr>
        <w:spacing w:before="120" w:after="120"/>
        <w:ind w:firstLine="709"/>
        <w:jc w:val="both"/>
        <w:rPr>
          <w:rFonts w:cs="Arial"/>
          <w:szCs w:val="24"/>
        </w:rPr>
      </w:pPr>
      <w:r>
        <w:rPr>
          <w:rFonts w:cs="Arial"/>
          <w:szCs w:val="24"/>
        </w:rPr>
        <w:t>Para resíduos sólidos, recomenda-se adotar a cobrança da seguinte forma:</w:t>
      </w:r>
    </w:p>
    <w:p w:rsidR="0058577E" w:rsidRDefault="0058577E" w:rsidP="0058577E">
      <w:pPr>
        <w:spacing w:before="120" w:after="120"/>
        <w:ind w:firstLine="709"/>
        <w:jc w:val="both"/>
        <w:rPr>
          <w:rFonts w:cs="Arial"/>
          <w:szCs w:val="24"/>
        </w:rPr>
      </w:pPr>
      <w:r>
        <w:rPr>
          <w:rFonts w:cs="Arial"/>
          <w:szCs w:val="24"/>
        </w:rPr>
        <w:t>a) taxas: coleta e destinação final para os domicílios e pequenos comércios que gerem resíduos que se caracterizam como domiciliares;</w:t>
      </w:r>
    </w:p>
    <w:p w:rsidR="0058577E" w:rsidRDefault="0058577E" w:rsidP="0058577E">
      <w:pPr>
        <w:spacing w:before="120" w:after="120"/>
        <w:ind w:firstLine="709"/>
        <w:jc w:val="both"/>
        <w:rPr>
          <w:rFonts w:cs="Arial"/>
          <w:szCs w:val="24"/>
        </w:rPr>
      </w:pPr>
      <w:r>
        <w:rPr>
          <w:rFonts w:cs="Arial"/>
          <w:szCs w:val="24"/>
        </w:rPr>
        <w:lastRenderedPageBreak/>
        <w:t>b) preços públicos ou tarifas: para grandes geradores (exemplo: economias que geram acima de 2.500 litros ou 500 kg de resíduos por mês) ou geradores de resíduos industriais, comerciais, de serviços de saúde, da construção civil, agrossilvopastoris ou de mineração, que utilizam o serviço público de manejo de resíduos sólidos.</w:t>
      </w:r>
    </w:p>
    <w:p w:rsidR="0058577E" w:rsidRDefault="0058577E" w:rsidP="0058577E">
      <w:pPr>
        <w:spacing w:before="120" w:after="120"/>
        <w:ind w:firstLine="709"/>
        <w:jc w:val="both"/>
        <w:rPr>
          <w:rFonts w:cs="Arial"/>
          <w:szCs w:val="24"/>
        </w:rPr>
      </w:pPr>
      <w:r>
        <w:rPr>
          <w:rFonts w:cs="Arial"/>
          <w:szCs w:val="24"/>
        </w:rPr>
        <w:t>A cobrança da taxa de resíduos sólidos domiciliares poderá estar anexa a boletos de outros serviços, como por exemplo, conta de água, por meio de taxas mensais, bimensais, trimestrais, semestrais ou anuais, ou junto com o IPTU – Imposto sobre a Propriedade Territorial Urbana.</w:t>
      </w:r>
    </w:p>
    <w:p w:rsidR="0058577E" w:rsidRDefault="0058577E" w:rsidP="0058577E">
      <w:pPr>
        <w:spacing w:before="120" w:after="120"/>
        <w:ind w:firstLine="709"/>
        <w:jc w:val="both"/>
        <w:rPr>
          <w:rFonts w:cs="Arial"/>
          <w:szCs w:val="24"/>
        </w:rPr>
      </w:pPr>
      <w:r>
        <w:rPr>
          <w:rFonts w:cs="Arial"/>
          <w:szCs w:val="24"/>
        </w:rPr>
        <w:t>Conforme a Lei n° 11.445/2007, artigo 29, poderão ser adotados subsídios tarifários e não tarifários para os usuários e localidades que não tenham capacidade de pagamento ou escala econômica suficiente para cobrir o custo integral dos serviços.</w:t>
      </w:r>
    </w:p>
    <w:p w:rsidR="0058577E" w:rsidRDefault="0058577E" w:rsidP="0058577E">
      <w:pPr>
        <w:spacing w:before="120" w:after="120"/>
        <w:ind w:firstLine="709"/>
        <w:jc w:val="both"/>
        <w:rPr>
          <w:rFonts w:cs="Arial"/>
          <w:szCs w:val="24"/>
        </w:rPr>
      </w:pPr>
      <w:r>
        <w:rPr>
          <w:rFonts w:cs="Arial"/>
          <w:szCs w:val="24"/>
        </w:rPr>
        <w:t>Caso a Prefeitura Municipal opte pela adoção de subsídio tarifário, o déficit originado deverá ser coberto por receitas extratarifárias, receitas alternativas, subsídios orçamentários, subsídios cruzados intrassetoriais e intersetoriais provenientes de outras categorias de beneficiários dos serviços públicos de manejo de resíduos sólidos, dentre outras fontes, instituídos pelo poder público.</w:t>
      </w:r>
    </w:p>
    <w:p w:rsidR="0058577E" w:rsidRDefault="0058577E" w:rsidP="0058577E">
      <w:pPr>
        <w:spacing w:before="120" w:after="120"/>
        <w:ind w:firstLine="709"/>
        <w:jc w:val="both"/>
        <w:rPr>
          <w:rFonts w:cs="Arial"/>
          <w:szCs w:val="24"/>
        </w:rPr>
      </w:pPr>
      <w:r>
        <w:rPr>
          <w:rFonts w:cs="Arial"/>
          <w:szCs w:val="24"/>
        </w:rPr>
        <w:t>Recomenda-se que a Prefeitura reavalie os valores das taxas e tarifas praticados a cada ano e faça o reajuste observando o intervalo mínimo de doze meses, conforme prevê o Decreto n° 7.217/2010 que regulamenta a Lei n° 11.445/2007.</w:t>
      </w:r>
    </w:p>
    <w:p w:rsidR="00560A79" w:rsidRPr="0058577E" w:rsidRDefault="00560A79" w:rsidP="00BC01B1">
      <w:pPr>
        <w:pStyle w:val="Ttulo3"/>
      </w:pPr>
      <w:bookmarkStart w:id="1201" w:name="_Toc509935606"/>
      <w:r w:rsidRPr="0058577E">
        <w:t>Sistema de Limpeza Urbana e Manejo de Resíduos</w:t>
      </w:r>
      <w:bookmarkEnd w:id="1198"/>
      <w:r w:rsidRPr="0058577E">
        <w:t xml:space="preserve"> Sólidos</w:t>
      </w:r>
      <w:bookmarkEnd w:id="1199"/>
      <w:bookmarkEnd w:id="1200"/>
      <w:bookmarkEnd w:id="1201"/>
    </w:p>
    <w:p w:rsidR="00560A79" w:rsidRPr="00560A79" w:rsidRDefault="00560A79" w:rsidP="00560A79">
      <w:pPr>
        <w:spacing w:before="120" w:after="120"/>
        <w:ind w:firstLine="708"/>
        <w:contextualSpacing/>
        <w:jc w:val="both"/>
        <w:rPr>
          <w:rFonts w:cs="Arial"/>
          <w:szCs w:val="24"/>
          <w:lang w:eastAsia="pt-BR"/>
        </w:rPr>
      </w:pPr>
      <w:r w:rsidRPr="00560A79">
        <w:rPr>
          <w:rFonts w:cs="Arial"/>
          <w:szCs w:val="24"/>
          <w:lang w:eastAsia="pt-BR"/>
        </w:rPr>
        <w:t>O estudo de viabilidade econômica e financeira considerou um período de 20 anos a partir da realização dos investimentos e analisou como seria o aporte desses investimentos pelo Sistema de Resíduos Sólidos do município, partindo das seguintes premissas:</w:t>
      </w:r>
    </w:p>
    <w:p w:rsidR="00560A79" w:rsidRPr="00560A79" w:rsidRDefault="00560A79" w:rsidP="0066661F">
      <w:pPr>
        <w:numPr>
          <w:ilvl w:val="0"/>
          <w:numId w:val="93"/>
        </w:numPr>
        <w:spacing w:before="120" w:after="120"/>
        <w:ind w:left="1423" w:hanging="357"/>
        <w:contextualSpacing/>
        <w:jc w:val="both"/>
        <w:rPr>
          <w:rFonts w:cs="Arial"/>
          <w:szCs w:val="24"/>
          <w:lang w:eastAsia="pt-BR"/>
        </w:rPr>
      </w:pPr>
      <w:r w:rsidRPr="00560A79">
        <w:rPr>
          <w:rFonts w:cs="Arial"/>
          <w:szCs w:val="24"/>
          <w:lang w:eastAsia="pt-BR"/>
        </w:rPr>
        <w:t>Crescimento da população e nível de atendimento de acordo com o Objetivo 1 do eixo de resíduos sólidos.</w:t>
      </w:r>
    </w:p>
    <w:p w:rsidR="00560A79" w:rsidRPr="00560A79" w:rsidRDefault="00560A79" w:rsidP="0066661F">
      <w:pPr>
        <w:numPr>
          <w:ilvl w:val="0"/>
          <w:numId w:val="93"/>
        </w:numPr>
        <w:spacing w:before="120" w:after="120"/>
        <w:ind w:left="1423" w:hanging="357"/>
        <w:contextualSpacing/>
        <w:jc w:val="both"/>
        <w:rPr>
          <w:rFonts w:cs="Arial"/>
          <w:szCs w:val="24"/>
          <w:lang w:eastAsia="pt-BR"/>
        </w:rPr>
      </w:pPr>
      <w:r w:rsidRPr="00560A79">
        <w:rPr>
          <w:rFonts w:cs="Arial"/>
          <w:szCs w:val="24"/>
          <w:lang w:eastAsia="pt-BR"/>
        </w:rPr>
        <w:t xml:space="preserve">Utilização do </w:t>
      </w:r>
      <w:r w:rsidRPr="0079388B">
        <w:rPr>
          <w:rFonts w:cs="Arial"/>
          <w:szCs w:val="24"/>
          <w:lang w:eastAsia="pt-BR"/>
        </w:rPr>
        <w:t xml:space="preserve">sistema </w:t>
      </w:r>
      <w:r w:rsidRPr="0079388B">
        <w:rPr>
          <w:rFonts w:cs="Arial"/>
          <w:i/>
          <w:szCs w:val="24"/>
          <w:lang w:eastAsia="pt-BR"/>
        </w:rPr>
        <w:t>price</w:t>
      </w:r>
      <w:r w:rsidRPr="0079388B">
        <w:rPr>
          <w:rFonts w:cs="Arial"/>
          <w:szCs w:val="24"/>
          <w:lang w:eastAsia="pt-BR"/>
        </w:rPr>
        <w:t xml:space="preserve"> de amortização</w:t>
      </w:r>
      <w:r w:rsidRPr="00560A79">
        <w:rPr>
          <w:rFonts w:cs="Arial"/>
          <w:szCs w:val="24"/>
          <w:lang w:eastAsia="pt-BR"/>
        </w:rPr>
        <w:t>.</w:t>
      </w:r>
    </w:p>
    <w:p w:rsidR="00560A79" w:rsidRPr="00560A79" w:rsidRDefault="00560A79" w:rsidP="0066661F">
      <w:pPr>
        <w:numPr>
          <w:ilvl w:val="0"/>
          <w:numId w:val="93"/>
        </w:numPr>
        <w:spacing w:before="120" w:after="120"/>
        <w:ind w:left="1423" w:hanging="357"/>
        <w:contextualSpacing/>
        <w:jc w:val="both"/>
        <w:rPr>
          <w:rFonts w:cs="Arial"/>
          <w:szCs w:val="24"/>
          <w:lang w:eastAsia="pt-BR"/>
        </w:rPr>
      </w:pPr>
      <w:r w:rsidRPr="00560A79">
        <w:rPr>
          <w:rFonts w:cs="Arial"/>
          <w:szCs w:val="24"/>
          <w:lang w:eastAsia="pt-BR"/>
        </w:rPr>
        <w:t>A inadimplência, 1,53%, e a tarifa social, 21,54%, juntas representam aproximadamente 23% do total do faturamento.</w:t>
      </w:r>
    </w:p>
    <w:p w:rsidR="00560A79" w:rsidRPr="00560A79" w:rsidRDefault="00560A79" w:rsidP="0066661F">
      <w:pPr>
        <w:numPr>
          <w:ilvl w:val="0"/>
          <w:numId w:val="93"/>
        </w:numPr>
        <w:spacing w:before="120" w:after="120"/>
        <w:ind w:left="1423" w:hanging="357"/>
        <w:contextualSpacing/>
        <w:jc w:val="both"/>
        <w:rPr>
          <w:rFonts w:cs="Arial"/>
          <w:szCs w:val="24"/>
          <w:lang w:eastAsia="pt-BR"/>
        </w:rPr>
      </w:pPr>
      <w:r w:rsidRPr="00560A79">
        <w:rPr>
          <w:rFonts w:cs="Arial"/>
          <w:szCs w:val="24"/>
          <w:lang w:eastAsia="pt-BR"/>
        </w:rPr>
        <w:t>O custo de oportunidade do capital é de 2% ao ano (juros compostos).</w:t>
      </w:r>
    </w:p>
    <w:p w:rsidR="00560A79" w:rsidRPr="00560A79" w:rsidRDefault="00560A79" w:rsidP="0066661F">
      <w:pPr>
        <w:numPr>
          <w:ilvl w:val="0"/>
          <w:numId w:val="93"/>
        </w:numPr>
        <w:spacing w:before="120" w:after="120"/>
        <w:ind w:left="1423" w:hanging="357"/>
        <w:contextualSpacing/>
        <w:jc w:val="both"/>
        <w:rPr>
          <w:rFonts w:cs="Arial"/>
          <w:szCs w:val="24"/>
          <w:lang w:eastAsia="pt-BR"/>
        </w:rPr>
      </w:pPr>
      <w:r w:rsidRPr="00560A79">
        <w:rPr>
          <w:rFonts w:cs="Arial"/>
          <w:szCs w:val="24"/>
          <w:lang w:eastAsia="pt-BR"/>
        </w:rPr>
        <w:lastRenderedPageBreak/>
        <w:t>Os custos com despesas financeiras representam juros e impostos, como IOF.</w:t>
      </w:r>
    </w:p>
    <w:p w:rsidR="00560A79" w:rsidRPr="00560A79" w:rsidRDefault="00560A79" w:rsidP="0066661F">
      <w:pPr>
        <w:numPr>
          <w:ilvl w:val="0"/>
          <w:numId w:val="93"/>
        </w:numPr>
        <w:spacing w:before="120" w:after="120"/>
        <w:ind w:left="1423" w:hanging="357"/>
        <w:contextualSpacing/>
        <w:jc w:val="both"/>
        <w:rPr>
          <w:rFonts w:cs="Arial"/>
          <w:szCs w:val="24"/>
          <w:lang w:eastAsia="pt-BR"/>
        </w:rPr>
      </w:pPr>
      <w:r w:rsidRPr="00560A79">
        <w:rPr>
          <w:rFonts w:cs="Arial"/>
          <w:szCs w:val="24"/>
          <w:lang w:eastAsia="pt-BR"/>
        </w:rPr>
        <w:t>Adota-se 0,5% de aumento anual no preço dos produtos químicos, mão de obra terceirizada, salário dos empregados e energia elétrica.</w:t>
      </w:r>
    </w:p>
    <w:p w:rsidR="00560A79" w:rsidRPr="00560A79" w:rsidRDefault="00560A79" w:rsidP="0066661F">
      <w:pPr>
        <w:numPr>
          <w:ilvl w:val="0"/>
          <w:numId w:val="93"/>
        </w:numPr>
        <w:spacing w:before="120" w:after="120"/>
        <w:ind w:left="1423" w:hanging="357"/>
        <w:contextualSpacing/>
        <w:jc w:val="both"/>
        <w:rPr>
          <w:rFonts w:cs="Arial"/>
          <w:szCs w:val="24"/>
          <w:lang w:eastAsia="pt-BR"/>
        </w:rPr>
      </w:pPr>
      <w:r w:rsidRPr="00560A79">
        <w:rPr>
          <w:rFonts w:cs="Arial"/>
          <w:szCs w:val="24"/>
          <w:lang w:eastAsia="pt-BR"/>
        </w:rPr>
        <w:t>A partir das ações de manutenção preventiva e substituição de equipamentos, estima-se a redução de custos com energia elétrica e produtos químicos de 1% ao ano.</w:t>
      </w:r>
    </w:p>
    <w:p w:rsidR="00560A79" w:rsidRPr="00560A79" w:rsidRDefault="00560A79" w:rsidP="0066661F">
      <w:pPr>
        <w:numPr>
          <w:ilvl w:val="0"/>
          <w:numId w:val="93"/>
        </w:numPr>
        <w:spacing w:before="120" w:after="120"/>
        <w:ind w:left="1423" w:hanging="357"/>
        <w:contextualSpacing/>
        <w:jc w:val="both"/>
        <w:rPr>
          <w:rFonts w:cs="Arial"/>
          <w:szCs w:val="24"/>
          <w:lang w:eastAsia="pt-BR"/>
        </w:rPr>
      </w:pPr>
      <w:r w:rsidRPr="00560A79">
        <w:rPr>
          <w:rFonts w:cs="Arial"/>
          <w:szCs w:val="24"/>
          <w:lang w:eastAsia="pt-BR"/>
        </w:rPr>
        <w:t>Adota-se que:</w:t>
      </w:r>
    </w:p>
    <w:p w:rsidR="00560A79" w:rsidRPr="00560A79" w:rsidRDefault="00560A79" w:rsidP="0066661F">
      <w:pPr>
        <w:numPr>
          <w:ilvl w:val="1"/>
          <w:numId w:val="93"/>
        </w:numPr>
        <w:spacing w:before="120" w:after="120" w:line="276" w:lineRule="auto"/>
        <w:contextualSpacing/>
        <w:rPr>
          <w:rFonts w:cs="Arial"/>
          <w:szCs w:val="24"/>
          <w:lang w:eastAsia="pt-BR"/>
        </w:rPr>
      </w:pPr>
      <w:r w:rsidRPr="00560A79">
        <w:rPr>
          <w:rFonts w:cs="Arial"/>
          <w:szCs w:val="24"/>
          <w:lang w:eastAsia="pt-BR"/>
        </w:rPr>
        <w:t>Um domicílio é composto de 3,3 habitantes;</w:t>
      </w:r>
    </w:p>
    <w:p w:rsidR="00560A79" w:rsidRPr="00560A79" w:rsidRDefault="00560A79" w:rsidP="0066661F">
      <w:pPr>
        <w:numPr>
          <w:ilvl w:val="1"/>
          <w:numId w:val="93"/>
        </w:numPr>
        <w:spacing w:before="120" w:after="120" w:line="276" w:lineRule="auto"/>
        <w:contextualSpacing/>
        <w:rPr>
          <w:rFonts w:cs="Arial"/>
          <w:szCs w:val="24"/>
          <w:lang w:eastAsia="pt-BR"/>
        </w:rPr>
      </w:pPr>
      <w:r w:rsidRPr="00560A79">
        <w:rPr>
          <w:rFonts w:cs="Arial"/>
          <w:szCs w:val="24"/>
          <w:lang w:eastAsia="pt-BR"/>
        </w:rPr>
        <w:t>Existe aproximadamente um Médio Gerador a cada 50 domicílios;</w:t>
      </w:r>
    </w:p>
    <w:p w:rsidR="00560A79" w:rsidRPr="00560A79" w:rsidRDefault="00560A79" w:rsidP="0066661F">
      <w:pPr>
        <w:numPr>
          <w:ilvl w:val="1"/>
          <w:numId w:val="93"/>
        </w:numPr>
        <w:spacing w:before="120" w:after="120" w:line="276" w:lineRule="auto"/>
        <w:contextualSpacing/>
        <w:rPr>
          <w:rFonts w:cs="Arial"/>
          <w:szCs w:val="24"/>
          <w:lang w:eastAsia="pt-BR"/>
        </w:rPr>
      </w:pPr>
      <w:r w:rsidRPr="00560A79">
        <w:rPr>
          <w:rFonts w:cs="Arial"/>
          <w:szCs w:val="24"/>
          <w:lang w:eastAsia="pt-BR"/>
        </w:rPr>
        <w:t>Existe aproximadamente um Grande Gerador</w:t>
      </w:r>
      <w:r w:rsidRPr="00560A79">
        <w:rPr>
          <w:rFonts w:cs="Arial"/>
          <w:szCs w:val="24"/>
          <w:lang w:eastAsia="pt-BR"/>
        </w:rPr>
        <w:tab/>
        <w:t>a cada 250 domicílios;</w:t>
      </w:r>
    </w:p>
    <w:p w:rsidR="00560A79" w:rsidRPr="00560A79" w:rsidRDefault="00560A79" w:rsidP="0066661F">
      <w:pPr>
        <w:numPr>
          <w:ilvl w:val="1"/>
          <w:numId w:val="93"/>
        </w:numPr>
        <w:spacing w:before="120" w:after="120" w:line="276" w:lineRule="auto"/>
        <w:contextualSpacing/>
        <w:rPr>
          <w:rFonts w:cs="Arial"/>
          <w:szCs w:val="24"/>
          <w:lang w:eastAsia="pt-BR"/>
        </w:rPr>
      </w:pPr>
      <w:r w:rsidRPr="00560A79">
        <w:rPr>
          <w:rFonts w:cs="Arial"/>
          <w:szCs w:val="24"/>
          <w:lang w:eastAsia="pt-BR"/>
        </w:rPr>
        <w:t>Valor Venal médio para imóvel comercial = R$ 100.000,00;</w:t>
      </w:r>
    </w:p>
    <w:p w:rsidR="00560A79" w:rsidRPr="00560A79" w:rsidRDefault="00560A79" w:rsidP="0066661F">
      <w:pPr>
        <w:numPr>
          <w:ilvl w:val="1"/>
          <w:numId w:val="93"/>
        </w:numPr>
        <w:spacing w:after="200" w:line="276" w:lineRule="auto"/>
        <w:jc w:val="both"/>
        <w:rPr>
          <w:rFonts w:cs="Arial"/>
          <w:szCs w:val="24"/>
          <w:lang w:eastAsia="pt-BR"/>
        </w:rPr>
      </w:pPr>
      <w:r w:rsidRPr="00560A79">
        <w:rPr>
          <w:rFonts w:cs="Arial"/>
          <w:szCs w:val="24"/>
          <w:lang w:eastAsia="pt-BR"/>
        </w:rPr>
        <w:t>A cada infraestrutura de grande porte (aterro, central de reciclagem, etc.) nova no sistema é ocasionado um aumento de 75% nos gastos operacionais.</w:t>
      </w:r>
    </w:p>
    <w:p w:rsidR="00560A79" w:rsidRPr="00560A79" w:rsidRDefault="00560A79" w:rsidP="00560A79">
      <w:pPr>
        <w:spacing w:before="120" w:after="120"/>
        <w:ind w:firstLine="708"/>
        <w:contextualSpacing/>
        <w:jc w:val="both"/>
        <w:rPr>
          <w:rFonts w:cs="Arial"/>
          <w:szCs w:val="24"/>
          <w:lang w:eastAsia="pt-BR"/>
        </w:rPr>
      </w:pPr>
      <w:r w:rsidRPr="00560A79">
        <w:rPr>
          <w:rFonts w:cs="Arial"/>
          <w:szCs w:val="24"/>
          <w:lang w:eastAsia="pt-BR"/>
        </w:rPr>
        <w:t>A receita anual foi estimada a partir das metodologias: Rateio dos custos pelo número de economias, Cálculo baseado no consumo de água e Cálculo baseado na tipologia do gerador. As demais metodologias não foram empregadas devido à alta subjetividade em propor categorização de domicílios (residencial 1, 2 e 3; comercial 1, 2 e 3, etc.).</w:t>
      </w:r>
    </w:p>
    <w:p w:rsidR="00560A79" w:rsidRPr="00560A79" w:rsidRDefault="00560A79" w:rsidP="00560A79">
      <w:pPr>
        <w:spacing w:before="120" w:after="120"/>
        <w:ind w:firstLine="708"/>
        <w:contextualSpacing/>
        <w:jc w:val="both"/>
        <w:rPr>
          <w:rFonts w:cs="Arial"/>
          <w:szCs w:val="24"/>
          <w:lang w:eastAsia="pt-BR"/>
        </w:rPr>
      </w:pPr>
      <w:r w:rsidRPr="00560A79">
        <w:rPr>
          <w:rFonts w:cs="Arial"/>
          <w:szCs w:val="24"/>
          <w:lang w:eastAsia="pt-BR"/>
        </w:rPr>
        <w:t>A estimativa de custos operacionais totais foi realizada a partir dos custos totais unitários e pela projeção da população. Utilizou-se as informações de despesas do SNIS ou fornecidas pelo prestador dos serviços e dividiu-se pela população atendida no mesmo ano e, assim, adquiriu-se valores individualizados dos custos operacionais.</w:t>
      </w:r>
    </w:p>
    <w:p w:rsidR="00560A79" w:rsidRDefault="00560A79" w:rsidP="00560A79">
      <w:pPr>
        <w:spacing w:before="120" w:after="120"/>
        <w:ind w:firstLine="708"/>
        <w:contextualSpacing/>
        <w:jc w:val="both"/>
        <w:rPr>
          <w:rFonts w:cs="Arial"/>
          <w:szCs w:val="24"/>
          <w:lang w:eastAsia="pt-BR"/>
        </w:rPr>
      </w:pPr>
      <w:r w:rsidRPr="00646E1B">
        <w:rPr>
          <w:rFonts w:cs="Arial"/>
          <w:szCs w:val="24"/>
          <w:lang w:eastAsia="pt-BR"/>
        </w:rPr>
        <w:t xml:space="preserve">O </w:t>
      </w:r>
      <w:r w:rsidR="009B7D8E">
        <w:rPr>
          <w:rFonts w:cs="Arial"/>
          <w:szCs w:val="24"/>
          <w:lang w:eastAsia="pt-BR"/>
        </w:rPr>
        <w:fldChar w:fldCharType="begin"/>
      </w:r>
      <w:r w:rsidR="009B7D8E">
        <w:rPr>
          <w:rFonts w:cs="Arial"/>
          <w:szCs w:val="24"/>
          <w:lang w:eastAsia="pt-BR"/>
        </w:rPr>
        <w:instrText xml:space="preserve"> REF _Ref505841429 \h </w:instrText>
      </w:r>
      <w:r w:rsidR="009B7D8E">
        <w:rPr>
          <w:rFonts w:cs="Arial"/>
          <w:szCs w:val="24"/>
          <w:lang w:eastAsia="pt-BR"/>
        </w:rPr>
      </w:r>
      <w:r w:rsidR="009B7D8E">
        <w:rPr>
          <w:rFonts w:cs="Arial"/>
          <w:szCs w:val="24"/>
          <w:lang w:eastAsia="pt-BR"/>
        </w:rPr>
        <w:fldChar w:fldCharType="separate"/>
      </w:r>
      <w:r w:rsidR="001B481B">
        <w:t xml:space="preserve">Anexo </w:t>
      </w:r>
      <w:r w:rsidR="001B481B">
        <w:rPr>
          <w:noProof/>
        </w:rPr>
        <w:t>3</w:t>
      </w:r>
      <w:r w:rsidR="009B7D8E">
        <w:rPr>
          <w:rFonts w:cs="Arial"/>
          <w:szCs w:val="24"/>
          <w:lang w:eastAsia="pt-BR"/>
        </w:rPr>
        <w:fldChar w:fldCharType="end"/>
      </w:r>
      <w:r w:rsidR="009B7D8E">
        <w:rPr>
          <w:rFonts w:cs="Arial"/>
          <w:szCs w:val="24"/>
          <w:lang w:eastAsia="pt-BR"/>
        </w:rPr>
        <w:t xml:space="preserve"> </w:t>
      </w:r>
      <w:r w:rsidRPr="00646E1B">
        <w:rPr>
          <w:rFonts w:cs="Arial"/>
          <w:szCs w:val="24"/>
          <w:lang w:eastAsia="pt-BR"/>
        </w:rPr>
        <w:t>apresenta a projeção da sustentabilidade econômica do setor de resíduos sólidos.</w:t>
      </w:r>
      <w:r w:rsidRPr="00560A79">
        <w:rPr>
          <w:rFonts w:cs="Arial"/>
          <w:szCs w:val="24"/>
          <w:lang w:eastAsia="pt-BR"/>
        </w:rPr>
        <w:t xml:space="preserve"> Segundo os cenários apresentados, concluiu-se que o município não teria capacidade de aporte dos investimentos em 20 anos, visto que as metodologias de taxação preveem o custeio operacional do sistema. Sendo assim, os investimentos deverão ser provenientes de recursos exteriores.</w:t>
      </w:r>
    </w:p>
    <w:p w:rsidR="00810C89" w:rsidRDefault="00810C89" w:rsidP="00560A79">
      <w:pPr>
        <w:spacing w:before="120" w:after="120"/>
        <w:ind w:firstLine="708"/>
        <w:contextualSpacing/>
        <w:jc w:val="both"/>
        <w:rPr>
          <w:rFonts w:cs="Arial"/>
          <w:szCs w:val="24"/>
          <w:lang w:eastAsia="pt-BR"/>
        </w:rPr>
      </w:pPr>
    </w:p>
    <w:p w:rsidR="00810C89" w:rsidRDefault="00810C89" w:rsidP="00560A79">
      <w:pPr>
        <w:spacing w:before="120" w:after="120"/>
        <w:ind w:firstLine="708"/>
        <w:contextualSpacing/>
        <w:jc w:val="both"/>
        <w:rPr>
          <w:rFonts w:cs="Arial"/>
          <w:szCs w:val="24"/>
          <w:lang w:eastAsia="pt-BR"/>
        </w:rPr>
      </w:pPr>
    </w:p>
    <w:p w:rsidR="00A208BD" w:rsidRPr="00181C65" w:rsidRDefault="00A208BD" w:rsidP="00BC01B1">
      <w:pPr>
        <w:pStyle w:val="SHS-Ttulo01"/>
      </w:pPr>
      <w:bookmarkStart w:id="1202" w:name="_Toc504404483"/>
      <w:bookmarkStart w:id="1203" w:name="_Toc509935607"/>
      <w:r w:rsidRPr="00181C65">
        <w:lastRenderedPageBreak/>
        <w:t>Mecanismos e procedimentos para a avaliação sistemática da eficiência e eficácia dos serviços de saneamento e do PMSB</w:t>
      </w:r>
      <w:bookmarkEnd w:id="1202"/>
      <w:bookmarkEnd w:id="1203"/>
      <w:r>
        <w:t xml:space="preserve"> </w:t>
      </w:r>
    </w:p>
    <w:p w:rsidR="00A208BD" w:rsidRDefault="00A208BD" w:rsidP="00A208BD">
      <w:pPr>
        <w:ind w:firstLine="708"/>
        <w:jc w:val="both"/>
      </w:pPr>
      <w:r w:rsidRPr="00175614">
        <w:t xml:space="preserve">Conforme a Lei nº 11.445, de 5 de janeiro de 2007, no art. 9º, inciso VI, deverá ser estabelecido, pelo titular dos serviços de saneamento, um Sistema Municipal de Informações sobre Saneamento (SMIS), articulado com o Sistema Nacional de Informações sobre Saneamento (SNIS). Assim, o PMSB do município </w:t>
      </w:r>
      <w:r w:rsidRPr="0021113E">
        <w:t xml:space="preserve">de </w:t>
      </w:r>
      <w:r w:rsidR="00813DDC" w:rsidRPr="00813DDC">
        <w:t>Córrego Novo</w:t>
      </w:r>
      <w:r w:rsidRPr="0021113E">
        <w:t xml:space="preserve"> fornecerá, aos gestores municipais, um sistema de informações que auxiliará </w:t>
      </w:r>
      <w:r w:rsidRPr="00175614">
        <w:t xml:space="preserve">no gerenciamento dos serviços de saneamento básico do município e apresentará campo para inserção das informações necessárias para a alimentação do SNIS. Esse sistema servirá para avaliação e monitoramento dos serviços de saneamento básico e do desempenho do PMSB, ao longo do horizonte de planejamento. </w:t>
      </w:r>
      <w:r>
        <w:t>O monitoramento será realizado através de indicadores, os quais permitem a avaliação da evolução dos sistemas de saneamento e a efetividade das ações implementadas.</w:t>
      </w:r>
    </w:p>
    <w:p w:rsidR="00A208BD" w:rsidRPr="0079388B" w:rsidRDefault="00A208BD" w:rsidP="008A3E7C">
      <w:pPr>
        <w:ind w:firstLine="708"/>
        <w:jc w:val="both"/>
      </w:pPr>
      <w:r w:rsidRPr="0058671F">
        <w:t>Outra ferramenta importante</w:t>
      </w:r>
      <w:r>
        <w:t>,</w:t>
      </w:r>
      <w:r w:rsidRPr="0058671F">
        <w:t xml:space="preserve"> que auxiliará </w:t>
      </w:r>
      <w:r>
        <w:t>n</w:t>
      </w:r>
      <w:r w:rsidRPr="00175614">
        <w:t>o gerenciamento dos serviços de saneamento básico e n</w:t>
      </w:r>
      <w:r w:rsidRPr="0058671F">
        <w:t>as tomadas de decisões</w:t>
      </w:r>
      <w:r>
        <w:t xml:space="preserve">, </w:t>
      </w:r>
      <w:r w:rsidRPr="0058671F">
        <w:t>é a Base de Dados Espaciais</w:t>
      </w:r>
      <w:r>
        <w:t xml:space="preserve">. Trata-se de </w:t>
      </w:r>
      <w:r w:rsidRPr="0058671F">
        <w:t xml:space="preserve">uma </w:t>
      </w:r>
      <w:r>
        <w:t>B</w:t>
      </w:r>
      <w:r w:rsidRPr="0058671F">
        <w:t xml:space="preserve">ase de </w:t>
      </w:r>
      <w:r>
        <w:t>D</w:t>
      </w:r>
      <w:r w:rsidRPr="0058671F">
        <w:t xml:space="preserve">ados </w:t>
      </w:r>
      <w:r>
        <w:t>G</w:t>
      </w:r>
      <w:r w:rsidRPr="0058671F">
        <w:t>eográficos</w:t>
      </w:r>
      <w:r>
        <w:t xml:space="preserve"> que permite a composição de mapas e o armazenamento de</w:t>
      </w:r>
      <w:r w:rsidRPr="0058671F">
        <w:t xml:space="preserve"> informações sobre os componentes dos Sistemas de Abastecimento de Água, Esgotamento Sanitário, Limpeza Urbana e Manejo de Resíduos Sólidos, e Drenagem Urbana e Manejo de Águas Pluviais, e </w:t>
      </w:r>
      <w:r>
        <w:t>sobre características físicas do município como:</w:t>
      </w:r>
      <w:r w:rsidRPr="0058671F">
        <w:t xml:space="preserve"> l</w:t>
      </w:r>
      <w:r>
        <w:t>ocalização</w:t>
      </w:r>
      <w:r w:rsidRPr="0058671F">
        <w:t xml:space="preserve">, </w:t>
      </w:r>
      <w:r>
        <w:t xml:space="preserve">hidrografia, hidrogeologia, hipsometria, geomorfologia, </w:t>
      </w:r>
      <w:r w:rsidRPr="0079388B">
        <w:t>vegetação e outras que se mostrarem necessárias.</w:t>
      </w:r>
    </w:p>
    <w:p w:rsidR="00A208BD" w:rsidRPr="0079388B" w:rsidRDefault="00A208BD" w:rsidP="00BC01B1">
      <w:pPr>
        <w:pStyle w:val="SHS-Ttulo01"/>
      </w:pPr>
      <w:bookmarkStart w:id="1204" w:name="_Toc499018978"/>
      <w:bookmarkStart w:id="1205" w:name="_Toc499106713"/>
      <w:bookmarkStart w:id="1206" w:name="_Toc499107033"/>
      <w:bookmarkStart w:id="1207" w:name="_Toc499107853"/>
      <w:bookmarkStart w:id="1208" w:name="_Toc499108690"/>
      <w:bookmarkStart w:id="1209" w:name="_Toc499109515"/>
      <w:bookmarkStart w:id="1210" w:name="_Toc499109681"/>
      <w:bookmarkStart w:id="1211" w:name="_Toc499215350"/>
      <w:bookmarkStart w:id="1212" w:name="_Toc504404484"/>
      <w:bookmarkStart w:id="1213" w:name="_Toc509935608"/>
      <w:r w:rsidRPr="0079388B">
        <w:t xml:space="preserve">Sistema Municipal de Informações </w:t>
      </w:r>
      <w:r w:rsidR="00646E1B" w:rsidRPr="0079388B">
        <w:t>sobre</w:t>
      </w:r>
      <w:r w:rsidRPr="0079388B">
        <w:t xml:space="preserve"> Saneamento Básico (SMIS)</w:t>
      </w:r>
      <w:bookmarkEnd w:id="1204"/>
      <w:bookmarkEnd w:id="1205"/>
      <w:bookmarkEnd w:id="1206"/>
      <w:bookmarkEnd w:id="1207"/>
      <w:bookmarkEnd w:id="1208"/>
      <w:bookmarkEnd w:id="1209"/>
      <w:bookmarkEnd w:id="1210"/>
      <w:bookmarkEnd w:id="1211"/>
      <w:bookmarkEnd w:id="1212"/>
      <w:bookmarkEnd w:id="1213"/>
      <w:r w:rsidRPr="0079388B">
        <w:t xml:space="preserve"> </w:t>
      </w:r>
    </w:p>
    <w:p w:rsidR="00A208BD" w:rsidRDefault="00A208BD" w:rsidP="00A208BD">
      <w:pPr>
        <w:ind w:firstLine="708"/>
        <w:jc w:val="both"/>
      </w:pPr>
      <w:r w:rsidRPr="0079388B">
        <w:t>O SMIS é um Sistema de Informação</w:t>
      </w:r>
      <w:r w:rsidRPr="007151D6">
        <w:t xml:space="preserve"> Estratégico (</w:t>
      </w:r>
      <w:r w:rsidRPr="00841358">
        <w:t>SIE), que contém um banco de dados concebido e desenvolvido pela SHS, que poderá ser</w:t>
      </w:r>
      <w:r w:rsidRPr="007151D6">
        <w:t xml:space="preserve"> alimentado periodicamente com as informações coletadas ao longo do desenvolvimento do </w:t>
      </w:r>
      <w:r>
        <w:t>PMSB</w:t>
      </w:r>
      <w:r w:rsidRPr="007151D6">
        <w:t xml:space="preserve">. Os dados a serem utilizados na alimentação desse sistema permitirão analisar a situação dos serviços de saneamento oferecidos e verificar a eficácia da execução do PMSB como um todo. </w:t>
      </w:r>
    </w:p>
    <w:p w:rsidR="00A208BD" w:rsidRDefault="00A208BD" w:rsidP="00A208BD">
      <w:pPr>
        <w:ind w:firstLine="708"/>
        <w:jc w:val="both"/>
      </w:pPr>
      <w:r>
        <w:lastRenderedPageBreak/>
        <w:t>Esse sistema</w:t>
      </w:r>
      <w:r w:rsidRPr="007151D6">
        <w:t xml:space="preserve"> </w:t>
      </w:r>
      <w:r>
        <w:t xml:space="preserve">foi desenvolvido para </w:t>
      </w:r>
      <w:r w:rsidRPr="007151D6">
        <w:t>auxiliar</w:t>
      </w:r>
      <w:r>
        <w:t xml:space="preserve"> </w:t>
      </w:r>
      <w:r w:rsidRPr="007151D6">
        <w:t xml:space="preserve">os gestores municipais </w:t>
      </w:r>
      <w:r>
        <w:t>n</w:t>
      </w:r>
      <w:r w:rsidRPr="007151D6">
        <w:t xml:space="preserve">o gerenciamento do saneamento básico e </w:t>
      </w:r>
      <w:r>
        <w:t xml:space="preserve">na </w:t>
      </w:r>
      <w:r w:rsidRPr="007151D6">
        <w:t>alimenta</w:t>
      </w:r>
      <w:r>
        <w:t>ção</w:t>
      </w:r>
      <w:r w:rsidRPr="007151D6">
        <w:t xml:space="preserve"> </w:t>
      </w:r>
      <w:r>
        <w:t>d</w:t>
      </w:r>
      <w:r w:rsidRPr="007151D6">
        <w:t>o SNIS</w:t>
      </w:r>
      <w:r>
        <w:t xml:space="preserve">. Nele </w:t>
      </w:r>
      <w:r w:rsidRPr="007151D6">
        <w:t>serão inseridos dados brutos (operacionais e gerenciais), tais como: número de habitantes, número de domicílios, volume de água tratada, quantidade total de resíduo</w:t>
      </w:r>
      <w:r>
        <w:t>s</w:t>
      </w:r>
      <w:r w:rsidRPr="007151D6">
        <w:t xml:space="preserve"> coletado</w:t>
      </w:r>
      <w:r>
        <w:t>s</w:t>
      </w:r>
      <w:r w:rsidRPr="007151D6">
        <w:t>, número de reclamações, extensão de tubulação submetida à manutenção corretiva, etc. Posteriormente, esses dados serão processados e fornecerão índices e indicadores (índice de coleta de resíduos sólidos, índice de atendimento por serviços públicos, índice de recuperação de resíduos recicláveis, entre outros) que possibilitarão a obtenção de informações estratégicas, as quais têm como finalidade subsidiar os processos de tomada de decisão (</w:t>
      </w:r>
      <w:r>
        <w:fldChar w:fldCharType="begin"/>
      </w:r>
      <w:r>
        <w:instrText xml:space="preserve"> REF _Ref448417593 \h  \* MERGEFORMAT </w:instrText>
      </w:r>
      <w:r>
        <w:fldChar w:fldCharType="separate"/>
      </w:r>
      <w:r w:rsidR="001B481B">
        <w:t>Figura 10</w:t>
      </w:r>
      <w:r>
        <w:fldChar w:fldCharType="end"/>
      </w:r>
      <w:r w:rsidRPr="007151D6">
        <w:t>).</w:t>
      </w:r>
    </w:p>
    <w:p w:rsidR="00A208BD" w:rsidRPr="00A259B4" w:rsidRDefault="00A208BD" w:rsidP="00E95583">
      <w:pPr>
        <w:pStyle w:val="Legenda"/>
      </w:pPr>
      <w:bookmarkStart w:id="1214" w:name="_Ref448417593"/>
      <w:bookmarkStart w:id="1215" w:name="_Toc499215503"/>
      <w:bookmarkStart w:id="1216" w:name="_Toc503949405"/>
      <w:bookmarkStart w:id="1217" w:name="_Toc509935775"/>
      <w:r>
        <w:t xml:space="preserve">Figura </w:t>
      </w:r>
      <w:r w:rsidR="000A1C78">
        <w:fldChar w:fldCharType="begin"/>
      </w:r>
      <w:r w:rsidR="000A1C78">
        <w:instrText xml:space="preserve"> SEQ Figura \* ARABIC </w:instrText>
      </w:r>
      <w:r w:rsidR="000A1C78">
        <w:fldChar w:fldCharType="separate"/>
      </w:r>
      <w:r w:rsidR="001B481B">
        <w:rPr>
          <w:noProof/>
        </w:rPr>
        <w:t>10</w:t>
      </w:r>
      <w:r w:rsidR="000A1C78">
        <w:rPr>
          <w:noProof/>
        </w:rPr>
        <w:fldChar w:fldCharType="end"/>
      </w:r>
      <w:bookmarkEnd w:id="1214"/>
      <w:r>
        <w:t xml:space="preserve"> -</w:t>
      </w:r>
      <w:r w:rsidRPr="00A259B4">
        <w:t xml:space="preserve"> Fluxograma esquemático do Sistema de Informação</w:t>
      </w:r>
      <w:bookmarkEnd w:id="1215"/>
      <w:bookmarkEnd w:id="1216"/>
      <w:bookmarkEnd w:id="1217"/>
    </w:p>
    <w:p w:rsidR="00A208BD" w:rsidRDefault="00A208BD" w:rsidP="00A208BD">
      <w:pPr>
        <w:pStyle w:val="figura"/>
      </w:pPr>
      <w:r>
        <w:rPr>
          <w:noProof/>
          <w:bdr w:val="single" w:sz="4" w:space="0" w:color="auto"/>
        </w:rPr>
        <w:drawing>
          <wp:inline distT="0" distB="0" distL="0" distR="0" wp14:anchorId="4CEFABB7" wp14:editId="219B5D01">
            <wp:extent cx="5760000" cy="1407780"/>
            <wp:effectExtent l="0" t="0" r="0" b="2540"/>
            <wp:docPr id="2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96" cstate="print"/>
                    <a:srcRect/>
                    <a:stretch>
                      <a:fillRect/>
                    </a:stretch>
                  </pic:blipFill>
                  <pic:spPr bwMode="auto">
                    <a:xfrm>
                      <a:off x="0" y="0"/>
                      <a:ext cx="5760000" cy="1407780"/>
                    </a:xfrm>
                    <a:prstGeom prst="rect">
                      <a:avLst/>
                    </a:prstGeom>
                    <a:noFill/>
                    <a:ln w="9525">
                      <a:noFill/>
                      <a:miter lim="800000"/>
                      <a:headEnd/>
                      <a:tailEnd/>
                    </a:ln>
                  </pic:spPr>
                </pic:pic>
              </a:graphicData>
            </a:graphic>
          </wp:inline>
        </w:drawing>
      </w:r>
    </w:p>
    <w:p w:rsidR="00A208BD" w:rsidRPr="00841358" w:rsidRDefault="00A208BD" w:rsidP="00AC47A2">
      <w:pPr>
        <w:pStyle w:val="Fonte"/>
      </w:pPr>
      <w:r w:rsidRPr="00841358">
        <w:t>Fonte: SHS, 2017.</w:t>
      </w:r>
    </w:p>
    <w:p w:rsidR="00A208BD" w:rsidRDefault="00A208BD" w:rsidP="00A208BD">
      <w:pPr>
        <w:ind w:firstLine="708"/>
        <w:jc w:val="both"/>
      </w:pPr>
      <w:r w:rsidRPr="00841358">
        <w:t>O SMIS foi desenvolvido na plataforma do EXCEL® e é constituído por três pastas: a primeira e a segunda são referentes às análises</w:t>
      </w:r>
      <w:r w:rsidRPr="007151D6">
        <w:t xml:space="preserve"> </w:t>
      </w:r>
      <w:r>
        <w:t xml:space="preserve">e </w:t>
      </w:r>
      <w:r w:rsidRPr="007151D6">
        <w:t xml:space="preserve">ao </w:t>
      </w:r>
      <w:r>
        <w:t>b</w:t>
      </w:r>
      <w:r w:rsidRPr="007151D6">
        <w:t xml:space="preserve">anco de </w:t>
      </w:r>
      <w:r>
        <w:t>dados</w:t>
      </w:r>
      <w:r w:rsidRPr="007151D6">
        <w:t xml:space="preserve">, respectivamente. Dentro delas encontram-se as planilhas referentes aos </w:t>
      </w:r>
      <w:r>
        <w:t>quatro</w:t>
      </w:r>
      <w:r w:rsidRPr="007151D6">
        <w:t xml:space="preserve"> eixos do saneamento </w:t>
      </w:r>
      <w:r w:rsidRPr="00646E1B">
        <w:t>(água, esgoto, drenagem e resíduos sólidos) e também</w:t>
      </w:r>
      <w:r w:rsidRPr="007151D6">
        <w:t xml:space="preserve"> do PMSB como um todo, como apresentado abaixo:</w:t>
      </w:r>
    </w:p>
    <w:p w:rsidR="00646E1B" w:rsidRPr="00841358" w:rsidRDefault="00646E1B" w:rsidP="0066661F">
      <w:pPr>
        <w:pStyle w:val="PargrafodaLista"/>
        <w:numPr>
          <w:ilvl w:val="0"/>
          <w:numId w:val="95"/>
        </w:numPr>
        <w:rPr>
          <w:szCs w:val="24"/>
        </w:rPr>
      </w:pPr>
      <w:r w:rsidRPr="00841358">
        <w:rPr>
          <w:szCs w:val="24"/>
        </w:rPr>
        <w:t>Planilhas de “Análise”: contêm as tabelas e gráficos dinâmicos, além da aba para impressão dos relatórios finais.</w:t>
      </w:r>
    </w:p>
    <w:p w:rsidR="00A208BD" w:rsidRPr="00841358" w:rsidRDefault="00A208BD" w:rsidP="0066661F">
      <w:pPr>
        <w:pStyle w:val="PargrafodaLista"/>
        <w:numPr>
          <w:ilvl w:val="0"/>
          <w:numId w:val="95"/>
        </w:numPr>
        <w:rPr>
          <w:szCs w:val="24"/>
        </w:rPr>
      </w:pPr>
      <w:r w:rsidRPr="007151D6">
        <w:rPr>
          <w:szCs w:val="24"/>
        </w:rPr>
        <w:t xml:space="preserve">Planilhas de “Banco de </w:t>
      </w:r>
      <w:r w:rsidRPr="00841358">
        <w:rPr>
          <w:szCs w:val="24"/>
        </w:rPr>
        <w:t>Dados”: contêm as informações e indicadores do SNIS e outros indicadores definidos durante a elaboração do PMSB.</w:t>
      </w:r>
    </w:p>
    <w:p w:rsidR="00A208BD" w:rsidRPr="0062765A" w:rsidRDefault="00A208BD" w:rsidP="0062765A">
      <w:pPr>
        <w:ind w:firstLine="708"/>
        <w:jc w:val="both"/>
      </w:pPr>
      <w:r w:rsidRPr="0062765A">
        <w:t>A terceira pasta contém os manuais para obtenção dos indicadores e de utilização do sistema.</w:t>
      </w:r>
    </w:p>
    <w:p w:rsidR="00A208BD" w:rsidRPr="007151D6" w:rsidRDefault="00A208BD" w:rsidP="00A208BD">
      <w:pPr>
        <w:ind w:firstLine="708"/>
        <w:jc w:val="both"/>
      </w:pPr>
      <w:r w:rsidRPr="007151D6">
        <w:t xml:space="preserve">Como método de análise optou-se pela utilização de tabelas e gráficos dinâmicos. A Tabela Dinâmica (primeira aba das planilhas de análise) é utilizada para a escolha dos indicadores a serem analisados e do período de análise. Já a Análise </w:t>
      </w:r>
      <w:r w:rsidRPr="007151D6">
        <w:lastRenderedPageBreak/>
        <w:t>Gráfica (segunda aba das planilhas de análise) contém o Gráfico Dinâmico, que é atualizado concomitantemente à Tabela Dinâmica</w:t>
      </w:r>
      <w:r>
        <w:t>,</w:t>
      </w:r>
      <w:r w:rsidRPr="007151D6">
        <w:t xml:space="preserve"> ao serem selecionados os indicadores e os períodos referentes à análise desejada.</w:t>
      </w:r>
    </w:p>
    <w:p w:rsidR="00A208BD" w:rsidRPr="007151D6" w:rsidRDefault="00A208BD" w:rsidP="00A208BD">
      <w:pPr>
        <w:ind w:firstLine="708"/>
        <w:jc w:val="both"/>
      </w:pPr>
      <w:r w:rsidRPr="007151D6">
        <w:t xml:space="preserve">A Tabela Dinâmica é um recurso interessante para bancos de dados com muitas informações, como o </w:t>
      </w:r>
      <w:r>
        <w:t>SMIS</w:t>
      </w:r>
      <w:r w:rsidRPr="007151D6">
        <w:t>, no qual a simples visualização é prejudicada pela grande quantidade de informações. Sendo assim, é indicada para aqueles que deverão lidar com muitos dados e estejam interessados na geração de relatórios de maneira fácil, eficiente e precisa. Esse recurso possibilita:</w:t>
      </w:r>
    </w:p>
    <w:p w:rsidR="00A208BD" w:rsidRPr="007151D6" w:rsidRDefault="00A208BD" w:rsidP="0066661F">
      <w:pPr>
        <w:pStyle w:val="PargrafodaLista"/>
        <w:numPr>
          <w:ilvl w:val="0"/>
          <w:numId w:val="95"/>
        </w:numPr>
        <w:rPr>
          <w:szCs w:val="24"/>
        </w:rPr>
      </w:pPr>
      <w:r w:rsidRPr="007151D6">
        <w:rPr>
          <w:szCs w:val="24"/>
        </w:rPr>
        <w:t>Analisar dados rapidamente</w:t>
      </w:r>
      <w:r>
        <w:rPr>
          <w:szCs w:val="24"/>
        </w:rPr>
        <w:t>.</w:t>
      </w:r>
    </w:p>
    <w:p w:rsidR="00A208BD" w:rsidRPr="007151D6" w:rsidRDefault="00A208BD" w:rsidP="0066661F">
      <w:pPr>
        <w:pStyle w:val="PargrafodaLista"/>
        <w:numPr>
          <w:ilvl w:val="0"/>
          <w:numId w:val="95"/>
        </w:numPr>
        <w:rPr>
          <w:szCs w:val="24"/>
        </w:rPr>
      </w:pPr>
      <w:r w:rsidRPr="007151D6">
        <w:rPr>
          <w:szCs w:val="24"/>
        </w:rPr>
        <w:t>Visualizar apenas informações relevantes</w:t>
      </w:r>
      <w:r>
        <w:rPr>
          <w:szCs w:val="24"/>
        </w:rPr>
        <w:t>.</w:t>
      </w:r>
    </w:p>
    <w:p w:rsidR="00A208BD" w:rsidRPr="007151D6" w:rsidRDefault="00A208BD" w:rsidP="0066661F">
      <w:pPr>
        <w:pStyle w:val="PargrafodaLista"/>
        <w:numPr>
          <w:ilvl w:val="0"/>
          <w:numId w:val="95"/>
        </w:numPr>
        <w:rPr>
          <w:szCs w:val="24"/>
        </w:rPr>
      </w:pPr>
      <w:r w:rsidRPr="007151D6">
        <w:rPr>
          <w:szCs w:val="24"/>
        </w:rPr>
        <w:t>Alterar rapidamente a estrutura de visualização das informações</w:t>
      </w:r>
      <w:r>
        <w:rPr>
          <w:szCs w:val="24"/>
        </w:rPr>
        <w:t>.</w:t>
      </w:r>
    </w:p>
    <w:p w:rsidR="00A208BD" w:rsidRPr="007151D6" w:rsidRDefault="00A208BD" w:rsidP="0066661F">
      <w:pPr>
        <w:pStyle w:val="PargrafodaLista"/>
        <w:numPr>
          <w:ilvl w:val="0"/>
          <w:numId w:val="95"/>
        </w:numPr>
        <w:rPr>
          <w:szCs w:val="24"/>
        </w:rPr>
      </w:pPr>
      <w:r w:rsidRPr="007151D6">
        <w:rPr>
          <w:szCs w:val="24"/>
        </w:rPr>
        <w:t>Criar gráficos que se alteram em função dos dados e estrutura da tabela</w:t>
      </w:r>
      <w:r>
        <w:rPr>
          <w:szCs w:val="24"/>
        </w:rPr>
        <w:t>.</w:t>
      </w:r>
    </w:p>
    <w:p w:rsidR="00A208BD" w:rsidRPr="007151D6" w:rsidRDefault="00A208BD" w:rsidP="0066661F">
      <w:pPr>
        <w:pStyle w:val="PargrafodaLista"/>
        <w:numPr>
          <w:ilvl w:val="0"/>
          <w:numId w:val="95"/>
        </w:numPr>
        <w:rPr>
          <w:szCs w:val="24"/>
        </w:rPr>
      </w:pPr>
      <w:r w:rsidRPr="007151D6">
        <w:rPr>
          <w:szCs w:val="24"/>
        </w:rPr>
        <w:t>Gerar relatórios diversos de forma fácil e instantânea.</w:t>
      </w:r>
    </w:p>
    <w:p w:rsidR="00A208BD" w:rsidRDefault="00A208BD" w:rsidP="00A208BD">
      <w:pPr>
        <w:ind w:firstLine="708"/>
        <w:jc w:val="both"/>
      </w:pPr>
      <w:r>
        <w:t xml:space="preserve">Ressalta-se </w:t>
      </w:r>
      <w:r w:rsidRPr="007151D6">
        <w:t xml:space="preserve">que, para a análise simultânea de múltiplos indicadores, faz-se necessária a escolha de indicadores </w:t>
      </w:r>
      <w:r w:rsidRPr="00841358">
        <w:t>com a mesma unidade</w:t>
      </w:r>
      <w:r w:rsidRPr="007151D6">
        <w:t>.</w:t>
      </w:r>
    </w:p>
    <w:p w:rsidR="00A208BD" w:rsidRDefault="00A208BD" w:rsidP="00A208BD">
      <w:pPr>
        <w:ind w:firstLine="708"/>
        <w:jc w:val="both"/>
      </w:pPr>
      <w:r>
        <w:t xml:space="preserve">Os indicadores a serem utilizados para monitoramento dos serviços de saneamento e do PMSB são apresentados no item </w:t>
      </w:r>
      <w:r w:rsidR="0062765A">
        <w:t>a seguir</w:t>
      </w:r>
      <w:r>
        <w:t>. O</w:t>
      </w:r>
      <w:r w:rsidRPr="00F66181">
        <w:t>s formulários com orientações para a coleta de dados e parâmetros</w:t>
      </w:r>
      <w:r>
        <w:t>,</w:t>
      </w:r>
      <w:r w:rsidRPr="00F66181">
        <w:t xml:space="preserve"> que compõem </w:t>
      </w:r>
      <w:r>
        <w:t xml:space="preserve">os indicadores dos Sistemas de Abastecimento de Água, Esgotamento Sanitário, Drenagem Urbana e Manejo de Águas </w:t>
      </w:r>
      <w:r w:rsidRPr="009B7D8E">
        <w:t>Pluviais e Limpeza Urbana e Manejo de Resíduos Sólidos, são apresentados no</w:t>
      </w:r>
      <w:r w:rsidR="00D93565">
        <w:t xml:space="preserve"> </w:t>
      </w:r>
      <w:r w:rsidR="00D93565">
        <w:fldChar w:fldCharType="begin"/>
      </w:r>
      <w:r w:rsidR="00D93565">
        <w:instrText xml:space="preserve"> REF _Ref505841899 \h </w:instrText>
      </w:r>
      <w:r w:rsidR="00D93565">
        <w:fldChar w:fldCharType="separate"/>
      </w:r>
      <w:r w:rsidR="001B481B">
        <w:t xml:space="preserve">Anexo </w:t>
      </w:r>
      <w:r w:rsidR="001B481B">
        <w:rPr>
          <w:noProof/>
        </w:rPr>
        <w:t>4</w:t>
      </w:r>
      <w:r w:rsidR="00D93565">
        <w:fldChar w:fldCharType="end"/>
      </w:r>
      <w:r w:rsidR="00D93565">
        <w:t xml:space="preserve">, </w:t>
      </w:r>
      <w:r w:rsidR="00D93565">
        <w:fldChar w:fldCharType="begin"/>
      </w:r>
      <w:r w:rsidR="00D93565">
        <w:instrText xml:space="preserve"> REF _Ref505841901 \h </w:instrText>
      </w:r>
      <w:r w:rsidR="00D93565">
        <w:fldChar w:fldCharType="separate"/>
      </w:r>
      <w:r w:rsidR="001B481B">
        <w:t xml:space="preserve">Anexo </w:t>
      </w:r>
      <w:r w:rsidR="001B481B">
        <w:rPr>
          <w:noProof/>
        </w:rPr>
        <w:t>5</w:t>
      </w:r>
      <w:r w:rsidR="00D93565">
        <w:fldChar w:fldCharType="end"/>
      </w:r>
      <w:r w:rsidR="00D93565">
        <w:t xml:space="preserve">, </w:t>
      </w:r>
      <w:r w:rsidR="00D93565">
        <w:fldChar w:fldCharType="begin"/>
      </w:r>
      <w:r w:rsidR="00D93565">
        <w:instrText xml:space="preserve"> REF _Ref505841902 \h </w:instrText>
      </w:r>
      <w:r w:rsidR="00D93565">
        <w:fldChar w:fldCharType="separate"/>
      </w:r>
      <w:r w:rsidR="001B481B">
        <w:t xml:space="preserve">Anexo </w:t>
      </w:r>
      <w:r w:rsidR="001B481B">
        <w:rPr>
          <w:noProof/>
        </w:rPr>
        <w:t>6</w:t>
      </w:r>
      <w:r w:rsidR="00D93565">
        <w:fldChar w:fldCharType="end"/>
      </w:r>
      <w:r w:rsidR="00D93565">
        <w:t xml:space="preserve"> e </w:t>
      </w:r>
      <w:r w:rsidR="00D93565">
        <w:fldChar w:fldCharType="begin"/>
      </w:r>
      <w:r w:rsidR="00D93565">
        <w:instrText xml:space="preserve"> REF _Ref505841904 \h </w:instrText>
      </w:r>
      <w:r w:rsidR="00D93565">
        <w:fldChar w:fldCharType="separate"/>
      </w:r>
      <w:r w:rsidR="001B481B">
        <w:t xml:space="preserve">Anexo </w:t>
      </w:r>
      <w:r w:rsidR="001B481B">
        <w:rPr>
          <w:noProof/>
        </w:rPr>
        <w:t>7</w:t>
      </w:r>
      <w:r w:rsidR="00D93565">
        <w:fldChar w:fldCharType="end"/>
      </w:r>
      <w:r w:rsidRPr="0017713F">
        <w:t>, respectivamente</w:t>
      </w:r>
      <w:r>
        <w:t>.</w:t>
      </w:r>
    </w:p>
    <w:p w:rsidR="00A208BD" w:rsidRDefault="00A208BD" w:rsidP="00A208BD">
      <w:pPr>
        <w:ind w:firstLine="708"/>
        <w:jc w:val="both"/>
      </w:pPr>
      <w:r>
        <w:t>O</w:t>
      </w:r>
      <w:r w:rsidRPr="007151D6">
        <w:t xml:space="preserve"> </w:t>
      </w:r>
      <w:r>
        <w:t>SMIS</w:t>
      </w:r>
      <w:r w:rsidRPr="007151D6">
        <w:t xml:space="preserve"> do presente PMSB </w:t>
      </w:r>
      <w:r>
        <w:t>encontra-se</w:t>
      </w:r>
      <w:r w:rsidRPr="007151D6">
        <w:t xml:space="preserve"> </w:t>
      </w:r>
      <w:r>
        <w:t xml:space="preserve">na mídia digital que acompanha este relatório, juntamente com os manuais de instruções para uso do sistema e formulários para coleta de dados dos principais indicadores. </w:t>
      </w:r>
      <w:r w:rsidRPr="0062765A">
        <w:t>O manual de instruções de uso do SMIS é apresentado no</w:t>
      </w:r>
      <w:r w:rsidR="0062765A">
        <w:t xml:space="preserve"> </w:t>
      </w:r>
      <w:r w:rsidR="00D93565">
        <w:fldChar w:fldCharType="begin"/>
      </w:r>
      <w:r w:rsidR="00D93565">
        <w:instrText xml:space="preserve"> REF _Ref505841924 \h </w:instrText>
      </w:r>
      <w:r w:rsidR="00D93565">
        <w:fldChar w:fldCharType="separate"/>
      </w:r>
      <w:r w:rsidR="001B481B">
        <w:t xml:space="preserve">Anexo </w:t>
      </w:r>
      <w:r w:rsidR="001B481B">
        <w:rPr>
          <w:noProof/>
        </w:rPr>
        <w:t>8</w:t>
      </w:r>
      <w:r w:rsidR="00D93565">
        <w:fldChar w:fldCharType="end"/>
      </w:r>
      <w:r w:rsidR="0062765A">
        <w:t>.</w:t>
      </w:r>
    </w:p>
    <w:p w:rsidR="00BE7A5C" w:rsidRPr="00813DDC" w:rsidRDefault="00F77E63" w:rsidP="00BC01B1">
      <w:pPr>
        <w:pStyle w:val="SHS-Ttulo01"/>
      </w:pPr>
      <w:bookmarkStart w:id="1218" w:name="_Toc509935609"/>
      <w:r w:rsidRPr="00813DDC">
        <w:t>Indicadores para monitoramento dos serviços de saneamento básico e do PMSB</w:t>
      </w:r>
      <w:bookmarkEnd w:id="1218"/>
      <w:r w:rsidRPr="00813DDC">
        <w:t xml:space="preserve"> </w:t>
      </w:r>
    </w:p>
    <w:p w:rsidR="00813DDC" w:rsidRPr="00813DDC" w:rsidRDefault="00813DDC" w:rsidP="00813DDC">
      <w:pPr>
        <w:ind w:firstLine="709"/>
        <w:jc w:val="both"/>
      </w:pPr>
      <w:r w:rsidRPr="00813DDC">
        <w:t>Para que se possa avaliar se o Plano Municipal de Saneamento Básico está sendo implementado necessita-se de indicadores que permitam esse acompanhamento. Dessa maneira, criou-se o Indicador de ações (I</w:t>
      </w:r>
      <w:r w:rsidRPr="00813DDC">
        <w:rPr>
          <w:vertAlign w:val="subscript"/>
        </w:rPr>
        <w:t>ações</w:t>
      </w:r>
      <w:r w:rsidRPr="00813DDC">
        <w:t xml:space="preserve">), que permite </w:t>
      </w:r>
      <w:r w:rsidRPr="00813DDC">
        <w:lastRenderedPageBreak/>
        <w:t>avaliar a evolução do PMSB ou monitorar as atividades desenvolvidas, segundo vários aspectos, quais sejam:</w:t>
      </w:r>
    </w:p>
    <w:p w:rsidR="00813DDC" w:rsidRPr="00813DDC" w:rsidRDefault="00813DDC" w:rsidP="00813DDC">
      <w:pPr>
        <w:ind w:firstLine="709"/>
        <w:jc w:val="both"/>
      </w:pPr>
    </w:p>
    <w:p w:rsidR="00813DDC" w:rsidRPr="00813DDC" w:rsidRDefault="00813DDC" w:rsidP="0066661F">
      <w:pPr>
        <w:numPr>
          <w:ilvl w:val="0"/>
          <w:numId w:val="105"/>
        </w:numPr>
        <w:contextualSpacing/>
        <w:jc w:val="both"/>
        <w:rPr>
          <w:rFonts w:eastAsia="Times New Roman"/>
          <w:szCs w:val="20"/>
        </w:rPr>
      </w:pPr>
      <w:r w:rsidRPr="00813DDC">
        <w:rPr>
          <w:rFonts w:eastAsia="Times New Roman"/>
          <w:szCs w:val="20"/>
        </w:rPr>
        <w:t>Avaliar a evolução do saneamento básico municipal ao longo de 20 anos. Nesse caso a notação do indicador é a seguinte:</w:t>
      </w:r>
    </w:p>
    <w:p w:rsidR="00813DDC" w:rsidRPr="00813DDC" w:rsidRDefault="00813DDC" w:rsidP="00813DDC">
      <w:pPr>
        <w:ind w:left="1429"/>
        <w:contextualSpacing/>
        <w:jc w:val="both"/>
        <w:rPr>
          <w:rFonts w:eastAsia="Times New Roman"/>
          <w:szCs w:val="20"/>
        </w:rPr>
      </w:pPr>
    </w:p>
    <w:p w:rsidR="00813DDC" w:rsidRPr="00813DDC" w:rsidRDefault="00813DDC" w:rsidP="00813DDC">
      <w:pPr>
        <w:rPr>
          <w:sz w:val="22"/>
        </w:rPr>
      </w:pPr>
      <m:oMathPara>
        <m:oMath>
          <m:r>
            <w:rPr>
              <w:rFonts w:ascii="Cambria Math" w:hAnsi="Cambria Math"/>
              <w:sz w:val="22"/>
            </w:rPr>
            <m:t>Iações=</m:t>
          </m:r>
          <m:f>
            <m:fPr>
              <m:ctrlPr>
                <w:rPr>
                  <w:rFonts w:ascii="Cambria Math" w:hAnsi="Cambria Math"/>
                  <w:i/>
                  <w:sz w:val="22"/>
                </w:rPr>
              </m:ctrlPr>
            </m:fPr>
            <m:num>
              <m:r>
                <w:rPr>
                  <w:rFonts w:ascii="Cambria Math" w:hAnsi="Cambria Math"/>
                  <w:sz w:val="22"/>
                </w:rPr>
                <m:t>Total de ações implantadas</m:t>
              </m:r>
            </m:num>
            <m:den>
              <m:r>
                <w:rPr>
                  <w:rFonts w:ascii="Cambria Math" w:hAnsi="Cambria Math"/>
                  <w:sz w:val="22"/>
                </w:rPr>
                <m:t>Total de ações propostas pelo PMSB</m:t>
              </m:r>
            </m:den>
          </m:f>
        </m:oMath>
      </m:oMathPara>
    </w:p>
    <w:p w:rsidR="00813DDC" w:rsidRPr="00813DDC" w:rsidRDefault="00813DDC" w:rsidP="00813DDC"/>
    <w:p w:rsidR="00813DDC" w:rsidRPr="00813DDC" w:rsidRDefault="00813DDC" w:rsidP="0066661F">
      <w:pPr>
        <w:numPr>
          <w:ilvl w:val="0"/>
          <w:numId w:val="105"/>
        </w:numPr>
        <w:contextualSpacing/>
        <w:jc w:val="both"/>
        <w:rPr>
          <w:rFonts w:eastAsia="Times New Roman"/>
          <w:szCs w:val="20"/>
        </w:rPr>
      </w:pPr>
      <w:r w:rsidRPr="00813DDC">
        <w:rPr>
          <w:rFonts w:eastAsia="Times New Roman"/>
          <w:szCs w:val="20"/>
        </w:rPr>
        <w:t>Avaliar a evolução do saneamento básico municipal, por período considerado (imediato, curto, médio e longo prazos). Nesse caso os indicadores são os seguintes:</w:t>
      </w:r>
    </w:p>
    <w:p w:rsidR="00813DDC" w:rsidRPr="00813DDC" w:rsidRDefault="00813DDC" w:rsidP="00813DDC">
      <w:pPr>
        <w:rPr>
          <w:i/>
          <w:sz w:val="22"/>
        </w:rPr>
      </w:pPr>
    </w:p>
    <w:p w:rsidR="00813DDC" w:rsidRPr="00813DDC" w:rsidRDefault="00813DDC" w:rsidP="00813DDC">
      <w:pPr>
        <w:rPr>
          <w:rFonts w:ascii="Cambria Math" w:hAnsi="Cambria Math"/>
          <w:i/>
          <w:sz w:val="22"/>
        </w:rPr>
      </w:pPr>
      <m:oMathPara>
        <m:oMath>
          <m:r>
            <w:rPr>
              <w:rFonts w:ascii="Cambria Math" w:hAnsi="Cambria Math"/>
              <w:sz w:val="22"/>
            </w:rPr>
            <m:t>Iaimediato=</m:t>
          </m:r>
          <m:f>
            <m:fPr>
              <m:ctrlPr>
                <w:rPr>
                  <w:rFonts w:ascii="Cambria Math" w:hAnsi="Cambria Math"/>
                  <w:i/>
                  <w:sz w:val="22"/>
                </w:rPr>
              </m:ctrlPr>
            </m:fPr>
            <m:num>
              <m:r>
                <w:rPr>
                  <w:rFonts w:ascii="Cambria Math" w:hAnsi="Cambria Math"/>
                  <w:sz w:val="22"/>
                </w:rPr>
                <m:t>Total de ações imediatas implantadas</m:t>
              </m:r>
            </m:num>
            <m:den>
              <m:r>
                <w:rPr>
                  <w:rFonts w:ascii="Cambria Math" w:hAnsi="Cambria Math"/>
                  <w:sz w:val="22"/>
                </w:rPr>
                <m:t>Total de ações imediatas sugeridas</m:t>
              </m:r>
            </m:den>
          </m:f>
        </m:oMath>
      </m:oMathPara>
    </w:p>
    <w:p w:rsidR="00813DDC" w:rsidRPr="00813DDC" w:rsidRDefault="00813DDC" w:rsidP="00813DDC">
      <w:pPr>
        <w:rPr>
          <w:rFonts w:ascii="Cambria Math" w:hAnsi="Cambria Math"/>
          <w:i/>
          <w:sz w:val="22"/>
        </w:rPr>
      </w:pPr>
    </w:p>
    <w:p w:rsidR="00813DDC" w:rsidRPr="00813DDC" w:rsidRDefault="00813DDC" w:rsidP="00813DDC">
      <w:pPr>
        <w:rPr>
          <w:rFonts w:ascii="Cambria Math" w:hAnsi="Cambria Math"/>
          <w:i/>
          <w:sz w:val="22"/>
        </w:rPr>
      </w:pPr>
      <m:oMathPara>
        <m:oMath>
          <m:r>
            <w:rPr>
              <w:rFonts w:ascii="Cambria Math" w:hAnsi="Cambria Math"/>
              <w:sz w:val="22"/>
            </w:rPr>
            <m:t>Iacurto=</m:t>
          </m:r>
          <m:f>
            <m:fPr>
              <m:ctrlPr>
                <w:rPr>
                  <w:rFonts w:ascii="Cambria Math" w:hAnsi="Cambria Math"/>
                  <w:i/>
                  <w:sz w:val="22"/>
                </w:rPr>
              </m:ctrlPr>
            </m:fPr>
            <m:num>
              <m:r>
                <w:rPr>
                  <w:rFonts w:ascii="Cambria Math" w:hAnsi="Cambria Math"/>
                  <w:sz w:val="22"/>
                </w:rPr>
                <m:t>Total de ações implantadas em curto prazo</m:t>
              </m:r>
            </m:num>
            <m:den>
              <m:r>
                <w:rPr>
                  <w:rFonts w:ascii="Cambria Math" w:hAnsi="Cambria Math"/>
                  <w:sz w:val="22"/>
                </w:rPr>
                <m:t>Total de ações sugeridas para curto prazo</m:t>
              </m:r>
            </m:den>
          </m:f>
        </m:oMath>
      </m:oMathPara>
    </w:p>
    <w:p w:rsidR="00813DDC" w:rsidRPr="00813DDC" w:rsidRDefault="00813DDC" w:rsidP="00813DDC"/>
    <w:p w:rsidR="00813DDC" w:rsidRPr="00813DDC" w:rsidRDefault="00813DDC" w:rsidP="00813DDC">
      <w:pPr>
        <w:rPr>
          <w:rFonts w:ascii="Cambria Math" w:hAnsi="Cambria Math"/>
          <w:i/>
          <w:sz w:val="22"/>
        </w:rPr>
      </w:pPr>
      <m:oMathPara>
        <m:oMath>
          <m:r>
            <w:rPr>
              <w:rFonts w:ascii="Cambria Math" w:hAnsi="Cambria Math"/>
              <w:sz w:val="22"/>
            </w:rPr>
            <m:t>Iamédio=</m:t>
          </m:r>
          <m:f>
            <m:fPr>
              <m:ctrlPr>
                <w:rPr>
                  <w:rFonts w:ascii="Cambria Math" w:hAnsi="Cambria Math"/>
                  <w:i/>
                  <w:sz w:val="22"/>
                </w:rPr>
              </m:ctrlPr>
            </m:fPr>
            <m:num>
              <m:r>
                <w:rPr>
                  <w:rFonts w:ascii="Cambria Math" w:hAnsi="Cambria Math"/>
                  <w:sz w:val="22"/>
                </w:rPr>
                <m:t>Total de ações implantadas em médio prazo</m:t>
              </m:r>
            </m:num>
            <m:den>
              <m:r>
                <w:rPr>
                  <w:rFonts w:ascii="Cambria Math" w:hAnsi="Cambria Math"/>
                  <w:sz w:val="22"/>
                </w:rPr>
                <m:t>Total de ações sugeridas para médio prazo</m:t>
              </m:r>
            </m:den>
          </m:f>
        </m:oMath>
      </m:oMathPara>
    </w:p>
    <w:p w:rsidR="00813DDC" w:rsidRPr="00813DDC" w:rsidRDefault="00813DDC" w:rsidP="00813DDC"/>
    <w:p w:rsidR="00813DDC" w:rsidRPr="00813DDC" w:rsidRDefault="00813DDC" w:rsidP="00813DDC">
      <w:pPr>
        <w:rPr>
          <w:rFonts w:ascii="Cambria Math" w:hAnsi="Cambria Math"/>
          <w:i/>
          <w:sz w:val="22"/>
        </w:rPr>
      </w:pPr>
      <m:oMathPara>
        <m:oMath>
          <m:r>
            <w:rPr>
              <w:rFonts w:ascii="Cambria Math" w:hAnsi="Cambria Math"/>
              <w:sz w:val="22"/>
            </w:rPr>
            <m:t>Ialongo=</m:t>
          </m:r>
          <m:f>
            <m:fPr>
              <m:ctrlPr>
                <w:rPr>
                  <w:rFonts w:ascii="Cambria Math" w:hAnsi="Cambria Math"/>
                  <w:i/>
                  <w:sz w:val="22"/>
                </w:rPr>
              </m:ctrlPr>
            </m:fPr>
            <m:num>
              <m:r>
                <w:rPr>
                  <w:rFonts w:ascii="Cambria Math" w:hAnsi="Cambria Math"/>
                  <w:sz w:val="22"/>
                </w:rPr>
                <m:t>Total de ações implantadas em longo prazo</m:t>
              </m:r>
            </m:num>
            <m:den>
              <m:r>
                <w:rPr>
                  <w:rFonts w:ascii="Cambria Math" w:hAnsi="Cambria Math"/>
                  <w:sz w:val="22"/>
                </w:rPr>
                <m:t>Total de ações sugeridas para longo prazo</m:t>
              </m:r>
            </m:den>
          </m:f>
        </m:oMath>
      </m:oMathPara>
    </w:p>
    <w:p w:rsidR="00813DDC" w:rsidRPr="00813DDC" w:rsidRDefault="00813DDC" w:rsidP="00813DDC">
      <w:pPr>
        <w:spacing w:before="120" w:after="120"/>
        <w:ind w:firstLine="708"/>
        <w:contextualSpacing/>
        <w:jc w:val="both"/>
        <w:rPr>
          <w:rFonts w:cs="Arial"/>
          <w:szCs w:val="24"/>
        </w:rPr>
      </w:pPr>
    </w:p>
    <w:p w:rsidR="00813DDC" w:rsidRPr="00813DDC" w:rsidRDefault="00813DDC" w:rsidP="0066661F">
      <w:pPr>
        <w:numPr>
          <w:ilvl w:val="0"/>
          <w:numId w:val="105"/>
        </w:numPr>
        <w:contextualSpacing/>
        <w:jc w:val="both"/>
        <w:rPr>
          <w:rFonts w:eastAsia="Times New Roman"/>
          <w:szCs w:val="20"/>
        </w:rPr>
      </w:pPr>
      <w:r w:rsidRPr="00813DDC">
        <w:rPr>
          <w:rFonts w:eastAsia="Times New Roman"/>
          <w:szCs w:val="20"/>
        </w:rPr>
        <w:t>Avaliar a evolução de cada setor do saneamento ao longo de 20 anos. Nesse caso, as notações dos indicadores são as seguintes:</w:t>
      </w:r>
    </w:p>
    <w:p w:rsidR="00813DDC" w:rsidRPr="00813DDC" w:rsidRDefault="00813DDC" w:rsidP="00813DDC">
      <w:pPr>
        <w:contextualSpacing/>
        <w:jc w:val="both"/>
        <w:rPr>
          <w:rFonts w:ascii="Cambria Math" w:eastAsia="Times New Roman" w:hAnsi="Cambria Math"/>
          <w:i/>
          <w:sz w:val="22"/>
          <w:szCs w:val="20"/>
        </w:rPr>
      </w:pPr>
      <m:oMathPara>
        <m:oMath>
          <m:r>
            <w:rPr>
              <w:rFonts w:ascii="Cambria Math" w:eastAsia="Times New Roman" w:hAnsi="Cambria Math"/>
              <w:sz w:val="22"/>
              <w:szCs w:val="20"/>
            </w:rPr>
            <m:t>Ia_água=</m:t>
          </m:r>
          <m:f>
            <m:fPr>
              <m:ctrlPr>
                <w:rPr>
                  <w:rFonts w:ascii="Cambria Math" w:eastAsia="Times New Roman" w:hAnsi="Cambria Math"/>
                  <w:i/>
                  <w:sz w:val="22"/>
                  <w:szCs w:val="20"/>
                </w:rPr>
              </m:ctrlPr>
            </m:fPr>
            <m:num>
              <m:r>
                <w:rPr>
                  <w:rFonts w:ascii="Cambria Math" w:eastAsia="Times New Roman" w:hAnsi="Cambria Math"/>
                  <w:sz w:val="22"/>
                  <w:szCs w:val="20"/>
                </w:rPr>
                <m:t>Total de ações do setor de água implantadas</m:t>
              </m:r>
            </m:num>
            <m:den>
              <m:r>
                <w:rPr>
                  <w:rFonts w:ascii="Cambria Math" w:eastAsia="Times New Roman" w:hAnsi="Cambria Math"/>
                  <w:sz w:val="22"/>
                  <w:szCs w:val="20"/>
                </w:rPr>
                <m:t>Total de ações do setor de água propostas</m:t>
              </m:r>
            </m:den>
          </m:f>
        </m:oMath>
      </m:oMathPara>
    </w:p>
    <w:p w:rsidR="00813DDC" w:rsidRPr="00813DDC" w:rsidRDefault="00813DDC" w:rsidP="00813DDC">
      <w:pPr>
        <w:contextualSpacing/>
        <w:jc w:val="both"/>
        <w:rPr>
          <w:rFonts w:ascii="Cambria Math" w:eastAsia="Times New Roman" w:hAnsi="Cambria Math"/>
          <w:i/>
          <w:sz w:val="22"/>
          <w:szCs w:val="20"/>
        </w:rPr>
      </w:pPr>
    </w:p>
    <w:p w:rsidR="00813DDC" w:rsidRPr="00813DDC" w:rsidRDefault="00813DDC" w:rsidP="00813DDC">
      <w:pPr>
        <w:contextualSpacing/>
        <w:jc w:val="both"/>
        <w:rPr>
          <w:rFonts w:ascii="Cambria Math" w:eastAsia="Times New Roman" w:hAnsi="Cambria Math"/>
          <w:i/>
          <w:sz w:val="22"/>
          <w:szCs w:val="20"/>
        </w:rPr>
      </w:pPr>
      <m:oMathPara>
        <m:oMath>
          <m:r>
            <w:rPr>
              <w:rFonts w:ascii="Cambria Math" w:eastAsia="Times New Roman" w:hAnsi="Cambria Math"/>
              <w:sz w:val="22"/>
              <w:szCs w:val="20"/>
            </w:rPr>
            <m:t>Ia_esgotos=</m:t>
          </m:r>
          <m:f>
            <m:fPr>
              <m:ctrlPr>
                <w:rPr>
                  <w:rFonts w:ascii="Cambria Math" w:eastAsia="Times New Roman" w:hAnsi="Cambria Math"/>
                  <w:i/>
                  <w:sz w:val="22"/>
                  <w:szCs w:val="20"/>
                </w:rPr>
              </m:ctrlPr>
            </m:fPr>
            <m:num>
              <m:r>
                <w:rPr>
                  <w:rFonts w:ascii="Cambria Math" w:eastAsia="Times New Roman" w:hAnsi="Cambria Math"/>
                  <w:sz w:val="22"/>
                  <w:szCs w:val="20"/>
                </w:rPr>
                <m:t>Total de ações do setor de esgot</m:t>
              </m:r>
              <m:r>
                <w:rPr>
                  <w:rFonts w:ascii="Cambria Math" w:eastAsia="Times New Roman" w:hAnsi="Cambria Math"/>
                  <w:sz w:val="22"/>
                  <w:szCs w:val="20"/>
                </w:rPr>
                <m:t>os implantadas</m:t>
              </m:r>
            </m:num>
            <m:den>
              <m:r>
                <w:rPr>
                  <w:rFonts w:ascii="Cambria Math" w:eastAsia="Times New Roman" w:hAnsi="Cambria Math"/>
                  <w:sz w:val="22"/>
                  <w:szCs w:val="20"/>
                </w:rPr>
                <m:t>Total de ações do setor de esgotos propostas</m:t>
              </m:r>
            </m:den>
          </m:f>
        </m:oMath>
      </m:oMathPara>
    </w:p>
    <w:p w:rsidR="00813DDC" w:rsidRPr="00813DDC" w:rsidRDefault="00813DDC" w:rsidP="00813DDC">
      <w:pPr>
        <w:ind w:left="1429"/>
        <w:contextualSpacing/>
        <w:jc w:val="both"/>
        <w:rPr>
          <w:rFonts w:eastAsia="Times New Roman"/>
          <w:szCs w:val="20"/>
        </w:rPr>
      </w:pPr>
    </w:p>
    <w:p w:rsidR="00813DDC" w:rsidRPr="00813DDC" w:rsidRDefault="00813DDC" w:rsidP="00813DDC">
      <w:pPr>
        <w:contextualSpacing/>
        <w:jc w:val="both"/>
        <w:rPr>
          <w:rFonts w:ascii="Cambria Math" w:eastAsia="Times New Roman" w:hAnsi="Cambria Math"/>
          <w:i/>
          <w:sz w:val="22"/>
          <w:szCs w:val="20"/>
        </w:rPr>
      </w:pPr>
      <m:oMathPara>
        <m:oMath>
          <m:r>
            <w:rPr>
              <w:rFonts w:ascii="Cambria Math" w:eastAsia="Times New Roman" w:hAnsi="Cambria Math"/>
              <w:sz w:val="22"/>
              <w:szCs w:val="20"/>
            </w:rPr>
            <m:t>Ia_drenagem=</m:t>
          </m:r>
          <m:f>
            <m:fPr>
              <m:ctrlPr>
                <w:rPr>
                  <w:rFonts w:ascii="Cambria Math" w:eastAsia="Times New Roman" w:hAnsi="Cambria Math"/>
                  <w:i/>
                  <w:sz w:val="22"/>
                  <w:szCs w:val="20"/>
                </w:rPr>
              </m:ctrlPr>
            </m:fPr>
            <m:num>
              <m:r>
                <w:rPr>
                  <w:rFonts w:ascii="Cambria Math" w:eastAsia="Times New Roman" w:hAnsi="Cambria Math"/>
                  <w:sz w:val="22"/>
                  <w:szCs w:val="20"/>
                </w:rPr>
                <m:t>Total de ações do setor de drenagem implantadas</m:t>
              </m:r>
            </m:num>
            <m:den>
              <m:r>
                <w:rPr>
                  <w:rFonts w:ascii="Cambria Math" w:eastAsia="Times New Roman" w:hAnsi="Cambria Math"/>
                  <w:sz w:val="22"/>
                  <w:szCs w:val="20"/>
                </w:rPr>
                <m:t>Total de ações do setor de drenagem propostas</m:t>
              </m:r>
            </m:den>
          </m:f>
        </m:oMath>
      </m:oMathPara>
    </w:p>
    <w:p w:rsidR="00813DDC" w:rsidRPr="00813DDC" w:rsidRDefault="00813DDC" w:rsidP="00813DDC">
      <w:pPr>
        <w:contextualSpacing/>
        <w:jc w:val="both"/>
        <w:rPr>
          <w:rFonts w:ascii="Cambria Math" w:eastAsia="Times New Roman" w:hAnsi="Cambria Math"/>
          <w:i/>
          <w:sz w:val="22"/>
          <w:szCs w:val="20"/>
        </w:rPr>
      </w:pPr>
      <m:oMathPara>
        <m:oMath>
          <m:r>
            <w:rPr>
              <w:rFonts w:ascii="Cambria Math" w:eastAsia="Times New Roman" w:hAnsi="Cambria Math"/>
              <w:sz w:val="22"/>
              <w:szCs w:val="20"/>
            </w:rPr>
            <w:lastRenderedPageBreak/>
            <m:t>Ia_resíduos=</m:t>
          </m:r>
          <m:f>
            <m:fPr>
              <m:ctrlPr>
                <w:rPr>
                  <w:rFonts w:ascii="Cambria Math" w:eastAsia="Times New Roman" w:hAnsi="Cambria Math"/>
                  <w:i/>
                  <w:sz w:val="22"/>
                  <w:szCs w:val="20"/>
                </w:rPr>
              </m:ctrlPr>
            </m:fPr>
            <m:num>
              <m:r>
                <w:rPr>
                  <w:rFonts w:ascii="Cambria Math" w:eastAsia="Times New Roman" w:hAnsi="Cambria Math"/>
                  <w:sz w:val="22"/>
                  <w:szCs w:val="20"/>
                </w:rPr>
                <m:t>Total de ações do setor de resíduos implantadas</m:t>
              </m:r>
            </m:num>
            <m:den>
              <m:r>
                <w:rPr>
                  <w:rFonts w:ascii="Cambria Math" w:eastAsia="Times New Roman" w:hAnsi="Cambria Math"/>
                  <w:sz w:val="22"/>
                  <w:szCs w:val="20"/>
                </w:rPr>
                <m:t>Total de ações do setor de resíduos propostas</m:t>
              </m:r>
            </m:den>
          </m:f>
        </m:oMath>
      </m:oMathPara>
    </w:p>
    <w:p w:rsidR="00813DDC" w:rsidRPr="00813DDC" w:rsidRDefault="00813DDC" w:rsidP="00813DDC">
      <w:pPr>
        <w:spacing w:before="120" w:after="120"/>
        <w:ind w:firstLine="708"/>
        <w:contextualSpacing/>
        <w:jc w:val="both"/>
        <w:rPr>
          <w:rFonts w:cs="Arial"/>
          <w:szCs w:val="24"/>
        </w:rPr>
      </w:pPr>
    </w:p>
    <w:p w:rsidR="00813DDC" w:rsidRPr="00813DDC" w:rsidRDefault="00813DDC" w:rsidP="00813DDC">
      <w:pPr>
        <w:spacing w:before="120" w:after="120"/>
        <w:ind w:firstLine="708"/>
        <w:contextualSpacing/>
        <w:jc w:val="both"/>
        <w:rPr>
          <w:rFonts w:cs="Arial"/>
          <w:szCs w:val="24"/>
        </w:rPr>
      </w:pPr>
      <w:r w:rsidRPr="00813DDC">
        <w:rPr>
          <w:rFonts w:cs="Arial"/>
          <w:szCs w:val="24"/>
        </w:rPr>
        <w:t>- Avaliar a evolução de cada setor dentro dos períodos considerados. Nesse caso os indicadores apresentarão as seguintes notações:</w:t>
      </w:r>
    </w:p>
    <w:p w:rsidR="00813DDC" w:rsidRPr="00813DDC" w:rsidRDefault="00813DDC" w:rsidP="00813DDC">
      <w:pPr>
        <w:spacing w:before="120" w:after="120"/>
        <w:ind w:firstLine="708"/>
        <w:contextualSpacing/>
        <w:jc w:val="both"/>
        <w:rPr>
          <w:rFonts w:cs="Arial"/>
          <w:szCs w:val="24"/>
        </w:rPr>
      </w:pPr>
    </w:p>
    <w:p w:rsidR="00813DDC" w:rsidRPr="00813DDC" w:rsidRDefault="00813DDC" w:rsidP="00813DDC">
      <w:pPr>
        <w:contextualSpacing/>
        <w:jc w:val="both"/>
        <w:rPr>
          <w:rFonts w:cs="Arial"/>
          <w:szCs w:val="24"/>
        </w:rPr>
      </w:pPr>
      <w:r w:rsidRPr="00813DDC">
        <w:rPr>
          <w:rFonts w:cs="Arial"/>
          <w:szCs w:val="24"/>
          <w:u w:val="single"/>
        </w:rPr>
        <w:t>Prazo imediato</w:t>
      </w:r>
      <w:r w:rsidRPr="00813DDC">
        <w:rPr>
          <w:rFonts w:cs="Arial"/>
          <w:szCs w:val="24"/>
        </w:rPr>
        <w:t xml:space="preserve">: </w:t>
      </w:r>
    </w:p>
    <w:p w:rsidR="00813DDC" w:rsidRPr="00813DDC" w:rsidRDefault="00813DDC" w:rsidP="00813DDC">
      <w:pPr>
        <w:contextualSpacing/>
        <w:jc w:val="both"/>
        <w:rPr>
          <w:rFonts w:ascii="Cambria Math" w:eastAsia="Times New Roman" w:hAnsi="Cambria Math"/>
          <w:i/>
          <w:sz w:val="22"/>
          <w:szCs w:val="20"/>
        </w:rPr>
      </w:pPr>
      <m:oMathPara>
        <m:oMath>
          <m:r>
            <w:rPr>
              <w:rFonts w:ascii="Cambria Math" w:eastAsia="Times New Roman" w:hAnsi="Cambria Math"/>
              <w:sz w:val="22"/>
              <w:szCs w:val="20"/>
            </w:rPr>
            <m:t>I</m:t>
          </m:r>
          <m:sSub>
            <m:sSubPr>
              <m:ctrlPr>
                <w:rPr>
                  <w:rFonts w:ascii="Cambria Math" w:eastAsia="Times New Roman" w:hAnsi="Cambria Math"/>
                  <w:i/>
                  <w:sz w:val="22"/>
                  <w:szCs w:val="20"/>
                </w:rPr>
              </m:ctrlPr>
            </m:sSubPr>
            <m:e>
              <m:r>
                <w:rPr>
                  <w:rFonts w:ascii="Cambria Math" w:eastAsia="Times New Roman" w:hAnsi="Cambria Math"/>
                  <w:sz w:val="22"/>
                  <w:szCs w:val="20"/>
                </w:rPr>
                <m:t>a</m:t>
              </m:r>
            </m:e>
            <m:sub>
              <m:r>
                <w:rPr>
                  <w:rFonts w:ascii="Cambria Math" w:eastAsia="Times New Roman" w:hAnsi="Cambria Math"/>
                  <w:sz w:val="22"/>
                  <w:szCs w:val="20"/>
                </w:rPr>
                <m:t>geral/imediato</m:t>
              </m:r>
            </m:sub>
          </m:sSub>
          <m:r>
            <w:rPr>
              <w:rFonts w:ascii="Cambria Math" w:eastAsia="Times New Roman" w:hAnsi="Cambria Math"/>
              <w:sz w:val="22"/>
              <w:szCs w:val="20"/>
            </w:rPr>
            <m:t>=</m:t>
          </m:r>
          <m:f>
            <m:fPr>
              <m:ctrlPr>
                <w:rPr>
                  <w:rFonts w:ascii="Cambria Math" w:eastAsia="Times New Roman" w:hAnsi="Cambria Math"/>
                  <w:i/>
                  <w:sz w:val="22"/>
                  <w:szCs w:val="20"/>
                </w:rPr>
              </m:ctrlPr>
            </m:fPr>
            <m:num>
              <m:r>
                <w:rPr>
                  <w:rFonts w:ascii="Cambria Math" w:eastAsia="Times New Roman" w:hAnsi="Cambria Math"/>
                  <w:sz w:val="22"/>
                  <w:szCs w:val="20"/>
                </w:rPr>
                <m:t>Total de ações do setor geral implantadas no prazo imediato</m:t>
              </m:r>
            </m:num>
            <m:den>
              <m:r>
                <w:rPr>
                  <w:rFonts w:ascii="Cambria Math" w:eastAsia="Times New Roman" w:hAnsi="Cambria Math"/>
                  <w:sz w:val="22"/>
                  <w:szCs w:val="20"/>
                </w:rPr>
                <m:t>Total de ações do setor de geral propostas para o prazo imediato</m:t>
              </m:r>
            </m:den>
          </m:f>
        </m:oMath>
      </m:oMathPara>
    </w:p>
    <w:p w:rsidR="00813DDC" w:rsidRPr="00813DDC" w:rsidRDefault="00813DDC" w:rsidP="00813DDC">
      <w:pPr>
        <w:contextualSpacing/>
        <w:jc w:val="both"/>
        <w:rPr>
          <w:rFonts w:ascii="Cambria Math" w:eastAsia="Times New Roman" w:hAnsi="Cambria Math"/>
          <w:i/>
          <w:sz w:val="22"/>
          <w:szCs w:val="20"/>
        </w:rPr>
      </w:pPr>
    </w:p>
    <w:p w:rsidR="00813DDC" w:rsidRPr="00813DDC" w:rsidRDefault="00813DDC" w:rsidP="00813DDC">
      <w:pPr>
        <w:contextualSpacing/>
        <w:jc w:val="both"/>
        <w:rPr>
          <w:rFonts w:ascii="Cambria Math" w:eastAsia="Times New Roman" w:hAnsi="Cambria Math"/>
          <w:i/>
          <w:sz w:val="22"/>
          <w:szCs w:val="20"/>
        </w:rPr>
      </w:pPr>
      <m:oMathPara>
        <m:oMath>
          <m:r>
            <w:rPr>
              <w:rFonts w:ascii="Cambria Math" w:eastAsia="Times New Roman" w:hAnsi="Cambria Math"/>
              <w:sz w:val="22"/>
              <w:szCs w:val="20"/>
            </w:rPr>
            <m:t>I</m:t>
          </m:r>
          <m:sSub>
            <m:sSubPr>
              <m:ctrlPr>
                <w:rPr>
                  <w:rFonts w:ascii="Cambria Math" w:eastAsia="Times New Roman" w:hAnsi="Cambria Math"/>
                  <w:i/>
                  <w:sz w:val="22"/>
                  <w:szCs w:val="20"/>
                </w:rPr>
              </m:ctrlPr>
            </m:sSubPr>
            <m:e>
              <m:r>
                <w:rPr>
                  <w:rFonts w:ascii="Cambria Math" w:eastAsia="Times New Roman" w:hAnsi="Cambria Math"/>
                  <w:sz w:val="22"/>
                  <w:szCs w:val="20"/>
                </w:rPr>
                <m:t>a</m:t>
              </m:r>
            </m:e>
            <m:sub>
              <m:r>
                <w:rPr>
                  <w:rFonts w:ascii="Cambria Math" w:eastAsia="Times New Roman" w:hAnsi="Cambria Math"/>
                  <w:sz w:val="22"/>
                  <w:szCs w:val="20"/>
                </w:rPr>
                <m:t>água/imediato</m:t>
              </m:r>
            </m:sub>
          </m:sSub>
          <m:r>
            <w:rPr>
              <w:rFonts w:ascii="Cambria Math" w:eastAsia="Times New Roman" w:hAnsi="Cambria Math"/>
              <w:sz w:val="22"/>
              <w:szCs w:val="20"/>
            </w:rPr>
            <m:t>=</m:t>
          </m:r>
          <m:f>
            <m:fPr>
              <m:ctrlPr>
                <w:rPr>
                  <w:rFonts w:ascii="Cambria Math" w:eastAsia="Times New Roman" w:hAnsi="Cambria Math"/>
                  <w:i/>
                  <w:sz w:val="22"/>
                  <w:szCs w:val="20"/>
                </w:rPr>
              </m:ctrlPr>
            </m:fPr>
            <m:num>
              <m:r>
                <w:rPr>
                  <w:rFonts w:ascii="Cambria Math" w:eastAsia="Times New Roman" w:hAnsi="Cambria Math"/>
                  <w:sz w:val="22"/>
                  <w:szCs w:val="20"/>
                </w:rPr>
                <m:t>T</m:t>
              </m:r>
              <m:r>
                <w:rPr>
                  <w:rFonts w:ascii="Cambria Math" w:eastAsia="Times New Roman" w:hAnsi="Cambria Math"/>
                  <w:sz w:val="22"/>
                  <w:szCs w:val="20"/>
                </w:rPr>
                <m:t>otal de ações do setor de água implantadas no prazo imediato</m:t>
              </m:r>
            </m:num>
            <m:den>
              <m:r>
                <w:rPr>
                  <w:rFonts w:ascii="Cambria Math" w:eastAsia="Times New Roman" w:hAnsi="Cambria Math"/>
                  <w:sz w:val="22"/>
                  <w:szCs w:val="20"/>
                </w:rPr>
                <m:t>Total de ações do setor de água propostas para o prazo imediato</m:t>
              </m:r>
            </m:den>
          </m:f>
        </m:oMath>
      </m:oMathPara>
    </w:p>
    <w:p w:rsidR="00813DDC" w:rsidRPr="00813DDC" w:rsidRDefault="00813DDC" w:rsidP="00813DDC">
      <w:pPr>
        <w:contextualSpacing/>
        <w:jc w:val="both"/>
        <w:rPr>
          <w:rFonts w:ascii="Cambria Math" w:eastAsia="Times New Roman" w:hAnsi="Cambria Math"/>
          <w:i/>
          <w:sz w:val="22"/>
          <w:szCs w:val="20"/>
        </w:rPr>
      </w:pPr>
    </w:p>
    <w:p w:rsidR="00813DDC" w:rsidRPr="00813DDC" w:rsidRDefault="00813DDC" w:rsidP="00813DDC">
      <w:pPr>
        <w:contextualSpacing/>
        <w:jc w:val="both"/>
        <w:rPr>
          <w:rFonts w:ascii="Cambria Math" w:eastAsia="Times New Roman" w:hAnsi="Cambria Math"/>
          <w:i/>
          <w:sz w:val="22"/>
          <w:szCs w:val="20"/>
        </w:rPr>
      </w:pPr>
      <m:oMathPara>
        <m:oMath>
          <m:r>
            <w:rPr>
              <w:rFonts w:ascii="Cambria Math" w:eastAsia="Times New Roman" w:hAnsi="Cambria Math"/>
              <w:sz w:val="22"/>
              <w:szCs w:val="20"/>
            </w:rPr>
            <m:t>I</m:t>
          </m:r>
          <m:sSub>
            <m:sSubPr>
              <m:ctrlPr>
                <w:rPr>
                  <w:rFonts w:ascii="Cambria Math" w:eastAsia="Times New Roman" w:hAnsi="Cambria Math"/>
                  <w:i/>
                  <w:sz w:val="22"/>
                  <w:szCs w:val="20"/>
                </w:rPr>
              </m:ctrlPr>
            </m:sSubPr>
            <m:e>
              <m:r>
                <w:rPr>
                  <w:rFonts w:ascii="Cambria Math" w:eastAsia="Times New Roman" w:hAnsi="Cambria Math"/>
                  <w:sz w:val="22"/>
                  <w:szCs w:val="20"/>
                </w:rPr>
                <m:t>a</m:t>
              </m:r>
            </m:e>
            <m:sub>
              <m:r>
                <w:rPr>
                  <w:rFonts w:ascii="Cambria Math" w:eastAsia="Times New Roman" w:hAnsi="Cambria Math"/>
                  <w:sz w:val="22"/>
                  <w:szCs w:val="20"/>
                </w:rPr>
                <m:t>esgotos/imediato</m:t>
              </m:r>
            </m:sub>
          </m:sSub>
          <m:r>
            <w:rPr>
              <w:rFonts w:ascii="Cambria Math" w:eastAsia="Times New Roman" w:hAnsi="Cambria Math"/>
              <w:sz w:val="22"/>
              <w:szCs w:val="20"/>
            </w:rPr>
            <m:t>=</m:t>
          </m:r>
          <m:f>
            <m:fPr>
              <m:ctrlPr>
                <w:rPr>
                  <w:rFonts w:ascii="Cambria Math" w:eastAsia="Times New Roman" w:hAnsi="Cambria Math"/>
                  <w:i/>
                  <w:sz w:val="22"/>
                  <w:szCs w:val="20"/>
                </w:rPr>
              </m:ctrlPr>
            </m:fPr>
            <m:num>
              <m:r>
                <w:rPr>
                  <w:rFonts w:ascii="Cambria Math" w:eastAsia="Times New Roman" w:hAnsi="Cambria Math"/>
                  <w:sz w:val="22"/>
                  <w:szCs w:val="20"/>
                </w:rPr>
                <m:t>Total de ações do setor de esgotos implantadas no prazo imediato</m:t>
              </m:r>
            </m:num>
            <m:den>
              <m:r>
                <w:rPr>
                  <w:rFonts w:ascii="Cambria Math" w:eastAsia="Times New Roman" w:hAnsi="Cambria Math"/>
                  <w:sz w:val="22"/>
                  <w:szCs w:val="20"/>
                </w:rPr>
                <m:t>Total de ações do setor de esgotos propostas para o prazo imediato</m:t>
              </m:r>
            </m:den>
          </m:f>
        </m:oMath>
      </m:oMathPara>
    </w:p>
    <w:p w:rsidR="00813DDC" w:rsidRPr="00813DDC" w:rsidRDefault="00813DDC" w:rsidP="00813DDC">
      <w:pPr>
        <w:contextualSpacing/>
        <w:jc w:val="both"/>
        <w:rPr>
          <w:rFonts w:ascii="Cambria Math" w:eastAsia="Times New Roman" w:hAnsi="Cambria Math"/>
          <w:i/>
          <w:sz w:val="22"/>
          <w:szCs w:val="20"/>
        </w:rPr>
      </w:pPr>
    </w:p>
    <w:p w:rsidR="00813DDC" w:rsidRPr="00813DDC" w:rsidRDefault="00813DDC" w:rsidP="00813DDC">
      <w:pPr>
        <w:contextualSpacing/>
        <w:jc w:val="both"/>
        <w:rPr>
          <w:rFonts w:ascii="Cambria Math" w:eastAsia="Times New Roman" w:hAnsi="Cambria Math"/>
          <w:i/>
          <w:sz w:val="22"/>
          <w:szCs w:val="20"/>
        </w:rPr>
      </w:pPr>
      <m:oMathPara>
        <m:oMath>
          <m:r>
            <w:rPr>
              <w:rFonts w:ascii="Cambria Math" w:eastAsia="Times New Roman" w:hAnsi="Cambria Math"/>
              <w:sz w:val="22"/>
              <w:szCs w:val="20"/>
            </w:rPr>
            <m:t>I</m:t>
          </m:r>
          <m:sSub>
            <m:sSubPr>
              <m:ctrlPr>
                <w:rPr>
                  <w:rFonts w:ascii="Cambria Math" w:eastAsia="Times New Roman" w:hAnsi="Cambria Math"/>
                  <w:i/>
                  <w:sz w:val="22"/>
                  <w:szCs w:val="20"/>
                </w:rPr>
              </m:ctrlPr>
            </m:sSubPr>
            <m:e>
              <m:r>
                <w:rPr>
                  <w:rFonts w:ascii="Cambria Math" w:eastAsia="Times New Roman" w:hAnsi="Cambria Math"/>
                  <w:sz w:val="22"/>
                  <w:szCs w:val="20"/>
                </w:rPr>
                <m:t>a</m:t>
              </m:r>
            </m:e>
            <m:sub>
              <m:r>
                <w:rPr>
                  <w:rFonts w:ascii="Cambria Math" w:eastAsia="Times New Roman" w:hAnsi="Cambria Math"/>
                  <w:sz w:val="22"/>
                  <w:szCs w:val="20"/>
                </w:rPr>
                <m:t>drenage</m:t>
              </m:r>
              <m:r>
                <w:rPr>
                  <w:rFonts w:ascii="Cambria Math" w:eastAsia="Times New Roman" w:hAnsi="Cambria Math"/>
                  <w:sz w:val="22"/>
                  <w:szCs w:val="20"/>
                </w:rPr>
                <m:t>m/imediato</m:t>
              </m:r>
            </m:sub>
          </m:sSub>
          <m:r>
            <w:rPr>
              <w:rFonts w:ascii="Cambria Math" w:eastAsia="Times New Roman" w:hAnsi="Cambria Math"/>
              <w:sz w:val="22"/>
              <w:szCs w:val="20"/>
            </w:rPr>
            <m:t>=</m:t>
          </m:r>
          <m:f>
            <m:fPr>
              <m:ctrlPr>
                <w:rPr>
                  <w:rFonts w:ascii="Cambria Math" w:eastAsia="Times New Roman" w:hAnsi="Cambria Math"/>
                  <w:i/>
                  <w:sz w:val="22"/>
                  <w:szCs w:val="20"/>
                </w:rPr>
              </m:ctrlPr>
            </m:fPr>
            <m:num>
              <m:r>
                <w:rPr>
                  <w:rFonts w:ascii="Cambria Math" w:eastAsia="Times New Roman" w:hAnsi="Cambria Math"/>
                  <w:sz w:val="22"/>
                  <w:szCs w:val="20"/>
                </w:rPr>
                <m:t>Total de ações do setor de drenagem implantadas no prazo imediato</m:t>
              </m:r>
            </m:num>
            <m:den>
              <m:r>
                <w:rPr>
                  <w:rFonts w:ascii="Cambria Math" w:eastAsia="Times New Roman" w:hAnsi="Cambria Math"/>
                  <w:sz w:val="22"/>
                  <w:szCs w:val="20"/>
                </w:rPr>
                <m:t>Total de ações do setor de drenagem propostas para o prazo imediato</m:t>
              </m:r>
            </m:den>
          </m:f>
        </m:oMath>
      </m:oMathPara>
    </w:p>
    <w:p w:rsidR="00813DDC" w:rsidRPr="00813DDC" w:rsidRDefault="00813DDC" w:rsidP="00813DDC">
      <w:pPr>
        <w:contextualSpacing/>
        <w:jc w:val="both"/>
        <w:rPr>
          <w:rFonts w:ascii="Cambria Math" w:eastAsia="Times New Roman" w:hAnsi="Cambria Math"/>
          <w:i/>
          <w:sz w:val="22"/>
          <w:szCs w:val="20"/>
        </w:rPr>
      </w:pPr>
    </w:p>
    <w:p w:rsidR="00813DDC" w:rsidRPr="00813DDC" w:rsidRDefault="00813DDC" w:rsidP="00813DDC">
      <w:pPr>
        <w:contextualSpacing/>
        <w:jc w:val="both"/>
        <w:rPr>
          <w:rFonts w:ascii="Cambria Math" w:eastAsia="Times New Roman" w:hAnsi="Cambria Math"/>
          <w:i/>
          <w:sz w:val="22"/>
          <w:szCs w:val="20"/>
        </w:rPr>
      </w:pPr>
      <m:oMathPara>
        <m:oMath>
          <m:r>
            <w:rPr>
              <w:rFonts w:ascii="Cambria Math" w:eastAsia="Times New Roman" w:hAnsi="Cambria Math"/>
              <w:sz w:val="22"/>
              <w:szCs w:val="20"/>
            </w:rPr>
            <m:t>I</m:t>
          </m:r>
          <m:sSub>
            <m:sSubPr>
              <m:ctrlPr>
                <w:rPr>
                  <w:rFonts w:ascii="Cambria Math" w:eastAsia="Times New Roman" w:hAnsi="Cambria Math"/>
                  <w:i/>
                  <w:sz w:val="22"/>
                  <w:szCs w:val="20"/>
                </w:rPr>
              </m:ctrlPr>
            </m:sSubPr>
            <m:e>
              <m:r>
                <w:rPr>
                  <w:rFonts w:ascii="Cambria Math" w:eastAsia="Times New Roman" w:hAnsi="Cambria Math"/>
                  <w:sz w:val="22"/>
                  <w:szCs w:val="20"/>
                </w:rPr>
                <m:t>a</m:t>
              </m:r>
            </m:e>
            <m:sub>
              <m:r>
                <w:rPr>
                  <w:rFonts w:ascii="Cambria Math" w:eastAsia="Times New Roman" w:hAnsi="Cambria Math"/>
                  <w:sz w:val="22"/>
                  <w:szCs w:val="20"/>
                </w:rPr>
                <m:t>resíduos/imediato</m:t>
              </m:r>
            </m:sub>
          </m:sSub>
          <m:r>
            <w:rPr>
              <w:rFonts w:ascii="Cambria Math" w:eastAsia="Times New Roman" w:hAnsi="Cambria Math"/>
              <w:sz w:val="22"/>
              <w:szCs w:val="20"/>
            </w:rPr>
            <m:t>=</m:t>
          </m:r>
          <m:f>
            <m:fPr>
              <m:ctrlPr>
                <w:rPr>
                  <w:rFonts w:ascii="Cambria Math" w:eastAsia="Times New Roman" w:hAnsi="Cambria Math"/>
                  <w:i/>
                  <w:sz w:val="22"/>
                  <w:szCs w:val="20"/>
                </w:rPr>
              </m:ctrlPr>
            </m:fPr>
            <m:num>
              <m:r>
                <w:rPr>
                  <w:rFonts w:ascii="Cambria Math" w:eastAsia="Times New Roman" w:hAnsi="Cambria Math"/>
                  <w:sz w:val="22"/>
                  <w:szCs w:val="20"/>
                </w:rPr>
                <m:t>Total de ações do setor de resíduos implantadas no prazo imediato</m:t>
              </m:r>
            </m:num>
            <m:den>
              <m:r>
                <w:rPr>
                  <w:rFonts w:ascii="Cambria Math" w:eastAsia="Times New Roman" w:hAnsi="Cambria Math"/>
                  <w:sz w:val="22"/>
                  <w:szCs w:val="20"/>
                </w:rPr>
                <m:t>Total de ações do setor de resíduos propostas para o pr</m:t>
              </m:r>
              <m:r>
                <w:rPr>
                  <w:rFonts w:ascii="Cambria Math" w:eastAsia="Times New Roman" w:hAnsi="Cambria Math"/>
                  <w:sz w:val="22"/>
                  <w:szCs w:val="20"/>
                </w:rPr>
                <m:t>azo imediato</m:t>
              </m:r>
            </m:den>
          </m:f>
        </m:oMath>
      </m:oMathPara>
    </w:p>
    <w:p w:rsidR="00813DDC" w:rsidRPr="00813DDC" w:rsidRDefault="00813DDC" w:rsidP="00813DDC">
      <w:pPr>
        <w:spacing w:before="120" w:after="120"/>
        <w:ind w:firstLine="708"/>
        <w:contextualSpacing/>
        <w:jc w:val="both"/>
        <w:rPr>
          <w:rFonts w:cs="Arial"/>
          <w:szCs w:val="24"/>
        </w:rPr>
      </w:pPr>
    </w:p>
    <w:p w:rsidR="00813DDC" w:rsidRPr="00813DDC" w:rsidRDefault="00813DDC" w:rsidP="00813DDC">
      <w:pPr>
        <w:spacing w:before="120" w:after="120"/>
        <w:contextualSpacing/>
        <w:jc w:val="both"/>
        <w:rPr>
          <w:rFonts w:cs="Arial"/>
          <w:szCs w:val="24"/>
        </w:rPr>
      </w:pPr>
      <w:r w:rsidRPr="00813DDC">
        <w:rPr>
          <w:rFonts w:cs="Arial"/>
          <w:szCs w:val="24"/>
          <w:u w:val="single"/>
        </w:rPr>
        <w:t>Curto prazo</w:t>
      </w:r>
      <w:r w:rsidRPr="00813DDC">
        <w:rPr>
          <w:rFonts w:cs="Arial"/>
          <w:szCs w:val="24"/>
        </w:rPr>
        <w:t xml:space="preserve">: </w:t>
      </w:r>
    </w:p>
    <w:p w:rsidR="00813DDC" w:rsidRPr="00813DDC" w:rsidRDefault="00813DDC" w:rsidP="00813DDC">
      <w:pPr>
        <w:contextualSpacing/>
        <w:jc w:val="both"/>
        <w:rPr>
          <w:rFonts w:ascii="Cambria Math" w:eastAsia="Times New Roman" w:hAnsi="Cambria Math"/>
          <w:i/>
          <w:sz w:val="22"/>
          <w:szCs w:val="20"/>
        </w:rPr>
      </w:pPr>
      <m:oMathPara>
        <m:oMath>
          <m:r>
            <w:rPr>
              <w:rFonts w:ascii="Cambria Math" w:eastAsia="Times New Roman" w:hAnsi="Cambria Math"/>
              <w:sz w:val="22"/>
              <w:szCs w:val="20"/>
            </w:rPr>
            <m:t>I</m:t>
          </m:r>
          <m:sSub>
            <m:sSubPr>
              <m:ctrlPr>
                <w:rPr>
                  <w:rFonts w:ascii="Cambria Math" w:eastAsia="Times New Roman" w:hAnsi="Cambria Math"/>
                  <w:i/>
                  <w:sz w:val="22"/>
                  <w:szCs w:val="20"/>
                </w:rPr>
              </m:ctrlPr>
            </m:sSubPr>
            <m:e>
              <m:r>
                <w:rPr>
                  <w:rFonts w:ascii="Cambria Math" w:eastAsia="Times New Roman" w:hAnsi="Cambria Math"/>
                  <w:sz w:val="22"/>
                  <w:szCs w:val="20"/>
                </w:rPr>
                <m:t>a</m:t>
              </m:r>
            </m:e>
            <m:sub>
              <m:r>
                <w:rPr>
                  <w:rFonts w:ascii="Cambria Math" w:eastAsia="Times New Roman" w:hAnsi="Cambria Math"/>
                  <w:sz w:val="22"/>
                  <w:szCs w:val="20"/>
                </w:rPr>
                <m:t>geral/curto</m:t>
              </m:r>
            </m:sub>
          </m:sSub>
          <m:r>
            <w:rPr>
              <w:rFonts w:ascii="Cambria Math" w:eastAsia="Times New Roman" w:hAnsi="Cambria Math"/>
              <w:sz w:val="22"/>
              <w:szCs w:val="20"/>
            </w:rPr>
            <m:t>=</m:t>
          </m:r>
          <m:f>
            <m:fPr>
              <m:ctrlPr>
                <w:rPr>
                  <w:rFonts w:ascii="Cambria Math" w:eastAsia="Times New Roman" w:hAnsi="Cambria Math"/>
                  <w:i/>
                  <w:sz w:val="22"/>
                  <w:szCs w:val="20"/>
                </w:rPr>
              </m:ctrlPr>
            </m:fPr>
            <m:num>
              <m:r>
                <w:rPr>
                  <w:rFonts w:ascii="Cambria Math" w:eastAsia="Times New Roman" w:hAnsi="Cambria Math"/>
                  <w:sz w:val="22"/>
                  <w:szCs w:val="20"/>
                </w:rPr>
                <m:t>Total de ações do setor geral implantadas no curto prazo</m:t>
              </m:r>
            </m:num>
            <m:den>
              <m:r>
                <w:rPr>
                  <w:rFonts w:ascii="Cambria Math" w:eastAsia="Times New Roman" w:hAnsi="Cambria Math"/>
                  <w:sz w:val="22"/>
                  <w:szCs w:val="20"/>
                </w:rPr>
                <m:t>Total de ações do setor de geral propostas para o c</m:t>
              </m:r>
              <m:r>
                <w:rPr>
                  <w:rFonts w:ascii="Cambria Math" w:eastAsia="Times New Roman" w:hAnsi="Cambria Math"/>
                  <w:sz w:val="22"/>
                  <w:szCs w:val="20"/>
                </w:rPr>
                <m:t>urto prazo</m:t>
              </m:r>
            </m:den>
          </m:f>
        </m:oMath>
      </m:oMathPara>
    </w:p>
    <w:p w:rsidR="00813DDC" w:rsidRPr="00813DDC" w:rsidRDefault="00813DDC" w:rsidP="00813DDC">
      <w:pPr>
        <w:contextualSpacing/>
        <w:jc w:val="both"/>
        <w:rPr>
          <w:rFonts w:ascii="Cambria Math" w:eastAsia="Times New Roman" w:hAnsi="Cambria Math"/>
          <w:i/>
          <w:sz w:val="22"/>
          <w:szCs w:val="20"/>
        </w:rPr>
      </w:pPr>
      <m:oMathPara>
        <m:oMath>
          <m:r>
            <w:rPr>
              <w:rFonts w:ascii="Cambria Math" w:eastAsia="Times New Roman" w:hAnsi="Cambria Math"/>
              <w:sz w:val="22"/>
              <w:szCs w:val="20"/>
            </w:rPr>
            <m:t>I</m:t>
          </m:r>
          <m:sSub>
            <m:sSubPr>
              <m:ctrlPr>
                <w:rPr>
                  <w:rFonts w:ascii="Cambria Math" w:eastAsia="Times New Roman" w:hAnsi="Cambria Math"/>
                  <w:i/>
                  <w:sz w:val="22"/>
                  <w:szCs w:val="20"/>
                </w:rPr>
              </m:ctrlPr>
            </m:sSubPr>
            <m:e>
              <m:r>
                <w:rPr>
                  <w:rFonts w:ascii="Cambria Math" w:eastAsia="Times New Roman" w:hAnsi="Cambria Math"/>
                  <w:sz w:val="22"/>
                  <w:szCs w:val="20"/>
                </w:rPr>
                <m:t>a</m:t>
              </m:r>
            </m:e>
            <m:sub>
              <m:r>
                <w:rPr>
                  <w:rFonts w:ascii="Cambria Math" w:eastAsia="Times New Roman" w:hAnsi="Cambria Math"/>
                  <w:sz w:val="22"/>
                  <w:szCs w:val="20"/>
                </w:rPr>
                <m:t>água/curto</m:t>
              </m:r>
            </m:sub>
          </m:sSub>
          <m:r>
            <w:rPr>
              <w:rFonts w:ascii="Cambria Math" w:eastAsia="Times New Roman" w:hAnsi="Cambria Math"/>
              <w:sz w:val="22"/>
              <w:szCs w:val="20"/>
            </w:rPr>
            <m:t>=</m:t>
          </m:r>
          <m:f>
            <m:fPr>
              <m:ctrlPr>
                <w:rPr>
                  <w:rFonts w:ascii="Cambria Math" w:eastAsia="Times New Roman" w:hAnsi="Cambria Math"/>
                  <w:i/>
                  <w:sz w:val="22"/>
                  <w:szCs w:val="20"/>
                </w:rPr>
              </m:ctrlPr>
            </m:fPr>
            <m:num>
              <m:r>
                <w:rPr>
                  <w:rFonts w:ascii="Cambria Math" w:eastAsia="Times New Roman" w:hAnsi="Cambria Math"/>
                  <w:sz w:val="22"/>
                  <w:szCs w:val="20"/>
                </w:rPr>
                <m:t xml:space="preserve">Total de ações do setor de água implantadas no curto prazo </m:t>
              </m:r>
            </m:num>
            <m:den>
              <m:r>
                <w:rPr>
                  <w:rFonts w:ascii="Cambria Math" w:eastAsia="Times New Roman" w:hAnsi="Cambria Math"/>
                  <w:sz w:val="22"/>
                  <w:szCs w:val="20"/>
                </w:rPr>
                <m:t>Total de ações do setor de água propostas para o curto prazo</m:t>
              </m:r>
            </m:den>
          </m:f>
        </m:oMath>
      </m:oMathPara>
    </w:p>
    <w:p w:rsidR="00813DDC" w:rsidRPr="00813DDC" w:rsidRDefault="00813DDC" w:rsidP="00813DDC">
      <w:pPr>
        <w:contextualSpacing/>
        <w:jc w:val="both"/>
        <w:rPr>
          <w:rFonts w:ascii="Cambria Math" w:eastAsia="Times New Roman" w:hAnsi="Cambria Math"/>
          <w:i/>
          <w:sz w:val="22"/>
          <w:szCs w:val="20"/>
        </w:rPr>
      </w:pPr>
    </w:p>
    <w:p w:rsidR="00813DDC" w:rsidRPr="00813DDC" w:rsidRDefault="00813DDC" w:rsidP="00813DDC">
      <w:pPr>
        <w:contextualSpacing/>
        <w:jc w:val="both"/>
        <w:rPr>
          <w:rFonts w:ascii="Cambria Math" w:eastAsia="Times New Roman" w:hAnsi="Cambria Math"/>
          <w:i/>
          <w:sz w:val="22"/>
          <w:szCs w:val="20"/>
        </w:rPr>
      </w:pPr>
      <m:oMathPara>
        <m:oMath>
          <m:r>
            <w:rPr>
              <w:rFonts w:ascii="Cambria Math" w:eastAsia="Times New Roman" w:hAnsi="Cambria Math"/>
              <w:sz w:val="22"/>
              <w:szCs w:val="20"/>
            </w:rPr>
            <m:t>I</m:t>
          </m:r>
          <m:sSub>
            <m:sSubPr>
              <m:ctrlPr>
                <w:rPr>
                  <w:rFonts w:ascii="Cambria Math" w:eastAsia="Times New Roman" w:hAnsi="Cambria Math"/>
                  <w:i/>
                  <w:sz w:val="22"/>
                  <w:szCs w:val="20"/>
                </w:rPr>
              </m:ctrlPr>
            </m:sSubPr>
            <m:e>
              <m:r>
                <w:rPr>
                  <w:rFonts w:ascii="Cambria Math" w:eastAsia="Times New Roman" w:hAnsi="Cambria Math"/>
                  <w:sz w:val="22"/>
                  <w:szCs w:val="20"/>
                </w:rPr>
                <m:t>a</m:t>
              </m:r>
            </m:e>
            <m:sub>
              <m:r>
                <w:rPr>
                  <w:rFonts w:ascii="Cambria Math" w:eastAsia="Times New Roman" w:hAnsi="Cambria Math"/>
                  <w:sz w:val="22"/>
                  <w:szCs w:val="20"/>
                </w:rPr>
                <m:t>esgotos/curto</m:t>
              </m:r>
            </m:sub>
          </m:sSub>
          <m:r>
            <w:rPr>
              <w:rFonts w:ascii="Cambria Math" w:eastAsia="Times New Roman" w:hAnsi="Cambria Math"/>
              <w:sz w:val="22"/>
              <w:szCs w:val="20"/>
            </w:rPr>
            <m:t>=</m:t>
          </m:r>
          <m:f>
            <m:fPr>
              <m:ctrlPr>
                <w:rPr>
                  <w:rFonts w:ascii="Cambria Math" w:eastAsia="Times New Roman" w:hAnsi="Cambria Math"/>
                  <w:i/>
                  <w:sz w:val="22"/>
                  <w:szCs w:val="20"/>
                </w:rPr>
              </m:ctrlPr>
            </m:fPr>
            <m:num>
              <m:r>
                <w:rPr>
                  <w:rFonts w:ascii="Cambria Math" w:eastAsia="Times New Roman" w:hAnsi="Cambria Math"/>
                  <w:sz w:val="22"/>
                  <w:szCs w:val="20"/>
                </w:rPr>
                <m:t>Total de ações do setor de esgotos implantadas no curto prazo</m:t>
              </m:r>
            </m:num>
            <m:den>
              <m:r>
                <w:rPr>
                  <w:rFonts w:ascii="Cambria Math" w:eastAsia="Times New Roman" w:hAnsi="Cambria Math"/>
                  <w:sz w:val="22"/>
                  <w:szCs w:val="20"/>
                </w:rPr>
                <m:t>Total de ações do setor de esgotos propostas para o curto prazo</m:t>
              </m:r>
            </m:den>
          </m:f>
        </m:oMath>
      </m:oMathPara>
    </w:p>
    <w:p w:rsidR="00813DDC" w:rsidRPr="00813DDC" w:rsidRDefault="00813DDC" w:rsidP="00813DDC">
      <w:pPr>
        <w:ind w:left="1429"/>
        <w:contextualSpacing/>
        <w:jc w:val="both"/>
        <w:rPr>
          <w:rFonts w:ascii="Cambria Math" w:eastAsia="Times New Roman" w:hAnsi="Cambria Math"/>
          <w:i/>
          <w:sz w:val="22"/>
          <w:szCs w:val="20"/>
        </w:rPr>
      </w:pPr>
    </w:p>
    <w:p w:rsidR="00813DDC" w:rsidRPr="00813DDC" w:rsidRDefault="00813DDC" w:rsidP="00813DDC">
      <w:pPr>
        <w:contextualSpacing/>
        <w:jc w:val="both"/>
        <w:rPr>
          <w:rFonts w:ascii="Cambria Math" w:eastAsia="Times New Roman" w:hAnsi="Cambria Math"/>
          <w:i/>
          <w:sz w:val="22"/>
          <w:szCs w:val="20"/>
        </w:rPr>
      </w:pPr>
      <m:oMathPara>
        <m:oMath>
          <m:r>
            <w:rPr>
              <w:rFonts w:ascii="Cambria Math" w:eastAsia="Times New Roman" w:hAnsi="Cambria Math"/>
              <w:sz w:val="22"/>
              <w:szCs w:val="20"/>
            </w:rPr>
            <m:t>I</m:t>
          </m:r>
          <m:sSub>
            <m:sSubPr>
              <m:ctrlPr>
                <w:rPr>
                  <w:rFonts w:ascii="Cambria Math" w:eastAsia="Times New Roman" w:hAnsi="Cambria Math"/>
                  <w:i/>
                  <w:sz w:val="22"/>
                  <w:szCs w:val="20"/>
                </w:rPr>
              </m:ctrlPr>
            </m:sSubPr>
            <m:e>
              <m:r>
                <w:rPr>
                  <w:rFonts w:ascii="Cambria Math" w:eastAsia="Times New Roman" w:hAnsi="Cambria Math"/>
                  <w:sz w:val="22"/>
                  <w:szCs w:val="20"/>
                </w:rPr>
                <m:t>a</m:t>
              </m:r>
            </m:e>
            <m:sub>
              <m:r>
                <w:rPr>
                  <w:rFonts w:ascii="Cambria Math" w:eastAsia="Times New Roman" w:hAnsi="Cambria Math"/>
                  <w:sz w:val="22"/>
                  <w:szCs w:val="20"/>
                </w:rPr>
                <m:t>drenagem/curto</m:t>
              </m:r>
            </m:sub>
          </m:sSub>
          <m:r>
            <w:rPr>
              <w:rFonts w:ascii="Cambria Math" w:eastAsia="Times New Roman" w:hAnsi="Cambria Math"/>
              <w:sz w:val="22"/>
              <w:szCs w:val="20"/>
            </w:rPr>
            <m:t>=</m:t>
          </m:r>
          <m:f>
            <m:fPr>
              <m:ctrlPr>
                <w:rPr>
                  <w:rFonts w:ascii="Cambria Math" w:eastAsia="Times New Roman" w:hAnsi="Cambria Math"/>
                  <w:i/>
                  <w:sz w:val="22"/>
                  <w:szCs w:val="20"/>
                </w:rPr>
              </m:ctrlPr>
            </m:fPr>
            <m:num>
              <m:r>
                <w:rPr>
                  <w:rFonts w:ascii="Cambria Math" w:eastAsia="Times New Roman" w:hAnsi="Cambria Math"/>
                  <w:sz w:val="22"/>
                  <w:szCs w:val="20"/>
                </w:rPr>
                <m:t>Total de ações do setor de drenagem implantadas no curto prazo</m:t>
              </m:r>
            </m:num>
            <m:den>
              <m:r>
                <w:rPr>
                  <w:rFonts w:ascii="Cambria Math" w:eastAsia="Times New Roman" w:hAnsi="Cambria Math"/>
                  <w:sz w:val="22"/>
                  <w:szCs w:val="20"/>
                </w:rPr>
                <m:t xml:space="preserve">Total de ações do setor de drenagem propostas para o curto prazo </m:t>
              </m:r>
            </m:den>
          </m:f>
        </m:oMath>
      </m:oMathPara>
    </w:p>
    <w:p w:rsidR="00813DDC" w:rsidRPr="00813DDC" w:rsidRDefault="00813DDC" w:rsidP="00813DDC">
      <w:pPr>
        <w:contextualSpacing/>
        <w:jc w:val="both"/>
        <w:rPr>
          <w:rFonts w:ascii="Cambria Math" w:eastAsia="Times New Roman" w:hAnsi="Cambria Math"/>
          <w:i/>
          <w:sz w:val="22"/>
          <w:szCs w:val="20"/>
        </w:rPr>
      </w:pPr>
    </w:p>
    <w:p w:rsidR="00813DDC" w:rsidRPr="00813DDC" w:rsidRDefault="00813DDC" w:rsidP="00813DDC">
      <w:pPr>
        <w:contextualSpacing/>
        <w:jc w:val="both"/>
        <w:rPr>
          <w:rFonts w:ascii="Cambria Math" w:eastAsia="Times New Roman" w:hAnsi="Cambria Math"/>
          <w:i/>
          <w:sz w:val="22"/>
          <w:szCs w:val="20"/>
        </w:rPr>
      </w:pPr>
      <m:oMathPara>
        <m:oMath>
          <m:r>
            <w:rPr>
              <w:rFonts w:ascii="Cambria Math" w:eastAsia="Times New Roman" w:hAnsi="Cambria Math"/>
              <w:sz w:val="22"/>
              <w:szCs w:val="20"/>
            </w:rPr>
            <m:t>I</m:t>
          </m:r>
          <m:sSub>
            <m:sSubPr>
              <m:ctrlPr>
                <w:rPr>
                  <w:rFonts w:ascii="Cambria Math" w:eastAsia="Times New Roman" w:hAnsi="Cambria Math"/>
                  <w:i/>
                  <w:sz w:val="22"/>
                  <w:szCs w:val="20"/>
                </w:rPr>
              </m:ctrlPr>
            </m:sSubPr>
            <m:e>
              <m:r>
                <w:rPr>
                  <w:rFonts w:ascii="Cambria Math" w:eastAsia="Times New Roman" w:hAnsi="Cambria Math"/>
                  <w:sz w:val="22"/>
                  <w:szCs w:val="20"/>
                </w:rPr>
                <m:t>a</m:t>
              </m:r>
            </m:e>
            <m:sub>
              <m:r>
                <w:rPr>
                  <w:rFonts w:ascii="Cambria Math" w:eastAsia="Times New Roman" w:hAnsi="Cambria Math"/>
                  <w:sz w:val="22"/>
                  <w:szCs w:val="20"/>
                </w:rPr>
                <m:t>resíduos/curto</m:t>
              </m:r>
            </m:sub>
          </m:sSub>
          <m:r>
            <w:rPr>
              <w:rFonts w:ascii="Cambria Math" w:eastAsia="Times New Roman" w:hAnsi="Cambria Math"/>
              <w:sz w:val="22"/>
              <w:szCs w:val="20"/>
            </w:rPr>
            <m:t>=</m:t>
          </m:r>
          <m:f>
            <m:fPr>
              <m:ctrlPr>
                <w:rPr>
                  <w:rFonts w:ascii="Cambria Math" w:eastAsia="Times New Roman" w:hAnsi="Cambria Math"/>
                  <w:i/>
                  <w:sz w:val="22"/>
                  <w:szCs w:val="20"/>
                </w:rPr>
              </m:ctrlPr>
            </m:fPr>
            <m:num>
              <m:r>
                <w:rPr>
                  <w:rFonts w:ascii="Cambria Math" w:eastAsia="Times New Roman" w:hAnsi="Cambria Math"/>
                  <w:sz w:val="22"/>
                  <w:szCs w:val="20"/>
                </w:rPr>
                <m:t xml:space="preserve">Total de ações do setor de resíduos implantadas no curto prazo </m:t>
              </m:r>
            </m:num>
            <m:den>
              <m:r>
                <w:rPr>
                  <w:rFonts w:ascii="Cambria Math" w:eastAsia="Times New Roman" w:hAnsi="Cambria Math"/>
                  <w:sz w:val="22"/>
                  <w:szCs w:val="20"/>
                </w:rPr>
                <m:t>Total de ações do setor de resíduos propostas para o curto prazo</m:t>
              </m:r>
            </m:den>
          </m:f>
        </m:oMath>
      </m:oMathPara>
    </w:p>
    <w:p w:rsidR="00813DDC" w:rsidRPr="00813DDC" w:rsidRDefault="00813DDC" w:rsidP="00813DDC">
      <w:pPr>
        <w:spacing w:before="120" w:after="120"/>
        <w:contextualSpacing/>
        <w:jc w:val="both"/>
        <w:rPr>
          <w:rFonts w:cs="Arial"/>
          <w:szCs w:val="24"/>
        </w:rPr>
      </w:pPr>
      <w:r w:rsidRPr="00813DDC">
        <w:rPr>
          <w:rFonts w:cs="Arial"/>
          <w:szCs w:val="24"/>
          <w:u w:val="single"/>
        </w:rPr>
        <w:lastRenderedPageBreak/>
        <w:t>Médio prazo</w:t>
      </w:r>
      <w:r w:rsidRPr="00813DDC">
        <w:rPr>
          <w:rFonts w:cs="Arial"/>
          <w:szCs w:val="24"/>
        </w:rPr>
        <w:t xml:space="preserve">: </w:t>
      </w:r>
    </w:p>
    <w:p w:rsidR="00813DDC" w:rsidRPr="00813DDC" w:rsidRDefault="00813DDC" w:rsidP="00813DDC">
      <w:pPr>
        <w:contextualSpacing/>
        <w:jc w:val="both"/>
        <w:rPr>
          <w:rFonts w:ascii="Cambria Math" w:eastAsia="Times New Roman" w:hAnsi="Cambria Math"/>
          <w:i/>
          <w:sz w:val="22"/>
          <w:szCs w:val="20"/>
        </w:rPr>
      </w:pPr>
      <m:oMathPara>
        <m:oMath>
          <m:r>
            <w:rPr>
              <w:rFonts w:ascii="Cambria Math" w:eastAsia="Times New Roman" w:hAnsi="Cambria Math"/>
              <w:sz w:val="22"/>
              <w:szCs w:val="20"/>
            </w:rPr>
            <m:t>I</m:t>
          </m:r>
          <m:sSub>
            <m:sSubPr>
              <m:ctrlPr>
                <w:rPr>
                  <w:rFonts w:ascii="Cambria Math" w:eastAsia="Times New Roman" w:hAnsi="Cambria Math"/>
                  <w:i/>
                  <w:sz w:val="22"/>
                  <w:szCs w:val="20"/>
                </w:rPr>
              </m:ctrlPr>
            </m:sSubPr>
            <m:e>
              <m:r>
                <w:rPr>
                  <w:rFonts w:ascii="Cambria Math" w:eastAsia="Times New Roman" w:hAnsi="Cambria Math"/>
                  <w:sz w:val="22"/>
                  <w:szCs w:val="20"/>
                </w:rPr>
                <m:t>a</m:t>
              </m:r>
            </m:e>
            <m:sub>
              <m:r>
                <w:rPr>
                  <w:rFonts w:ascii="Cambria Math" w:eastAsia="Times New Roman" w:hAnsi="Cambria Math"/>
                  <w:sz w:val="22"/>
                  <w:szCs w:val="20"/>
                </w:rPr>
                <m:t>geral/médio</m:t>
              </m:r>
            </m:sub>
          </m:sSub>
          <m:r>
            <w:rPr>
              <w:rFonts w:ascii="Cambria Math" w:eastAsia="Times New Roman" w:hAnsi="Cambria Math"/>
              <w:sz w:val="22"/>
              <w:szCs w:val="20"/>
            </w:rPr>
            <m:t>=</m:t>
          </m:r>
          <m:f>
            <m:fPr>
              <m:ctrlPr>
                <w:rPr>
                  <w:rFonts w:ascii="Cambria Math" w:eastAsia="Times New Roman" w:hAnsi="Cambria Math"/>
                  <w:i/>
                  <w:sz w:val="22"/>
                  <w:szCs w:val="20"/>
                </w:rPr>
              </m:ctrlPr>
            </m:fPr>
            <m:num>
              <m:r>
                <w:rPr>
                  <w:rFonts w:ascii="Cambria Math" w:eastAsia="Times New Roman" w:hAnsi="Cambria Math"/>
                  <w:sz w:val="22"/>
                  <w:szCs w:val="20"/>
                </w:rPr>
                <m:t>Total de ações do setor geral implantadas no médio prazo</m:t>
              </m:r>
            </m:num>
            <m:den>
              <m:r>
                <w:rPr>
                  <w:rFonts w:ascii="Cambria Math" w:eastAsia="Times New Roman" w:hAnsi="Cambria Math"/>
                  <w:sz w:val="22"/>
                  <w:szCs w:val="20"/>
                </w:rPr>
                <m:t>Total de ações do setor de geral propostas para o médio prazo</m:t>
              </m:r>
            </m:den>
          </m:f>
        </m:oMath>
      </m:oMathPara>
    </w:p>
    <w:p w:rsidR="00813DDC" w:rsidRPr="00813DDC" w:rsidRDefault="00813DDC" w:rsidP="00813DDC">
      <w:pPr>
        <w:ind w:left="1429"/>
        <w:contextualSpacing/>
        <w:jc w:val="both"/>
        <w:rPr>
          <w:rFonts w:ascii="Cambria Math" w:eastAsia="Times New Roman" w:hAnsi="Cambria Math"/>
          <w:i/>
          <w:sz w:val="22"/>
          <w:szCs w:val="20"/>
        </w:rPr>
      </w:pPr>
    </w:p>
    <w:p w:rsidR="00813DDC" w:rsidRPr="00813DDC" w:rsidRDefault="00813DDC" w:rsidP="00813DDC">
      <w:pPr>
        <w:contextualSpacing/>
        <w:jc w:val="both"/>
        <w:rPr>
          <w:rFonts w:ascii="Cambria Math" w:eastAsia="Times New Roman" w:hAnsi="Cambria Math"/>
          <w:i/>
          <w:sz w:val="22"/>
          <w:szCs w:val="20"/>
        </w:rPr>
      </w:pPr>
      <m:oMathPara>
        <m:oMath>
          <m:r>
            <w:rPr>
              <w:rFonts w:ascii="Cambria Math" w:eastAsia="Times New Roman" w:hAnsi="Cambria Math"/>
              <w:sz w:val="22"/>
              <w:szCs w:val="20"/>
            </w:rPr>
            <m:t>I</m:t>
          </m:r>
          <m:sSub>
            <m:sSubPr>
              <m:ctrlPr>
                <w:rPr>
                  <w:rFonts w:ascii="Cambria Math" w:eastAsia="Times New Roman" w:hAnsi="Cambria Math"/>
                  <w:i/>
                  <w:sz w:val="22"/>
                  <w:szCs w:val="20"/>
                </w:rPr>
              </m:ctrlPr>
            </m:sSubPr>
            <m:e>
              <m:r>
                <w:rPr>
                  <w:rFonts w:ascii="Cambria Math" w:eastAsia="Times New Roman" w:hAnsi="Cambria Math"/>
                  <w:sz w:val="22"/>
                  <w:szCs w:val="20"/>
                </w:rPr>
                <m:t>a</m:t>
              </m:r>
            </m:e>
            <m:sub>
              <m:r>
                <w:rPr>
                  <w:rFonts w:ascii="Cambria Math" w:eastAsia="Times New Roman" w:hAnsi="Cambria Math"/>
                  <w:sz w:val="22"/>
                  <w:szCs w:val="20"/>
                </w:rPr>
                <m:t>água/médio</m:t>
              </m:r>
            </m:sub>
          </m:sSub>
          <m:r>
            <w:rPr>
              <w:rFonts w:ascii="Cambria Math" w:eastAsia="Times New Roman" w:hAnsi="Cambria Math"/>
              <w:sz w:val="22"/>
              <w:szCs w:val="20"/>
            </w:rPr>
            <m:t>=</m:t>
          </m:r>
          <m:f>
            <m:fPr>
              <m:ctrlPr>
                <w:rPr>
                  <w:rFonts w:ascii="Cambria Math" w:eastAsia="Times New Roman" w:hAnsi="Cambria Math"/>
                  <w:i/>
                  <w:sz w:val="22"/>
                  <w:szCs w:val="20"/>
                </w:rPr>
              </m:ctrlPr>
            </m:fPr>
            <m:num>
              <m:r>
                <w:rPr>
                  <w:rFonts w:ascii="Cambria Math" w:eastAsia="Times New Roman" w:hAnsi="Cambria Math"/>
                  <w:sz w:val="22"/>
                  <w:szCs w:val="20"/>
                </w:rPr>
                <m:t xml:space="preserve">Total de ações do setor de água implantadas no médio prazo </m:t>
              </m:r>
            </m:num>
            <m:den>
              <m:r>
                <w:rPr>
                  <w:rFonts w:ascii="Cambria Math" w:eastAsia="Times New Roman" w:hAnsi="Cambria Math"/>
                  <w:sz w:val="22"/>
                  <w:szCs w:val="20"/>
                </w:rPr>
                <m:t>Total de ações do setor de água propostas para o médio prazo</m:t>
              </m:r>
            </m:den>
          </m:f>
        </m:oMath>
      </m:oMathPara>
    </w:p>
    <w:p w:rsidR="00813DDC" w:rsidRPr="00813DDC" w:rsidRDefault="00813DDC" w:rsidP="00813DDC">
      <w:pPr>
        <w:ind w:left="1429"/>
        <w:contextualSpacing/>
        <w:jc w:val="both"/>
        <w:rPr>
          <w:rFonts w:ascii="Cambria Math" w:eastAsia="Times New Roman" w:hAnsi="Cambria Math"/>
          <w:i/>
          <w:sz w:val="22"/>
          <w:szCs w:val="20"/>
        </w:rPr>
      </w:pPr>
    </w:p>
    <w:p w:rsidR="00813DDC" w:rsidRPr="00813DDC" w:rsidRDefault="00813DDC" w:rsidP="00813DDC">
      <w:pPr>
        <w:contextualSpacing/>
        <w:jc w:val="both"/>
        <w:rPr>
          <w:rFonts w:ascii="Cambria Math" w:eastAsia="Times New Roman" w:hAnsi="Cambria Math"/>
          <w:i/>
          <w:sz w:val="22"/>
          <w:szCs w:val="20"/>
        </w:rPr>
      </w:pPr>
      <m:oMathPara>
        <m:oMath>
          <m:r>
            <w:rPr>
              <w:rFonts w:ascii="Cambria Math" w:eastAsia="Times New Roman" w:hAnsi="Cambria Math"/>
              <w:sz w:val="22"/>
              <w:szCs w:val="20"/>
            </w:rPr>
            <m:t>I</m:t>
          </m:r>
          <m:sSub>
            <m:sSubPr>
              <m:ctrlPr>
                <w:rPr>
                  <w:rFonts w:ascii="Cambria Math" w:eastAsia="Times New Roman" w:hAnsi="Cambria Math"/>
                  <w:i/>
                  <w:sz w:val="22"/>
                  <w:szCs w:val="20"/>
                </w:rPr>
              </m:ctrlPr>
            </m:sSubPr>
            <m:e>
              <m:r>
                <w:rPr>
                  <w:rFonts w:ascii="Cambria Math" w:eastAsia="Times New Roman" w:hAnsi="Cambria Math"/>
                  <w:sz w:val="22"/>
                  <w:szCs w:val="20"/>
                </w:rPr>
                <m:t>a</m:t>
              </m:r>
            </m:e>
            <m:sub>
              <m:r>
                <w:rPr>
                  <w:rFonts w:ascii="Cambria Math" w:eastAsia="Times New Roman" w:hAnsi="Cambria Math"/>
                  <w:sz w:val="22"/>
                  <w:szCs w:val="20"/>
                </w:rPr>
                <m:t>esgotos/médio</m:t>
              </m:r>
            </m:sub>
          </m:sSub>
          <m:r>
            <w:rPr>
              <w:rFonts w:ascii="Cambria Math" w:eastAsia="Times New Roman" w:hAnsi="Cambria Math"/>
              <w:sz w:val="22"/>
              <w:szCs w:val="20"/>
            </w:rPr>
            <m:t>=</m:t>
          </m:r>
          <m:f>
            <m:fPr>
              <m:ctrlPr>
                <w:rPr>
                  <w:rFonts w:ascii="Cambria Math" w:eastAsia="Times New Roman" w:hAnsi="Cambria Math"/>
                  <w:i/>
                  <w:sz w:val="22"/>
                  <w:szCs w:val="20"/>
                </w:rPr>
              </m:ctrlPr>
            </m:fPr>
            <m:num>
              <m:r>
                <w:rPr>
                  <w:rFonts w:ascii="Cambria Math" w:eastAsia="Times New Roman" w:hAnsi="Cambria Math"/>
                  <w:sz w:val="22"/>
                  <w:szCs w:val="20"/>
                </w:rPr>
                <m:t>Total de ações do setor de esgotos implantadas no médio prazo</m:t>
              </m:r>
            </m:num>
            <m:den>
              <m:r>
                <w:rPr>
                  <w:rFonts w:ascii="Cambria Math" w:eastAsia="Times New Roman" w:hAnsi="Cambria Math"/>
                  <w:sz w:val="22"/>
                  <w:szCs w:val="20"/>
                </w:rPr>
                <m:t>Total de ações do setor de esgotos propostas para o médio prazo</m:t>
              </m:r>
            </m:den>
          </m:f>
        </m:oMath>
      </m:oMathPara>
    </w:p>
    <w:p w:rsidR="00813DDC" w:rsidRPr="00813DDC" w:rsidRDefault="00813DDC" w:rsidP="00813DDC">
      <w:pPr>
        <w:ind w:left="1429"/>
        <w:contextualSpacing/>
        <w:jc w:val="both"/>
        <w:rPr>
          <w:rFonts w:ascii="Cambria Math" w:eastAsia="Times New Roman" w:hAnsi="Cambria Math"/>
          <w:i/>
          <w:sz w:val="22"/>
          <w:szCs w:val="20"/>
        </w:rPr>
      </w:pPr>
    </w:p>
    <w:p w:rsidR="00813DDC" w:rsidRPr="00813DDC" w:rsidRDefault="00813DDC" w:rsidP="00813DDC">
      <w:pPr>
        <w:contextualSpacing/>
        <w:jc w:val="both"/>
        <w:rPr>
          <w:rFonts w:ascii="Cambria Math" w:eastAsia="Times New Roman" w:hAnsi="Cambria Math"/>
          <w:i/>
          <w:sz w:val="22"/>
          <w:szCs w:val="20"/>
        </w:rPr>
      </w:pPr>
      <m:oMathPara>
        <m:oMath>
          <m:r>
            <w:rPr>
              <w:rFonts w:ascii="Cambria Math" w:eastAsia="Times New Roman" w:hAnsi="Cambria Math"/>
              <w:sz w:val="22"/>
              <w:szCs w:val="20"/>
            </w:rPr>
            <m:t>I</m:t>
          </m:r>
          <m:sSub>
            <m:sSubPr>
              <m:ctrlPr>
                <w:rPr>
                  <w:rFonts w:ascii="Cambria Math" w:eastAsia="Times New Roman" w:hAnsi="Cambria Math"/>
                  <w:i/>
                  <w:sz w:val="22"/>
                  <w:szCs w:val="20"/>
                </w:rPr>
              </m:ctrlPr>
            </m:sSubPr>
            <m:e>
              <m:r>
                <w:rPr>
                  <w:rFonts w:ascii="Cambria Math" w:eastAsia="Times New Roman" w:hAnsi="Cambria Math"/>
                  <w:sz w:val="22"/>
                  <w:szCs w:val="20"/>
                </w:rPr>
                <m:t>a</m:t>
              </m:r>
            </m:e>
            <m:sub>
              <m:r>
                <w:rPr>
                  <w:rFonts w:ascii="Cambria Math" w:eastAsia="Times New Roman" w:hAnsi="Cambria Math"/>
                  <w:sz w:val="22"/>
                  <w:szCs w:val="20"/>
                </w:rPr>
                <m:t>drenagem/médio</m:t>
              </m:r>
            </m:sub>
          </m:sSub>
          <m:r>
            <w:rPr>
              <w:rFonts w:ascii="Cambria Math" w:eastAsia="Times New Roman" w:hAnsi="Cambria Math"/>
              <w:sz w:val="22"/>
              <w:szCs w:val="20"/>
            </w:rPr>
            <m:t>=</m:t>
          </m:r>
          <m:f>
            <m:fPr>
              <m:ctrlPr>
                <w:rPr>
                  <w:rFonts w:ascii="Cambria Math" w:eastAsia="Times New Roman" w:hAnsi="Cambria Math"/>
                  <w:i/>
                  <w:sz w:val="22"/>
                  <w:szCs w:val="20"/>
                </w:rPr>
              </m:ctrlPr>
            </m:fPr>
            <m:num>
              <m:r>
                <w:rPr>
                  <w:rFonts w:ascii="Cambria Math" w:eastAsia="Times New Roman" w:hAnsi="Cambria Math"/>
                  <w:sz w:val="22"/>
                  <w:szCs w:val="20"/>
                </w:rPr>
                <m:t>Total de ações do setor de drenagem implantadas no médio prazo</m:t>
              </m:r>
            </m:num>
            <m:den>
              <m:r>
                <w:rPr>
                  <w:rFonts w:ascii="Cambria Math" w:eastAsia="Times New Roman" w:hAnsi="Cambria Math"/>
                  <w:sz w:val="22"/>
                  <w:szCs w:val="20"/>
                </w:rPr>
                <m:t xml:space="preserve">Total de ações do setor de drenagem propostas para o médio prazo </m:t>
              </m:r>
            </m:den>
          </m:f>
        </m:oMath>
      </m:oMathPara>
    </w:p>
    <w:p w:rsidR="00813DDC" w:rsidRPr="00813DDC" w:rsidRDefault="00813DDC" w:rsidP="00813DDC">
      <w:pPr>
        <w:ind w:left="1429"/>
        <w:contextualSpacing/>
        <w:jc w:val="both"/>
        <w:rPr>
          <w:rFonts w:ascii="Cambria Math" w:eastAsia="Times New Roman" w:hAnsi="Cambria Math"/>
          <w:i/>
          <w:sz w:val="22"/>
          <w:szCs w:val="20"/>
        </w:rPr>
      </w:pPr>
    </w:p>
    <w:p w:rsidR="00813DDC" w:rsidRPr="00813DDC" w:rsidRDefault="00813DDC" w:rsidP="00813DDC">
      <w:pPr>
        <w:contextualSpacing/>
        <w:jc w:val="both"/>
        <w:rPr>
          <w:rFonts w:ascii="Cambria Math" w:eastAsia="Times New Roman" w:hAnsi="Cambria Math"/>
          <w:i/>
          <w:sz w:val="22"/>
          <w:szCs w:val="20"/>
        </w:rPr>
      </w:pPr>
      <m:oMathPara>
        <m:oMath>
          <m:r>
            <w:rPr>
              <w:rFonts w:ascii="Cambria Math" w:eastAsia="Times New Roman" w:hAnsi="Cambria Math"/>
              <w:sz w:val="22"/>
              <w:szCs w:val="20"/>
            </w:rPr>
            <m:t>I</m:t>
          </m:r>
          <m:sSub>
            <m:sSubPr>
              <m:ctrlPr>
                <w:rPr>
                  <w:rFonts w:ascii="Cambria Math" w:eastAsia="Times New Roman" w:hAnsi="Cambria Math"/>
                  <w:i/>
                  <w:sz w:val="22"/>
                  <w:szCs w:val="20"/>
                </w:rPr>
              </m:ctrlPr>
            </m:sSubPr>
            <m:e>
              <m:r>
                <w:rPr>
                  <w:rFonts w:ascii="Cambria Math" w:eastAsia="Times New Roman" w:hAnsi="Cambria Math"/>
                  <w:sz w:val="22"/>
                  <w:szCs w:val="20"/>
                </w:rPr>
                <m:t>a</m:t>
              </m:r>
            </m:e>
            <m:sub>
              <m:r>
                <w:rPr>
                  <w:rFonts w:ascii="Cambria Math" w:eastAsia="Times New Roman" w:hAnsi="Cambria Math"/>
                  <w:sz w:val="22"/>
                  <w:szCs w:val="20"/>
                </w:rPr>
                <m:t>resíduos/médio</m:t>
              </m:r>
            </m:sub>
          </m:sSub>
          <m:r>
            <w:rPr>
              <w:rFonts w:ascii="Cambria Math" w:eastAsia="Times New Roman" w:hAnsi="Cambria Math"/>
              <w:sz w:val="22"/>
              <w:szCs w:val="20"/>
            </w:rPr>
            <m:t>=</m:t>
          </m:r>
          <m:f>
            <m:fPr>
              <m:ctrlPr>
                <w:rPr>
                  <w:rFonts w:ascii="Cambria Math" w:eastAsia="Times New Roman" w:hAnsi="Cambria Math"/>
                  <w:i/>
                  <w:sz w:val="22"/>
                  <w:szCs w:val="20"/>
                </w:rPr>
              </m:ctrlPr>
            </m:fPr>
            <m:num>
              <m:r>
                <w:rPr>
                  <w:rFonts w:ascii="Cambria Math" w:eastAsia="Times New Roman" w:hAnsi="Cambria Math"/>
                  <w:sz w:val="22"/>
                  <w:szCs w:val="20"/>
                </w:rPr>
                <m:t xml:space="preserve">Total de ações do setor de resíduos implantadas no médio prazo </m:t>
              </m:r>
            </m:num>
            <m:den>
              <m:r>
                <w:rPr>
                  <w:rFonts w:ascii="Cambria Math" w:eastAsia="Times New Roman" w:hAnsi="Cambria Math"/>
                  <w:sz w:val="22"/>
                  <w:szCs w:val="20"/>
                </w:rPr>
                <m:t>Total de ações do setor de resíduos propostas para o médio prazo</m:t>
              </m:r>
            </m:den>
          </m:f>
        </m:oMath>
      </m:oMathPara>
    </w:p>
    <w:p w:rsidR="00813DDC" w:rsidRPr="00813DDC" w:rsidRDefault="00813DDC" w:rsidP="00813DDC">
      <w:pPr>
        <w:spacing w:before="120" w:after="120"/>
        <w:contextualSpacing/>
        <w:jc w:val="both"/>
        <w:rPr>
          <w:rFonts w:cs="Arial"/>
          <w:szCs w:val="24"/>
          <w:u w:val="single"/>
        </w:rPr>
      </w:pPr>
    </w:p>
    <w:p w:rsidR="00813DDC" w:rsidRPr="00813DDC" w:rsidRDefault="00813DDC" w:rsidP="00813DDC">
      <w:pPr>
        <w:spacing w:before="120" w:after="120"/>
        <w:contextualSpacing/>
        <w:jc w:val="both"/>
        <w:rPr>
          <w:rFonts w:cs="Arial"/>
          <w:szCs w:val="24"/>
        </w:rPr>
      </w:pPr>
      <w:r w:rsidRPr="00813DDC">
        <w:rPr>
          <w:rFonts w:cs="Arial"/>
          <w:szCs w:val="24"/>
          <w:u w:val="single"/>
        </w:rPr>
        <w:t>Longo prazo</w:t>
      </w:r>
      <w:r w:rsidRPr="00813DDC">
        <w:rPr>
          <w:rFonts w:cs="Arial"/>
          <w:szCs w:val="24"/>
        </w:rPr>
        <w:t xml:space="preserve">: </w:t>
      </w:r>
    </w:p>
    <w:p w:rsidR="00813DDC" w:rsidRPr="00813DDC" w:rsidRDefault="00813DDC" w:rsidP="00813DDC">
      <w:pPr>
        <w:contextualSpacing/>
        <w:jc w:val="both"/>
        <w:rPr>
          <w:rFonts w:ascii="Cambria Math" w:eastAsia="Times New Roman" w:hAnsi="Cambria Math"/>
          <w:i/>
          <w:sz w:val="22"/>
          <w:szCs w:val="20"/>
        </w:rPr>
      </w:pPr>
      <m:oMathPara>
        <m:oMath>
          <m:r>
            <w:rPr>
              <w:rFonts w:ascii="Cambria Math" w:eastAsia="Times New Roman" w:hAnsi="Cambria Math"/>
              <w:sz w:val="22"/>
              <w:szCs w:val="20"/>
            </w:rPr>
            <m:t>I</m:t>
          </m:r>
          <m:sSub>
            <m:sSubPr>
              <m:ctrlPr>
                <w:rPr>
                  <w:rFonts w:ascii="Cambria Math" w:eastAsia="Times New Roman" w:hAnsi="Cambria Math"/>
                  <w:i/>
                  <w:sz w:val="22"/>
                  <w:szCs w:val="20"/>
                </w:rPr>
              </m:ctrlPr>
            </m:sSubPr>
            <m:e>
              <m:r>
                <w:rPr>
                  <w:rFonts w:ascii="Cambria Math" w:eastAsia="Times New Roman" w:hAnsi="Cambria Math"/>
                  <w:sz w:val="22"/>
                  <w:szCs w:val="20"/>
                </w:rPr>
                <m:t>a</m:t>
              </m:r>
            </m:e>
            <m:sub>
              <m:r>
                <w:rPr>
                  <w:rFonts w:ascii="Cambria Math" w:eastAsia="Times New Roman" w:hAnsi="Cambria Math"/>
                  <w:sz w:val="22"/>
                  <w:szCs w:val="20"/>
                </w:rPr>
                <m:t>geral/longo</m:t>
              </m:r>
            </m:sub>
          </m:sSub>
          <m:r>
            <w:rPr>
              <w:rFonts w:ascii="Cambria Math" w:eastAsia="Times New Roman" w:hAnsi="Cambria Math"/>
              <w:sz w:val="22"/>
              <w:szCs w:val="20"/>
            </w:rPr>
            <m:t>=</m:t>
          </m:r>
          <m:f>
            <m:fPr>
              <m:ctrlPr>
                <w:rPr>
                  <w:rFonts w:ascii="Cambria Math" w:eastAsia="Times New Roman" w:hAnsi="Cambria Math"/>
                  <w:i/>
                  <w:sz w:val="22"/>
                  <w:szCs w:val="20"/>
                </w:rPr>
              </m:ctrlPr>
            </m:fPr>
            <m:num>
              <m:r>
                <w:rPr>
                  <w:rFonts w:ascii="Cambria Math" w:eastAsia="Times New Roman" w:hAnsi="Cambria Math"/>
                  <w:sz w:val="22"/>
                  <w:szCs w:val="20"/>
                </w:rPr>
                <m:t>Total de ações do setor geral implantadas no longo prazo</m:t>
              </m:r>
            </m:num>
            <m:den>
              <m:r>
                <w:rPr>
                  <w:rFonts w:ascii="Cambria Math" w:eastAsia="Times New Roman" w:hAnsi="Cambria Math"/>
                  <w:sz w:val="22"/>
                  <w:szCs w:val="20"/>
                </w:rPr>
                <m:t>Total de ações do setor geral propostas para o longo prazo</m:t>
              </m:r>
            </m:den>
          </m:f>
        </m:oMath>
      </m:oMathPara>
    </w:p>
    <w:p w:rsidR="00813DDC" w:rsidRPr="00813DDC" w:rsidRDefault="00813DDC" w:rsidP="00813DDC">
      <w:pPr>
        <w:ind w:left="1429"/>
        <w:contextualSpacing/>
        <w:jc w:val="both"/>
        <w:rPr>
          <w:rFonts w:ascii="Cambria Math" w:eastAsia="Times New Roman" w:hAnsi="Cambria Math"/>
          <w:i/>
          <w:sz w:val="22"/>
          <w:szCs w:val="20"/>
        </w:rPr>
      </w:pPr>
    </w:p>
    <w:p w:rsidR="00813DDC" w:rsidRPr="00813DDC" w:rsidRDefault="00813DDC" w:rsidP="00813DDC">
      <w:pPr>
        <w:contextualSpacing/>
        <w:jc w:val="both"/>
        <w:rPr>
          <w:rFonts w:ascii="Cambria Math" w:eastAsia="Times New Roman" w:hAnsi="Cambria Math"/>
          <w:i/>
          <w:sz w:val="22"/>
          <w:szCs w:val="20"/>
        </w:rPr>
      </w:pPr>
      <m:oMathPara>
        <m:oMath>
          <m:r>
            <w:rPr>
              <w:rFonts w:ascii="Cambria Math" w:eastAsia="Times New Roman" w:hAnsi="Cambria Math"/>
              <w:sz w:val="22"/>
              <w:szCs w:val="20"/>
            </w:rPr>
            <m:t>I</m:t>
          </m:r>
          <m:sSub>
            <m:sSubPr>
              <m:ctrlPr>
                <w:rPr>
                  <w:rFonts w:ascii="Cambria Math" w:eastAsia="Times New Roman" w:hAnsi="Cambria Math"/>
                  <w:i/>
                  <w:sz w:val="22"/>
                  <w:szCs w:val="20"/>
                </w:rPr>
              </m:ctrlPr>
            </m:sSubPr>
            <m:e>
              <m:r>
                <w:rPr>
                  <w:rFonts w:ascii="Cambria Math" w:eastAsia="Times New Roman" w:hAnsi="Cambria Math"/>
                  <w:sz w:val="22"/>
                  <w:szCs w:val="20"/>
                </w:rPr>
                <m:t>a</m:t>
              </m:r>
            </m:e>
            <m:sub>
              <m:r>
                <w:rPr>
                  <w:rFonts w:ascii="Cambria Math" w:eastAsia="Times New Roman" w:hAnsi="Cambria Math"/>
                  <w:sz w:val="22"/>
                  <w:szCs w:val="20"/>
                </w:rPr>
                <m:t>água/longo</m:t>
              </m:r>
            </m:sub>
          </m:sSub>
          <m:r>
            <w:rPr>
              <w:rFonts w:ascii="Cambria Math" w:eastAsia="Times New Roman" w:hAnsi="Cambria Math"/>
              <w:sz w:val="22"/>
              <w:szCs w:val="20"/>
            </w:rPr>
            <m:t>=</m:t>
          </m:r>
          <m:f>
            <m:fPr>
              <m:ctrlPr>
                <w:rPr>
                  <w:rFonts w:ascii="Cambria Math" w:eastAsia="Times New Roman" w:hAnsi="Cambria Math"/>
                  <w:i/>
                  <w:sz w:val="22"/>
                  <w:szCs w:val="20"/>
                </w:rPr>
              </m:ctrlPr>
            </m:fPr>
            <m:num>
              <m:r>
                <w:rPr>
                  <w:rFonts w:ascii="Cambria Math" w:eastAsia="Times New Roman" w:hAnsi="Cambria Math"/>
                  <w:sz w:val="22"/>
                  <w:szCs w:val="20"/>
                </w:rPr>
                <m:t xml:space="preserve">Total de ações do setor de água implantadas no longo prazo </m:t>
              </m:r>
            </m:num>
            <m:den>
              <m:r>
                <w:rPr>
                  <w:rFonts w:ascii="Cambria Math" w:eastAsia="Times New Roman" w:hAnsi="Cambria Math"/>
                  <w:sz w:val="22"/>
                  <w:szCs w:val="20"/>
                </w:rPr>
                <m:t>Total de ações do setor de água propostas para o longo prazo</m:t>
              </m:r>
            </m:den>
          </m:f>
        </m:oMath>
      </m:oMathPara>
    </w:p>
    <w:p w:rsidR="00813DDC" w:rsidRPr="00813DDC" w:rsidRDefault="00813DDC" w:rsidP="00813DDC">
      <w:pPr>
        <w:contextualSpacing/>
        <w:jc w:val="both"/>
        <w:rPr>
          <w:rFonts w:ascii="Cambria Math" w:eastAsia="Times New Roman" w:hAnsi="Cambria Math"/>
          <w:i/>
          <w:sz w:val="22"/>
          <w:szCs w:val="20"/>
        </w:rPr>
      </w:pPr>
      <m:oMathPara>
        <m:oMath>
          <m:r>
            <w:rPr>
              <w:rFonts w:ascii="Cambria Math" w:eastAsia="Times New Roman" w:hAnsi="Cambria Math"/>
              <w:sz w:val="22"/>
              <w:szCs w:val="20"/>
            </w:rPr>
            <m:t>I</m:t>
          </m:r>
          <m:sSub>
            <m:sSubPr>
              <m:ctrlPr>
                <w:rPr>
                  <w:rFonts w:ascii="Cambria Math" w:eastAsia="Times New Roman" w:hAnsi="Cambria Math"/>
                  <w:i/>
                  <w:sz w:val="22"/>
                  <w:szCs w:val="20"/>
                </w:rPr>
              </m:ctrlPr>
            </m:sSubPr>
            <m:e>
              <m:r>
                <w:rPr>
                  <w:rFonts w:ascii="Cambria Math" w:eastAsia="Times New Roman" w:hAnsi="Cambria Math"/>
                  <w:sz w:val="22"/>
                  <w:szCs w:val="20"/>
                </w:rPr>
                <m:t>a</m:t>
              </m:r>
            </m:e>
            <m:sub>
              <m:r>
                <w:rPr>
                  <w:rFonts w:ascii="Cambria Math" w:eastAsia="Times New Roman" w:hAnsi="Cambria Math"/>
                  <w:sz w:val="22"/>
                  <w:szCs w:val="20"/>
                </w:rPr>
                <m:t>esgotos/longo</m:t>
              </m:r>
            </m:sub>
          </m:sSub>
          <m:r>
            <w:rPr>
              <w:rFonts w:ascii="Cambria Math" w:eastAsia="Times New Roman" w:hAnsi="Cambria Math"/>
              <w:sz w:val="22"/>
              <w:szCs w:val="20"/>
            </w:rPr>
            <m:t>=</m:t>
          </m:r>
          <m:f>
            <m:fPr>
              <m:ctrlPr>
                <w:rPr>
                  <w:rFonts w:ascii="Cambria Math" w:eastAsia="Times New Roman" w:hAnsi="Cambria Math"/>
                  <w:i/>
                  <w:sz w:val="22"/>
                  <w:szCs w:val="20"/>
                </w:rPr>
              </m:ctrlPr>
            </m:fPr>
            <m:num>
              <m:r>
                <w:rPr>
                  <w:rFonts w:ascii="Cambria Math" w:eastAsia="Times New Roman" w:hAnsi="Cambria Math"/>
                  <w:sz w:val="22"/>
                  <w:szCs w:val="20"/>
                </w:rPr>
                <m:t>Total de ações do setor de esgotos implantadas no longo prazo</m:t>
              </m:r>
            </m:num>
            <m:den>
              <m:r>
                <w:rPr>
                  <w:rFonts w:ascii="Cambria Math" w:eastAsia="Times New Roman" w:hAnsi="Cambria Math"/>
                  <w:sz w:val="22"/>
                  <w:szCs w:val="20"/>
                </w:rPr>
                <m:t>Total de ações do setor de esgotos propostas para o longo prazo</m:t>
              </m:r>
            </m:den>
          </m:f>
        </m:oMath>
      </m:oMathPara>
    </w:p>
    <w:p w:rsidR="00813DDC" w:rsidRPr="00813DDC" w:rsidRDefault="00813DDC" w:rsidP="00813DDC">
      <w:pPr>
        <w:contextualSpacing/>
        <w:jc w:val="both"/>
        <w:rPr>
          <w:rFonts w:ascii="Cambria Math" w:eastAsia="Times New Roman" w:hAnsi="Cambria Math"/>
          <w:i/>
          <w:sz w:val="22"/>
          <w:szCs w:val="20"/>
        </w:rPr>
      </w:pPr>
    </w:p>
    <w:p w:rsidR="00813DDC" w:rsidRPr="00813DDC" w:rsidRDefault="00813DDC" w:rsidP="00813DDC">
      <w:pPr>
        <w:contextualSpacing/>
        <w:jc w:val="both"/>
        <w:rPr>
          <w:rFonts w:ascii="Cambria Math" w:eastAsia="Times New Roman" w:hAnsi="Cambria Math"/>
          <w:i/>
          <w:sz w:val="22"/>
          <w:szCs w:val="20"/>
        </w:rPr>
      </w:pPr>
      <m:oMathPara>
        <m:oMath>
          <m:r>
            <w:rPr>
              <w:rFonts w:ascii="Cambria Math" w:eastAsia="Times New Roman" w:hAnsi="Cambria Math"/>
              <w:sz w:val="22"/>
              <w:szCs w:val="20"/>
            </w:rPr>
            <m:t>I</m:t>
          </m:r>
          <m:sSub>
            <m:sSubPr>
              <m:ctrlPr>
                <w:rPr>
                  <w:rFonts w:ascii="Cambria Math" w:eastAsia="Times New Roman" w:hAnsi="Cambria Math"/>
                  <w:i/>
                  <w:sz w:val="22"/>
                  <w:szCs w:val="20"/>
                </w:rPr>
              </m:ctrlPr>
            </m:sSubPr>
            <m:e>
              <m:r>
                <w:rPr>
                  <w:rFonts w:ascii="Cambria Math" w:eastAsia="Times New Roman" w:hAnsi="Cambria Math"/>
                  <w:sz w:val="22"/>
                  <w:szCs w:val="20"/>
                </w:rPr>
                <m:t>a</m:t>
              </m:r>
            </m:e>
            <m:sub>
              <m:r>
                <w:rPr>
                  <w:rFonts w:ascii="Cambria Math" w:eastAsia="Times New Roman" w:hAnsi="Cambria Math"/>
                  <w:sz w:val="22"/>
                  <w:szCs w:val="20"/>
                </w:rPr>
                <m:t>drenagem/longo</m:t>
              </m:r>
            </m:sub>
          </m:sSub>
          <m:r>
            <w:rPr>
              <w:rFonts w:ascii="Cambria Math" w:eastAsia="Times New Roman" w:hAnsi="Cambria Math"/>
              <w:sz w:val="22"/>
              <w:szCs w:val="20"/>
            </w:rPr>
            <m:t>=</m:t>
          </m:r>
          <m:f>
            <m:fPr>
              <m:ctrlPr>
                <w:rPr>
                  <w:rFonts w:ascii="Cambria Math" w:eastAsia="Times New Roman" w:hAnsi="Cambria Math"/>
                  <w:i/>
                  <w:sz w:val="22"/>
                  <w:szCs w:val="20"/>
                </w:rPr>
              </m:ctrlPr>
            </m:fPr>
            <m:num>
              <m:r>
                <w:rPr>
                  <w:rFonts w:ascii="Cambria Math" w:eastAsia="Times New Roman" w:hAnsi="Cambria Math"/>
                  <w:sz w:val="22"/>
                  <w:szCs w:val="20"/>
                </w:rPr>
                <m:t>To</m:t>
              </m:r>
              <m:r>
                <w:rPr>
                  <w:rFonts w:ascii="Cambria Math" w:eastAsia="Times New Roman" w:hAnsi="Cambria Math"/>
                  <w:sz w:val="22"/>
                  <w:szCs w:val="20"/>
                </w:rPr>
                <m:t>tal de ações do setor de drenagem implantadas no longo prazo</m:t>
              </m:r>
            </m:num>
            <m:den>
              <m:r>
                <w:rPr>
                  <w:rFonts w:ascii="Cambria Math" w:eastAsia="Times New Roman" w:hAnsi="Cambria Math"/>
                  <w:sz w:val="22"/>
                  <w:szCs w:val="20"/>
                </w:rPr>
                <m:t xml:space="preserve">Total de ações do setor de drenagem propostas para o longo prazo </m:t>
              </m:r>
            </m:den>
          </m:f>
        </m:oMath>
      </m:oMathPara>
    </w:p>
    <w:p w:rsidR="00813DDC" w:rsidRPr="00813DDC" w:rsidRDefault="00813DDC" w:rsidP="00813DDC">
      <w:pPr>
        <w:ind w:left="1429"/>
        <w:contextualSpacing/>
        <w:jc w:val="both"/>
        <w:rPr>
          <w:rFonts w:ascii="Cambria Math" w:eastAsia="Times New Roman" w:hAnsi="Cambria Math"/>
          <w:i/>
          <w:sz w:val="22"/>
          <w:szCs w:val="20"/>
        </w:rPr>
      </w:pPr>
    </w:p>
    <w:p w:rsidR="00813DDC" w:rsidRPr="00813DDC" w:rsidRDefault="00813DDC" w:rsidP="00813DDC">
      <w:pPr>
        <w:contextualSpacing/>
        <w:jc w:val="both"/>
        <w:rPr>
          <w:rFonts w:ascii="Cambria Math" w:eastAsia="Times New Roman" w:hAnsi="Cambria Math"/>
          <w:i/>
          <w:sz w:val="22"/>
          <w:szCs w:val="20"/>
        </w:rPr>
      </w:pPr>
      <m:oMathPara>
        <m:oMath>
          <m:r>
            <w:rPr>
              <w:rFonts w:ascii="Cambria Math" w:eastAsia="Times New Roman" w:hAnsi="Cambria Math"/>
              <w:sz w:val="22"/>
              <w:szCs w:val="20"/>
            </w:rPr>
            <m:t>I</m:t>
          </m:r>
          <m:sSub>
            <m:sSubPr>
              <m:ctrlPr>
                <w:rPr>
                  <w:rFonts w:ascii="Cambria Math" w:eastAsia="Times New Roman" w:hAnsi="Cambria Math"/>
                  <w:i/>
                  <w:sz w:val="22"/>
                  <w:szCs w:val="20"/>
                </w:rPr>
              </m:ctrlPr>
            </m:sSubPr>
            <m:e>
              <m:r>
                <w:rPr>
                  <w:rFonts w:ascii="Cambria Math" w:eastAsia="Times New Roman" w:hAnsi="Cambria Math"/>
                  <w:sz w:val="22"/>
                  <w:szCs w:val="20"/>
                </w:rPr>
                <m:t>a</m:t>
              </m:r>
            </m:e>
            <m:sub>
              <m:r>
                <w:rPr>
                  <w:rFonts w:ascii="Cambria Math" w:eastAsia="Times New Roman" w:hAnsi="Cambria Math"/>
                  <w:sz w:val="22"/>
                  <w:szCs w:val="20"/>
                </w:rPr>
                <m:t>resíduos/longo</m:t>
              </m:r>
            </m:sub>
          </m:sSub>
          <m:r>
            <w:rPr>
              <w:rFonts w:ascii="Cambria Math" w:eastAsia="Times New Roman" w:hAnsi="Cambria Math"/>
              <w:sz w:val="22"/>
              <w:szCs w:val="20"/>
            </w:rPr>
            <m:t>=</m:t>
          </m:r>
          <m:f>
            <m:fPr>
              <m:ctrlPr>
                <w:rPr>
                  <w:rFonts w:ascii="Cambria Math" w:eastAsia="Times New Roman" w:hAnsi="Cambria Math"/>
                  <w:i/>
                  <w:sz w:val="22"/>
                  <w:szCs w:val="20"/>
                </w:rPr>
              </m:ctrlPr>
            </m:fPr>
            <m:num>
              <m:r>
                <w:rPr>
                  <w:rFonts w:ascii="Cambria Math" w:eastAsia="Times New Roman" w:hAnsi="Cambria Math"/>
                  <w:sz w:val="22"/>
                  <w:szCs w:val="20"/>
                </w:rPr>
                <m:t xml:space="preserve">Total de ações do setor de resíduos implantadas no longo prazo </m:t>
              </m:r>
            </m:num>
            <m:den>
              <m:r>
                <w:rPr>
                  <w:rFonts w:ascii="Cambria Math" w:eastAsia="Times New Roman" w:hAnsi="Cambria Math"/>
                  <w:sz w:val="22"/>
                  <w:szCs w:val="20"/>
                </w:rPr>
                <m:t>Total de ações do setor de resíduos propostas para o longo prazo</m:t>
              </m:r>
            </m:den>
          </m:f>
        </m:oMath>
      </m:oMathPara>
    </w:p>
    <w:p w:rsidR="00813DDC" w:rsidRPr="00813DDC" w:rsidRDefault="00813DDC" w:rsidP="00813DDC">
      <w:pPr>
        <w:ind w:firstLine="709"/>
        <w:jc w:val="both"/>
        <w:rPr>
          <w:lang w:eastAsia="pt-BR"/>
        </w:rPr>
      </w:pPr>
    </w:p>
    <w:p w:rsidR="00813DDC" w:rsidRDefault="00813DDC" w:rsidP="00813DDC">
      <w:pPr>
        <w:ind w:firstLine="709"/>
        <w:jc w:val="both"/>
        <w:rPr>
          <w:lang w:eastAsia="pt-BR"/>
        </w:rPr>
      </w:pPr>
      <w:r w:rsidRPr="00813DDC">
        <w:rPr>
          <w:lang w:eastAsia="pt-BR"/>
        </w:rPr>
        <w:t xml:space="preserve">A seguir são apresentados os principais indicadores para monitoramento da evolução do alcance dos objetivos estabelecidos no PMSB, considerados por sistema de serviços. </w:t>
      </w:r>
      <w:bookmarkStart w:id="1219" w:name="_Toc448485328"/>
      <w:bookmarkStart w:id="1220" w:name="_Toc448485470"/>
      <w:bookmarkStart w:id="1221" w:name="_Toc448485587"/>
      <w:bookmarkStart w:id="1222" w:name="_Toc448485704"/>
      <w:bookmarkStart w:id="1223" w:name="_Toc448485827"/>
      <w:bookmarkStart w:id="1224" w:name="_Toc448495967"/>
      <w:bookmarkStart w:id="1225" w:name="_Toc448496239"/>
      <w:bookmarkStart w:id="1226" w:name="_Toc448496361"/>
      <w:bookmarkStart w:id="1227" w:name="_Toc448496483"/>
      <w:bookmarkStart w:id="1228" w:name="_Toc448850941"/>
      <w:bookmarkStart w:id="1229" w:name="_Toc448851059"/>
      <w:bookmarkStart w:id="1230" w:name="_Toc448915924"/>
      <w:bookmarkStart w:id="1231" w:name="_Toc449354674"/>
      <w:bookmarkStart w:id="1232" w:name="_Toc449624900"/>
      <w:bookmarkStart w:id="1233" w:name="_Toc449715860"/>
      <w:bookmarkStart w:id="1234" w:name="_Toc449948133"/>
      <w:bookmarkStart w:id="1235" w:name="_Toc448485329"/>
      <w:bookmarkStart w:id="1236" w:name="_Toc448485471"/>
      <w:bookmarkStart w:id="1237" w:name="_Toc448485588"/>
      <w:bookmarkStart w:id="1238" w:name="_Toc448485705"/>
      <w:bookmarkStart w:id="1239" w:name="_Toc448485828"/>
      <w:bookmarkStart w:id="1240" w:name="_Toc448495968"/>
      <w:bookmarkStart w:id="1241" w:name="_Toc448496240"/>
      <w:bookmarkStart w:id="1242" w:name="_Toc448496362"/>
      <w:bookmarkStart w:id="1243" w:name="_Toc448496484"/>
      <w:bookmarkStart w:id="1244" w:name="_Toc448850942"/>
      <w:bookmarkStart w:id="1245" w:name="_Toc448851060"/>
      <w:bookmarkStart w:id="1246" w:name="_Toc448915925"/>
      <w:bookmarkStart w:id="1247" w:name="_Toc449354675"/>
      <w:bookmarkStart w:id="1248" w:name="_Toc449624901"/>
      <w:bookmarkStart w:id="1249" w:name="_Toc449715861"/>
      <w:bookmarkStart w:id="1250" w:name="_Toc449948134"/>
      <w:bookmarkStart w:id="1251" w:name="_Toc448485330"/>
      <w:bookmarkStart w:id="1252" w:name="_Toc448485472"/>
      <w:bookmarkStart w:id="1253" w:name="_Toc448485589"/>
      <w:bookmarkStart w:id="1254" w:name="_Toc448485706"/>
      <w:bookmarkStart w:id="1255" w:name="_Toc448485829"/>
      <w:bookmarkStart w:id="1256" w:name="_Toc448495969"/>
      <w:bookmarkStart w:id="1257" w:name="_Toc448496241"/>
      <w:bookmarkStart w:id="1258" w:name="_Toc448496363"/>
      <w:bookmarkStart w:id="1259" w:name="_Toc448496485"/>
      <w:bookmarkStart w:id="1260" w:name="_Toc448850943"/>
      <w:bookmarkStart w:id="1261" w:name="_Toc448851061"/>
      <w:bookmarkStart w:id="1262" w:name="_Toc448915926"/>
      <w:bookmarkStart w:id="1263" w:name="_Toc449354676"/>
      <w:bookmarkStart w:id="1264" w:name="_Toc449624902"/>
      <w:bookmarkStart w:id="1265" w:name="_Toc449715862"/>
      <w:bookmarkStart w:id="1266" w:name="_Toc449948135"/>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rsidR="00810C89" w:rsidRPr="00813DDC" w:rsidRDefault="00810C89" w:rsidP="00813DDC">
      <w:pPr>
        <w:ind w:firstLine="709"/>
        <w:jc w:val="both"/>
        <w:rPr>
          <w:lang w:eastAsia="pt-BR"/>
        </w:rPr>
      </w:pPr>
    </w:p>
    <w:p w:rsidR="00813DDC" w:rsidRPr="00813DDC" w:rsidRDefault="00813DDC" w:rsidP="00BC01B1">
      <w:pPr>
        <w:pStyle w:val="SHS-Ttulo02"/>
      </w:pPr>
      <w:bookmarkStart w:id="1267" w:name="_Toc453769326"/>
      <w:bookmarkStart w:id="1268" w:name="_Toc453771193"/>
      <w:bookmarkStart w:id="1269" w:name="_Toc499018980"/>
      <w:bookmarkStart w:id="1270" w:name="_Toc499106715"/>
      <w:bookmarkStart w:id="1271" w:name="_Toc499107035"/>
      <w:bookmarkStart w:id="1272" w:name="_Toc499107855"/>
      <w:bookmarkStart w:id="1273" w:name="_Toc499108692"/>
      <w:bookmarkStart w:id="1274" w:name="_Toc499109517"/>
      <w:bookmarkStart w:id="1275" w:name="_Toc499109683"/>
      <w:bookmarkStart w:id="1276" w:name="_Toc499709889"/>
      <w:bookmarkStart w:id="1277" w:name="_Toc509935610"/>
      <w:r w:rsidRPr="00813DDC">
        <w:lastRenderedPageBreak/>
        <w:t>Sistema Geral</w:t>
      </w:r>
      <w:bookmarkEnd w:id="1267"/>
      <w:bookmarkEnd w:id="1268"/>
      <w:bookmarkEnd w:id="1269"/>
      <w:bookmarkEnd w:id="1270"/>
      <w:bookmarkEnd w:id="1271"/>
      <w:bookmarkEnd w:id="1272"/>
      <w:bookmarkEnd w:id="1273"/>
      <w:bookmarkEnd w:id="1274"/>
      <w:bookmarkEnd w:id="1275"/>
      <w:bookmarkEnd w:id="1276"/>
      <w:bookmarkEnd w:id="1277"/>
    </w:p>
    <w:p w:rsidR="00813DDC" w:rsidRPr="00813DDC" w:rsidRDefault="00813DDC" w:rsidP="00813DDC">
      <w:pPr>
        <w:ind w:firstLine="709"/>
        <w:jc w:val="both"/>
      </w:pPr>
      <w:r w:rsidRPr="00813DDC">
        <w:t>C</w:t>
      </w:r>
      <w:r w:rsidRPr="00813DDC">
        <w:rPr>
          <w:rFonts w:cs="Arial"/>
          <w:szCs w:val="24"/>
          <w:lang w:eastAsia="pt-BR"/>
        </w:rPr>
        <w:t xml:space="preserve">om base no diagnóstico técnico-participativo e no cenário normativo estabelecido, para o setor geral, </w:t>
      </w:r>
      <w:r w:rsidRPr="00813DDC">
        <w:t xml:space="preserve">foram traçados sete objetivos a serem atingidos durante o período do PMSB do município de </w:t>
      </w:r>
      <w:r w:rsidRPr="00813DDC">
        <w:rPr>
          <w:rFonts w:cs="Arial"/>
          <w:color w:val="000000"/>
          <w:szCs w:val="24"/>
          <w:shd w:val="clear" w:color="auto" w:fill="FFFFFF"/>
        </w:rPr>
        <w:t>Córrego Novo</w:t>
      </w:r>
      <w:r w:rsidRPr="00813DDC">
        <w:t>. São eles:</w:t>
      </w:r>
    </w:p>
    <w:p w:rsidR="00813DDC" w:rsidRPr="00813DDC" w:rsidRDefault="00813DDC" w:rsidP="00813DDC">
      <w:pPr>
        <w:ind w:firstLine="709"/>
        <w:jc w:val="both"/>
      </w:pPr>
    </w:p>
    <w:p w:rsidR="00813DDC" w:rsidRPr="00813DDC" w:rsidRDefault="00813DDC" w:rsidP="00813DDC">
      <w:pPr>
        <w:numPr>
          <w:ilvl w:val="0"/>
          <w:numId w:val="6"/>
        </w:numPr>
        <w:ind w:left="2127" w:hanging="1560"/>
        <w:contextualSpacing/>
        <w:jc w:val="both"/>
        <w:rPr>
          <w:rFonts w:eastAsia="Times New Roman" w:cs="Arial"/>
          <w:szCs w:val="24"/>
          <w:lang w:eastAsia="pt-BR"/>
        </w:rPr>
      </w:pPr>
      <w:r w:rsidRPr="00813DDC">
        <w:rPr>
          <w:rFonts w:eastAsia="Times New Roman" w:cs="Arial"/>
          <w:bCs/>
          <w:szCs w:val="24"/>
          <w:lang w:eastAsia="pt-BR"/>
        </w:rPr>
        <w:t>Estabelecer um arranjo institucional capaz de articular os quatro setores do saneamento básico municipal sob uma única supervisão.</w:t>
      </w:r>
    </w:p>
    <w:p w:rsidR="00813DDC" w:rsidRPr="00813DDC" w:rsidRDefault="00813DDC" w:rsidP="00813DDC">
      <w:pPr>
        <w:numPr>
          <w:ilvl w:val="0"/>
          <w:numId w:val="6"/>
        </w:numPr>
        <w:ind w:left="2127" w:hanging="1560"/>
        <w:contextualSpacing/>
        <w:jc w:val="both"/>
        <w:rPr>
          <w:rFonts w:eastAsia="Times New Roman" w:cs="Arial"/>
          <w:szCs w:val="24"/>
          <w:lang w:eastAsia="pt-BR"/>
        </w:rPr>
      </w:pPr>
      <w:r w:rsidRPr="00813DDC">
        <w:rPr>
          <w:rFonts w:eastAsia="Times New Roman" w:cs="Arial"/>
          <w:szCs w:val="24"/>
          <w:lang w:eastAsia="pt-BR"/>
        </w:rPr>
        <w:t>Alcançar, no município, a universalidade do acesso aos quatro sistemas do saneamento básico.</w:t>
      </w:r>
    </w:p>
    <w:p w:rsidR="00813DDC" w:rsidRPr="00813DDC" w:rsidRDefault="00813DDC" w:rsidP="00813DDC">
      <w:pPr>
        <w:numPr>
          <w:ilvl w:val="0"/>
          <w:numId w:val="6"/>
        </w:numPr>
        <w:ind w:left="2127" w:hanging="1560"/>
        <w:contextualSpacing/>
        <w:jc w:val="both"/>
        <w:rPr>
          <w:rFonts w:eastAsia="Times New Roman" w:cs="Arial"/>
          <w:szCs w:val="24"/>
          <w:lang w:eastAsia="pt-BR"/>
        </w:rPr>
      </w:pPr>
      <w:r w:rsidRPr="00813DDC">
        <w:rPr>
          <w:rFonts w:eastAsia="Times New Roman" w:cs="Arial"/>
          <w:szCs w:val="20"/>
          <w:lang w:eastAsia="pt-BR"/>
        </w:rPr>
        <w:t>Alcançar a sustentabilidade econômico-financeira para o setor do saneamento no município.</w:t>
      </w:r>
    </w:p>
    <w:p w:rsidR="00813DDC" w:rsidRPr="00813DDC" w:rsidRDefault="00813DDC" w:rsidP="00813DDC">
      <w:pPr>
        <w:numPr>
          <w:ilvl w:val="0"/>
          <w:numId w:val="6"/>
        </w:numPr>
        <w:ind w:left="2127" w:hanging="1560"/>
        <w:contextualSpacing/>
        <w:jc w:val="both"/>
        <w:rPr>
          <w:rFonts w:eastAsia="Times New Roman" w:cs="Arial"/>
          <w:szCs w:val="24"/>
          <w:lang w:eastAsia="pt-BR"/>
        </w:rPr>
      </w:pPr>
      <w:r w:rsidRPr="00813DDC">
        <w:rPr>
          <w:rFonts w:eastAsia="Times New Roman" w:cs="Arial"/>
          <w:bCs/>
          <w:szCs w:val="24"/>
          <w:lang w:eastAsia="pt-BR"/>
        </w:rPr>
        <w:t>Submeter os quatro eixos do saneamento básico municipal a uma entidade reguladora, cujas atribuições são definidas pela Lei nº 11.445/07 e pelo decreto que a regulamenta.</w:t>
      </w:r>
    </w:p>
    <w:p w:rsidR="00813DDC" w:rsidRPr="00813DDC" w:rsidRDefault="00813DDC" w:rsidP="00813DDC">
      <w:pPr>
        <w:numPr>
          <w:ilvl w:val="0"/>
          <w:numId w:val="6"/>
        </w:numPr>
        <w:ind w:left="2127" w:hanging="1560"/>
        <w:contextualSpacing/>
        <w:jc w:val="both"/>
        <w:rPr>
          <w:rFonts w:eastAsia="Times New Roman" w:cs="Arial"/>
          <w:bCs/>
          <w:szCs w:val="24"/>
          <w:lang w:eastAsia="pt-BR"/>
        </w:rPr>
      </w:pPr>
      <w:r w:rsidRPr="00813DDC">
        <w:rPr>
          <w:rFonts w:eastAsia="Times New Roman" w:cs="Arial"/>
          <w:bCs/>
          <w:szCs w:val="24"/>
          <w:lang w:eastAsia="pt-BR"/>
        </w:rPr>
        <w:t>Apresentar conformidade com a legislação ambiental vigente.</w:t>
      </w:r>
    </w:p>
    <w:p w:rsidR="00813DDC" w:rsidRPr="00813DDC" w:rsidRDefault="00813DDC" w:rsidP="00813DDC">
      <w:pPr>
        <w:numPr>
          <w:ilvl w:val="0"/>
          <w:numId w:val="6"/>
        </w:numPr>
        <w:ind w:left="2127" w:hanging="1560"/>
        <w:contextualSpacing/>
        <w:jc w:val="both"/>
        <w:rPr>
          <w:rFonts w:eastAsia="Times New Roman" w:cs="Arial"/>
          <w:bCs/>
          <w:szCs w:val="24"/>
          <w:lang w:eastAsia="pt-BR"/>
        </w:rPr>
      </w:pPr>
      <w:r w:rsidRPr="00813DDC">
        <w:rPr>
          <w:rFonts w:eastAsia="Times New Roman" w:cs="Arial"/>
          <w:bCs/>
          <w:szCs w:val="24"/>
          <w:lang w:eastAsia="pt-BR"/>
        </w:rPr>
        <w:t>Introduzir, na gestão do saneamento básico municipal, mecanismos que garantam o acesso a informações e a participação da população na formulação da política local de saneamento básico, além de promover avaliações relacionadas aos serviços prestados.</w:t>
      </w:r>
    </w:p>
    <w:p w:rsidR="00813DDC" w:rsidRPr="00813DDC" w:rsidRDefault="00813DDC" w:rsidP="00813DDC">
      <w:pPr>
        <w:numPr>
          <w:ilvl w:val="0"/>
          <w:numId w:val="6"/>
        </w:numPr>
        <w:ind w:left="2127" w:hanging="1560"/>
        <w:contextualSpacing/>
        <w:jc w:val="both"/>
        <w:rPr>
          <w:rFonts w:eastAsia="Times New Roman" w:cs="Arial"/>
          <w:bCs/>
          <w:szCs w:val="24"/>
          <w:lang w:eastAsia="pt-BR"/>
        </w:rPr>
      </w:pPr>
      <w:r w:rsidRPr="00813DDC">
        <w:rPr>
          <w:rFonts w:eastAsia="Times New Roman" w:cs="Arial"/>
          <w:bCs/>
          <w:szCs w:val="24"/>
          <w:lang w:eastAsia="pt-BR"/>
        </w:rPr>
        <w:t>Incentivar que escolas públicas do município tratem de questões relacionadas aos quatro sistemas do saneamento básico em suas disciplinas oficiais, incluindo conteúdos que promovam a economia de água pelos usuários.</w:t>
      </w:r>
    </w:p>
    <w:p w:rsidR="00813DDC" w:rsidRPr="00813DDC" w:rsidRDefault="00813DDC" w:rsidP="00813DDC">
      <w:pPr>
        <w:spacing w:before="120" w:after="120"/>
        <w:ind w:firstLine="708"/>
        <w:contextualSpacing/>
        <w:jc w:val="both"/>
        <w:rPr>
          <w:rFonts w:cs="Arial"/>
          <w:szCs w:val="24"/>
        </w:rPr>
      </w:pPr>
    </w:p>
    <w:p w:rsidR="00813DDC" w:rsidRPr="00813DDC" w:rsidRDefault="00813DDC" w:rsidP="00813DDC">
      <w:pPr>
        <w:spacing w:before="120" w:after="120"/>
        <w:ind w:firstLine="708"/>
        <w:contextualSpacing/>
        <w:jc w:val="both"/>
        <w:rPr>
          <w:rFonts w:cs="Arial"/>
          <w:szCs w:val="24"/>
        </w:rPr>
      </w:pPr>
      <w:r w:rsidRPr="00813DDC">
        <w:rPr>
          <w:rFonts w:cs="Arial"/>
          <w:szCs w:val="24"/>
        </w:rPr>
        <w:t xml:space="preserve">Para possibilitar o acompanhamento desses objetivos, foram estabelecidos os indicadores apresentados a seguir. </w:t>
      </w:r>
    </w:p>
    <w:p w:rsidR="00813DDC" w:rsidRPr="00813DDC" w:rsidRDefault="00813DDC" w:rsidP="00813DDC">
      <w:pPr>
        <w:spacing w:before="120" w:after="120"/>
        <w:ind w:firstLine="708"/>
        <w:contextualSpacing/>
        <w:jc w:val="both"/>
        <w:rPr>
          <w:rFonts w:cs="Arial"/>
          <w:szCs w:val="24"/>
        </w:rPr>
      </w:pPr>
    </w:p>
    <w:p w:rsidR="00813DDC" w:rsidRPr="00813DDC" w:rsidRDefault="00813DDC" w:rsidP="00813DDC">
      <w:pPr>
        <w:spacing w:before="120" w:after="120"/>
        <w:ind w:firstLine="708"/>
        <w:contextualSpacing/>
        <w:jc w:val="both"/>
        <w:rPr>
          <w:rFonts w:cs="Arial"/>
          <w:szCs w:val="24"/>
        </w:rPr>
      </w:pPr>
    </w:p>
    <w:p w:rsidR="00813DDC" w:rsidRPr="00813DDC" w:rsidRDefault="00813DDC" w:rsidP="00813DDC">
      <w:pPr>
        <w:spacing w:before="120" w:after="120"/>
        <w:ind w:firstLine="708"/>
        <w:contextualSpacing/>
        <w:jc w:val="both"/>
        <w:rPr>
          <w:rFonts w:cs="Arial"/>
          <w:szCs w:val="24"/>
        </w:rPr>
      </w:pPr>
    </w:p>
    <w:p w:rsidR="00813DDC" w:rsidRPr="00813DDC" w:rsidRDefault="00813DDC" w:rsidP="0066661F">
      <w:pPr>
        <w:widowControl w:val="0"/>
        <w:numPr>
          <w:ilvl w:val="0"/>
          <w:numId w:val="112"/>
        </w:numPr>
        <w:spacing w:before="120" w:after="120"/>
        <w:jc w:val="both"/>
        <w:outlineLvl w:val="2"/>
        <w:rPr>
          <w:rFonts w:eastAsia="Times New Roman" w:cs="Arial"/>
          <w:b/>
          <w:i/>
          <w:vanish/>
          <w:szCs w:val="24"/>
          <w:lang w:eastAsia="pt-BR"/>
        </w:rPr>
      </w:pPr>
      <w:bookmarkStart w:id="1278" w:name="_Toc498680381"/>
      <w:bookmarkStart w:id="1279" w:name="_Toc498680852"/>
      <w:bookmarkStart w:id="1280" w:name="_Toc498695738"/>
      <w:bookmarkStart w:id="1281" w:name="_Toc498696198"/>
      <w:bookmarkStart w:id="1282" w:name="_Toc498700037"/>
      <w:bookmarkStart w:id="1283" w:name="_Toc498700211"/>
      <w:bookmarkStart w:id="1284" w:name="_Toc498700700"/>
      <w:bookmarkStart w:id="1285" w:name="_Toc498700874"/>
      <w:bookmarkStart w:id="1286" w:name="_Toc499018981"/>
      <w:bookmarkStart w:id="1287" w:name="_Toc499106390"/>
      <w:bookmarkStart w:id="1288" w:name="_Toc499106550"/>
      <w:bookmarkStart w:id="1289" w:name="_Toc499106716"/>
      <w:bookmarkStart w:id="1290" w:name="_Toc499107036"/>
      <w:bookmarkStart w:id="1291" w:name="_Toc499107536"/>
      <w:bookmarkStart w:id="1292" w:name="_Toc499107696"/>
      <w:bookmarkStart w:id="1293" w:name="_Toc499107856"/>
      <w:bookmarkStart w:id="1294" w:name="_Toc499108693"/>
      <w:bookmarkStart w:id="1295" w:name="_Toc499109518"/>
      <w:bookmarkStart w:id="1296" w:name="_Toc499109684"/>
      <w:bookmarkStart w:id="1297" w:name="_Toc499109850"/>
      <w:bookmarkStart w:id="1298" w:name="_Toc499110010"/>
      <w:bookmarkStart w:id="1299" w:name="_Toc499110171"/>
      <w:bookmarkStart w:id="1300" w:name="_Toc499110746"/>
      <w:bookmarkStart w:id="1301" w:name="_Toc499113477"/>
      <w:bookmarkStart w:id="1302" w:name="_Toc499113876"/>
      <w:bookmarkStart w:id="1303" w:name="_Toc499214212"/>
      <w:bookmarkStart w:id="1304" w:name="_Toc499214384"/>
      <w:bookmarkStart w:id="1305" w:name="_Toc499215181"/>
      <w:bookmarkStart w:id="1306" w:name="_Toc499215353"/>
      <w:bookmarkStart w:id="1307" w:name="_Toc499709890"/>
      <w:bookmarkStart w:id="1308" w:name="_Toc507659724"/>
      <w:bookmarkStart w:id="1309" w:name="_Toc507660167"/>
      <w:bookmarkStart w:id="1310" w:name="_Toc507660763"/>
      <w:bookmarkStart w:id="1311" w:name="_Toc507661327"/>
      <w:bookmarkStart w:id="1312" w:name="_Toc507687169"/>
      <w:bookmarkStart w:id="1313" w:name="_Toc507687613"/>
      <w:bookmarkStart w:id="1314" w:name="_Toc507687930"/>
      <w:bookmarkStart w:id="1315" w:name="_Toc507688246"/>
      <w:bookmarkStart w:id="1316" w:name="_Toc507688865"/>
      <w:bookmarkStart w:id="1317" w:name="_Toc507689305"/>
      <w:bookmarkStart w:id="1318" w:name="_Toc509935611"/>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rsidR="00813DDC" w:rsidRPr="00813DDC" w:rsidRDefault="00813DDC" w:rsidP="0066661F">
      <w:pPr>
        <w:widowControl w:val="0"/>
        <w:numPr>
          <w:ilvl w:val="0"/>
          <w:numId w:val="112"/>
        </w:numPr>
        <w:spacing w:before="120" w:after="120"/>
        <w:jc w:val="both"/>
        <w:outlineLvl w:val="2"/>
        <w:rPr>
          <w:rFonts w:eastAsia="Times New Roman" w:cs="Arial"/>
          <w:b/>
          <w:i/>
          <w:vanish/>
          <w:szCs w:val="24"/>
          <w:lang w:eastAsia="pt-BR"/>
        </w:rPr>
      </w:pPr>
      <w:bookmarkStart w:id="1319" w:name="_Toc498680382"/>
      <w:bookmarkStart w:id="1320" w:name="_Toc498680853"/>
      <w:bookmarkStart w:id="1321" w:name="_Toc498695739"/>
      <w:bookmarkStart w:id="1322" w:name="_Toc498696199"/>
      <w:bookmarkStart w:id="1323" w:name="_Toc498700038"/>
      <w:bookmarkStart w:id="1324" w:name="_Toc498700212"/>
      <w:bookmarkStart w:id="1325" w:name="_Toc498700701"/>
      <w:bookmarkStart w:id="1326" w:name="_Toc498700875"/>
      <w:bookmarkStart w:id="1327" w:name="_Toc499018982"/>
      <w:bookmarkStart w:id="1328" w:name="_Toc499106391"/>
      <w:bookmarkStart w:id="1329" w:name="_Toc499106551"/>
      <w:bookmarkStart w:id="1330" w:name="_Toc499106717"/>
      <w:bookmarkStart w:id="1331" w:name="_Toc499107037"/>
      <w:bookmarkStart w:id="1332" w:name="_Toc499107537"/>
      <w:bookmarkStart w:id="1333" w:name="_Toc499107697"/>
      <w:bookmarkStart w:id="1334" w:name="_Toc499107857"/>
      <w:bookmarkStart w:id="1335" w:name="_Toc499108694"/>
      <w:bookmarkStart w:id="1336" w:name="_Toc499109519"/>
      <w:bookmarkStart w:id="1337" w:name="_Toc499109685"/>
      <w:bookmarkStart w:id="1338" w:name="_Toc499109851"/>
      <w:bookmarkStart w:id="1339" w:name="_Toc499110011"/>
      <w:bookmarkStart w:id="1340" w:name="_Toc499110172"/>
      <w:bookmarkStart w:id="1341" w:name="_Toc499110747"/>
      <w:bookmarkStart w:id="1342" w:name="_Toc499113478"/>
      <w:bookmarkStart w:id="1343" w:name="_Toc499113877"/>
      <w:bookmarkStart w:id="1344" w:name="_Toc499214213"/>
      <w:bookmarkStart w:id="1345" w:name="_Toc499214385"/>
      <w:bookmarkStart w:id="1346" w:name="_Toc499215182"/>
      <w:bookmarkStart w:id="1347" w:name="_Toc499215354"/>
      <w:bookmarkStart w:id="1348" w:name="_Toc499709891"/>
      <w:bookmarkStart w:id="1349" w:name="_Toc507659725"/>
      <w:bookmarkStart w:id="1350" w:name="_Toc507660168"/>
      <w:bookmarkStart w:id="1351" w:name="_Toc507660764"/>
      <w:bookmarkStart w:id="1352" w:name="_Toc507661328"/>
      <w:bookmarkStart w:id="1353" w:name="_Toc507687170"/>
      <w:bookmarkStart w:id="1354" w:name="_Toc507687614"/>
      <w:bookmarkStart w:id="1355" w:name="_Toc507687931"/>
      <w:bookmarkStart w:id="1356" w:name="_Toc507688247"/>
      <w:bookmarkStart w:id="1357" w:name="_Toc507688866"/>
      <w:bookmarkStart w:id="1358" w:name="_Toc507689306"/>
      <w:bookmarkStart w:id="1359" w:name="_Toc509935612"/>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rsidR="00813DDC" w:rsidRPr="00813DDC" w:rsidRDefault="00813DDC" w:rsidP="0066661F">
      <w:pPr>
        <w:widowControl w:val="0"/>
        <w:numPr>
          <w:ilvl w:val="1"/>
          <w:numId w:val="112"/>
        </w:numPr>
        <w:spacing w:before="120" w:after="120"/>
        <w:jc w:val="both"/>
        <w:outlineLvl w:val="2"/>
        <w:rPr>
          <w:rFonts w:eastAsia="Times New Roman" w:cs="Arial"/>
          <w:b/>
          <w:i/>
          <w:vanish/>
          <w:szCs w:val="24"/>
          <w:lang w:eastAsia="pt-BR"/>
        </w:rPr>
      </w:pPr>
      <w:bookmarkStart w:id="1360" w:name="_Toc498680383"/>
      <w:bookmarkStart w:id="1361" w:name="_Toc498680854"/>
      <w:bookmarkStart w:id="1362" w:name="_Toc498695740"/>
      <w:bookmarkStart w:id="1363" w:name="_Toc498696200"/>
      <w:bookmarkStart w:id="1364" w:name="_Toc498700039"/>
      <w:bookmarkStart w:id="1365" w:name="_Toc498700213"/>
      <w:bookmarkStart w:id="1366" w:name="_Toc498700702"/>
      <w:bookmarkStart w:id="1367" w:name="_Toc498700876"/>
      <w:bookmarkStart w:id="1368" w:name="_Toc499018983"/>
      <w:bookmarkStart w:id="1369" w:name="_Toc499106392"/>
      <w:bookmarkStart w:id="1370" w:name="_Toc499106552"/>
      <w:bookmarkStart w:id="1371" w:name="_Toc499106718"/>
      <w:bookmarkStart w:id="1372" w:name="_Toc499107038"/>
      <w:bookmarkStart w:id="1373" w:name="_Toc499107538"/>
      <w:bookmarkStart w:id="1374" w:name="_Toc499107698"/>
      <w:bookmarkStart w:id="1375" w:name="_Toc499107858"/>
      <w:bookmarkStart w:id="1376" w:name="_Toc499108695"/>
      <w:bookmarkStart w:id="1377" w:name="_Toc499109520"/>
      <w:bookmarkStart w:id="1378" w:name="_Toc499109686"/>
      <w:bookmarkStart w:id="1379" w:name="_Toc499109852"/>
      <w:bookmarkStart w:id="1380" w:name="_Toc499110012"/>
      <w:bookmarkStart w:id="1381" w:name="_Toc499110173"/>
      <w:bookmarkStart w:id="1382" w:name="_Toc499110748"/>
      <w:bookmarkStart w:id="1383" w:name="_Toc499113479"/>
      <w:bookmarkStart w:id="1384" w:name="_Toc499113878"/>
      <w:bookmarkStart w:id="1385" w:name="_Toc499214214"/>
      <w:bookmarkStart w:id="1386" w:name="_Toc499214386"/>
      <w:bookmarkStart w:id="1387" w:name="_Toc499215183"/>
      <w:bookmarkStart w:id="1388" w:name="_Toc499215355"/>
      <w:bookmarkStart w:id="1389" w:name="_Toc499709892"/>
      <w:bookmarkStart w:id="1390" w:name="_Toc507659726"/>
      <w:bookmarkStart w:id="1391" w:name="_Toc507660169"/>
      <w:bookmarkStart w:id="1392" w:name="_Toc507660765"/>
      <w:bookmarkStart w:id="1393" w:name="_Toc507661329"/>
      <w:bookmarkStart w:id="1394" w:name="_Toc507687171"/>
      <w:bookmarkStart w:id="1395" w:name="_Toc507687615"/>
      <w:bookmarkStart w:id="1396" w:name="_Toc507687932"/>
      <w:bookmarkStart w:id="1397" w:name="_Toc507688248"/>
      <w:bookmarkStart w:id="1398" w:name="_Toc507688867"/>
      <w:bookmarkStart w:id="1399" w:name="_Toc507689307"/>
      <w:bookmarkStart w:id="1400" w:name="_Toc509935613"/>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rsidR="00813DDC" w:rsidRPr="00813DDC" w:rsidRDefault="00813DDC" w:rsidP="00BC01B1">
      <w:pPr>
        <w:pStyle w:val="Ttulo3"/>
      </w:pPr>
      <w:bookmarkStart w:id="1401" w:name="_Toc499018984"/>
      <w:bookmarkStart w:id="1402" w:name="_Toc499106719"/>
      <w:bookmarkStart w:id="1403" w:name="_Toc499107039"/>
      <w:bookmarkStart w:id="1404" w:name="_Toc499107859"/>
      <w:bookmarkStart w:id="1405" w:name="_Toc499108696"/>
      <w:bookmarkStart w:id="1406" w:name="_Toc499109521"/>
      <w:bookmarkStart w:id="1407" w:name="_Toc499109687"/>
      <w:bookmarkStart w:id="1408" w:name="_Toc499709893"/>
      <w:bookmarkStart w:id="1409" w:name="_Toc509935614"/>
      <w:r w:rsidRPr="00813DDC">
        <w:t>Indicador para o Objetivo 1</w:t>
      </w:r>
      <w:bookmarkEnd w:id="1401"/>
      <w:bookmarkEnd w:id="1402"/>
      <w:bookmarkEnd w:id="1403"/>
      <w:bookmarkEnd w:id="1404"/>
      <w:bookmarkEnd w:id="1405"/>
      <w:bookmarkEnd w:id="1406"/>
      <w:bookmarkEnd w:id="1407"/>
      <w:bookmarkEnd w:id="1408"/>
      <w:bookmarkEnd w:id="1409"/>
      <w:r w:rsidRPr="00813DDC">
        <w:t xml:space="preserve"> </w:t>
      </w:r>
    </w:p>
    <w:p w:rsidR="00813DDC" w:rsidRPr="00813DDC" w:rsidRDefault="00813DDC" w:rsidP="00813DDC">
      <w:pPr>
        <w:spacing w:before="120" w:after="120"/>
        <w:ind w:firstLine="708"/>
        <w:contextualSpacing/>
        <w:jc w:val="both"/>
        <w:rPr>
          <w:rFonts w:cs="Arial"/>
          <w:szCs w:val="24"/>
        </w:rPr>
      </w:pPr>
      <w:r w:rsidRPr="00813DDC">
        <w:rPr>
          <w:rFonts w:cs="Arial"/>
          <w:szCs w:val="24"/>
        </w:rPr>
        <w:t xml:space="preserve">Para monitorar o </w:t>
      </w:r>
      <w:r w:rsidRPr="00813DDC">
        <w:rPr>
          <w:rFonts w:cs="Arial"/>
          <w:b/>
          <w:szCs w:val="24"/>
        </w:rPr>
        <w:t>Objetivo 1</w:t>
      </w:r>
      <w:r w:rsidRPr="00813DDC">
        <w:rPr>
          <w:rFonts w:cs="Arial"/>
          <w:szCs w:val="24"/>
        </w:rPr>
        <w:t xml:space="preserve"> do Setor Geral,</w:t>
      </w:r>
      <w:r w:rsidRPr="00813DDC">
        <w:rPr>
          <w:rFonts w:cs="Arial"/>
          <w:i/>
          <w:szCs w:val="24"/>
        </w:rPr>
        <w:t xml:space="preserve"> “estabelecer um arranjo institucional capaz de articular os quatro setores do saneamento básico municipal sob uma única supervisão” </w:t>
      </w:r>
      <w:r w:rsidRPr="00813DDC">
        <w:rPr>
          <w:rFonts w:cs="Arial"/>
          <w:szCs w:val="24"/>
        </w:rPr>
        <w:t xml:space="preserve">far-se-á um acompanhamento anual do </w:t>
      </w:r>
      <w:r w:rsidRPr="00813DDC">
        <w:rPr>
          <w:rFonts w:cs="Arial"/>
          <w:i/>
          <w:szCs w:val="24"/>
        </w:rPr>
        <w:t xml:space="preserve">índice de entrega de relatórios de eficiência </w:t>
      </w:r>
      <w:r w:rsidRPr="00813DDC">
        <w:rPr>
          <w:rFonts w:cs="Arial"/>
          <w:szCs w:val="24"/>
        </w:rPr>
        <w:t xml:space="preserve">dos setores específicos, ao setor supervisor. De posse desses relatórios, o setor supervisor terá condições de enxergar os quatro sistemas de serviços (SAA, SES, SDU e SLU/SRS) e avaliá-los de forma integrada. </w:t>
      </w:r>
    </w:p>
    <w:p w:rsidR="00813DDC" w:rsidRPr="00813DDC" w:rsidRDefault="00813DDC" w:rsidP="00BC01B1">
      <w:pPr>
        <w:pStyle w:val="Ttulo4"/>
      </w:pPr>
      <w:bookmarkStart w:id="1410" w:name="_Toc499018985"/>
      <w:bookmarkStart w:id="1411" w:name="_Toc499106720"/>
      <w:bookmarkStart w:id="1412" w:name="_Toc499107040"/>
      <w:bookmarkStart w:id="1413" w:name="_Toc499107860"/>
      <w:bookmarkStart w:id="1414" w:name="_Toc499108697"/>
      <w:bookmarkStart w:id="1415" w:name="_Toc499109522"/>
      <w:bookmarkStart w:id="1416" w:name="_Toc499109688"/>
      <w:bookmarkStart w:id="1417" w:name="_Toc499709894"/>
      <w:bookmarkStart w:id="1418" w:name="_Toc509935615"/>
      <w:r w:rsidRPr="00813DDC">
        <w:t>Indicador para o setor de água</w:t>
      </w:r>
      <w:bookmarkEnd w:id="1410"/>
      <w:bookmarkEnd w:id="1411"/>
      <w:bookmarkEnd w:id="1412"/>
      <w:bookmarkEnd w:id="1413"/>
      <w:bookmarkEnd w:id="1414"/>
      <w:bookmarkEnd w:id="1415"/>
      <w:bookmarkEnd w:id="1416"/>
      <w:bookmarkEnd w:id="1417"/>
      <w:bookmarkEnd w:id="1418"/>
    </w:p>
    <w:p w:rsidR="00813DDC" w:rsidRPr="00813DDC" w:rsidRDefault="001B481B" w:rsidP="00813DDC">
      <w:pPr>
        <w:tabs>
          <w:tab w:val="left" w:pos="851"/>
        </w:tabs>
        <w:rPr>
          <w:rFonts w:ascii="Cambria Math" w:hAnsi="Cambria Math"/>
          <w:i/>
          <w:sz w:val="20"/>
          <w:szCs w:val="20"/>
        </w:rPr>
      </w:pPr>
      <m:oMathPara>
        <m:oMath>
          <m:sSub>
            <m:sSubPr>
              <m:ctrlPr>
                <w:rPr>
                  <w:rFonts w:ascii="Cambria Math" w:hAnsi="Cambria Math"/>
                  <w:i/>
                  <w:sz w:val="20"/>
                  <w:szCs w:val="20"/>
                </w:rPr>
              </m:ctrlPr>
            </m:sSubPr>
            <m:e>
              <m:r>
                <w:rPr>
                  <w:rFonts w:ascii="Cambria Math" w:hAnsi="Cambria Math"/>
                  <w:sz w:val="20"/>
                  <w:szCs w:val="20"/>
                </w:rPr>
                <m:t xml:space="preserve">Índice de entrega de relatórios de eficiência </m:t>
              </m:r>
            </m:e>
            <m:sub>
              <m:r>
                <w:rPr>
                  <w:rFonts w:ascii="Cambria Math" w:hAnsi="Cambria Math"/>
                  <w:sz w:val="20"/>
                  <w:szCs w:val="20"/>
                </w:rPr>
                <m:t>(Setor Água)</m:t>
              </m:r>
            </m:sub>
          </m:sSub>
          <m:r>
            <w:rPr>
              <w:rFonts w:ascii="Cambria Math" w:hAnsi="Cambria Math"/>
              <w:sz w:val="20"/>
              <w:szCs w:val="20"/>
            </w:rPr>
            <m:t>=</m:t>
          </m:r>
          <m:d>
            <m:dPr>
              <m:ctrlPr>
                <w:rPr>
                  <w:rFonts w:ascii="Cambria Math" w:hAnsi="Cambria Math"/>
                  <w:i/>
                  <w:sz w:val="20"/>
                  <w:szCs w:val="20"/>
                </w:rPr>
              </m:ctrlPr>
            </m:dPr>
            <m:e>
              <m:eqArr>
                <m:eqArrPr>
                  <m:ctrlPr>
                    <w:rPr>
                      <w:rFonts w:ascii="Cambria Math" w:hAnsi="Cambria Math"/>
                      <w:i/>
                      <w:sz w:val="20"/>
                      <w:szCs w:val="20"/>
                    </w:rPr>
                  </m:ctrlPr>
                </m:eqArrPr>
                <m:e>
                  <m:r>
                    <w:rPr>
                      <w:rFonts w:ascii="Cambria Math" w:hAnsi="Cambria Math"/>
                      <w:sz w:val="20"/>
                      <w:szCs w:val="20"/>
                    </w:rPr>
                    <m:t xml:space="preserve"> </m:t>
                  </m:r>
                  <m:f>
                    <m:fPr>
                      <m:ctrlPr>
                        <w:rPr>
                          <w:rFonts w:ascii="Cambria Math" w:hAnsi="Cambria Math"/>
                          <w:i/>
                          <w:sz w:val="20"/>
                          <w:szCs w:val="20"/>
                        </w:rPr>
                      </m:ctrlPr>
                    </m:fPr>
                    <m:num>
                      <m:r>
                        <w:rPr>
                          <w:rFonts w:ascii="Cambria Math" w:hAnsi="Cambria Math"/>
                          <w:sz w:val="20"/>
                          <w:szCs w:val="20"/>
                        </w:rPr>
                        <m:t xml:space="preserve"> Nº de relatórios entregues pelo setor de água, por ano</m:t>
                      </m:r>
                    </m:num>
                    <m:den>
                      <m:r>
                        <w:rPr>
                          <w:rFonts w:ascii="Cambria Math" w:hAnsi="Cambria Math"/>
                          <w:sz w:val="20"/>
                          <w:szCs w:val="20"/>
                        </w:rPr>
                        <m:t>2</m:t>
                      </m:r>
                    </m:den>
                  </m:f>
                </m:e>
              </m:eqArr>
            </m:e>
          </m:d>
        </m:oMath>
      </m:oMathPara>
    </w:p>
    <w:p w:rsidR="00813DDC" w:rsidRPr="00813DDC" w:rsidRDefault="00813DDC" w:rsidP="00BC01B1">
      <w:pPr>
        <w:pStyle w:val="Ttulo4"/>
      </w:pPr>
      <w:bookmarkStart w:id="1419" w:name="_Toc499018986"/>
      <w:bookmarkStart w:id="1420" w:name="_Toc499106721"/>
      <w:bookmarkStart w:id="1421" w:name="_Toc499107041"/>
      <w:bookmarkStart w:id="1422" w:name="_Toc499107861"/>
      <w:bookmarkStart w:id="1423" w:name="_Toc499108698"/>
      <w:bookmarkStart w:id="1424" w:name="_Toc499109523"/>
      <w:bookmarkStart w:id="1425" w:name="_Toc499109689"/>
      <w:bookmarkStart w:id="1426" w:name="_Toc499709895"/>
      <w:bookmarkStart w:id="1427" w:name="_Toc509935616"/>
      <w:r w:rsidRPr="00813DDC">
        <w:t>Indicador para o setor de esgotos</w:t>
      </w:r>
      <w:bookmarkEnd w:id="1419"/>
      <w:bookmarkEnd w:id="1420"/>
      <w:bookmarkEnd w:id="1421"/>
      <w:bookmarkEnd w:id="1422"/>
      <w:bookmarkEnd w:id="1423"/>
      <w:bookmarkEnd w:id="1424"/>
      <w:bookmarkEnd w:id="1425"/>
      <w:bookmarkEnd w:id="1426"/>
      <w:bookmarkEnd w:id="1427"/>
    </w:p>
    <w:p w:rsidR="00813DDC" w:rsidRPr="00813DDC" w:rsidRDefault="001B481B" w:rsidP="00813DDC">
      <w:pPr>
        <w:tabs>
          <w:tab w:val="left" w:pos="851"/>
        </w:tabs>
        <w:rPr>
          <w:rFonts w:ascii="Cambria Math" w:hAnsi="Cambria Math"/>
          <w:i/>
          <w:sz w:val="22"/>
        </w:rPr>
      </w:pPr>
      <m:oMathPara>
        <m:oMath>
          <m:sSub>
            <m:sSubPr>
              <m:ctrlPr>
                <w:rPr>
                  <w:rFonts w:ascii="Cambria Math" w:hAnsi="Cambria Math"/>
                  <w:i/>
                  <w:sz w:val="20"/>
                  <w:szCs w:val="20"/>
                </w:rPr>
              </m:ctrlPr>
            </m:sSubPr>
            <m:e>
              <m:r>
                <w:rPr>
                  <w:rFonts w:ascii="Cambria Math" w:hAnsi="Cambria Math"/>
                  <w:sz w:val="20"/>
                  <w:szCs w:val="20"/>
                </w:rPr>
                <m:t xml:space="preserve">Índice de entrega de relatórios de eficiência </m:t>
              </m:r>
            </m:e>
            <m:sub>
              <m:r>
                <w:rPr>
                  <w:rFonts w:ascii="Cambria Math" w:hAnsi="Cambria Math"/>
                  <w:sz w:val="20"/>
                  <w:szCs w:val="20"/>
                </w:rPr>
                <m:t>(Setor Esgotos)</m:t>
              </m:r>
            </m:sub>
          </m:sSub>
          <m:r>
            <w:rPr>
              <w:rFonts w:ascii="Cambria Math" w:hAnsi="Cambria Math"/>
              <w:sz w:val="22"/>
            </w:rPr>
            <m:t>=</m:t>
          </m:r>
          <m:d>
            <m:dPr>
              <m:ctrlPr>
                <w:rPr>
                  <w:rFonts w:ascii="Cambria Math" w:hAnsi="Cambria Math"/>
                  <w:i/>
                  <w:sz w:val="22"/>
                </w:rPr>
              </m:ctrlPr>
            </m:dPr>
            <m:e>
              <m:eqArr>
                <m:eqArrPr>
                  <m:ctrlPr>
                    <w:rPr>
                      <w:rFonts w:ascii="Cambria Math" w:hAnsi="Cambria Math"/>
                      <w:i/>
                      <w:sz w:val="22"/>
                    </w:rPr>
                  </m:ctrlPr>
                </m:eqArrPr>
                <m:e>
                  <m:r>
                    <w:rPr>
                      <w:rFonts w:ascii="Cambria Math" w:hAnsi="Cambria Math"/>
                      <w:sz w:val="22"/>
                    </w:rPr>
                    <m:t xml:space="preserve"> </m:t>
                  </m:r>
                  <m:f>
                    <m:fPr>
                      <m:ctrlPr>
                        <w:rPr>
                          <w:rFonts w:ascii="Cambria Math" w:hAnsi="Cambria Math"/>
                          <w:i/>
                          <w:sz w:val="22"/>
                        </w:rPr>
                      </m:ctrlPr>
                    </m:fPr>
                    <m:num>
                      <m:r>
                        <w:rPr>
                          <w:rFonts w:ascii="Cambria Math" w:hAnsi="Cambria Math"/>
                          <w:sz w:val="22"/>
                        </w:rPr>
                        <m:t xml:space="preserve"> Nº de relatórios enviados pelo setor de esgoto, por ano</m:t>
                      </m:r>
                    </m:num>
                    <m:den>
                      <m:r>
                        <w:rPr>
                          <w:rFonts w:ascii="Cambria Math" w:hAnsi="Cambria Math"/>
                          <w:sz w:val="22"/>
                        </w:rPr>
                        <m:t>2</m:t>
                      </m:r>
                    </m:den>
                  </m:f>
                </m:e>
              </m:eqArr>
            </m:e>
          </m:d>
        </m:oMath>
      </m:oMathPara>
    </w:p>
    <w:p w:rsidR="00813DDC" w:rsidRPr="00813DDC" w:rsidRDefault="00813DDC" w:rsidP="00BC01B1">
      <w:pPr>
        <w:pStyle w:val="Ttulo4"/>
      </w:pPr>
      <w:bookmarkStart w:id="1428" w:name="_Toc499018987"/>
      <w:bookmarkStart w:id="1429" w:name="_Toc499106722"/>
      <w:bookmarkStart w:id="1430" w:name="_Toc499107042"/>
      <w:bookmarkStart w:id="1431" w:name="_Toc499107862"/>
      <w:bookmarkStart w:id="1432" w:name="_Toc499108699"/>
      <w:bookmarkStart w:id="1433" w:name="_Toc499109524"/>
      <w:bookmarkStart w:id="1434" w:name="_Toc499109690"/>
      <w:bookmarkStart w:id="1435" w:name="_Toc499709896"/>
      <w:bookmarkStart w:id="1436" w:name="_Toc509935617"/>
      <w:r w:rsidRPr="00813DDC">
        <w:t>Indicador para o setor de drenagem</w:t>
      </w:r>
      <w:bookmarkEnd w:id="1428"/>
      <w:bookmarkEnd w:id="1429"/>
      <w:bookmarkEnd w:id="1430"/>
      <w:bookmarkEnd w:id="1431"/>
      <w:bookmarkEnd w:id="1432"/>
      <w:bookmarkEnd w:id="1433"/>
      <w:bookmarkEnd w:id="1434"/>
      <w:bookmarkEnd w:id="1435"/>
      <w:bookmarkEnd w:id="1436"/>
    </w:p>
    <w:p w:rsidR="00813DDC" w:rsidRPr="00813DDC" w:rsidRDefault="001B481B" w:rsidP="00813DDC">
      <w:pPr>
        <w:tabs>
          <w:tab w:val="left" w:pos="851"/>
        </w:tabs>
        <w:rPr>
          <w:rFonts w:ascii="Cambria Math" w:hAnsi="Cambria Math"/>
          <w:i/>
          <w:sz w:val="22"/>
        </w:rPr>
      </w:pPr>
      <m:oMathPara>
        <m:oMath>
          <m:sSub>
            <m:sSubPr>
              <m:ctrlPr>
                <w:rPr>
                  <w:rFonts w:ascii="Cambria Math" w:hAnsi="Cambria Math"/>
                  <w:i/>
                  <w:sz w:val="20"/>
                  <w:szCs w:val="20"/>
                </w:rPr>
              </m:ctrlPr>
            </m:sSubPr>
            <m:e>
              <m:r>
                <w:rPr>
                  <w:rFonts w:ascii="Cambria Math" w:hAnsi="Cambria Math"/>
                  <w:sz w:val="20"/>
                  <w:szCs w:val="20"/>
                </w:rPr>
                <m:t xml:space="preserve">Índice de entrega de relatórios de eficiência </m:t>
              </m:r>
            </m:e>
            <m:sub>
              <m:r>
                <w:rPr>
                  <w:rFonts w:ascii="Cambria Math" w:hAnsi="Cambria Math"/>
                  <w:sz w:val="20"/>
                  <w:szCs w:val="20"/>
                </w:rPr>
                <m:t>(Setor Drenagem)</m:t>
              </m:r>
            </m:sub>
          </m:sSub>
          <m:r>
            <w:rPr>
              <w:rFonts w:ascii="Cambria Math" w:hAnsi="Cambria Math"/>
              <w:sz w:val="22"/>
            </w:rPr>
            <m:t>=</m:t>
          </m:r>
          <m:d>
            <m:dPr>
              <m:ctrlPr>
                <w:rPr>
                  <w:rFonts w:ascii="Cambria Math" w:hAnsi="Cambria Math"/>
                  <w:i/>
                  <w:sz w:val="22"/>
                </w:rPr>
              </m:ctrlPr>
            </m:dPr>
            <m:e>
              <m:eqArr>
                <m:eqArrPr>
                  <m:ctrlPr>
                    <w:rPr>
                      <w:rFonts w:ascii="Cambria Math" w:hAnsi="Cambria Math"/>
                      <w:i/>
                      <w:sz w:val="22"/>
                    </w:rPr>
                  </m:ctrlPr>
                </m:eqArrPr>
                <m:e>
                  <m:r>
                    <w:rPr>
                      <w:rFonts w:ascii="Cambria Math" w:hAnsi="Cambria Math"/>
                      <w:sz w:val="22"/>
                    </w:rPr>
                    <m:t xml:space="preserve"> </m:t>
                  </m:r>
                  <m:f>
                    <m:fPr>
                      <m:ctrlPr>
                        <w:rPr>
                          <w:rFonts w:ascii="Cambria Math" w:hAnsi="Cambria Math"/>
                          <w:i/>
                          <w:sz w:val="22"/>
                        </w:rPr>
                      </m:ctrlPr>
                    </m:fPr>
                    <m:num>
                      <m:r>
                        <w:rPr>
                          <w:rFonts w:ascii="Cambria Math" w:hAnsi="Cambria Math"/>
                          <w:sz w:val="22"/>
                        </w:rPr>
                        <m:t xml:space="preserve"> Nº de relatórios enviados pelo setor de drenagem, por ano</m:t>
                      </m:r>
                    </m:num>
                    <m:den>
                      <m:r>
                        <w:rPr>
                          <w:rFonts w:ascii="Cambria Math" w:hAnsi="Cambria Math"/>
                          <w:sz w:val="22"/>
                        </w:rPr>
                        <m:t>2</m:t>
                      </m:r>
                    </m:den>
                  </m:f>
                </m:e>
              </m:eqArr>
            </m:e>
          </m:d>
        </m:oMath>
      </m:oMathPara>
    </w:p>
    <w:p w:rsidR="00813DDC" w:rsidRPr="00813DDC" w:rsidRDefault="00813DDC" w:rsidP="00BC01B1">
      <w:pPr>
        <w:pStyle w:val="Ttulo4"/>
      </w:pPr>
      <w:bookmarkStart w:id="1437" w:name="_Toc499018988"/>
      <w:bookmarkStart w:id="1438" w:name="_Toc499106723"/>
      <w:bookmarkStart w:id="1439" w:name="_Toc499107043"/>
      <w:bookmarkStart w:id="1440" w:name="_Toc499107863"/>
      <w:bookmarkStart w:id="1441" w:name="_Toc499108700"/>
      <w:bookmarkStart w:id="1442" w:name="_Toc499109525"/>
      <w:bookmarkStart w:id="1443" w:name="_Toc499109691"/>
      <w:bookmarkStart w:id="1444" w:name="_Toc499709897"/>
      <w:bookmarkStart w:id="1445" w:name="_Toc509935618"/>
      <w:r w:rsidRPr="00813DDC">
        <w:t>Indicador para o setor de resíduos</w:t>
      </w:r>
      <w:bookmarkEnd w:id="1437"/>
      <w:bookmarkEnd w:id="1438"/>
      <w:bookmarkEnd w:id="1439"/>
      <w:bookmarkEnd w:id="1440"/>
      <w:bookmarkEnd w:id="1441"/>
      <w:bookmarkEnd w:id="1442"/>
      <w:bookmarkEnd w:id="1443"/>
      <w:bookmarkEnd w:id="1444"/>
      <w:bookmarkEnd w:id="1445"/>
    </w:p>
    <w:p w:rsidR="00813DDC" w:rsidRPr="00813DDC" w:rsidRDefault="001B481B" w:rsidP="00813DDC">
      <w:pPr>
        <w:tabs>
          <w:tab w:val="left" w:pos="851"/>
        </w:tabs>
        <w:rPr>
          <w:rFonts w:ascii="Cambria Math" w:hAnsi="Cambria Math"/>
          <w:i/>
          <w:sz w:val="22"/>
        </w:rPr>
      </w:pPr>
      <m:oMathPara>
        <m:oMath>
          <m:sSub>
            <m:sSubPr>
              <m:ctrlPr>
                <w:rPr>
                  <w:rFonts w:ascii="Cambria Math" w:hAnsi="Cambria Math"/>
                  <w:i/>
                  <w:sz w:val="20"/>
                  <w:szCs w:val="20"/>
                </w:rPr>
              </m:ctrlPr>
            </m:sSubPr>
            <m:e>
              <m:r>
                <w:rPr>
                  <w:rFonts w:ascii="Cambria Math" w:hAnsi="Cambria Math"/>
                  <w:sz w:val="20"/>
                  <w:szCs w:val="20"/>
                </w:rPr>
                <m:t xml:space="preserve">Índice de entrega de relatórios de eficiência </m:t>
              </m:r>
            </m:e>
            <m:sub>
              <m:r>
                <w:rPr>
                  <w:rFonts w:ascii="Cambria Math" w:hAnsi="Cambria Math"/>
                  <w:sz w:val="20"/>
                  <w:szCs w:val="20"/>
                </w:rPr>
                <m:t>(Setor Resíduos)</m:t>
              </m:r>
            </m:sub>
          </m:sSub>
          <m:r>
            <w:rPr>
              <w:rFonts w:ascii="Cambria Math" w:hAnsi="Cambria Math"/>
              <w:sz w:val="22"/>
            </w:rPr>
            <m:t>=</m:t>
          </m:r>
          <m:d>
            <m:dPr>
              <m:ctrlPr>
                <w:rPr>
                  <w:rFonts w:ascii="Cambria Math" w:hAnsi="Cambria Math"/>
                  <w:i/>
                  <w:sz w:val="22"/>
                </w:rPr>
              </m:ctrlPr>
            </m:dPr>
            <m:e>
              <m:eqArr>
                <m:eqArrPr>
                  <m:ctrlPr>
                    <w:rPr>
                      <w:rFonts w:ascii="Cambria Math" w:hAnsi="Cambria Math"/>
                      <w:i/>
                      <w:sz w:val="22"/>
                    </w:rPr>
                  </m:ctrlPr>
                </m:eqArrPr>
                <m:e>
                  <m:r>
                    <w:rPr>
                      <w:rFonts w:ascii="Cambria Math" w:hAnsi="Cambria Math"/>
                      <w:sz w:val="22"/>
                    </w:rPr>
                    <m:t xml:space="preserve"> </m:t>
                  </m:r>
                  <m:f>
                    <m:fPr>
                      <m:ctrlPr>
                        <w:rPr>
                          <w:rFonts w:ascii="Cambria Math" w:hAnsi="Cambria Math"/>
                          <w:i/>
                          <w:sz w:val="22"/>
                        </w:rPr>
                      </m:ctrlPr>
                    </m:fPr>
                    <m:num>
                      <m:r>
                        <w:rPr>
                          <w:rFonts w:ascii="Cambria Math" w:hAnsi="Cambria Math"/>
                          <w:sz w:val="22"/>
                        </w:rPr>
                        <m:t xml:space="preserve"> Nº de relatórios enviados pelo setor de resíduos, por ano</m:t>
                      </m:r>
                    </m:num>
                    <m:den>
                      <m:r>
                        <w:rPr>
                          <w:rFonts w:ascii="Cambria Math" w:hAnsi="Cambria Math"/>
                          <w:sz w:val="22"/>
                        </w:rPr>
                        <m:t>2</m:t>
                      </m:r>
                    </m:den>
                  </m:f>
                </m:e>
              </m:eqArr>
            </m:e>
          </m:d>
        </m:oMath>
      </m:oMathPara>
    </w:p>
    <w:p w:rsidR="00813DDC" w:rsidRPr="00813DDC" w:rsidRDefault="00813DDC" w:rsidP="00813DDC">
      <w:pPr>
        <w:tabs>
          <w:tab w:val="left" w:pos="851"/>
        </w:tabs>
        <w:rPr>
          <w:rFonts w:ascii="Cambria Math" w:hAnsi="Cambria Math"/>
          <w:i/>
          <w:sz w:val="22"/>
        </w:rPr>
      </w:pPr>
    </w:p>
    <w:p w:rsidR="00813DDC" w:rsidRPr="00813DDC" w:rsidRDefault="00813DDC" w:rsidP="00813DDC">
      <w:pPr>
        <w:ind w:firstLine="709"/>
        <w:jc w:val="both"/>
        <w:rPr>
          <w:rFonts w:cs="Arial"/>
          <w:szCs w:val="24"/>
        </w:rPr>
      </w:pPr>
      <w:r w:rsidRPr="00813DDC">
        <w:rPr>
          <w:rFonts w:cs="Arial"/>
          <w:szCs w:val="24"/>
        </w:rPr>
        <w:t xml:space="preserve">Os setores específicos do saneamento básico deverão enviar ao setor supervisor pelo menos dois relatórios de eficiência por ano, preferencialmente, um por semestre. O setor supervisor deverá, portanto, receber pelo menos 2 relatórios de eficiência por ano de cada setor específico do saneamento básico. </w:t>
      </w:r>
    </w:p>
    <w:p w:rsidR="00813DDC" w:rsidRPr="00813DDC" w:rsidRDefault="00813DDC" w:rsidP="00813DDC">
      <w:pPr>
        <w:ind w:firstLine="709"/>
        <w:jc w:val="both"/>
        <w:rPr>
          <w:rFonts w:cs="Arial"/>
          <w:szCs w:val="24"/>
        </w:rPr>
      </w:pPr>
      <w:r w:rsidRPr="00813DDC">
        <w:rPr>
          <w:rFonts w:cs="Arial"/>
          <w:szCs w:val="24"/>
        </w:rPr>
        <w:t xml:space="preserve">Se o indicador daquele setor específico for igual a 0 (zero), significa que o setor em questão não enviou relatório de eficiência ao setor supervisor naquele ano; se for 50 %, indica que o setor só enviou 1 relatório naquele ano. Se for 100 %, indica que cumpriu a regra e enviou dois relatórios naquele ano em questão. Se passar de 100 % </w:t>
      </w:r>
      <w:r w:rsidRPr="00813DDC">
        <w:rPr>
          <w:rFonts w:cs="Arial"/>
          <w:szCs w:val="24"/>
        </w:rPr>
        <w:lastRenderedPageBreak/>
        <w:t xml:space="preserve">mostra a pro atividade do setor, uma vez que terá enviado mais de 2 relatórios de eficiência no mesmo ano. </w:t>
      </w:r>
    </w:p>
    <w:p w:rsidR="00813DDC" w:rsidRPr="00813DDC" w:rsidRDefault="00813DDC" w:rsidP="00813DDC">
      <w:pPr>
        <w:ind w:firstLine="709"/>
        <w:jc w:val="both"/>
        <w:rPr>
          <w:rFonts w:cs="Arial"/>
          <w:szCs w:val="24"/>
        </w:rPr>
      </w:pPr>
      <w:r w:rsidRPr="00813DDC">
        <w:rPr>
          <w:rFonts w:cs="Arial"/>
          <w:szCs w:val="24"/>
        </w:rPr>
        <w:t xml:space="preserve">Assim, ao longo dos anos de gestão do setor do saneamento básico local, para o monitoramento do </w:t>
      </w:r>
      <w:r w:rsidRPr="00813DDC">
        <w:rPr>
          <w:rFonts w:cs="Arial"/>
          <w:i/>
          <w:szCs w:val="24"/>
        </w:rPr>
        <w:t>Índice de entrega de relatórios</w:t>
      </w:r>
      <w:r w:rsidRPr="00813DDC">
        <w:rPr>
          <w:rFonts w:cs="Arial"/>
          <w:szCs w:val="24"/>
        </w:rPr>
        <w:t xml:space="preserve"> será adotada a classificação dada na tabela apresentada a seguir.</w:t>
      </w:r>
    </w:p>
    <w:p w:rsidR="00813DDC" w:rsidRPr="00813DDC" w:rsidRDefault="00813DDC" w:rsidP="00810C89">
      <w:pPr>
        <w:pStyle w:val="Legenda"/>
      </w:pPr>
      <w:bookmarkStart w:id="1446" w:name="_Toc499710041"/>
      <w:bookmarkStart w:id="1447" w:name="_Toc509935878"/>
      <w:r w:rsidRPr="00813DDC">
        <w:t xml:space="preserve">Tabela </w:t>
      </w:r>
      <w:r w:rsidR="000A1C78">
        <w:fldChar w:fldCharType="begin"/>
      </w:r>
      <w:r w:rsidR="000A1C78">
        <w:instrText xml:space="preserve"> SEQ Tabela \* ARABIC </w:instrText>
      </w:r>
      <w:r w:rsidR="000A1C78">
        <w:fldChar w:fldCharType="separate"/>
      </w:r>
      <w:r w:rsidR="001B481B">
        <w:rPr>
          <w:noProof/>
        </w:rPr>
        <w:t>8</w:t>
      </w:r>
      <w:r w:rsidR="000A1C78">
        <w:rPr>
          <w:noProof/>
        </w:rPr>
        <w:fldChar w:fldCharType="end"/>
      </w:r>
      <w:r w:rsidRPr="00813DDC">
        <w:t xml:space="preserve"> - Tabela do índice de entrega de relatórios por setor do saneamento básico local</w:t>
      </w:r>
      <w:bookmarkEnd w:id="1446"/>
      <w:bookmarkEnd w:id="1447"/>
      <w:r w:rsidRPr="00813DDC">
        <w:t xml:space="preserve"> </w:t>
      </w:r>
    </w:p>
    <w:tbl>
      <w:tblPr>
        <w:tblStyle w:val="Tabelacomgrade"/>
        <w:tblW w:w="0" w:type="auto"/>
        <w:jc w:val="center"/>
        <w:tblLook w:val="04A0" w:firstRow="1" w:lastRow="0" w:firstColumn="1" w:lastColumn="0" w:noHBand="0" w:noVBand="1"/>
      </w:tblPr>
      <w:tblGrid>
        <w:gridCol w:w="1432"/>
        <w:gridCol w:w="1315"/>
        <w:gridCol w:w="1320"/>
        <w:gridCol w:w="1711"/>
      </w:tblGrid>
      <w:tr w:rsidR="00813DDC" w:rsidRPr="00810C89" w:rsidTr="00813DDC">
        <w:trPr>
          <w:jc w:val="center"/>
        </w:trPr>
        <w:tc>
          <w:tcPr>
            <w:tcW w:w="1432" w:type="dxa"/>
            <w:vAlign w:val="center"/>
          </w:tcPr>
          <w:p w:rsidR="00813DDC" w:rsidRPr="00810C89" w:rsidRDefault="00813DDC" w:rsidP="00810C89">
            <w:pPr>
              <w:spacing w:before="120" w:after="120" w:line="240" w:lineRule="auto"/>
              <w:jc w:val="center"/>
              <w:rPr>
                <w:sz w:val="22"/>
                <w:lang w:eastAsia="pt-BR"/>
              </w:rPr>
            </w:pPr>
            <w:r w:rsidRPr="00810C89">
              <w:rPr>
                <w:sz w:val="22"/>
                <w:lang w:eastAsia="pt-BR"/>
              </w:rPr>
              <w:t>I</w:t>
            </w:r>
            <w:r w:rsidRPr="00810C89">
              <w:rPr>
                <w:sz w:val="22"/>
                <w:vertAlign w:val="subscript"/>
                <w:lang w:eastAsia="pt-BR"/>
              </w:rPr>
              <w:t>entrega</w:t>
            </w:r>
            <w:r w:rsidRPr="00810C89">
              <w:rPr>
                <w:sz w:val="22"/>
                <w:lang w:eastAsia="pt-BR"/>
              </w:rPr>
              <w:t xml:space="preserve"> = 0,0</w:t>
            </w:r>
          </w:p>
        </w:tc>
        <w:tc>
          <w:tcPr>
            <w:tcW w:w="1315" w:type="dxa"/>
            <w:vAlign w:val="center"/>
          </w:tcPr>
          <w:p w:rsidR="00813DDC" w:rsidRPr="00810C89" w:rsidRDefault="00813DDC" w:rsidP="00810C89">
            <w:pPr>
              <w:spacing w:before="120" w:after="120" w:line="240" w:lineRule="auto"/>
              <w:jc w:val="center"/>
              <w:rPr>
                <w:sz w:val="22"/>
                <w:lang w:eastAsia="pt-BR"/>
              </w:rPr>
            </w:pPr>
            <w:r w:rsidRPr="00810C89">
              <w:rPr>
                <w:sz w:val="22"/>
                <w:lang w:eastAsia="pt-BR"/>
              </w:rPr>
              <w:t>I</w:t>
            </w:r>
            <w:r w:rsidRPr="00810C89">
              <w:rPr>
                <w:sz w:val="22"/>
                <w:vertAlign w:val="subscript"/>
                <w:lang w:eastAsia="pt-BR"/>
              </w:rPr>
              <w:t>entrega</w:t>
            </w:r>
            <w:r w:rsidRPr="00810C89">
              <w:rPr>
                <w:sz w:val="22"/>
                <w:lang w:eastAsia="pt-BR"/>
              </w:rPr>
              <w:t xml:space="preserve"> = 0,5</w:t>
            </w:r>
          </w:p>
        </w:tc>
        <w:tc>
          <w:tcPr>
            <w:tcW w:w="1320" w:type="dxa"/>
            <w:vAlign w:val="center"/>
          </w:tcPr>
          <w:p w:rsidR="00813DDC" w:rsidRPr="00810C89" w:rsidRDefault="00813DDC" w:rsidP="00810C89">
            <w:pPr>
              <w:spacing w:before="120" w:after="120" w:line="240" w:lineRule="auto"/>
              <w:jc w:val="center"/>
              <w:rPr>
                <w:sz w:val="22"/>
                <w:lang w:eastAsia="pt-BR"/>
              </w:rPr>
            </w:pPr>
            <w:r w:rsidRPr="00810C89">
              <w:rPr>
                <w:sz w:val="22"/>
                <w:lang w:eastAsia="pt-BR"/>
              </w:rPr>
              <w:t>I</w:t>
            </w:r>
            <w:r w:rsidRPr="00810C89">
              <w:rPr>
                <w:sz w:val="22"/>
                <w:vertAlign w:val="subscript"/>
                <w:lang w:eastAsia="pt-BR"/>
              </w:rPr>
              <w:t>entrega</w:t>
            </w:r>
            <w:r w:rsidRPr="00810C89">
              <w:rPr>
                <w:sz w:val="22"/>
                <w:lang w:eastAsia="pt-BR"/>
              </w:rPr>
              <w:t xml:space="preserve"> =</w:t>
            </w:r>
            <w:r w:rsidRPr="00810C89">
              <w:rPr>
                <w:rFonts w:cs="Arial"/>
                <w:sz w:val="22"/>
                <w:lang w:eastAsia="pt-BR"/>
              </w:rPr>
              <w:t xml:space="preserve"> </w:t>
            </w:r>
            <w:r w:rsidRPr="00810C89">
              <w:rPr>
                <w:sz w:val="22"/>
                <w:lang w:eastAsia="pt-BR"/>
              </w:rPr>
              <w:t>1,0</w:t>
            </w:r>
          </w:p>
        </w:tc>
        <w:tc>
          <w:tcPr>
            <w:tcW w:w="1711" w:type="dxa"/>
            <w:vAlign w:val="center"/>
          </w:tcPr>
          <w:p w:rsidR="00813DDC" w:rsidRPr="00810C89" w:rsidRDefault="00813DDC" w:rsidP="00810C89">
            <w:pPr>
              <w:spacing w:before="120" w:after="120" w:line="240" w:lineRule="auto"/>
              <w:jc w:val="center"/>
              <w:rPr>
                <w:sz w:val="22"/>
                <w:lang w:eastAsia="pt-BR"/>
              </w:rPr>
            </w:pPr>
            <w:r w:rsidRPr="00810C89">
              <w:rPr>
                <w:sz w:val="22"/>
                <w:lang w:eastAsia="pt-BR"/>
              </w:rPr>
              <w:t>I</w:t>
            </w:r>
            <w:r w:rsidRPr="00810C89">
              <w:rPr>
                <w:sz w:val="22"/>
                <w:vertAlign w:val="subscript"/>
                <w:lang w:eastAsia="pt-BR"/>
              </w:rPr>
              <w:t>entrega</w:t>
            </w:r>
            <w:r w:rsidRPr="00810C89">
              <w:rPr>
                <w:sz w:val="22"/>
                <w:lang w:eastAsia="pt-BR"/>
              </w:rPr>
              <w:t xml:space="preserve"> </w:t>
            </w:r>
            <w:r w:rsidRPr="00810C89">
              <w:rPr>
                <w:rFonts w:cs="Arial"/>
                <w:sz w:val="22"/>
                <w:lang w:eastAsia="pt-BR"/>
              </w:rPr>
              <w:t xml:space="preserve"> &gt;</w:t>
            </w:r>
            <w:r w:rsidRPr="00810C89">
              <w:rPr>
                <w:sz w:val="22"/>
                <w:lang w:eastAsia="pt-BR"/>
              </w:rPr>
              <w:t>1,0</w:t>
            </w:r>
          </w:p>
        </w:tc>
      </w:tr>
      <w:tr w:rsidR="00813DDC" w:rsidRPr="00810C89" w:rsidTr="00813DDC">
        <w:trPr>
          <w:jc w:val="center"/>
        </w:trPr>
        <w:tc>
          <w:tcPr>
            <w:tcW w:w="1432" w:type="dxa"/>
            <w:shd w:val="clear" w:color="auto" w:fill="FF5050"/>
            <w:vAlign w:val="center"/>
          </w:tcPr>
          <w:p w:rsidR="00813DDC" w:rsidRPr="00810C89" w:rsidRDefault="00813DDC" w:rsidP="00810C89">
            <w:pPr>
              <w:spacing w:before="120" w:after="120" w:line="240" w:lineRule="auto"/>
              <w:jc w:val="center"/>
              <w:rPr>
                <w:sz w:val="22"/>
                <w:lang w:eastAsia="pt-BR"/>
              </w:rPr>
            </w:pPr>
            <w:r w:rsidRPr="00810C89">
              <w:rPr>
                <w:sz w:val="22"/>
                <w:lang w:eastAsia="pt-BR"/>
              </w:rPr>
              <w:t>Insuficiente</w:t>
            </w:r>
          </w:p>
        </w:tc>
        <w:tc>
          <w:tcPr>
            <w:tcW w:w="1315" w:type="dxa"/>
            <w:shd w:val="clear" w:color="auto" w:fill="FABF8F" w:themeFill="accent6" w:themeFillTint="99"/>
            <w:vAlign w:val="center"/>
          </w:tcPr>
          <w:p w:rsidR="00813DDC" w:rsidRPr="00810C89" w:rsidRDefault="00813DDC" w:rsidP="00810C89">
            <w:pPr>
              <w:spacing w:before="120" w:after="120" w:line="240" w:lineRule="auto"/>
              <w:jc w:val="center"/>
              <w:rPr>
                <w:sz w:val="22"/>
                <w:lang w:eastAsia="pt-BR"/>
              </w:rPr>
            </w:pPr>
            <w:r w:rsidRPr="00810C89">
              <w:rPr>
                <w:sz w:val="22"/>
                <w:lang w:eastAsia="pt-BR"/>
              </w:rPr>
              <w:t>Regular</w:t>
            </w:r>
          </w:p>
        </w:tc>
        <w:tc>
          <w:tcPr>
            <w:tcW w:w="1320" w:type="dxa"/>
            <w:shd w:val="clear" w:color="auto" w:fill="92CDDC" w:themeFill="accent5" w:themeFillTint="99"/>
            <w:vAlign w:val="center"/>
          </w:tcPr>
          <w:p w:rsidR="00813DDC" w:rsidRPr="00810C89" w:rsidRDefault="00813DDC" w:rsidP="00810C89">
            <w:pPr>
              <w:spacing w:before="120" w:after="120" w:line="240" w:lineRule="auto"/>
              <w:jc w:val="center"/>
              <w:rPr>
                <w:sz w:val="22"/>
                <w:lang w:eastAsia="pt-BR"/>
              </w:rPr>
            </w:pPr>
            <w:r w:rsidRPr="00810C89">
              <w:rPr>
                <w:sz w:val="22"/>
                <w:lang w:eastAsia="pt-BR"/>
              </w:rPr>
              <w:t>Bom</w:t>
            </w:r>
          </w:p>
        </w:tc>
        <w:tc>
          <w:tcPr>
            <w:tcW w:w="1711" w:type="dxa"/>
            <w:shd w:val="clear" w:color="auto" w:fill="C2D69B" w:themeFill="accent3" w:themeFillTint="99"/>
            <w:vAlign w:val="center"/>
          </w:tcPr>
          <w:p w:rsidR="00813DDC" w:rsidRPr="00810C89" w:rsidRDefault="00813DDC" w:rsidP="00810C89">
            <w:pPr>
              <w:spacing w:before="120" w:after="120" w:line="240" w:lineRule="auto"/>
              <w:jc w:val="center"/>
              <w:rPr>
                <w:sz w:val="22"/>
                <w:lang w:eastAsia="pt-BR"/>
              </w:rPr>
            </w:pPr>
            <w:r w:rsidRPr="00810C89">
              <w:rPr>
                <w:sz w:val="22"/>
                <w:lang w:eastAsia="pt-BR"/>
              </w:rPr>
              <w:t>Ótimo</w:t>
            </w:r>
          </w:p>
        </w:tc>
      </w:tr>
    </w:tbl>
    <w:p w:rsidR="00813DDC" w:rsidRPr="00813DDC" w:rsidRDefault="00813DDC" w:rsidP="00810C89">
      <w:pPr>
        <w:pStyle w:val="Fonte"/>
      </w:pPr>
    </w:p>
    <w:p w:rsidR="00813DDC" w:rsidRPr="00813DDC" w:rsidRDefault="00813DDC" w:rsidP="00BC01B1">
      <w:pPr>
        <w:pStyle w:val="Ttulo3"/>
      </w:pPr>
      <w:bookmarkStart w:id="1448" w:name="_Toc499018989"/>
      <w:bookmarkStart w:id="1449" w:name="_Toc499106724"/>
      <w:bookmarkStart w:id="1450" w:name="_Toc499107044"/>
      <w:bookmarkStart w:id="1451" w:name="_Toc499107864"/>
      <w:bookmarkStart w:id="1452" w:name="_Toc499108701"/>
      <w:bookmarkStart w:id="1453" w:name="_Toc499109526"/>
      <w:bookmarkStart w:id="1454" w:name="_Toc499109692"/>
      <w:bookmarkStart w:id="1455" w:name="_Toc499709898"/>
      <w:bookmarkStart w:id="1456" w:name="_Toc509935619"/>
      <w:r w:rsidRPr="00813DDC">
        <w:t>Indicador para o Objetivo 2</w:t>
      </w:r>
      <w:bookmarkEnd w:id="1448"/>
      <w:bookmarkEnd w:id="1449"/>
      <w:bookmarkEnd w:id="1450"/>
      <w:bookmarkEnd w:id="1451"/>
      <w:bookmarkEnd w:id="1452"/>
      <w:bookmarkEnd w:id="1453"/>
      <w:bookmarkEnd w:id="1454"/>
      <w:bookmarkEnd w:id="1455"/>
      <w:bookmarkEnd w:id="1456"/>
      <w:r w:rsidRPr="00813DDC">
        <w:t xml:space="preserve"> </w:t>
      </w:r>
    </w:p>
    <w:p w:rsidR="00813DDC" w:rsidRPr="00813DDC" w:rsidRDefault="00813DDC" w:rsidP="00813DDC">
      <w:pPr>
        <w:spacing w:before="120" w:after="120"/>
        <w:ind w:firstLine="708"/>
        <w:contextualSpacing/>
        <w:jc w:val="both"/>
        <w:rPr>
          <w:rFonts w:cs="Arial"/>
          <w:szCs w:val="24"/>
        </w:rPr>
      </w:pPr>
      <w:r w:rsidRPr="00813DDC">
        <w:rPr>
          <w:rFonts w:cs="Arial"/>
          <w:szCs w:val="24"/>
        </w:rPr>
        <w:t xml:space="preserve">Para monitorar o </w:t>
      </w:r>
      <w:r w:rsidRPr="00813DDC">
        <w:rPr>
          <w:rFonts w:cs="Arial"/>
          <w:b/>
          <w:szCs w:val="24"/>
        </w:rPr>
        <w:t>Objetivo 2</w:t>
      </w:r>
      <w:r w:rsidRPr="00813DDC">
        <w:rPr>
          <w:rFonts w:cs="Arial"/>
          <w:szCs w:val="24"/>
        </w:rPr>
        <w:t xml:space="preserve"> do Setor Geral, “</w:t>
      </w:r>
      <w:r w:rsidRPr="00813DDC">
        <w:rPr>
          <w:rFonts w:cs="Arial"/>
          <w:i/>
          <w:szCs w:val="24"/>
        </w:rPr>
        <w:t>alcançar, no município, a universalização do acesso aos quatro sistemas do saneamento básico”</w:t>
      </w:r>
      <w:r w:rsidRPr="00813DDC">
        <w:rPr>
          <w:rFonts w:cs="Arial"/>
          <w:szCs w:val="24"/>
        </w:rPr>
        <w:t>, foram estabelecidos indicadores de atendimento para os quatro sistemas de saneamento básico, conforme mostrados a seguir. Estes indicadores serão calculados pelos setores responsáveis pelos serviços no município e entregues ao setor supervisor, todos os anos, como conteúdos obrigatórios dos relatórios de eficiência.</w:t>
      </w:r>
    </w:p>
    <w:p w:rsidR="00813DDC" w:rsidRPr="00813DDC" w:rsidRDefault="00813DDC" w:rsidP="00BC01B1">
      <w:pPr>
        <w:pStyle w:val="Ttulo4"/>
      </w:pPr>
      <w:bookmarkStart w:id="1457" w:name="_Toc499018990"/>
      <w:bookmarkStart w:id="1458" w:name="_Toc499106725"/>
      <w:bookmarkStart w:id="1459" w:name="_Toc499107045"/>
      <w:bookmarkStart w:id="1460" w:name="_Toc499107865"/>
      <w:bookmarkStart w:id="1461" w:name="_Toc499108702"/>
      <w:bookmarkStart w:id="1462" w:name="_Toc499109527"/>
      <w:bookmarkStart w:id="1463" w:name="_Toc499109693"/>
      <w:bookmarkStart w:id="1464" w:name="_Toc499709899"/>
      <w:bookmarkStart w:id="1465" w:name="_Toc509935620"/>
      <w:r w:rsidRPr="00813DDC">
        <w:t>Índice de atendimento do setor de água</w:t>
      </w:r>
      <w:bookmarkEnd w:id="1457"/>
      <w:bookmarkEnd w:id="1458"/>
      <w:bookmarkEnd w:id="1459"/>
      <w:bookmarkEnd w:id="1460"/>
      <w:bookmarkEnd w:id="1461"/>
      <w:bookmarkEnd w:id="1462"/>
      <w:bookmarkEnd w:id="1463"/>
      <w:bookmarkEnd w:id="1464"/>
      <w:bookmarkEnd w:id="1465"/>
    </w:p>
    <w:p w:rsidR="00813DDC" w:rsidRPr="00813DDC" w:rsidRDefault="00813DDC" w:rsidP="00813DDC">
      <w:pPr>
        <w:rPr>
          <w:rFonts w:ascii="Cambria Math" w:hAnsi="Cambria Math"/>
          <w:i/>
          <w:sz w:val="22"/>
        </w:rPr>
      </w:pPr>
      <m:oMathPara>
        <m:oMath>
          <m:r>
            <w:rPr>
              <w:rFonts w:ascii="Cambria Math" w:hAnsi="Cambria Math"/>
              <w:sz w:val="22"/>
            </w:rPr>
            <m:t>IN055=</m:t>
          </m:r>
          <m:f>
            <m:fPr>
              <m:ctrlPr>
                <w:rPr>
                  <w:rFonts w:ascii="Cambria Math" w:hAnsi="Cambria Math"/>
                  <w:i/>
                  <w:sz w:val="22"/>
                </w:rPr>
              </m:ctrlPr>
            </m:fPr>
            <m:num>
              <m:r>
                <w:rPr>
                  <w:rFonts w:ascii="Cambria Math" w:hAnsi="Cambria Math"/>
                  <w:sz w:val="22"/>
                </w:rPr>
                <m:t>AG001</m:t>
              </m:r>
            </m:num>
            <m:den>
              <m:r>
                <w:rPr>
                  <w:rFonts w:ascii="Cambria Math" w:hAnsi="Cambria Math"/>
                  <w:sz w:val="22"/>
                </w:rPr>
                <m:t>Pop_Tot</m:t>
              </m:r>
            </m:den>
          </m:f>
          <m:r>
            <w:rPr>
              <w:rFonts w:ascii="Cambria Math" w:hAnsi="Cambria Math"/>
              <w:sz w:val="22"/>
            </w:rPr>
            <m:t xml:space="preserve"> x 100</m:t>
          </m:r>
        </m:oMath>
      </m:oMathPara>
    </w:p>
    <w:p w:rsidR="00813DDC" w:rsidRPr="00813DDC" w:rsidRDefault="00813DDC" w:rsidP="00813DDC">
      <w:pPr>
        <w:spacing w:before="120" w:after="120"/>
        <w:ind w:firstLine="708"/>
        <w:contextualSpacing/>
        <w:jc w:val="both"/>
        <w:rPr>
          <w:rFonts w:cs="Arial"/>
          <w:szCs w:val="24"/>
        </w:rPr>
      </w:pPr>
      <w:r w:rsidRPr="00813DDC">
        <w:rPr>
          <w:rFonts w:cs="Arial"/>
          <w:szCs w:val="24"/>
        </w:rPr>
        <w:t>Em que:</w:t>
      </w:r>
    </w:p>
    <w:p w:rsidR="00813DDC" w:rsidRPr="00813DDC" w:rsidRDefault="00813DDC" w:rsidP="0066661F">
      <w:pPr>
        <w:numPr>
          <w:ilvl w:val="0"/>
          <w:numId w:val="27"/>
        </w:numPr>
        <w:jc w:val="both"/>
        <w:rPr>
          <w:rFonts w:cs="Arial"/>
          <w:i/>
          <w:szCs w:val="24"/>
        </w:rPr>
      </w:pPr>
      <w:r w:rsidRPr="00813DDC">
        <w:rPr>
          <w:rFonts w:cs="Arial"/>
          <w:i/>
          <w:szCs w:val="24"/>
        </w:rPr>
        <w:t>IN055 = Índice de atendimento total de água (%).</w:t>
      </w:r>
    </w:p>
    <w:p w:rsidR="00813DDC" w:rsidRPr="00813DDC" w:rsidRDefault="00813DDC" w:rsidP="0066661F">
      <w:pPr>
        <w:numPr>
          <w:ilvl w:val="0"/>
          <w:numId w:val="27"/>
        </w:numPr>
        <w:jc w:val="both"/>
        <w:rPr>
          <w:rFonts w:cs="Arial"/>
          <w:i/>
          <w:szCs w:val="24"/>
        </w:rPr>
      </w:pPr>
      <w:r w:rsidRPr="00813DDC">
        <w:rPr>
          <w:rFonts w:cs="Arial"/>
          <w:i/>
          <w:szCs w:val="24"/>
        </w:rPr>
        <w:t>AG001 = População total atendida com abastecimento de água (em habitantes).</w:t>
      </w:r>
    </w:p>
    <w:p w:rsidR="00813DDC" w:rsidRPr="00813DDC" w:rsidRDefault="00813DDC" w:rsidP="0066661F">
      <w:pPr>
        <w:numPr>
          <w:ilvl w:val="0"/>
          <w:numId w:val="27"/>
        </w:numPr>
        <w:jc w:val="both"/>
        <w:rPr>
          <w:rFonts w:cs="Arial"/>
          <w:i/>
          <w:szCs w:val="24"/>
        </w:rPr>
      </w:pPr>
      <w:r w:rsidRPr="00813DDC">
        <w:rPr>
          <w:rFonts w:cs="Arial"/>
          <w:i/>
          <w:szCs w:val="24"/>
        </w:rPr>
        <w:t>Pop_Tot = População total do município no ano de referência, segundo dados do IBGE (em habitantes).</w:t>
      </w:r>
    </w:p>
    <w:p w:rsidR="00813DDC" w:rsidRPr="00813DDC" w:rsidRDefault="00813DDC" w:rsidP="00813DDC">
      <w:pPr>
        <w:spacing w:before="120" w:after="120"/>
        <w:ind w:firstLine="708"/>
        <w:contextualSpacing/>
        <w:jc w:val="both"/>
        <w:rPr>
          <w:rFonts w:cs="Arial"/>
          <w:szCs w:val="24"/>
        </w:rPr>
      </w:pPr>
      <w:r w:rsidRPr="00813DDC">
        <w:rPr>
          <w:rFonts w:cs="Arial"/>
          <w:szCs w:val="24"/>
        </w:rPr>
        <w:t xml:space="preserve">Esse indicador varia de 0 a 100 % e mostra o percentual da população total que é atendido pelo Sistema de Abastecimento de Água - SAA. </w:t>
      </w:r>
    </w:p>
    <w:p w:rsidR="00813DDC" w:rsidRPr="00813DDC" w:rsidRDefault="00813DDC" w:rsidP="00BC01B1">
      <w:pPr>
        <w:pStyle w:val="Ttulo4"/>
      </w:pPr>
      <w:bookmarkStart w:id="1466" w:name="_Toc499018991"/>
      <w:bookmarkStart w:id="1467" w:name="_Toc499106726"/>
      <w:bookmarkStart w:id="1468" w:name="_Toc499107046"/>
      <w:bookmarkStart w:id="1469" w:name="_Toc499107866"/>
      <w:bookmarkStart w:id="1470" w:name="_Toc499108703"/>
      <w:bookmarkStart w:id="1471" w:name="_Toc499109528"/>
      <w:bookmarkStart w:id="1472" w:name="_Toc499109694"/>
      <w:bookmarkStart w:id="1473" w:name="_Toc499709900"/>
      <w:bookmarkStart w:id="1474" w:name="_Toc509935621"/>
      <w:r w:rsidRPr="00813DDC">
        <w:t>Índice de atendimento do setor de esgotos</w:t>
      </w:r>
      <w:bookmarkEnd w:id="1466"/>
      <w:r w:rsidRPr="00813DDC">
        <w:t xml:space="preserve"> (%)</w:t>
      </w:r>
      <w:bookmarkEnd w:id="1467"/>
      <w:bookmarkEnd w:id="1468"/>
      <w:bookmarkEnd w:id="1469"/>
      <w:bookmarkEnd w:id="1470"/>
      <w:bookmarkEnd w:id="1471"/>
      <w:bookmarkEnd w:id="1472"/>
      <w:bookmarkEnd w:id="1473"/>
      <w:bookmarkEnd w:id="1474"/>
    </w:p>
    <w:p w:rsidR="00813DDC" w:rsidRPr="00813DDC" w:rsidRDefault="001B481B" w:rsidP="00813DDC">
      <w:pPr>
        <w:autoSpaceDE w:val="0"/>
        <w:autoSpaceDN w:val="0"/>
        <w:spacing w:before="120" w:after="120"/>
        <w:ind w:left="360"/>
        <w:contextualSpacing/>
        <w:jc w:val="center"/>
        <w:rPr>
          <w:rFonts w:ascii="Cambria Math" w:eastAsia="Times New Roman" w:hAnsi="Cambria Math"/>
          <w:i/>
          <w:szCs w:val="20"/>
        </w:rPr>
      </w:pPr>
      <m:oMathPara>
        <m:oMath>
          <m:sSub>
            <m:sSubPr>
              <m:ctrlPr>
                <w:rPr>
                  <w:rFonts w:ascii="Cambria Math" w:eastAsia="Times New Roman" w:hAnsi="Cambria Math"/>
                  <w:i/>
                  <w:szCs w:val="20"/>
                </w:rPr>
              </m:ctrlPr>
            </m:sSubPr>
            <m:e>
              <m:r>
                <w:rPr>
                  <w:rFonts w:ascii="Cambria Math" w:eastAsia="Times New Roman" w:hAnsi="Cambria Math"/>
                  <w:szCs w:val="20"/>
                </w:rPr>
                <m:t>I</m:t>
              </m:r>
            </m:e>
            <m:sub>
              <m:r>
                <w:rPr>
                  <w:rFonts w:ascii="Cambria Math" w:eastAsia="Times New Roman" w:hAnsi="Cambria Math"/>
                  <w:szCs w:val="20"/>
                </w:rPr>
                <m:t>atendimento esgotos</m:t>
              </m:r>
            </m:sub>
          </m:sSub>
          <m:r>
            <w:rPr>
              <w:rFonts w:ascii="Cambria Math" w:eastAsia="Times New Roman" w:hAnsi="Cambria Math"/>
              <w:szCs w:val="20"/>
            </w:rPr>
            <m:t>=</m:t>
          </m:r>
          <m:r>
            <w:rPr>
              <w:rFonts w:ascii="Cambria Math" w:hAnsi="Cambria Math" w:cs="Arial"/>
              <w:szCs w:val="24"/>
            </w:rPr>
            <m:t>IN015 x IN016</m:t>
          </m:r>
          <m:r>
            <w:rPr>
              <w:rFonts w:ascii="Cambria Math" w:eastAsia="Times New Roman" w:hAnsi="Cambria Math" w:cs="Arial"/>
              <w:szCs w:val="20"/>
            </w:rPr>
            <m:t xml:space="preserve"> </m:t>
          </m:r>
        </m:oMath>
      </m:oMathPara>
    </w:p>
    <w:p w:rsidR="00810C89" w:rsidRDefault="00810C89" w:rsidP="00813DDC">
      <w:pPr>
        <w:spacing w:before="120" w:after="120"/>
        <w:ind w:firstLine="708"/>
        <w:contextualSpacing/>
        <w:jc w:val="both"/>
        <w:rPr>
          <w:rFonts w:cs="Arial"/>
          <w:szCs w:val="24"/>
        </w:rPr>
      </w:pPr>
    </w:p>
    <w:p w:rsidR="00813DDC" w:rsidRPr="00813DDC" w:rsidRDefault="00813DDC" w:rsidP="00813DDC">
      <w:pPr>
        <w:spacing w:before="120" w:after="120"/>
        <w:ind w:firstLine="708"/>
        <w:contextualSpacing/>
        <w:jc w:val="both"/>
        <w:rPr>
          <w:rFonts w:cs="Arial"/>
          <w:szCs w:val="24"/>
        </w:rPr>
      </w:pPr>
      <w:r w:rsidRPr="00813DDC">
        <w:rPr>
          <w:rFonts w:cs="Arial"/>
          <w:szCs w:val="24"/>
        </w:rPr>
        <w:lastRenderedPageBreak/>
        <w:t>Sendo que:</w:t>
      </w:r>
    </w:p>
    <w:p w:rsidR="00813DDC" w:rsidRPr="00813DDC" w:rsidRDefault="00813DDC" w:rsidP="00BC01B1">
      <w:pPr>
        <w:pStyle w:val="Ttulo5"/>
      </w:pPr>
      <w:bookmarkStart w:id="1475" w:name="_Toc499018992"/>
      <w:bookmarkStart w:id="1476" w:name="_Toc509935622"/>
      <w:r w:rsidRPr="00813DDC">
        <w:t>Índice de coleta de esgotos (%)</w:t>
      </w:r>
      <w:bookmarkEnd w:id="1475"/>
      <w:bookmarkEnd w:id="1476"/>
    </w:p>
    <w:p w:rsidR="00813DDC" w:rsidRPr="00813DDC" w:rsidRDefault="00813DDC" w:rsidP="00813DDC">
      <w:pPr>
        <w:autoSpaceDE w:val="0"/>
        <w:autoSpaceDN w:val="0"/>
        <w:spacing w:before="120" w:after="120"/>
        <w:ind w:left="360"/>
        <w:contextualSpacing/>
        <w:jc w:val="center"/>
        <w:rPr>
          <w:rFonts w:eastAsia="Times New Roman"/>
          <w:szCs w:val="20"/>
        </w:rPr>
      </w:pPr>
      <m:oMathPara>
        <m:oMath>
          <m:r>
            <w:rPr>
              <w:rFonts w:ascii="Cambria Math" w:eastAsia="Times New Roman" w:hAnsi="Cambria Math"/>
              <w:szCs w:val="20"/>
            </w:rPr>
            <m:t xml:space="preserve">IN015= </m:t>
          </m:r>
          <m:f>
            <m:fPr>
              <m:ctrlPr>
                <w:rPr>
                  <w:rFonts w:ascii="Cambria Math" w:hAnsi="Cambria Math" w:cs="Arial"/>
                  <w:i/>
                  <w:iCs/>
                  <w:szCs w:val="24"/>
                </w:rPr>
              </m:ctrlPr>
            </m:fPr>
            <m:num>
              <m:r>
                <w:rPr>
                  <w:rFonts w:ascii="Cambria Math" w:eastAsia="Times New Roman" w:hAnsi="Cambria Math"/>
                  <w:szCs w:val="20"/>
                </w:rPr>
                <m:t>ES005</m:t>
              </m:r>
            </m:num>
            <m:den>
              <m:r>
                <w:rPr>
                  <w:rFonts w:ascii="Cambria Math" w:eastAsia="Times New Roman" w:hAnsi="Cambria Math"/>
                  <w:szCs w:val="20"/>
                </w:rPr>
                <m:t>(AG010-AG019)</m:t>
              </m:r>
            </m:den>
          </m:f>
          <m:r>
            <w:rPr>
              <w:rFonts w:ascii="Cambria Math" w:eastAsia="Times New Roman" w:hAnsi="Cambria Math"/>
              <w:szCs w:val="20"/>
            </w:rPr>
            <m:t>*100</m:t>
          </m:r>
        </m:oMath>
      </m:oMathPara>
    </w:p>
    <w:p w:rsidR="00813DDC" w:rsidRPr="00813DDC" w:rsidRDefault="00813DDC" w:rsidP="00813DDC">
      <w:pPr>
        <w:autoSpaceDE w:val="0"/>
        <w:autoSpaceDN w:val="0"/>
        <w:spacing w:before="120" w:after="120"/>
        <w:ind w:left="360" w:firstLine="709"/>
        <w:contextualSpacing/>
        <w:jc w:val="both"/>
      </w:pPr>
      <w:r w:rsidRPr="00813DDC">
        <w:t>Em que:</w:t>
      </w:r>
    </w:p>
    <w:p w:rsidR="00813DDC" w:rsidRPr="00813DDC" w:rsidRDefault="00813DDC" w:rsidP="0066661F">
      <w:pPr>
        <w:numPr>
          <w:ilvl w:val="0"/>
          <w:numId w:val="27"/>
        </w:numPr>
        <w:spacing w:before="120" w:after="120"/>
        <w:contextualSpacing/>
        <w:jc w:val="both"/>
        <w:rPr>
          <w:i/>
          <w:iCs/>
        </w:rPr>
      </w:pPr>
      <w:r w:rsidRPr="00813DDC">
        <w:rPr>
          <w:i/>
          <w:iCs/>
        </w:rPr>
        <w:t>AG010: Volume de água consumido.</w:t>
      </w:r>
    </w:p>
    <w:p w:rsidR="00813DDC" w:rsidRPr="00813DDC" w:rsidRDefault="00813DDC" w:rsidP="0066661F">
      <w:pPr>
        <w:numPr>
          <w:ilvl w:val="0"/>
          <w:numId w:val="27"/>
        </w:numPr>
        <w:spacing w:before="120" w:after="120"/>
        <w:contextualSpacing/>
        <w:jc w:val="both"/>
        <w:rPr>
          <w:i/>
          <w:iCs/>
        </w:rPr>
      </w:pPr>
      <w:r w:rsidRPr="00813DDC">
        <w:rPr>
          <w:i/>
          <w:iCs/>
        </w:rPr>
        <w:t>AG019: Volume de água tratado exportado.</w:t>
      </w:r>
    </w:p>
    <w:p w:rsidR="00813DDC" w:rsidRPr="00813DDC" w:rsidRDefault="00813DDC" w:rsidP="0066661F">
      <w:pPr>
        <w:numPr>
          <w:ilvl w:val="0"/>
          <w:numId w:val="27"/>
        </w:numPr>
        <w:spacing w:before="120" w:after="120"/>
        <w:contextualSpacing/>
        <w:jc w:val="both"/>
        <w:rPr>
          <w:i/>
          <w:iCs/>
        </w:rPr>
      </w:pPr>
      <w:r w:rsidRPr="00813DDC">
        <w:rPr>
          <w:i/>
          <w:iCs/>
        </w:rPr>
        <w:t>ES005: Volume de esgotos coletado.</w:t>
      </w:r>
    </w:p>
    <w:p w:rsidR="00813DDC" w:rsidRPr="00813DDC" w:rsidRDefault="00813DDC" w:rsidP="00BC01B1">
      <w:pPr>
        <w:pStyle w:val="Ttulo5"/>
      </w:pPr>
      <w:bookmarkStart w:id="1477" w:name="_Toc453833771"/>
      <w:bookmarkStart w:id="1478" w:name="_Toc499018993"/>
      <w:bookmarkStart w:id="1479" w:name="_Toc509935623"/>
      <w:r w:rsidRPr="00813DDC">
        <w:t>Índice de tratamento de esgotos</w:t>
      </w:r>
      <w:bookmarkEnd w:id="1477"/>
      <w:r w:rsidRPr="00813DDC">
        <w:t xml:space="preserve"> (%)</w:t>
      </w:r>
      <w:bookmarkEnd w:id="1478"/>
      <w:bookmarkEnd w:id="1479"/>
    </w:p>
    <w:p w:rsidR="00813DDC" w:rsidRPr="00813DDC" w:rsidRDefault="00813DDC" w:rsidP="00813DDC">
      <w:pPr>
        <w:rPr>
          <w:rFonts w:ascii="Cambria Math" w:hAnsi="Cambria Math"/>
          <w:i/>
          <w:iCs/>
        </w:rPr>
      </w:pPr>
      <m:oMathPara>
        <m:oMath>
          <m:r>
            <w:rPr>
              <w:rFonts w:ascii="Cambria Math" w:hAnsi="Cambria Math"/>
            </w:rPr>
            <m:t xml:space="preserve">IN016= </m:t>
          </m:r>
          <m:f>
            <m:fPr>
              <m:ctrlPr>
                <w:rPr>
                  <w:rFonts w:ascii="Cambria Math" w:hAnsi="Cambria Math" w:cs="Calibri"/>
                  <w:i/>
                  <w:iCs/>
                  <w:sz w:val="22"/>
                </w:rPr>
              </m:ctrlPr>
            </m:fPr>
            <m:num>
              <m:r>
                <w:rPr>
                  <w:rFonts w:ascii="Cambria Math" w:hAnsi="Cambria Math"/>
                </w:rPr>
                <m:t>ES006</m:t>
              </m:r>
            </m:num>
            <m:den>
              <m:r>
                <w:rPr>
                  <w:rFonts w:ascii="Cambria Math" w:hAnsi="Cambria Math"/>
                </w:rPr>
                <m:t>ES005</m:t>
              </m:r>
            </m:den>
          </m:f>
          <m:r>
            <w:rPr>
              <w:rFonts w:ascii="Cambria Math" w:hAnsi="Cambria Math"/>
            </w:rPr>
            <m:t xml:space="preserve"> x 100</m:t>
          </m:r>
        </m:oMath>
      </m:oMathPara>
    </w:p>
    <w:p w:rsidR="00813DDC" w:rsidRPr="00813DDC" w:rsidRDefault="00813DDC" w:rsidP="00813DDC">
      <w:pPr>
        <w:spacing w:before="120" w:after="120"/>
        <w:ind w:left="360" w:firstLine="709"/>
        <w:contextualSpacing/>
        <w:jc w:val="both"/>
        <w:rPr>
          <w:rFonts w:cs="Arial"/>
          <w:szCs w:val="24"/>
        </w:rPr>
      </w:pPr>
      <w:r w:rsidRPr="00813DDC">
        <w:t>Em que:</w:t>
      </w:r>
    </w:p>
    <w:p w:rsidR="00813DDC" w:rsidRPr="00813DDC" w:rsidRDefault="00813DDC" w:rsidP="0066661F">
      <w:pPr>
        <w:numPr>
          <w:ilvl w:val="0"/>
          <w:numId w:val="27"/>
        </w:numPr>
        <w:jc w:val="both"/>
        <w:rPr>
          <w:rFonts w:ascii="Calibri" w:hAnsi="Calibri" w:cs="Calibri"/>
          <w:i/>
          <w:iCs/>
          <w:sz w:val="22"/>
        </w:rPr>
      </w:pPr>
      <w:r w:rsidRPr="00813DDC">
        <w:rPr>
          <w:i/>
          <w:iCs/>
        </w:rPr>
        <w:t>IN016 = índice de tratamento de esgoto (%).</w:t>
      </w:r>
    </w:p>
    <w:p w:rsidR="00813DDC" w:rsidRPr="00813DDC" w:rsidRDefault="00813DDC" w:rsidP="0066661F">
      <w:pPr>
        <w:numPr>
          <w:ilvl w:val="0"/>
          <w:numId w:val="27"/>
        </w:numPr>
        <w:jc w:val="both"/>
        <w:rPr>
          <w:i/>
          <w:iCs/>
        </w:rPr>
      </w:pPr>
      <w:r w:rsidRPr="00813DDC">
        <w:rPr>
          <w:i/>
          <w:iCs/>
        </w:rPr>
        <w:t>ES005 = Volume de esgotos coletado (1000m³/ano).</w:t>
      </w:r>
    </w:p>
    <w:p w:rsidR="00813DDC" w:rsidRPr="00813DDC" w:rsidRDefault="00813DDC" w:rsidP="0066661F">
      <w:pPr>
        <w:numPr>
          <w:ilvl w:val="0"/>
          <w:numId w:val="27"/>
        </w:numPr>
        <w:jc w:val="both"/>
        <w:rPr>
          <w:i/>
          <w:iCs/>
        </w:rPr>
      </w:pPr>
      <w:r w:rsidRPr="00813DDC">
        <w:rPr>
          <w:i/>
          <w:iCs/>
        </w:rPr>
        <w:t>ES006 = Volume de esgotos tratado (1000m³/ano).</w:t>
      </w:r>
    </w:p>
    <w:p w:rsidR="00813DDC" w:rsidRPr="00813DDC" w:rsidRDefault="00813DDC" w:rsidP="00813DDC">
      <w:pPr>
        <w:spacing w:before="120" w:after="120"/>
        <w:ind w:firstLine="708"/>
        <w:contextualSpacing/>
        <w:jc w:val="both"/>
        <w:rPr>
          <w:rFonts w:cs="Arial"/>
          <w:szCs w:val="24"/>
        </w:rPr>
      </w:pPr>
      <w:r w:rsidRPr="00813DDC">
        <w:rPr>
          <w:rFonts w:cs="Arial"/>
          <w:szCs w:val="24"/>
        </w:rPr>
        <w:t xml:space="preserve">O índice de atendimento do município, com esgotos coletados e tratados varia de 0 a 100 % e mostra o percentual da população total que é atendido por coleta e tratamento de esgotos. </w:t>
      </w:r>
    </w:p>
    <w:p w:rsidR="00813DDC" w:rsidRPr="00813DDC" w:rsidRDefault="00813DDC" w:rsidP="00BC01B1">
      <w:pPr>
        <w:pStyle w:val="Ttulo4"/>
      </w:pPr>
      <w:bookmarkStart w:id="1480" w:name="_Toc499018994"/>
      <w:bookmarkStart w:id="1481" w:name="_Toc499106727"/>
      <w:bookmarkStart w:id="1482" w:name="_Toc499107047"/>
      <w:bookmarkStart w:id="1483" w:name="_Toc499107867"/>
      <w:bookmarkStart w:id="1484" w:name="_Toc499108704"/>
      <w:bookmarkStart w:id="1485" w:name="_Toc499109529"/>
      <w:bookmarkStart w:id="1486" w:name="_Toc499109695"/>
      <w:bookmarkStart w:id="1487" w:name="_Toc499709901"/>
      <w:bookmarkStart w:id="1488" w:name="_Toc509935624"/>
      <w:r w:rsidRPr="00813DDC">
        <w:t>Índice de atendimento do setor de drenagem</w:t>
      </w:r>
      <w:bookmarkEnd w:id="1480"/>
      <w:bookmarkEnd w:id="1481"/>
      <w:bookmarkEnd w:id="1482"/>
      <w:bookmarkEnd w:id="1483"/>
      <w:bookmarkEnd w:id="1484"/>
      <w:bookmarkEnd w:id="1485"/>
      <w:bookmarkEnd w:id="1486"/>
      <w:bookmarkEnd w:id="1487"/>
      <w:bookmarkEnd w:id="1488"/>
    </w:p>
    <w:p w:rsidR="00813DDC" w:rsidRPr="00813DDC" w:rsidRDefault="001B481B" w:rsidP="00813DDC">
      <w:pPr>
        <w:rPr>
          <w:rFonts w:ascii="Cambria Math" w:hAnsi="Cambria Math"/>
          <w:i/>
          <w:sz w:val="22"/>
        </w:rPr>
      </w:pPr>
      <m:oMathPara>
        <m:oMath>
          <m:sSub>
            <m:sSubPr>
              <m:ctrlPr>
                <w:rPr>
                  <w:rFonts w:ascii="Cambria Math" w:hAnsi="Cambria Math"/>
                  <w:i/>
                  <w:sz w:val="20"/>
                  <w:szCs w:val="20"/>
                </w:rPr>
              </m:ctrlPr>
            </m:sSubPr>
            <m:e>
              <m:r>
                <w:rPr>
                  <w:rFonts w:ascii="Cambria Math" w:hAnsi="Cambria Math"/>
                  <w:sz w:val="20"/>
                  <w:szCs w:val="20"/>
                </w:rPr>
                <m:t>I</m:t>
              </m:r>
            </m:e>
            <m:sub>
              <m:r>
                <w:rPr>
                  <w:rFonts w:ascii="Cambria Math" w:hAnsi="Cambria Math"/>
                  <w:sz w:val="20"/>
                  <w:szCs w:val="20"/>
                </w:rPr>
                <m:t>atendimento drenagem (ano n)</m:t>
              </m:r>
            </m:sub>
          </m:sSub>
          <m:r>
            <w:rPr>
              <w:rFonts w:ascii="Cambria Math" w:hAnsi="Cambria Math"/>
              <w:sz w:val="20"/>
              <w:szCs w:val="20"/>
            </w:rPr>
            <m:t xml:space="preserve">= </m:t>
          </m:r>
          <m:f>
            <m:fPr>
              <m:ctrlPr>
                <w:rPr>
                  <w:rFonts w:ascii="Cambria Math" w:hAnsi="Cambria Math"/>
                  <w:i/>
                  <w:sz w:val="20"/>
                  <w:szCs w:val="20"/>
                </w:rPr>
              </m:ctrlPr>
            </m:fPr>
            <m:num>
              <m:r>
                <w:rPr>
                  <w:rFonts w:ascii="Cambria Math" w:hAnsi="Cambria Math"/>
                  <w:sz w:val="20"/>
                  <w:szCs w:val="20"/>
                </w:rPr>
                <m:t>Nº total de residências existentes área urbana- Nº de residências inundadas na área urbana</m:t>
              </m:r>
            </m:num>
            <m:den>
              <m:r>
                <w:rPr>
                  <w:rFonts w:ascii="Cambria Math" w:hAnsi="Cambria Math"/>
                  <w:sz w:val="20"/>
                  <w:szCs w:val="20"/>
                </w:rPr>
                <m:t>Nº total de residências existen</m:t>
              </m:r>
              <m:r>
                <w:rPr>
                  <w:rFonts w:ascii="Cambria Math" w:hAnsi="Cambria Math"/>
                  <w:sz w:val="20"/>
                  <w:szCs w:val="20"/>
                </w:rPr>
                <m:t>tes área urbana</m:t>
              </m:r>
            </m:den>
          </m:f>
          <m:r>
            <w:rPr>
              <w:rFonts w:ascii="Cambria Math" w:hAnsi="Cambria Math"/>
              <w:sz w:val="20"/>
              <w:szCs w:val="20"/>
            </w:rPr>
            <m:t xml:space="preserve"> x 100</m:t>
          </m:r>
        </m:oMath>
      </m:oMathPara>
    </w:p>
    <w:p w:rsidR="00810C89" w:rsidRDefault="00810C89" w:rsidP="00813DDC">
      <w:pPr>
        <w:spacing w:before="120" w:after="120"/>
        <w:ind w:firstLine="708"/>
        <w:contextualSpacing/>
        <w:jc w:val="both"/>
        <w:rPr>
          <w:rFonts w:cs="Arial"/>
          <w:szCs w:val="24"/>
        </w:rPr>
      </w:pPr>
    </w:p>
    <w:p w:rsidR="00813DDC" w:rsidRPr="00813DDC" w:rsidRDefault="00813DDC" w:rsidP="00813DDC">
      <w:pPr>
        <w:spacing w:before="120" w:after="120"/>
        <w:ind w:firstLine="708"/>
        <w:contextualSpacing/>
        <w:jc w:val="both"/>
        <w:rPr>
          <w:rFonts w:cs="Arial"/>
          <w:szCs w:val="24"/>
        </w:rPr>
      </w:pPr>
      <w:r w:rsidRPr="00813DDC">
        <w:rPr>
          <w:rFonts w:cs="Arial"/>
          <w:szCs w:val="24"/>
        </w:rPr>
        <w:t xml:space="preserve">Esse indicador, que varia de 0 a 100 %, mostra o percentual de residências inundadas, no ano, no município em questão, sendo o ideal 100 % e a pior hipótese, 0 (zero). </w:t>
      </w:r>
    </w:p>
    <w:p w:rsidR="00813DDC" w:rsidRPr="00813DDC" w:rsidRDefault="00813DDC" w:rsidP="00BC01B1">
      <w:pPr>
        <w:pStyle w:val="Ttulo4"/>
      </w:pPr>
      <w:bookmarkStart w:id="1489" w:name="_Toc499018995"/>
      <w:bookmarkStart w:id="1490" w:name="_Toc499106728"/>
      <w:bookmarkStart w:id="1491" w:name="_Toc499107048"/>
      <w:bookmarkStart w:id="1492" w:name="_Toc499107868"/>
      <w:bookmarkStart w:id="1493" w:name="_Toc499108705"/>
      <w:bookmarkStart w:id="1494" w:name="_Toc499109530"/>
      <w:bookmarkStart w:id="1495" w:name="_Toc499109696"/>
      <w:bookmarkStart w:id="1496" w:name="_Toc499709902"/>
      <w:bookmarkStart w:id="1497" w:name="_Toc509935625"/>
      <w:r w:rsidRPr="00813DDC">
        <w:t>Índice de atendimento do setor de resíduos</w:t>
      </w:r>
      <w:bookmarkEnd w:id="1489"/>
      <w:bookmarkEnd w:id="1490"/>
      <w:bookmarkEnd w:id="1491"/>
      <w:bookmarkEnd w:id="1492"/>
      <w:bookmarkEnd w:id="1493"/>
      <w:bookmarkEnd w:id="1494"/>
      <w:bookmarkEnd w:id="1495"/>
      <w:bookmarkEnd w:id="1496"/>
      <w:bookmarkEnd w:id="1497"/>
    </w:p>
    <w:p w:rsidR="00813DDC" w:rsidRPr="00813DDC" w:rsidRDefault="001B481B" w:rsidP="00813DDC">
      <w:pPr>
        <w:jc w:val="center"/>
        <w:rPr>
          <w:rFonts w:ascii="Cambria Math" w:hAnsi="Cambria Math"/>
          <w:i/>
          <w:sz w:val="22"/>
        </w:rPr>
      </w:pPr>
      <m:oMath>
        <m:sSub>
          <m:sSubPr>
            <m:ctrlPr>
              <w:rPr>
                <w:rFonts w:ascii="Cambria Math" w:hAnsi="Cambria Math"/>
                <w:i/>
                <w:szCs w:val="24"/>
              </w:rPr>
            </m:ctrlPr>
          </m:sSubPr>
          <m:e>
            <m:r>
              <w:rPr>
                <w:rFonts w:ascii="Cambria Math" w:hAnsi="Cambria Math"/>
                <w:szCs w:val="24"/>
              </w:rPr>
              <m:t>I</m:t>
            </m:r>
          </m:e>
          <m:sub>
            <m:r>
              <w:rPr>
                <w:rFonts w:ascii="Cambria Math" w:hAnsi="Cambria Math"/>
                <w:szCs w:val="24"/>
              </w:rPr>
              <m:t>ate</m:t>
            </m:r>
            <m:r>
              <w:rPr>
                <w:rFonts w:ascii="Cambria Math" w:hAnsi="Cambria Math"/>
                <w:szCs w:val="24"/>
              </w:rPr>
              <m:t>ndimento resíduos (ano n)</m:t>
            </m:r>
          </m:sub>
        </m:sSub>
        <m:r>
          <w:rPr>
            <w:rFonts w:ascii="Cambria Math" w:hAnsi="Cambria Math"/>
            <w:szCs w:val="24"/>
          </w:rPr>
          <m:t>=</m:t>
        </m:r>
        <m:f>
          <m:fPr>
            <m:ctrlPr>
              <w:rPr>
                <w:rFonts w:ascii="Cambria Math" w:hAnsi="Cambria Math"/>
                <w:i/>
                <w:szCs w:val="24"/>
              </w:rPr>
            </m:ctrlPr>
          </m:fPr>
          <m:num>
            <m:r>
              <w:rPr>
                <w:rFonts w:ascii="Cambria Math" w:hAnsi="Cambria Math"/>
                <w:szCs w:val="24"/>
              </w:rPr>
              <m:t>Nº de residências com coleta convencional</m:t>
            </m:r>
          </m:num>
          <m:den>
            <m:r>
              <w:rPr>
                <w:rFonts w:ascii="Cambria Math" w:hAnsi="Cambria Math"/>
                <w:szCs w:val="24"/>
              </w:rPr>
              <m:t>Nº total de residências existentes no município</m:t>
            </m:r>
          </m:den>
        </m:f>
        <m:r>
          <w:rPr>
            <w:rFonts w:ascii="Cambria Math" w:hAnsi="Cambria Math"/>
            <w:szCs w:val="24"/>
          </w:rPr>
          <m:t xml:space="preserve"> </m:t>
        </m:r>
      </m:oMath>
      <w:r w:rsidR="00813DDC" w:rsidRPr="00813DDC">
        <w:rPr>
          <w:rFonts w:ascii="Cambria Math" w:hAnsi="Cambria Math"/>
          <w:i/>
          <w:sz w:val="22"/>
        </w:rPr>
        <w:t>x 100</w:t>
      </w:r>
    </w:p>
    <w:p w:rsidR="00813DDC" w:rsidRPr="00813DDC" w:rsidRDefault="00813DDC" w:rsidP="00813DDC">
      <w:pPr>
        <w:spacing w:before="120" w:after="120"/>
        <w:ind w:firstLine="708"/>
        <w:contextualSpacing/>
        <w:jc w:val="both"/>
        <w:rPr>
          <w:rFonts w:cs="Arial"/>
          <w:szCs w:val="24"/>
        </w:rPr>
      </w:pPr>
    </w:p>
    <w:p w:rsidR="00813DDC" w:rsidRPr="00813DDC" w:rsidRDefault="00813DDC" w:rsidP="00813DDC">
      <w:pPr>
        <w:spacing w:before="120" w:after="120"/>
        <w:ind w:firstLine="708"/>
        <w:contextualSpacing/>
        <w:jc w:val="both"/>
        <w:rPr>
          <w:rFonts w:cs="Arial"/>
          <w:szCs w:val="24"/>
        </w:rPr>
      </w:pPr>
      <w:r w:rsidRPr="00813DDC">
        <w:rPr>
          <w:rFonts w:cs="Arial"/>
          <w:szCs w:val="24"/>
        </w:rPr>
        <w:lastRenderedPageBreak/>
        <w:t>Esse indicador, que varia de 0 a 100 %, mostra o percentual de residências atendidas com coleta, em um determinado ano, no município em questão.</w:t>
      </w:r>
    </w:p>
    <w:p w:rsidR="00813DDC" w:rsidRPr="00813DDC" w:rsidRDefault="00813DDC" w:rsidP="00BC01B1">
      <w:pPr>
        <w:pStyle w:val="Ttulo4"/>
      </w:pPr>
      <w:bookmarkStart w:id="1498" w:name="_Toc499018996"/>
      <w:bookmarkStart w:id="1499" w:name="_Toc499106729"/>
      <w:bookmarkStart w:id="1500" w:name="_Toc499107049"/>
      <w:bookmarkStart w:id="1501" w:name="_Toc499107869"/>
      <w:bookmarkStart w:id="1502" w:name="_Toc499108706"/>
      <w:bookmarkStart w:id="1503" w:name="_Toc499109531"/>
      <w:bookmarkStart w:id="1504" w:name="_Toc499109697"/>
      <w:bookmarkStart w:id="1505" w:name="_Toc499709903"/>
      <w:bookmarkStart w:id="1506" w:name="_Toc509935626"/>
      <w:r w:rsidRPr="00813DDC">
        <w:t>Índice de atendimento global do saneamento básico</w:t>
      </w:r>
      <w:bookmarkEnd w:id="1498"/>
      <w:bookmarkEnd w:id="1499"/>
      <w:bookmarkEnd w:id="1500"/>
      <w:bookmarkEnd w:id="1501"/>
      <w:bookmarkEnd w:id="1502"/>
      <w:bookmarkEnd w:id="1503"/>
      <w:bookmarkEnd w:id="1504"/>
      <w:bookmarkEnd w:id="1505"/>
      <w:bookmarkEnd w:id="1506"/>
    </w:p>
    <w:p w:rsidR="00813DDC" w:rsidRPr="00813DDC" w:rsidRDefault="00813DDC" w:rsidP="00813DDC">
      <w:pPr>
        <w:spacing w:before="120" w:after="120"/>
        <w:ind w:left="360"/>
        <w:contextualSpacing/>
        <w:jc w:val="both"/>
        <w:rPr>
          <w:rFonts w:eastAsia="Times New Roman" w:cs="Arial"/>
          <w:sz w:val="22"/>
          <w:szCs w:val="20"/>
        </w:rPr>
      </w:pPr>
    </w:p>
    <w:p w:rsidR="00813DDC" w:rsidRPr="00813DDC" w:rsidRDefault="001B481B" w:rsidP="00813DDC">
      <w:pPr>
        <w:contextualSpacing/>
        <w:jc w:val="both"/>
        <w:rPr>
          <w:rFonts w:eastAsia="Times New Roman" w:cs="Arial"/>
          <w:sz w:val="22"/>
          <w:szCs w:val="20"/>
        </w:rPr>
      </w:pPr>
      <m:oMathPara>
        <m:oMath>
          <m:sSub>
            <m:sSubPr>
              <m:ctrlPr>
                <w:rPr>
                  <w:rFonts w:ascii="Cambria Math" w:eastAsia="Times New Roman" w:hAnsi="Cambria Math"/>
                  <w:i/>
                  <w:sz w:val="22"/>
                  <w:szCs w:val="20"/>
                </w:rPr>
              </m:ctrlPr>
            </m:sSubPr>
            <m:e>
              <m:r>
                <w:rPr>
                  <w:rFonts w:ascii="Cambria Math" w:eastAsia="Times New Roman" w:hAnsi="Cambria Math"/>
                  <w:sz w:val="22"/>
                  <w:szCs w:val="20"/>
                </w:rPr>
                <m:t>I</m:t>
              </m:r>
            </m:e>
            <m:sub>
              <m:r>
                <w:rPr>
                  <w:rFonts w:ascii="Cambria Math" w:eastAsia="Times New Roman" w:hAnsi="Cambria Math"/>
                  <w:sz w:val="22"/>
                  <w:szCs w:val="20"/>
                </w:rPr>
                <m:t xml:space="preserve">aten saneamento </m:t>
              </m:r>
              <m:d>
                <m:dPr>
                  <m:ctrlPr>
                    <w:rPr>
                      <w:rFonts w:ascii="Cambria Math" w:eastAsia="Times New Roman" w:hAnsi="Cambria Math"/>
                      <w:i/>
                      <w:sz w:val="22"/>
                      <w:szCs w:val="20"/>
                    </w:rPr>
                  </m:ctrlPr>
                </m:dPr>
                <m:e>
                  <m:r>
                    <w:rPr>
                      <w:rFonts w:ascii="Cambria Math" w:eastAsia="Times New Roman" w:hAnsi="Cambria Math"/>
                      <w:sz w:val="22"/>
                      <w:szCs w:val="20"/>
                    </w:rPr>
                    <m:t>ano n</m:t>
                  </m:r>
                </m:e>
              </m:d>
            </m:sub>
          </m:sSub>
          <m:r>
            <w:rPr>
              <w:rFonts w:ascii="Cambria Math" w:eastAsia="Times New Roman" w:hAnsi="Cambria Math"/>
              <w:sz w:val="22"/>
              <w:szCs w:val="20"/>
            </w:rPr>
            <m:t>=</m:t>
          </m:r>
          <m:f>
            <m:fPr>
              <m:ctrlPr>
                <w:rPr>
                  <w:rFonts w:ascii="Cambria Math" w:eastAsia="Times New Roman" w:hAnsi="Cambria Math"/>
                  <w:i/>
                  <w:sz w:val="22"/>
                  <w:szCs w:val="20"/>
                </w:rPr>
              </m:ctrlPr>
            </m:fPr>
            <m:num>
              <m:d>
                <m:dPr>
                  <m:ctrlPr>
                    <w:rPr>
                      <w:rFonts w:ascii="Cambria Math" w:eastAsia="Times New Roman" w:hAnsi="Cambria Math"/>
                      <w:i/>
                      <w:sz w:val="22"/>
                      <w:szCs w:val="20"/>
                    </w:rPr>
                  </m:ctrlPr>
                </m:dPr>
                <m:e>
                  <m:r>
                    <w:rPr>
                      <w:rFonts w:ascii="Cambria Math" w:eastAsia="Times New Roman" w:hAnsi="Cambria Math"/>
                      <w:sz w:val="22"/>
                      <w:szCs w:val="20"/>
                    </w:rPr>
                    <m:t>IN055</m:t>
                  </m:r>
                </m:e>
              </m:d>
              <m:r>
                <w:rPr>
                  <w:rFonts w:ascii="Cambria Math" w:eastAsia="Times New Roman" w:hAnsi="Cambria Math"/>
                  <w:sz w:val="22"/>
                  <w:szCs w:val="20"/>
                </w:rPr>
                <m:t>+</m:t>
              </m:r>
              <m:d>
                <m:dPr>
                  <m:ctrlPr>
                    <w:rPr>
                      <w:rFonts w:ascii="Cambria Math" w:eastAsia="Times New Roman" w:hAnsi="Cambria Math"/>
                      <w:i/>
                      <w:sz w:val="22"/>
                      <w:szCs w:val="20"/>
                    </w:rPr>
                  </m:ctrlPr>
                </m:dPr>
                <m:e>
                  <m:r>
                    <w:rPr>
                      <w:rFonts w:ascii="Cambria Math" w:eastAsia="Times New Roman" w:hAnsi="Cambria Math"/>
                      <w:sz w:val="22"/>
                      <w:szCs w:val="20"/>
                    </w:rPr>
                    <m:t>Iaten esg</m:t>
                  </m:r>
                </m:e>
              </m:d>
              <m:r>
                <w:rPr>
                  <w:rFonts w:ascii="Cambria Math" w:eastAsia="Times New Roman" w:hAnsi="Cambria Math"/>
                  <w:sz w:val="22"/>
                  <w:szCs w:val="20"/>
                </w:rPr>
                <m:t>+</m:t>
              </m:r>
              <m:d>
                <m:dPr>
                  <m:ctrlPr>
                    <w:rPr>
                      <w:rFonts w:ascii="Cambria Math" w:eastAsia="Times New Roman" w:hAnsi="Cambria Math"/>
                      <w:i/>
                      <w:sz w:val="22"/>
                      <w:szCs w:val="20"/>
                    </w:rPr>
                  </m:ctrlPr>
                </m:dPr>
                <m:e>
                  <m:r>
                    <w:rPr>
                      <w:rFonts w:ascii="Cambria Math" w:eastAsia="Times New Roman" w:hAnsi="Cambria Math"/>
                      <w:sz w:val="22"/>
                      <w:szCs w:val="20"/>
                    </w:rPr>
                    <m:t>Iaten dren</m:t>
                  </m:r>
                </m:e>
              </m:d>
              <m:r>
                <w:rPr>
                  <w:rFonts w:ascii="Cambria Math" w:eastAsia="Times New Roman" w:hAnsi="Cambria Math"/>
                  <w:sz w:val="22"/>
                  <w:szCs w:val="20"/>
                </w:rPr>
                <m:t>+</m:t>
              </m:r>
              <m:d>
                <m:dPr>
                  <m:ctrlPr>
                    <w:rPr>
                      <w:rFonts w:ascii="Cambria Math" w:eastAsia="Times New Roman" w:hAnsi="Cambria Math"/>
                      <w:i/>
                      <w:sz w:val="22"/>
                      <w:szCs w:val="20"/>
                    </w:rPr>
                  </m:ctrlPr>
                </m:dPr>
                <m:e>
                  <m:r>
                    <w:rPr>
                      <w:rFonts w:ascii="Cambria Math" w:eastAsia="Times New Roman" w:hAnsi="Cambria Math"/>
                      <w:sz w:val="22"/>
                      <w:szCs w:val="20"/>
                    </w:rPr>
                    <m:t>Iaten res</m:t>
                  </m:r>
                </m:e>
              </m:d>
            </m:num>
            <m:den>
              <m:r>
                <w:rPr>
                  <w:rFonts w:ascii="Cambria Math" w:eastAsia="Times New Roman" w:hAnsi="Cambria Math"/>
                  <w:sz w:val="22"/>
                  <w:szCs w:val="20"/>
                </w:rPr>
                <m:t>4</m:t>
              </m:r>
            </m:den>
          </m:f>
          <m:r>
            <w:rPr>
              <w:rFonts w:ascii="Cambria Math" w:eastAsia="Times New Roman" w:hAnsi="Cambria Math"/>
              <w:sz w:val="22"/>
              <w:szCs w:val="20"/>
            </w:rPr>
            <m:t xml:space="preserve"> </m:t>
          </m:r>
        </m:oMath>
      </m:oMathPara>
    </w:p>
    <w:p w:rsidR="00813DDC" w:rsidRPr="00813DDC" w:rsidRDefault="00813DDC" w:rsidP="00813DDC">
      <w:pPr>
        <w:spacing w:before="120" w:after="120"/>
        <w:ind w:firstLine="708"/>
        <w:contextualSpacing/>
        <w:jc w:val="both"/>
        <w:rPr>
          <w:rFonts w:cs="Arial"/>
          <w:szCs w:val="24"/>
        </w:rPr>
      </w:pPr>
    </w:p>
    <w:p w:rsidR="00813DDC" w:rsidRPr="00813DDC" w:rsidRDefault="00813DDC" w:rsidP="00813DDC">
      <w:pPr>
        <w:spacing w:before="120" w:after="120"/>
        <w:ind w:firstLine="708"/>
        <w:contextualSpacing/>
        <w:jc w:val="both"/>
        <w:rPr>
          <w:rFonts w:cs="Arial"/>
          <w:szCs w:val="24"/>
        </w:rPr>
      </w:pPr>
      <w:r w:rsidRPr="00813DDC">
        <w:rPr>
          <w:rFonts w:cs="Arial"/>
          <w:szCs w:val="24"/>
        </w:rPr>
        <w:t>O presente PMSB objetiva a universalização do acesso aos quatro setores de serviços de saneamento básico, portanto o ideal é que esse indicador seja 100 %.</w:t>
      </w:r>
    </w:p>
    <w:p w:rsidR="00813DDC" w:rsidRPr="00813DDC" w:rsidRDefault="00813DDC" w:rsidP="00BC01B1">
      <w:pPr>
        <w:pStyle w:val="Ttulo3"/>
      </w:pPr>
      <w:bookmarkStart w:id="1507" w:name="_Toc499018997"/>
      <w:bookmarkStart w:id="1508" w:name="_Toc499106730"/>
      <w:bookmarkStart w:id="1509" w:name="_Toc499107050"/>
      <w:bookmarkStart w:id="1510" w:name="_Toc499107870"/>
      <w:bookmarkStart w:id="1511" w:name="_Toc499108707"/>
      <w:bookmarkStart w:id="1512" w:name="_Toc499109532"/>
      <w:bookmarkStart w:id="1513" w:name="_Toc499109698"/>
      <w:bookmarkStart w:id="1514" w:name="_Toc499709904"/>
      <w:bookmarkStart w:id="1515" w:name="_Toc509935627"/>
      <w:r w:rsidRPr="00813DDC">
        <w:t>Indicador para o Objetivo 3</w:t>
      </w:r>
      <w:bookmarkEnd w:id="1507"/>
      <w:bookmarkEnd w:id="1508"/>
      <w:bookmarkEnd w:id="1509"/>
      <w:bookmarkEnd w:id="1510"/>
      <w:bookmarkEnd w:id="1511"/>
      <w:bookmarkEnd w:id="1512"/>
      <w:bookmarkEnd w:id="1513"/>
      <w:bookmarkEnd w:id="1514"/>
      <w:bookmarkEnd w:id="1515"/>
      <w:r w:rsidRPr="00813DDC">
        <w:t xml:space="preserve"> </w:t>
      </w:r>
    </w:p>
    <w:p w:rsidR="00813DDC" w:rsidRPr="00813DDC" w:rsidRDefault="00813DDC" w:rsidP="00813DDC">
      <w:pPr>
        <w:spacing w:before="120" w:after="120"/>
        <w:ind w:firstLine="708"/>
        <w:contextualSpacing/>
        <w:jc w:val="both"/>
        <w:rPr>
          <w:rFonts w:cs="Arial"/>
          <w:szCs w:val="24"/>
        </w:rPr>
      </w:pPr>
      <w:r w:rsidRPr="00813DDC">
        <w:rPr>
          <w:rFonts w:cs="Arial"/>
          <w:szCs w:val="24"/>
        </w:rPr>
        <w:t xml:space="preserve">Para monitorar o </w:t>
      </w:r>
      <w:r w:rsidRPr="00813DDC">
        <w:rPr>
          <w:rFonts w:cs="Arial"/>
          <w:b/>
          <w:szCs w:val="24"/>
        </w:rPr>
        <w:t>Objetivo 3</w:t>
      </w:r>
      <w:r w:rsidRPr="00813DDC">
        <w:rPr>
          <w:rFonts w:cs="Arial"/>
          <w:szCs w:val="24"/>
        </w:rPr>
        <w:t xml:space="preserve"> do Setor Geral, “</w:t>
      </w:r>
      <w:r w:rsidRPr="00813DDC">
        <w:rPr>
          <w:bCs/>
          <w:i/>
          <w:szCs w:val="24"/>
        </w:rPr>
        <w:t>alcançar a sustentabilidade econômico-financeira para o setor do saneamento no município”</w:t>
      </w:r>
      <w:r w:rsidRPr="00813DDC">
        <w:rPr>
          <w:rFonts w:cs="Arial"/>
          <w:szCs w:val="24"/>
        </w:rPr>
        <w:t xml:space="preserve">, foram estabelecidos os indicadores de sustentabilidade econômico-financeira dos sistemas de saneamento básico específicos mostrados a seguir. Estes indicadores deverão ser calculados pelos setores específicos e inseridos nos relatórios anuais de eficiência entregues todos os anos para o setor supervisor. </w:t>
      </w:r>
    </w:p>
    <w:p w:rsidR="00813DDC" w:rsidRPr="00813DDC" w:rsidRDefault="00813DDC" w:rsidP="00BC01B1">
      <w:pPr>
        <w:pStyle w:val="Ttulo4"/>
      </w:pPr>
      <w:bookmarkStart w:id="1516" w:name="_Toc499018998"/>
      <w:bookmarkStart w:id="1517" w:name="_Toc499106731"/>
      <w:bookmarkStart w:id="1518" w:name="_Toc499107051"/>
      <w:bookmarkStart w:id="1519" w:name="_Toc499107871"/>
      <w:bookmarkStart w:id="1520" w:name="_Toc499108708"/>
      <w:bookmarkStart w:id="1521" w:name="_Toc499109533"/>
      <w:bookmarkStart w:id="1522" w:name="_Toc499109699"/>
      <w:bookmarkStart w:id="1523" w:name="_Toc499709905"/>
      <w:bookmarkStart w:id="1524" w:name="_Toc509935628"/>
      <w:r w:rsidRPr="00813DDC">
        <w:t>Índice de sustentabilidade econômico-financeira do setor de água</w:t>
      </w:r>
      <w:bookmarkEnd w:id="1516"/>
      <w:bookmarkEnd w:id="1517"/>
      <w:bookmarkEnd w:id="1518"/>
      <w:bookmarkEnd w:id="1519"/>
      <w:bookmarkEnd w:id="1520"/>
      <w:bookmarkEnd w:id="1521"/>
      <w:bookmarkEnd w:id="1522"/>
      <w:bookmarkEnd w:id="1523"/>
      <w:bookmarkEnd w:id="1524"/>
    </w:p>
    <w:p w:rsidR="00813DDC" w:rsidRPr="00813DDC" w:rsidRDefault="001B481B" w:rsidP="00813DDC">
      <w:pPr>
        <w:rPr>
          <w:rFonts w:ascii="Cambria Math" w:hAnsi="Cambria Math"/>
          <w:i/>
          <w:sz w:val="22"/>
        </w:rPr>
      </w:pPr>
      <m:oMathPara>
        <m:oMath>
          <m:sSub>
            <m:sSubPr>
              <m:ctrlPr>
                <w:rPr>
                  <w:rFonts w:ascii="Cambria Math" w:hAnsi="Cambria Math"/>
                  <w:i/>
                  <w:sz w:val="22"/>
                </w:rPr>
              </m:ctrlPr>
            </m:sSubPr>
            <m:e>
              <m:r>
                <w:rPr>
                  <w:rFonts w:ascii="Cambria Math" w:hAnsi="Cambria Math"/>
                  <w:sz w:val="22"/>
                </w:rPr>
                <m:t>I</m:t>
              </m:r>
            </m:e>
            <m:sub>
              <m:r>
                <w:rPr>
                  <w:rFonts w:ascii="Cambria Math" w:hAnsi="Cambria Math"/>
                  <w:sz w:val="22"/>
                </w:rPr>
                <m:t>sustentabilidade água</m:t>
              </m:r>
            </m:sub>
          </m:sSub>
          <m:r>
            <w:rPr>
              <w:rFonts w:ascii="Cambria Math" w:hAnsi="Cambria Math"/>
              <w:sz w:val="22"/>
            </w:rPr>
            <m:t>=</m:t>
          </m:r>
          <m:f>
            <m:fPr>
              <m:ctrlPr>
                <w:rPr>
                  <w:rFonts w:ascii="Cambria Math" w:hAnsi="Cambria Math"/>
                  <w:i/>
                  <w:sz w:val="22"/>
                </w:rPr>
              </m:ctrlPr>
            </m:fPr>
            <m:num>
              <m:r>
                <w:rPr>
                  <w:rFonts w:ascii="Cambria Math" w:hAnsi="Cambria Math"/>
                  <w:sz w:val="22"/>
                </w:rPr>
                <m:t>Recur</m:t>
              </m:r>
              <m:r>
                <w:rPr>
                  <w:rFonts w:ascii="Cambria Math" w:hAnsi="Cambria Math"/>
                  <w:sz w:val="22"/>
                </w:rPr>
                <m:t>sos financeiros recebidos pelo setor de  água</m:t>
              </m:r>
            </m:num>
            <m:den>
              <m:r>
                <w:rPr>
                  <w:rFonts w:ascii="Cambria Math" w:hAnsi="Cambria Math"/>
                  <w:sz w:val="22"/>
                </w:rPr>
                <m:t>Recursos financeiros gastos pelo setor de  água</m:t>
              </m:r>
            </m:den>
          </m:f>
          <m:r>
            <w:rPr>
              <w:rFonts w:ascii="Cambria Math" w:hAnsi="Cambria Math"/>
              <w:sz w:val="22"/>
            </w:rPr>
            <m:t xml:space="preserve"> x 100</m:t>
          </m:r>
        </m:oMath>
      </m:oMathPara>
    </w:p>
    <w:p w:rsidR="00810C89" w:rsidRDefault="00810C89" w:rsidP="00813DDC">
      <w:pPr>
        <w:ind w:firstLine="709"/>
        <w:jc w:val="both"/>
        <w:rPr>
          <w:rFonts w:cs="Arial"/>
          <w:szCs w:val="24"/>
        </w:rPr>
      </w:pPr>
    </w:p>
    <w:p w:rsidR="00813DDC" w:rsidRPr="00813DDC" w:rsidRDefault="00813DDC" w:rsidP="00813DDC">
      <w:pPr>
        <w:ind w:firstLine="709"/>
        <w:jc w:val="both"/>
        <w:rPr>
          <w:rFonts w:cs="Arial"/>
          <w:szCs w:val="24"/>
        </w:rPr>
      </w:pPr>
      <w:r w:rsidRPr="00813DDC">
        <w:rPr>
          <w:rFonts w:cs="Arial"/>
          <w:szCs w:val="24"/>
        </w:rPr>
        <w:t xml:space="preserve">Este indicador informa sobre o desempenho financeiro do setor de água. O ideal é que esse indicador seja um pouco maior que 100 %, demonstrando que o setor de água arrecada um pouco mais do que gasta, sem, no entanto, onerar o contribuinte com tarifas mais altas do que o necessário. </w:t>
      </w:r>
    </w:p>
    <w:p w:rsidR="00813DDC" w:rsidRPr="00813DDC" w:rsidRDefault="00813DDC" w:rsidP="00BC01B1">
      <w:pPr>
        <w:pStyle w:val="Ttulo4"/>
      </w:pPr>
      <w:bookmarkStart w:id="1525" w:name="_Toc499018999"/>
      <w:bookmarkStart w:id="1526" w:name="_Toc499106732"/>
      <w:bookmarkStart w:id="1527" w:name="_Toc499107052"/>
      <w:bookmarkStart w:id="1528" w:name="_Toc499107872"/>
      <w:bookmarkStart w:id="1529" w:name="_Toc499108709"/>
      <w:bookmarkStart w:id="1530" w:name="_Toc499109534"/>
      <w:bookmarkStart w:id="1531" w:name="_Toc499109700"/>
      <w:bookmarkStart w:id="1532" w:name="_Toc499709906"/>
      <w:bookmarkStart w:id="1533" w:name="_Toc509935629"/>
      <w:r w:rsidRPr="00813DDC">
        <w:t>Índice de sustentabilidade econômico-financeira do setor de esgotos</w:t>
      </w:r>
      <w:bookmarkEnd w:id="1525"/>
      <w:bookmarkEnd w:id="1526"/>
      <w:bookmarkEnd w:id="1527"/>
      <w:bookmarkEnd w:id="1528"/>
      <w:bookmarkEnd w:id="1529"/>
      <w:bookmarkEnd w:id="1530"/>
      <w:bookmarkEnd w:id="1531"/>
      <w:bookmarkEnd w:id="1532"/>
      <w:bookmarkEnd w:id="1533"/>
    </w:p>
    <w:p w:rsidR="00813DDC" w:rsidRPr="00813DDC" w:rsidRDefault="001B481B" w:rsidP="00813DDC">
      <w:pPr>
        <w:rPr>
          <w:rFonts w:ascii="Cambria Math" w:hAnsi="Cambria Math"/>
          <w:i/>
          <w:sz w:val="22"/>
        </w:rPr>
      </w:pPr>
      <m:oMathPara>
        <m:oMath>
          <m:sSub>
            <m:sSubPr>
              <m:ctrlPr>
                <w:rPr>
                  <w:rFonts w:ascii="Cambria Math" w:hAnsi="Cambria Math"/>
                  <w:i/>
                  <w:sz w:val="22"/>
                </w:rPr>
              </m:ctrlPr>
            </m:sSubPr>
            <m:e>
              <m:r>
                <w:rPr>
                  <w:rFonts w:ascii="Cambria Math" w:hAnsi="Cambria Math"/>
                  <w:sz w:val="22"/>
                </w:rPr>
                <m:t>I</m:t>
              </m:r>
            </m:e>
            <m:sub>
              <m:r>
                <w:rPr>
                  <w:rFonts w:ascii="Cambria Math" w:hAnsi="Cambria Math"/>
                  <w:sz w:val="22"/>
                </w:rPr>
                <m:t>sustentabilidade esgotos</m:t>
              </m:r>
            </m:sub>
          </m:sSub>
          <m:r>
            <w:rPr>
              <w:rFonts w:ascii="Cambria Math" w:hAnsi="Cambria Math"/>
              <w:sz w:val="22"/>
            </w:rPr>
            <m:t>=</m:t>
          </m:r>
          <m:f>
            <m:fPr>
              <m:ctrlPr>
                <w:rPr>
                  <w:rFonts w:ascii="Cambria Math" w:hAnsi="Cambria Math"/>
                  <w:i/>
                  <w:sz w:val="22"/>
                </w:rPr>
              </m:ctrlPr>
            </m:fPr>
            <m:num>
              <m:r>
                <w:rPr>
                  <w:rFonts w:ascii="Cambria Math" w:hAnsi="Cambria Math"/>
                  <w:sz w:val="22"/>
                </w:rPr>
                <m:t>Recursos financeiros recebidos pelo setor de  esgotos</m:t>
              </m:r>
            </m:num>
            <m:den>
              <m:r>
                <w:rPr>
                  <w:rFonts w:ascii="Cambria Math" w:hAnsi="Cambria Math"/>
                  <w:sz w:val="22"/>
                </w:rPr>
                <m:t>Recursos financeiros gastos pelo setor de  esgot</m:t>
              </m:r>
              <m:r>
                <w:rPr>
                  <w:rFonts w:ascii="Cambria Math" w:hAnsi="Cambria Math"/>
                  <w:sz w:val="22"/>
                </w:rPr>
                <m:t>os</m:t>
              </m:r>
            </m:den>
          </m:f>
          <m:r>
            <w:rPr>
              <w:rFonts w:ascii="Cambria Math" w:hAnsi="Cambria Math"/>
              <w:sz w:val="22"/>
            </w:rPr>
            <m:t xml:space="preserve"> x 100</m:t>
          </m:r>
        </m:oMath>
      </m:oMathPara>
    </w:p>
    <w:p w:rsidR="00813DDC" w:rsidRPr="00813DDC" w:rsidRDefault="00813DDC" w:rsidP="00813DDC">
      <w:pPr>
        <w:ind w:firstLine="709"/>
        <w:jc w:val="both"/>
        <w:rPr>
          <w:rFonts w:cs="Arial"/>
          <w:szCs w:val="24"/>
        </w:rPr>
      </w:pPr>
    </w:p>
    <w:p w:rsidR="00813DDC" w:rsidRPr="00813DDC" w:rsidRDefault="00813DDC" w:rsidP="00813DDC">
      <w:pPr>
        <w:ind w:firstLine="709"/>
        <w:jc w:val="both"/>
        <w:rPr>
          <w:rFonts w:cs="Arial"/>
          <w:szCs w:val="24"/>
        </w:rPr>
      </w:pPr>
      <w:r w:rsidRPr="00813DDC">
        <w:rPr>
          <w:rFonts w:cs="Arial"/>
          <w:szCs w:val="24"/>
        </w:rPr>
        <w:t xml:space="preserve">Este indicador informa sobre o desempenho financeiro do setor de esgotos. O ideal é que esse indicador seja um pouco maior que 100 %, demonstrando que o setor </w:t>
      </w:r>
      <w:r w:rsidRPr="00813DDC">
        <w:rPr>
          <w:rFonts w:cs="Arial"/>
          <w:szCs w:val="24"/>
        </w:rPr>
        <w:lastRenderedPageBreak/>
        <w:t xml:space="preserve">de esgotos arrecada um pouco mais do que gasta, sem, no entanto, onerar o contribuinte com tarifas mais altas do que o necessário. </w:t>
      </w:r>
    </w:p>
    <w:p w:rsidR="00813DDC" w:rsidRPr="00813DDC" w:rsidRDefault="00813DDC" w:rsidP="00BC01B1">
      <w:pPr>
        <w:pStyle w:val="Ttulo4"/>
      </w:pPr>
      <w:bookmarkStart w:id="1534" w:name="_Toc499019000"/>
      <w:bookmarkStart w:id="1535" w:name="_Toc499106733"/>
      <w:bookmarkStart w:id="1536" w:name="_Toc499107053"/>
      <w:bookmarkStart w:id="1537" w:name="_Toc499107873"/>
      <w:bookmarkStart w:id="1538" w:name="_Toc499108710"/>
      <w:bookmarkStart w:id="1539" w:name="_Toc499109535"/>
      <w:bookmarkStart w:id="1540" w:name="_Toc499109701"/>
      <w:bookmarkStart w:id="1541" w:name="_Toc499709907"/>
      <w:bookmarkStart w:id="1542" w:name="_Toc509935630"/>
      <w:r w:rsidRPr="00813DDC">
        <w:t>Índice de sustentabilidade econômico-financeira do setor de drenagem</w:t>
      </w:r>
      <w:bookmarkEnd w:id="1534"/>
      <w:bookmarkEnd w:id="1535"/>
      <w:bookmarkEnd w:id="1536"/>
      <w:bookmarkEnd w:id="1537"/>
      <w:bookmarkEnd w:id="1538"/>
      <w:bookmarkEnd w:id="1539"/>
      <w:bookmarkEnd w:id="1540"/>
      <w:bookmarkEnd w:id="1541"/>
      <w:bookmarkEnd w:id="1542"/>
    </w:p>
    <w:p w:rsidR="00813DDC" w:rsidRPr="00813DDC" w:rsidRDefault="001B481B" w:rsidP="00813DDC">
      <w:pPr>
        <w:rPr>
          <w:rFonts w:ascii="Cambria Math" w:hAnsi="Cambria Math"/>
          <w:i/>
          <w:sz w:val="22"/>
        </w:rPr>
      </w:pPr>
      <m:oMathPara>
        <m:oMath>
          <m:sSub>
            <m:sSubPr>
              <m:ctrlPr>
                <w:rPr>
                  <w:rFonts w:ascii="Cambria Math" w:hAnsi="Cambria Math"/>
                  <w:i/>
                  <w:sz w:val="22"/>
                </w:rPr>
              </m:ctrlPr>
            </m:sSubPr>
            <m:e>
              <m:r>
                <w:rPr>
                  <w:rFonts w:ascii="Cambria Math" w:hAnsi="Cambria Math"/>
                  <w:sz w:val="22"/>
                </w:rPr>
                <m:t>I</m:t>
              </m:r>
            </m:e>
            <m:sub>
              <m:r>
                <w:rPr>
                  <w:rFonts w:ascii="Cambria Math" w:hAnsi="Cambria Math"/>
                  <w:sz w:val="22"/>
                </w:rPr>
                <m:t>sustentabilidade drenagem</m:t>
              </m:r>
            </m:sub>
          </m:sSub>
          <m:r>
            <w:rPr>
              <w:rFonts w:ascii="Cambria Math" w:hAnsi="Cambria Math"/>
              <w:sz w:val="22"/>
            </w:rPr>
            <m:t>=</m:t>
          </m:r>
          <m:f>
            <m:fPr>
              <m:ctrlPr>
                <w:rPr>
                  <w:rFonts w:ascii="Cambria Math" w:hAnsi="Cambria Math"/>
                  <w:i/>
                  <w:sz w:val="22"/>
                </w:rPr>
              </m:ctrlPr>
            </m:fPr>
            <m:num>
              <m:r>
                <w:rPr>
                  <w:rFonts w:ascii="Cambria Math" w:hAnsi="Cambria Math"/>
                  <w:sz w:val="22"/>
                </w:rPr>
                <m:t>Recursos financeiros recebidos pelo setor de  d</m:t>
              </m:r>
              <m:r>
                <w:rPr>
                  <w:rFonts w:ascii="Cambria Math" w:hAnsi="Cambria Math"/>
                  <w:sz w:val="22"/>
                </w:rPr>
                <m:t>renagem</m:t>
              </m:r>
            </m:num>
            <m:den>
              <m:r>
                <w:rPr>
                  <w:rFonts w:ascii="Cambria Math" w:hAnsi="Cambria Math"/>
                  <w:sz w:val="22"/>
                </w:rPr>
                <m:t>Recursos financeiros gastos pelo setor de  drenagem</m:t>
              </m:r>
            </m:den>
          </m:f>
          <m:r>
            <w:rPr>
              <w:rFonts w:ascii="Cambria Math" w:hAnsi="Cambria Math"/>
              <w:sz w:val="22"/>
            </w:rPr>
            <m:t xml:space="preserve"> x 100</m:t>
          </m:r>
        </m:oMath>
      </m:oMathPara>
    </w:p>
    <w:p w:rsidR="00813DDC" w:rsidRPr="00813DDC" w:rsidRDefault="00813DDC" w:rsidP="00813DDC">
      <w:pPr>
        <w:ind w:firstLine="709"/>
        <w:jc w:val="both"/>
        <w:rPr>
          <w:rFonts w:cs="Arial"/>
          <w:szCs w:val="24"/>
        </w:rPr>
      </w:pPr>
    </w:p>
    <w:p w:rsidR="00813DDC" w:rsidRPr="00813DDC" w:rsidRDefault="00813DDC" w:rsidP="00813DDC">
      <w:pPr>
        <w:ind w:firstLine="709"/>
        <w:jc w:val="both"/>
        <w:rPr>
          <w:rFonts w:cs="Arial"/>
          <w:szCs w:val="24"/>
        </w:rPr>
      </w:pPr>
      <w:r w:rsidRPr="00813DDC">
        <w:rPr>
          <w:rFonts w:cs="Arial"/>
          <w:szCs w:val="24"/>
        </w:rPr>
        <w:t>Este indicador informa sobre o desempenho financeiro do setor de drenagem. O ideal é que esse indicador seja 100 %, demonstrando que o setor de drenagem e manejo de águas pluviais possui sustentabilidade econômico-financeira.</w:t>
      </w:r>
    </w:p>
    <w:p w:rsidR="00813DDC" w:rsidRPr="00813DDC" w:rsidRDefault="00813DDC" w:rsidP="00BC01B1">
      <w:pPr>
        <w:pStyle w:val="Ttulo4"/>
      </w:pPr>
      <w:bookmarkStart w:id="1543" w:name="_Toc499019001"/>
      <w:bookmarkStart w:id="1544" w:name="_Toc499106734"/>
      <w:bookmarkStart w:id="1545" w:name="_Toc499107054"/>
      <w:bookmarkStart w:id="1546" w:name="_Toc499107874"/>
      <w:bookmarkStart w:id="1547" w:name="_Toc499108711"/>
      <w:bookmarkStart w:id="1548" w:name="_Toc499109536"/>
      <w:bookmarkStart w:id="1549" w:name="_Toc499109702"/>
      <w:bookmarkStart w:id="1550" w:name="_Toc499709908"/>
      <w:bookmarkStart w:id="1551" w:name="_Toc509935631"/>
      <w:r w:rsidRPr="00813DDC">
        <w:t>Índice de sustentabilidade econômico-financeira do setor de resíduos</w:t>
      </w:r>
      <w:bookmarkEnd w:id="1543"/>
      <w:bookmarkEnd w:id="1544"/>
      <w:bookmarkEnd w:id="1545"/>
      <w:bookmarkEnd w:id="1546"/>
      <w:bookmarkEnd w:id="1547"/>
      <w:bookmarkEnd w:id="1548"/>
      <w:bookmarkEnd w:id="1549"/>
      <w:bookmarkEnd w:id="1550"/>
      <w:bookmarkEnd w:id="1551"/>
    </w:p>
    <w:p w:rsidR="00813DDC" w:rsidRPr="00813DDC" w:rsidRDefault="001B481B" w:rsidP="00813DDC">
      <w:pPr>
        <w:rPr>
          <w:rFonts w:ascii="Cambria Math" w:hAnsi="Cambria Math"/>
          <w:i/>
          <w:sz w:val="22"/>
        </w:rPr>
      </w:pPr>
      <m:oMathPara>
        <m:oMath>
          <m:sSub>
            <m:sSubPr>
              <m:ctrlPr>
                <w:rPr>
                  <w:rFonts w:ascii="Cambria Math" w:hAnsi="Cambria Math"/>
                  <w:i/>
                  <w:sz w:val="22"/>
                </w:rPr>
              </m:ctrlPr>
            </m:sSubPr>
            <m:e>
              <m:r>
                <w:rPr>
                  <w:rFonts w:ascii="Cambria Math" w:hAnsi="Cambria Math"/>
                  <w:sz w:val="22"/>
                </w:rPr>
                <m:t>I</m:t>
              </m:r>
            </m:e>
            <m:sub>
              <m:r>
                <w:rPr>
                  <w:rFonts w:ascii="Cambria Math" w:hAnsi="Cambria Math"/>
                  <w:sz w:val="22"/>
                </w:rPr>
                <m:t>sustentabilidade resíduos</m:t>
              </m:r>
            </m:sub>
          </m:sSub>
          <m:r>
            <w:rPr>
              <w:rFonts w:ascii="Cambria Math" w:hAnsi="Cambria Math"/>
              <w:sz w:val="22"/>
            </w:rPr>
            <m:t>=</m:t>
          </m:r>
          <m:f>
            <m:fPr>
              <m:ctrlPr>
                <w:rPr>
                  <w:rFonts w:ascii="Cambria Math" w:hAnsi="Cambria Math"/>
                  <w:i/>
                  <w:sz w:val="22"/>
                </w:rPr>
              </m:ctrlPr>
            </m:fPr>
            <m:num>
              <m:r>
                <w:rPr>
                  <w:rFonts w:ascii="Cambria Math" w:hAnsi="Cambria Math"/>
                  <w:sz w:val="22"/>
                </w:rPr>
                <m:t>Recursos financeiros rece</m:t>
              </m:r>
              <m:r>
                <w:rPr>
                  <w:rFonts w:ascii="Cambria Math" w:hAnsi="Cambria Math"/>
                  <w:sz w:val="22"/>
                </w:rPr>
                <m:t>bidos pelo setor de  resíduos</m:t>
              </m:r>
            </m:num>
            <m:den>
              <m:r>
                <w:rPr>
                  <w:rFonts w:ascii="Cambria Math" w:hAnsi="Cambria Math"/>
                  <w:sz w:val="22"/>
                </w:rPr>
                <m:t>Recursos financeiros gastos pelo setor de  resíduos</m:t>
              </m:r>
            </m:den>
          </m:f>
          <m:r>
            <w:rPr>
              <w:rFonts w:ascii="Cambria Math" w:hAnsi="Cambria Math"/>
              <w:sz w:val="22"/>
            </w:rPr>
            <m:t xml:space="preserve"> x 100</m:t>
          </m:r>
        </m:oMath>
      </m:oMathPara>
    </w:p>
    <w:p w:rsidR="00813DDC" w:rsidRPr="00813DDC" w:rsidRDefault="00813DDC" w:rsidP="00813DDC">
      <w:pPr>
        <w:ind w:firstLine="709"/>
        <w:jc w:val="both"/>
        <w:rPr>
          <w:rFonts w:cs="Arial"/>
          <w:szCs w:val="24"/>
        </w:rPr>
      </w:pPr>
    </w:p>
    <w:p w:rsidR="00813DDC" w:rsidRPr="00813DDC" w:rsidRDefault="00813DDC" w:rsidP="00813DDC">
      <w:pPr>
        <w:ind w:firstLine="709"/>
        <w:jc w:val="both"/>
        <w:rPr>
          <w:rFonts w:cs="Arial"/>
          <w:szCs w:val="24"/>
        </w:rPr>
      </w:pPr>
      <w:r w:rsidRPr="00813DDC">
        <w:rPr>
          <w:rFonts w:cs="Arial"/>
          <w:szCs w:val="24"/>
        </w:rPr>
        <w:t xml:space="preserve">Este indicador informa sobre o desempenho financeiro do setor de resíduos. O ideal é que esse indicador seja um pouco maior que 100 %, demonstrando que o setor de resíduos arrecada um pouco mais do que gasta, sem, no entanto, onerar o contribuinte com tarifas mais altas do que o necessário. </w:t>
      </w:r>
    </w:p>
    <w:p w:rsidR="00813DDC" w:rsidRPr="00813DDC" w:rsidRDefault="00813DDC" w:rsidP="00BC01B1">
      <w:pPr>
        <w:pStyle w:val="Ttulo4"/>
      </w:pPr>
      <w:bookmarkStart w:id="1552" w:name="_Toc499019002"/>
      <w:bookmarkStart w:id="1553" w:name="_Toc499106735"/>
      <w:bookmarkStart w:id="1554" w:name="_Toc499107055"/>
      <w:bookmarkStart w:id="1555" w:name="_Toc499107875"/>
      <w:bookmarkStart w:id="1556" w:name="_Toc499108712"/>
      <w:bookmarkStart w:id="1557" w:name="_Toc499109537"/>
      <w:bookmarkStart w:id="1558" w:name="_Toc499109703"/>
      <w:bookmarkStart w:id="1559" w:name="_Toc499709909"/>
      <w:bookmarkStart w:id="1560" w:name="_Toc509935632"/>
      <w:r w:rsidRPr="00813DDC">
        <w:t>Índice de sustentabilidade global do saneamento básico</w:t>
      </w:r>
      <w:bookmarkEnd w:id="1552"/>
      <w:bookmarkEnd w:id="1553"/>
      <w:bookmarkEnd w:id="1554"/>
      <w:bookmarkEnd w:id="1555"/>
      <w:bookmarkEnd w:id="1556"/>
      <w:bookmarkEnd w:id="1557"/>
      <w:bookmarkEnd w:id="1558"/>
      <w:bookmarkEnd w:id="1559"/>
      <w:bookmarkEnd w:id="1560"/>
    </w:p>
    <w:p w:rsidR="00813DDC" w:rsidRPr="00813DDC" w:rsidRDefault="001B481B" w:rsidP="00813DDC">
      <w:pPr>
        <w:contextualSpacing/>
        <w:jc w:val="both"/>
        <w:rPr>
          <w:rFonts w:eastAsia="Times New Roman" w:cs="Arial"/>
          <w:sz w:val="22"/>
          <w:szCs w:val="20"/>
        </w:rPr>
      </w:pPr>
      <m:oMathPara>
        <m:oMath>
          <m:sSub>
            <m:sSubPr>
              <m:ctrlPr>
                <w:rPr>
                  <w:rFonts w:ascii="Cambria Math" w:eastAsia="Times New Roman" w:hAnsi="Cambria Math"/>
                  <w:i/>
                  <w:sz w:val="22"/>
                  <w:szCs w:val="20"/>
                </w:rPr>
              </m:ctrlPr>
            </m:sSubPr>
            <m:e>
              <m:r>
                <w:rPr>
                  <w:rFonts w:ascii="Cambria Math" w:eastAsia="Times New Roman" w:hAnsi="Cambria Math"/>
                  <w:sz w:val="22"/>
                  <w:szCs w:val="20"/>
                </w:rPr>
                <m:t>I</m:t>
              </m:r>
            </m:e>
            <m:sub>
              <m:r>
                <w:rPr>
                  <w:rFonts w:ascii="Cambria Math" w:eastAsia="Times New Roman" w:hAnsi="Cambria Math"/>
                  <w:sz w:val="22"/>
                  <w:szCs w:val="20"/>
                </w:rPr>
                <m:t xml:space="preserve">sustent saneamento </m:t>
              </m:r>
              <m:d>
                <m:dPr>
                  <m:ctrlPr>
                    <w:rPr>
                      <w:rFonts w:ascii="Cambria Math" w:eastAsia="Times New Roman" w:hAnsi="Cambria Math"/>
                      <w:i/>
                      <w:sz w:val="22"/>
                      <w:szCs w:val="20"/>
                    </w:rPr>
                  </m:ctrlPr>
                </m:dPr>
                <m:e>
                  <m:r>
                    <w:rPr>
                      <w:rFonts w:ascii="Cambria Math" w:eastAsia="Times New Roman" w:hAnsi="Cambria Math"/>
                      <w:sz w:val="22"/>
                      <w:szCs w:val="20"/>
                    </w:rPr>
                    <m:t>ano n</m:t>
                  </m:r>
                </m:e>
              </m:d>
            </m:sub>
          </m:sSub>
          <m:r>
            <w:rPr>
              <w:rFonts w:ascii="Cambria Math" w:eastAsia="Times New Roman" w:hAnsi="Cambria Math"/>
              <w:sz w:val="22"/>
              <w:szCs w:val="20"/>
            </w:rPr>
            <m:t>=</m:t>
          </m:r>
          <m:f>
            <m:fPr>
              <m:ctrlPr>
                <w:rPr>
                  <w:rFonts w:ascii="Cambria Math" w:eastAsia="Times New Roman" w:hAnsi="Cambria Math"/>
                  <w:i/>
                  <w:sz w:val="22"/>
                  <w:szCs w:val="20"/>
                </w:rPr>
              </m:ctrlPr>
            </m:fPr>
            <m:num>
              <m:d>
                <m:dPr>
                  <m:ctrlPr>
                    <w:rPr>
                      <w:rFonts w:ascii="Cambria Math" w:eastAsia="Times New Roman" w:hAnsi="Cambria Math"/>
                      <w:i/>
                      <w:sz w:val="22"/>
                      <w:szCs w:val="20"/>
                    </w:rPr>
                  </m:ctrlPr>
                </m:dPr>
                <m:e>
                  <m:r>
                    <w:rPr>
                      <w:rFonts w:ascii="Cambria Math" w:eastAsia="Times New Roman" w:hAnsi="Cambria Math"/>
                      <w:sz w:val="22"/>
                      <w:szCs w:val="20"/>
                    </w:rPr>
                    <m:t>Isust. água</m:t>
                  </m:r>
                </m:e>
              </m:d>
              <m:r>
                <w:rPr>
                  <w:rFonts w:ascii="Cambria Math" w:eastAsia="Times New Roman" w:hAnsi="Cambria Math"/>
                  <w:sz w:val="22"/>
                  <w:szCs w:val="20"/>
                </w:rPr>
                <m:t>+</m:t>
              </m:r>
              <m:d>
                <m:dPr>
                  <m:ctrlPr>
                    <w:rPr>
                      <w:rFonts w:ascii="Cambria Math" w:eastAsia="Times New Roman" w:hAnsi="Cambria Math"/>
                      <w:i/>
                      <w:sz w:val="22"/>
                      <w:szCs w:val="20"/>
                    </w:rPr>
                  </m:ctrlPr>
                </m:dPr>
                <m:e>
                  <m:r>
                    <w:rPr>
                      <w:rFonts w:ascii="Cambria Math" w:eastAsia="Times New Roman" w:hAnsi="Cambria Math"/>
                      <w:sz w:val="22"/>
                      <w:szCs w:val="20"/>
                    </w:rPr>
                    <m:t>Isust. esg</m:t>
                  </m:r>
                </m:e>
              </m:d>
              <m:r>
                <w:rPr>
                  <w:rFonts w:ascii="Cambria Math" w:eastAsia="Times New Roman" w:hAnsi="Cambria Math"/>
                  <w:sz w:val="22"/>
                  <w:szCs w:val="20"/>
                </w:rPr>
                <m:t>+</m:t>
              </m:r>
              <m:d>
                <m:dPr>
                  <m:ctrlPr>
                    <w:rPr>
                      <w:rFonts w:ascii="Cambria Math" w:eastAsia="Times New Roman" w:hAnsi="Cambria Math"/>
                      <w:i/>
                      <w:sz w:val="22"/>
                      <w:szCs w:val="20"/>
                    </w:rPr>
                  </m:ctrlPr>
                </m:dPr>
                <m:e>
                  <m:r>
                    <w:rPr>
                      <w:rFonts w:ascii="Cambria Math" w:eastAsia="Times New Roman" w:hAnsi="Cambria Math"/>
                      <w:sz w:val="22"/>
                      <w:szCs w:val="20"/>
                    </w:rPr>
                    <m:t>Isust. dren</m:t>
                  </m:r>
                </m:e>
              </m:d>
              <m:r>
                <w:rPr>
                  <w:rFonts w:ascii="Cambria Math" w:eastAsia="Times New Roman" w:hAnsi="Cambria Math"/>
                  <w:sz w:val="22"/>
                  <w:szCs w:val="20"/>
                </w:rPr>
                <m:t>+</m:t>
              </m:r>
              <m:d>
                <m:dPr>
                  <m:ctrlPr>
                    <w:rPr>
                      <w:rFonts w:ascii="Cambria Math" w:eastAsia="Times New Roman" w:hAnsi="Cambria Math"/>
                      <w:i/>
                      <w:sz w:val="22"/>
                      <w:szCs w:val="20"/>
                    </w:rPr>
                  </m:ctrlPr>
                </m:dPr>
                <m:e>
                  <m:r>
                    <w:rPr>
                      <w:rFonts w:ascii="Cambria Math" w:eastAsia="Times New Roman" w:hAnsi="Cambria Math"/>
                      <w:sz w:val="22"/>
                      <w:szCs w:val="20"/>
                    </w:rPr>
                    <m:t>Isust.resíd</m:t>
                  </m:r>
                </m:e>
              </m:d>
            </m:num>
            <m:den>
              <m:r>
                <w:rPr>
                  <w:rFonts w:ascii="Cambria Math" w:eastAsia="Times New Roman" w:hAnsi="Cambria Math"/>
                  <w:sz w:val="22"/>
                  <w:szCs w:val="20"/>
                </w:rPr>
                <m:t>4</m:t>
              </m:r>
            </m:den>
          </m:f>
          <m:r>
            <w:rPr>
              <w:rFonts w:ascii="Cambria Math" w:eastAsia="Times New Roman" w:hAnsi="Cambria Math"/>
              <w:sz w:val="22"/>
              <w:szCs w:val="20"/>
            </w:rPr>
            <m:t xml:space="preserve"> </m:t>
          </m:r>
        </m:oMath>
      </m:oMathPara>
    </w:p>
    <w:p w:rsidR="00813DDC" w:rsidRPr="00813DDC" w:rsidRDefault="00813DDC" w:rsidP="00813DDC">
      <w:pPr>
        <w:spacing w:before="120" w:after="120"/>
        <w:ind w:firstLine="708"/>
        <w:contextualSpacing/>
        <w:jc w:val="both"/>
        <w:rPr>
          <w:rFonts w:cs="Arial"/>
          <w:szCs w:val="24"/>
        </w:rPr>
      </w:pPr>
    </w:p>
    <w:p w:rsidR="00813DDC" w:rsidRPr="00813DDC" w:rsidRDefault="00813DDC" w:rsidP="00813DDC">
      <w:pPr>
        <w:spacing w:before="120" w:after="120"/>
        <w:ind w:firstLine="708"/>
        <w:contextualSpacing/>
        <w:jc w:val="both"/>
        <w:rPr>
          <w:rFonts w:cs="Arial"/>
          <w:szCs w:val="24"/>
        </w:rPr>
      </w:pPr>
      <w:r w:rsidRPr="00813DDC">
        <w:rPr>
          <w:rFonts w:cs="Arial"/>
          <w:szCs w:val="24"/>
        </w:rPr>
        <w:t xml:space="preserve">O índice de sustentabilidade econômico-financeira global auxiliará no monitoramento do </w:t>
      </w:r>
      <w:r w:rsidRPr="00813DDC">
        <w:rPr>
          <w:rFonts w:cs="Arial"/>
          <w:b/>
          <w:szCs w:val="24"/>
        </w:rPr>
        <w:t>Objetivo 3</w:t>
      </w:r>
      <w:r w:rsidRPr="00813DDC">
        <w:rPr>
          <w:rFonts w:cs="Arial"/>
          <w:szCs w:val="24"/>
        </w:rPr>
        <w:t xml:space="preserve"> do setor geral do saneamento básico municipal. O presente PMSB objetiva alcançar a sustentabilidade econômico-financeira dos serviços de saneamento básico no município, portanto o ideal é que esse indicador seja um pouco maior que 100 %, demonstrando que o setor de saneamento municipal arrecada um pouco mais do que gasta, sobrando recursos para fluxo de caixa ou investimentos. Busca-se que esse indicador não apresente:</w:t>
      </w:r>
    </w:p>
    <w:p w:rsidR="00813DDC" w:rsidRPr="00813DDC" w:rsidRDefault="00813DDC" w:rsidP="0066661F">
      <w:pPr>
        <w:numPr>
          <w:ilvl w:val="0"/>
          <w:numId w:val="106"/>
        </w:numPr>
        <w:spacing w:before="120" w:after="120"/>
        <w:contextualSpacing/>
        <w:jc w:val="both"/>
        <w:rPr>
          <w:rFonts w:eastAsia="Times New Roman" w:cs="Arial"/>
          <w:szCs w:val="24"/>
        </w:rPr>
      </w:pPr>
      <w:r w:rsidRPr="00813DDC">
        <w:rPr>
          <w:rFonts w:eastAsia="Times New Roman" w:cs="Arial"/>
          <w:szCs w:val="24"/>
        </w:rPr>
        <w:t>Valores menores que 100 %, que indicariam que o setor gasta mais do que ganha.</w:t>
      </w:r>
    </w:p>
    <w:p w:rsidR="00813DDC" w:rsidRPr="00813DDC" w:rsidRDefault="00813DDC" w:rsidP="0066661F">
      <w:pPr>
        <w:numPr>
          <w:ilvl w:val="0"/>
          <w:numId w:val="106"/>
        </w:numPr>
        <w:spacing w:before="120" w:after="120"/>
        <w:contextualSpacing/>
        <w:jc w:val="both"/>
        <w:rPr>
          <w:rFonts w:eastAsia="Times New Roman" w:cs="Arial"/>
          <w:szCs w:val="24"/>
        </w:rPr>
      </w:pPr>
      <w:r w:rsidRPr="00813DDC">
        <w:rPr>
          <w:rFonts w:eastAsia="Times New Roman" w:cs="Arial"/>
          <w:szCs w:val="24"/>
        </w:rPr>
        <w:lastRenderedPageBreak/>
        <w:t>Valor igual a 100 %, que indicaria que o setor gasta exatamente o que arrecada, ficando sem liberdade para crescer ou fazer melhorias.</w:t>
      </w:r>
    </w:p>
    <w:p w:rsidR="00813DDC" w:rsidRPr="00813DDC" w:rsidRDefault="00813DDC" w:rsidP="0066661F">
      <w:pPr>
        <w:numPr>
          <w:ilvl w:val="0"/>
          <w:numId w:val="106"/>
        </w:numPr>
        <w:spacing w:before="120" w:after="120"/>
        <w:contextualSpacing/>
        <w:jc w:val="both"/>
        <w:rPr>
          <w:rFonts w:eastAsia="Times New Roman" w:cs="Arial"/>
          <w:szCs w:val="24"/>
        </w:rPr>
      </w:pPr>
      <w:r w:rsidRPr="00813DDC">
        <w:rPr>
          <w:rFonts w:eastAsia="Times New Roman" w:cs="Arial"/>
          <w:szCs w:val="24"/>
        </w:rPr>
        <w:t>Valores significativamente maiores que 100 %, que indicariam que o setor arrecada bem mais do que gasta, o que, por sua vez, poderia indicar que as tarifas estão mais altas do que o necessário.</w:t>
      </w:r>
    </w:p>
    <w:p w:rsidR="00813DDC" w:rsidRPr="00813DDC" w:rsidRDefault="00813DDC" w:rsidP="00BC01B1">
      <w:pPr>
        <w:pStyle w:val="Ttulo3"/>
      </w:pPr>
      <w:bookmarkStart w:id="1561" w:name="_Toc499019003"/>
      <w:bookmarkStart w:id="1562" w:name="_Toc499106736"/>
      <w:bookmarkStart w:id="1563" w:name="_Toc499107056"/>
      <w:bookmarkStart w:id="1564" w:name="_Toc499107876"/>
      <w:bookmarkStart w:id="1565" w:name="_Toc499108713"/>
      <w:bookmarkStart w:id="1566" w:name="_Toc499109538"/>
      <w:bookmarkStart w:id="1567" w:name="_Toc499109704"/>
      <w:bookmarkStart w:id="1568" w:name="_Toc499709910"/>
      <w:bookmarkStart w:id="1569" w:name="_Toc509935633"/>
      <w:r w:rsidRPr="00813DDC">
        <w:t>Indicador para o Objetivo 4</w:t>
      </w:r>
      <w:bookmarkEnd w:id="1561"/>
      <w:bookmarkEnd w:id="1562"/>
      <w:bookmarkEnd w:id="1563"/>
      <w:bookmarkEnd w:id="1564"/>
      <w:bookmarkEnd w:id="1565"/>
      <w:bookmarkEnd w:id="1566"/>
      <w:bookmarkEnd w:id="1567"/>
      <w:bookmarkEnd w:id="1568"/>
      <w:bookmarkEnd w:id="1569"/>
    </w:p>
    <w:p w:rsidR="00813DDC" w:rsidRPr="00813DDC" w:rsidRDefault="00813DDC" w:rsidP="00813DDC">
      <w:pPr>
        <w:spacing w:before="120" w:after="120"/>
        <w:ind w:firstLine="708"/>
        <w:contextualSpacing/>
        <w:jc w:val="both"/>
        <w:rPr>
          <w:rFonts w:cs="Arial"/>
          <w:szCs w:val="24"/>
        </w:rPr>
      </w:pPr>
      <w:r w:rsidRPr="00813DDC">
        <w:rPr>
          <w:rFonts w:cs="Arial"/>
          <w:szCs w:val="24"/>
        </w:rPr>
        <w:t>Segundo a Lei nº 11.445/07, cada setor precisa ser submetido a uma entidade reguladora para que seu gerenciamento seja sustentável e transparente. Assim, o setor supervisor deve aferir, todos os anos se os setores do saneamento estão, de fato, sendo regulados. Este indicador fornece, ao município, o número de setores do saneamento formalmente submetidos à uma entidade reguladora, num determinado ano, o que auxiliará no monitoramento do Objetivo 4: “submeter os quatro eixos do saneamento básico municipal a uma entidade reguladora, cujas atribuições sejam definidas pela Lei nº 11.445/07 e pelo decreto que a regulamenta”. A informação sobre a situação de regulação do setor deve ser coletada, através de declaração formal feita anualmente pela direção de cada setor de saneamento básico municipal.</w:t>
      </w:r>
    </w:p>
    <w:p w:rsidR="00813DDC" w:rsidRPr="00813DDC" w:rsidRDefault="00813DDC" w:rsidP="00BC01B1">
      <w:pPr>
        <w:pStyle w:val="Ttulo4"/>
      </w:pPr>
      <w:bookmarkStart w:id="1570" w:name="_Toc499019004"/>
      <w:bookmarkStart w:id="1571" w:name="_Toc499106737"/>
      <w:bookmarkStart w:id="1572" w:name="_Toc499107057"/>
      <w:bookmarkStart w:id="1573" w:name="_Toc499107877"/>
      <w:bookmarkStart w:id="1574" w:name="_Toc499108714"/>
      <w:bookmarkStart w:id="1575" w:name="_Toc499109539"/>
      <w:bookmarkStart w:id="1576" w:name="_Toc499109705"/>
      <w:bookmarkStart w:id="1577" w:name="_Toc499709911"/>
      <w:bookmarkStart w:id="1578" w:name="_Toc509935634"/>
      <w:r w:rsidRPr="00813DDC">
        <w:t>Número de setores do saneamento formalmente submetidos à entidade reguladora no ano</w:t>
      </w:r>
      <w:bookmarkEnd w:id="1570"/>
      <w:bookmarkEnd w:id="1571"/>
      <w:bookmarkEnd w:id="1572"/>
      <w:bookmarkEnd w:id="1573"/>
      <w:bookmarkEnd w:id="1574"/>
      <w:bookmarkEnd w:id="1575"/>
      <w:bookmarkEnd w:id="1576"/>
      <w:bookmarkEnd w:id="1577"/>
      <w:bookmarkEnd w:id="1578"/>
    </w:p>
    <w:p w:rsidR="00813DDC" w:rsidRPr="00813DDC" w:rsidRDefault="001B481B" w:rsidP="00813DDC">
      <w:pPr>
        <w:rPr>
          <w:rFonts w:ascii="Cambria Math" w:hAnsi="Cambria Math"/>
          <w:i/>
          <w:sz w:val="22"/>
        </w:rPr>
      </w:pPr>
      <m:oMathPara>
        <m:oMath>
          <m:sSub>
            <m:sSubPr>
              <m:ctrlPr>
                <w:rPr>
                  <w:rFonts w:ascii="Cambria Math" w:hAnsi="Cambria Math"/>
                  <w:i/>
                  <w:sz w:val="20"/>
                  <w:szCs w:val="20"/>
                </w:rPr>
              </m:ctrlPr>
            </m:sSubPr>
            <m:e>
              <m:r>
                <w:rPr>
                  <w:rFonts w:ascii="Cambria Math" w:hAnsi="Cambria Math"/>
                  <w:sz w:val="20"/>
                  <w:szCs w:val="20"/>
                </w:rPr>
                <m:t>Nº</m:t>
              </m:r>
            </m:e>
            <m:sub>
              <m:r>
                <w:rPr>
                  <w:rFonts w:ascii="Cambria Math" w:hAnsi="Cambria Math"/>
                  <w:sz w:val="20"/>
                  <w:szCs w:val="20"/>
                </w:rPr>
                <m:t>setores sob regulação (ano 1)</m:t>
              </m:r>
            </m:sub>
          </m:sSub>
          <m:r>
            <w:rPr>
              <w:rFonts w:ascii="Cambria Math" w:hAnsi="Cambria Math"/>
              <w:sz w:val="20"/>
              <w:szCs w:val="20"/>
            </w:rPr>
            <m:t>=</m:t>
          </m:r>
          <m:eqArr>
            <m:eqArrPr>
              <m:ctrlPr>
                <w:rPr>
                  <w:rFonts w:ascii="Cambria Math" w:hAnsi="Cambria Math"/>
                  <w:i/>
                  <w:sz w:val="20"/>
                  <w:szCs w:val="20"/>
                </w:rPr>
              </m:ctrlPr>
            </m:eqArrPr>
            <m:e>
              <m:f>
                <m:fPr>
                  <m:ctrlPr>
                    <w:rPr>
                      <w:rFonts w:ascii="Cambria Math" w:hAnsi="Cambria Math"/>
                      <w:i/>
                      <w:sz w:val="20"/>
                      <w:szCs w:val="20"/>
                    </w:rPr>
                  </m:ctrlPr>
                </m:fPr>
                <m:num>
                  <m:r>
                    <w:rPr>
                      <w:rFonts w:ascii="Cambria Math" w:hAnsi="Cambria Math"/>
                      <w:sz w:val="20"/>
                      <w:szCs w:val="20"/>
                    </w:rPr>
                    <m:t>Nº de setores formalmente submetidos à regulação no ano em questão</m:t>
                  </m:r>
                </m:num>
                <m:den>
                  <m:r>
                    <w:rPr>
                      <w:rFonts w:ascii="Cambria Math" w:hAnsi="Cambria Math"/>
                      <w:sz w:val="20"/>
                      <w:szCs w:val="20"/>
                    </w:rPr>
                    <m:t>4</m:t>
                  </m:r>
                </m:den>
              </m:f>
              <m:r>
                <w:rPr>
                  <w:rFonts w:ascii="Cambria Math" w:hAnsi="Cambria Math"/>
                  <w:sz w:val="20"/>
                  <w:szCs w:val="20"/>
                </w:rPr>
                <m:t>x100</m:t>
              </m:r>
            </m:e>
          </m:eqArr>
        </m:oMath>
      </m:oMathPara>
    </w:p>
    <w:p w:rsidR="00813DDC" w:rsidRPr="00813DDC" w:rsidRDefault="00813DDC" w:rsidP="00813DDC">
      <w:pPr>
        <w:rPr>
          <w:rFonts w:eastAsia="Times New Roman" w:cs="Arial"/>
          <w:sz w:val="22"/>
        </w:rPr>
      </w:pPr>
    </w:p>
    <w:p w:rsidR="00813DDC" w:rsidRPr="00813DDC" w:rsidRDefault="00813DDC" w:rsidP="00813DDC">
      <w:pPr>
        <w:spacing w:before="120" w:after="120"/>
        <w:ind w:firstLine="708"/>
        <w:contextualSpacing/>
        <w:jc w:val="both"/>
        <w:rPr>
          <w:rFonts w:cs="Arial"/>
          <w:szCs w:val="24"/>
        </w:rPr>
      </w:pPr>
      <w:r w:rsidRPr="00813DDC">
        <w:rPr>
          <w:rFonts w:cs="Arial"/>
          <w:szCs w:val="24"/>
        </w:rPr>
        <w:t>O ideal é que esse indicador seja 100 %, demonstrando que todos os setores do saneamento (SAA, SES, SDU e SLU/SRS) estão submetidos à uma entidade reguladora.</w:t>
      </w:r>
    </w:p>
    <w:p w:rsidR="00813DDC" w:rsidRPr="00813DDC" w:rsidRDefault="00813DDC" w:rsidP="00BC01B1">
      <w:pPr>
        <w:pStyle w:val="Ttulo3"/>
      </w:pPr>
      <w:bookmarkStart w:id="1579" w:name="_Toc499019005"/>
      <w:bookmarkStart w:id="1580" w:name="_Toc499106738"/>
      <w:bookmarkStart w:id="1581" w:name="_Toc499107058"/>
      <w:bookmarkStart w:id="1582" w:name="_Toc499107878"/>
      <w:bookmarkStart w:id="1583" w:name="_Toc499108715"/>
      <w:bookmarkStart w:id="1584" w:name="_Toc499109540"/>
      <w:bookmarkStart w:id="1585" w:name="_Toc499109706"/>
      <w:bookmarkStart w:id="1586" w:name="_Toc499709912"/>
      <w:bookmarkStart w:id="1587" w:name="_Toc509935635"/>
      <w:r w:rsidRPr="00813DDC">
        <w:t>Indicadores para o Objetivo 5</w:t>
      </w:r>
      <w:bookmarkEnd w:id="1579"/>
      <w:bookmarkEnd w:id="1580"/>
      <w:bookmarkEnd w:id="1581"/>
      <w:bookmarkEnd w:id="1582"/>
      <w:bookmarkEnd w:id="1583"/>
      <w:bookmarkEnd w:id="1584"/>
      <w:bookmarkEnd w:id="1585"/>
      <w:bookmarkEnd w:id="1586"/>
      <w:bookmarkEnd w:id="1587"/>
    </w:p>
    <w:p w:rsidR="00813DDC" w:rsidRPr="00813DDC" w:rsidRDefault="00813DDC" w:rsidP="00813DDC">
      <w:pPr>
        <w:spacing w:before="120" w:after="120"/>
        <w:ind w:firstLine="708"/>
        <w:contextualSpacing/>
        <w:jc w:val="both"/>
        <w:rPr>
          <w:rFonts w:cs="Arial"/>
          <w:szCs w:val="24"/>
        </w:rPr>
      </w:pPr>
      <w:r w:rsidRPr="00813DDC">
        <w:rPr>
          <w:rFonts w:cs="Arial"/>
          <w:szCs w:val="24"/>
        </w:rPr>
        <w:t xml:space="preserve">Estes indicadores informam sobre a conformidade dos setores com a legislação ambiental vigente, mormente representada por sua adequação ao licenciamento ambiental exigido. Assim, os indicadores a serem acompanhados são mostrados a seguir. O cálculo desse indicador será efetuado pelo setor supervisor por meio da coleta de cópias das licenças ambientais portadas pelos setores, as quais deverão ser comparadas às exigidas pela legislação vigente para cada setor. Este último dado </w:t>
      </w:r>
      <w:r w:rsidRPr="00813DDC">
        <w:rPr>
          <w:rFonts w:cs="Arial"/>
          <w:szCs w:val="24"/>
        </w:rPr>
        <w:lastRenderedPageBreak/>
        <w:t>deverá ser investigado pela equipe interna do departamento supervisor ou solicitado junto ao Departamento Jurídico da Prefeitura Municipal.</w:t>
      </w:r>
    </w:p>
    <w:p w:rsidR="00813DDC" w:rsidRPr="00813DDC" w:rsidRDefault="00813DDC" w:rsidP="00BC01B1">
      <w:pPr>
        <w:pStyle w:val="Ttulo4"/>
      </w:pPr>
      <w:bookmarkStart w:id="1588" w:name="_Toc499019006"/>
      <w:bookmarkStart w:id="1589" w:name="_Toc499106739"/>
      <w:bookmarkStart w:id="1590" w:name="_Toc499107059"/>
      <w:bookmarkStart w:id="1591" w:name="_Toc499107879"/>
      <w:bookmarkStart w:id="1592" w:name="_Toc499108716"/>
      <w:bookmarkStart w:id="1593" w:name="_Toc499109541"/>
      <w:bookmarkStart w:id="1594" w:name="_Toc499109707"/>
      <w:bookmarkStart w:id="1595" w:name="_Toc499709913"/>
      <w:bookmarkStart w:id="1596" w:name="_Toc509935636"/>
      <w:r w:rsidRPr="00813DDC">
        <w:t>Índice de atendimento à legislação ambiental vigente, pelo setor de água</w:t>
      </w:r>
      <w:bookmarkEnd w:id="1588"/>
      <w:bookmarkEnd w:id="1589"/>
      <w:bookmarkEnd w:id="1590"/>
      <w:bookmarkEnd w:id="1591"/>
      <w:bookmarkEnd w:id="1592"/>
      <w:bookmarkEnd w:id="1593"/>
      <w:bookmarkEnd w:id="1594"/>
      <w:bookmarkEnd w:id="1595"/>
      <w:bookmarkEnd w:id="1596"/>
    </w:p>
    <w:p w:rsidR="00813DDC" w:rsidRPr="00813DDC" w:rsidRDefault="001B481B" w:rsidP="00813DDC">
      <w:pPr>
        <w:rPr>
          <w:rFonts w:ascii="Cambria Math" w:hAnsi="Cambria Math"/>
          <w:i/>
          <w:sz w:val="22"/>
        </w:rPr>
      </w:pPr>
      <m:oMathPara>
        <m:oMath>
          <m:sSub>
            <m:sSubPr>
              <m:ctrlPr>
                <w:rPr>
                  <w:rFonts w:ascii="Cambria Math" w:hAnsi="Cambria Math"/>
                  <w:i/>
                  <w:sz w:val="22"/>
                </w:rPr>
              </m:ctrlPr>
            </m:sSubPr>
            <m:e>
              <m:r>
                <w:rPr>
                  <w:rFonts w:ascii="Cambria Math" w:hAnsi="Cambria Math"/>
                  <w:sz w:val="22"/>
                </w:rPr>
                <m:t>I</m:t>
              </m:r>
            </m:e>
            <m:sub>
              <m:r>
                <w:rPr>
                  <w:rFonts w:ascii="Cambria Math" w:hAnsi="Cambria Math"/>
                  <w:sz w:val="22"/>
                </w:rPr>
                <m:t>licenciamento  água</m:t>
              </m:r>
            </m:sub>
          </m:sSub>
          <m:r>
            <w:rPr>
              <w:rFonts w:ascii="Cambria Math" w:hAnsi="Cambria Math"/>
              <w:sz w:val="22"/>
            </w:rPr>
            <m:t>=</m:t>
          </m:r>
          <m:f>
            <m:fPr>
              <m:ctrlPr>
                <w:rPr>
                  <w:rFonts w:ascii="Cambria Math" w:hAnsi="Cambria Math"/>
                  <w:i/>
                  <w:sz w:val="22"/>
                </w:rPr>
              </m:ctrlPr>
            </m:fPr>
            <m:num>
              <m:r>
                <w:rPr>
                  <w:rFonts w:ascii="Cambria Math" w:hAnsi="Cambria Math"/>
                  <w:sz w:val="22"/>
                </w:rPr>
                <m:t>Número de licenças existentes no setor de  água</m:t>
              </m:r>
            </m:num>
            <m:den>
              <m:r>
                <w:rPr>
                  <w:rFonts w:ascii="Cambria Math" w:hAnsi="Cambria Math"/>
                  <w:sz w:val="22"/>
                </w:rPr>
                <m:t>Número de licenças exigidas no setor de  água</m:t>
              </m:r>
            </m:den>
          </m:f>
          <m:r>
            <w:rPr>
              <w:rFonts w:ascii="Cambria Math" w:hAnsi="Cambria Math"/>
              <w:sz w:val="22"/>
            </w:rPr>
            <m:t xml:space="preserve"> x 100</m:t>
          </m:r>
        </m:oMath>
      </m:oMathPara>
    </w:p>
    <w:p w:rsidR="00813DDC" w:rsidRPr="00813DDC" w:rsidRDefault="00813DDC" w:rsidP="00813DDC">
      <w:pPr>
        <w:ind w:firstLine="709"/>
        <w:jc w:val="both"/>
        <w:rPr>
          <w:rFonts w:cs="Arial"/>
          <w:szCs w:val="24"/>
        </w:rPr>
      </w:pPr>
    </w:p>
    <w:p w:rsidR="00813DDC" w:rsidRPr="00813DDC" w:rsidRDefault="00813DDC" w:rsidP="00813DDC">
      <w:pPr>
        <w:ind w:firstLine="709"/>
        <w:jc w:val="both"/>
        <w:rPr>
          <w:rFonts w:cs="Arial"/>
          <w:szCs w:val="24"/>
        </w:rPr>
      </w:pPr>
      <w:r w:rsidRPr="00813DDC">
        <w:rPr>
          <w:rFonts w:cs="Arial"/>
          <w:szCs w:val="24"/>
        </w:rPr>
        <w:t>Este indicador informa sobre a conformidade do setor de água com a legislação ambiental vigente. O ideal é que esse indicador seja 100 %, demonstrando que o setor de água possui todas as licenças ambientais exigidas.</w:t>
      </w:r>
    </w:p>
    <w:p w:rsidR="00813DDC" w:rsidRPr="00813DDC" w:rsidRDefault="00813DDC" w:rsidP="00BC01B1">
      <w:pPr>
        <w:pStyle w:val="Ttulo4"/>
      </w:pPr>
      <w:bookmarkStart w:id="1597" w:name="_Toc499019007"/>
      <w:bookmarkStart w:id="1598" w:name="_Toc499106740"/>
      <w:bookmarkStart w:id="1599" w:name="_Toc499107060"/>
      <w:bookmarkStart w:id="1600" w:name="_Toc499107880"/>
      <w:bookmarkStart w:id="1601" w:name="_Toc499108717"/>
      <w:bookmarkStart w:id="1602" w:name="_Toc499109542"/>
      <w:bookmarkStart w:id="1603" w:name="_Toc499109708"/>
      <w:bookmarkStart w:id="1604" w:name="_Toc499709914"/>
      <w:bookmarkStart w:id="1605" w:name="_Toc509935637"/>
      <w:r w:rsidRPr="00813DDC">
        <w:t>Índice de atendimento à legislação ambiental vigente pelo setor de esgotos</w:t>
      </w:r>
      <w:bookmarkEnd w:id="1597"/>
      <w:bookmarkEnd w:id="1598"/>
      <w:bookmarkEnd w:id="1599"/>
      <w:bookmarkEnd w:id="1600"/>
      <w:bookmarkEnd w:id="1601"/>
      <w:bookmarkEnd w:id="1602"/>
      <w:bookmarkEnd w:id="1603"/>
      <w:bookmarkEnd w:id="1604"/>
      <w:bookmarkEnd w:id="1605"/>
    </w:p>
    <w:p w:rsidR="00813DDC" w:rsidRPr="00813DDC" w:rsidRDefault="001B481B" w:rsidP="00813DDC">
      <w:pPr>
        <w:rPr>
          <w:rFonts w:ascii="Cambria Math" w:hAnsi="Cambria Math"/>
          <w:i/>
          <w:sz w:val="22"/>
        </w:rPr>
      </w:pPr>
      <m:oMathPara>
        <m:oMath>
          <m:sSub>
            <m:sSubPr>
              <m:ctrlPr>
                <w:rPr>
                  <w:rFonts w:ascii="Cambria Math" w:hAnsi="Cambria Math"/>
                  <w:i/>
                  <w:sz w:val="22"/>
                </w:rPr>
              </m:ctrlPr>
            </m:sSubPr>
            <m:e>
              <m:r>
                <w:rPr>
                  <w:rFonts w:ascii="Cambria Math" w:hAnsi="Cambria Math"/>
                  <w:sz w:val="22"/>
                </w:rPr>
                <m:t>I</m:t>
              </m:r>
            </m:e>
            <m:sub>
              <m:r>
                <w:rPr>
                  <w:rFonts w:ascii="Cambria Math" w:hAnsi="Cambria Math"/>
                  <w:sz w:val="22"/>
                </w:rPr>
                <m:t>licenciamento  esgotos</m:t>
              </m:r>
            </m:sub>
          </m:sSub>
          <m:r>
            <w:rPr>
              <w:rFonts w:ascii="Cambria Math" w:hAnsi="Cambria Math"/>
              <w:sz w:val="22"/>
            </w:rPr>
            <m:t>=</m:t>
          </m:r>
          <m:f>
            <m:fPr>
              <m:ctrlPr>
                <w:rPr>
                  <w:rFonts w:ascii="Cambria Math" w:hAnsi="Cambria Math"/>
                  <w:i/>
                  <w:sz w:val="22"/>
                </w:rPr>
              </m:ctrlPr>
            </m:fPr>
            <m:num>
              <m:r>
                <w:rPr>
                  <w:rFonts w:ascii="Cambria Math" w:hAnsi="Cambria Math"/>
                  <w:sz w:val="22"/>
                </w:rPr>
                <m:t>Número de licenças exisntentes no setor de  esgotos</m:t>
              </m:r>
            </m:num>
            <m:den>
              <m:r>
                <w:rPr>
                  <w:rFonts w:ascii="Cambria Math" w:hAnsi="Cambria Math"/>
                  <w:sz w:val="22"/>
                </w:rPr>
                <m:t>Número de licenças exigidas no setor de  esgotos</m:t>
              </m:r>
            </m:den>
          </m:f>
          <m:r>
            <w:rPr>
              <w:rFonts w:ascii="Cambria Math" w:hAnsi="Cambria Math"/>
              <w:sz w:val="22"/>
            </w:rPr>
            <m:t xml:space="preserve"> x 100</m:t>
          </m:r>
        </m:oMath>
      </m:oMathPara>
    </w:p>
    <w:p w:rsidR="00813DDC" w:rsidRPr="00813DDC" w:rsidRDefault="00813DDC" w:rsidP="00813DDC">
      <w:pPr>
        <w:ind w:firstLine="709"/>
        <w:jc w:val="both"/>
        <w:rPr>
          <w:rFonts w:cs="Arial"/>
          <w:szCs w:val="24"/>
        </w:rPr>
      </w:pPr>
    </w:p>
    <w:p w:rsidR="00813DDC" w:rsidRPr="00813DDC" w:rsidRDefault="00813DDC" w:rsidP="00813DDC">
      <w:pPr>
        <w:ind w:firstLine="709"/>
        <w:jc w:val="both"/>
        <w:rPr>
          <w:rFonts w:cs="Arial"/>
          <w:szCs w:val="24"/>
        </w:rPr>
      </w:pPr>
      <w:r w:rsidRPr="00813DDC">
        <w:rPr>
          <w:rFonts w:cs="Arial"/>
          <w:szCs w:val="24"/>
        </w:rPr>
        <w:t>Este indicador informa sobre a conformidade do setor de esgotos com a legislação ambiental vigente. O ideal é que esse indicador seja 100 %, demonstrando que o setor de esgotos possui todas as licenças ambientais exigidas.</w:t>
      </w:r>
    </w:p>
    <w:p w:rsidR="00813DDC" w:rsidRPr="00813DDC" w:rsidRDefault="00813DDC" w:rsidP="00BC01B1">
      <w:pPr>
        <w:pStyle w:val="Ttulo4"/>
      </w:pPr>
      <w:bookmarkStart w:id="1606" w:name="_Toc499019008"/>
      <w:bookmarkStart w:id="1607" w:name="_Toc499106741"/>
      <w:bookmarkStart w:id="1608" w:name="_Toc499107061"/>
      <w:bookmarkStart w:id="1609" w:name="_Toc499107881"/>
      <w:bookmarkStart w:id="1610" w:name="_Toc499108718"/>
      <w:bookmarkStart w:id="1611" w:name="_Toc499109543"/>
      <w:bookmarkStart w:id="1612" w:name="_Toc499109709"/>
      <w:bookmarkStart w:id="1613" w:name="_Toc499709915"/>
      <w:bookmarkStart w:id="1614" w:name="_Toc509935638"/>
      <w:r w:rsidRPr="00813DDC">
        <w:t>Índice de atendimento à legislação ambiental vigente pelo setor de drenagem</w:t>
      </w:r>
      <w:bookmarkEnd w:id="1606"/>
      <w:bookmarkEnd w:id="1607"/>
      <w:bookmarkEnd w:id="1608"/>
      <w:bookmarkEnd w:id="1609"/>
      <w:bookmarkEnd w:id="1610"/>
      <w:bookmarkEnd w:id="1611"/>
      <w:bookmarkEnd w:id="1612"/>
      <w:bookmarkEnd w:id="1613"/>
      <w:bookmarkEnd w:id="1614"/>
    </w:p>
    <w:p w:rsidR="00813DDC" w:rsidRPr="00813DDC" w:rsidRDefault="001B481B" w:rsidP="00813DDC">
      <w:pPr>
        <w:rPr>
          <w:rFonts w:ascii="Cambria Math" w:hAnsi="Cambria Math"/>
          <w:i/>
          <w:sz w:val="22"/>
        </w:rPr>
      </w:pPr>
      <m:oMathPara>
        <m:oMath>
          <m:sSub>
            <m:sSubPr>
              <m:ctrlPr>
                <w:rPr>
                  <w:rFonts w:ascii="Cambria Math" w:hAnsi="Cambria Math"/>
                  <w:i/>
                  <w:sz w:val="22"/>
                </w:rPr>
              </m:ctrlPr>
            </m:sSubPr>
            <m:e>
              <m:r>
                <w:rPr>
                  <w:rFonts w:ascii="Cambria Math" w:hAnsi="Cambria Math"/>
                  <w:sz w:val="22"/>
                </w:rPr>
                <m:t>I</m:t>
              </m:r>
            </m:e>
            <m:sub>
              <m:r>
                <w:rPr>
                  <w:rFonts w:ascii="Cambria Math" w:hAnsi="Cambria Math"/>
                  <w:sz w:val="22"/>
                </w:rPr>
                <m:t>licenciamento  drenagem</m:t>
              </m:r>
            </m:sub>
          </m:sSub>
          <m:r>
            <w:rPr>
              <w:rFonts w:ascii="Cambria Math" w:hAnsi="Cambria Math"/>
              <w:sz w:val="22"/>
            </w:rPr>
            <m:t>=</m:t>
          </m:r>
          <m:f>
            <m:fPr>
              <m:ctrlPr>
                <w:rPr>
                  <w:rFonts w:ascii="Cambria Math" w:hAnsi="Cambria Math"/>
                  <w:i/>
                  <w:sz w:val="22"/>
                </w:rPr>
              </m:ctrlPr>
            </m:fPr>
            <m:num>
              <m:r>
                <w:rPr>
                  <w:rFonts w:ascii="Cambria Math" w:hAnsi="Cambria Math"/>
                  <w:sz w:val="22"/>
                </w:rPr>
                <m:t>Número de licenças existentes no setor de  drenagem</m:t>
              </m:r>
            </m:num>
            <m:den>
              <m:r>
                <w:rPr>
                  <w:rFonts w:ascii="Cambria Math" w:hAnsi="Cambria Math"/>
                  <w:sz w:val="22"/>
                </w:rPr>
                <m:t>Número de licenças exigidas no setor de  drenagem</m:t>
              </m:r>
            </m:den>
          </m:f>
          <m:r>
            <w:rPr>
              <w:rFonts w:ascii="Cambria Math" w:hAnsi="Cambria Math"/>
              <w:sz w:val="22"/>
            </w:rPr>
            <m:t xml:space="preserve"> x 100</m:t>
          </m:r>
        </m:oMath>
      </m:oMathPara>
    </w:p>
    <w:p w:rsidR="00813DDC" w:rsidRPr="00813DDC" w:rsidRDefault="00813DDC" w:rsidP="00813DDC">
      <w:pPr>
        <w:ind w:firstLine="709"/>
        <w:jc w:val="both"/>
        <w:rPr>
          <w:rFonts w:cs="Arial"/>
          <w:szCs w:val="24"/>
        </w:rPr>
      </w:pPr>
    </w:p>
    <w:p w:rsidR="00813DDC" w:rsidRPr="00813DDC" w:rsidRDefault="00813DDC" w:rsidP="00813DDC">
      <w:pPr>
        <w:ind w:firstLine="709"/>
        <w:jc w:val="both"/>
        <w:rPr>
          <w:rFonts w:cs="Arial"/>
          <w:szCs w:val="24"/>
        </w:rPr>
      </w:pPr>
      <w:r w:rsidRPr="00813DDC">
        <w:rPr>
          <w:rFonts w:cs="Arial"/>
          <w:szCs w:val="24"/>
        </w:rPr>
        <w:t>Este indicador informa sobre a conformidade do setor de drenagem com a legislação ambiental vigente. O ideal é que esse indicador seja 100 %, demonstrando que o setor de drenagem possui todas as licenças ambientais exigidas.</w:t>
      </w:r>
    </w:p>
    <w:p w:rsidR="00813DDC" w:rsidRPr="00813DDC" w:rsidRDefault="00813DDC" w:rsidP="00BC01B1">
      <w:pPr>
        <w:pStyle w:val="Ttulo4"/>
      </w:pPr>
      <w:bookmarkStart w:id="1615" w:name="_Toc499019009"/>
      <w:bookmarkStart w:id="1616" w:name="_Toc499106742"/>
      <w:bookmarkStart w:id="1617" w:name="_Toc499107062"/>
      <w:bookmarkStart w:id="1618" w:name="_Toc499107882"/>
      <w:bookmarkStart w:id="1619" w:name="_Toc499108719"/>
      <w:bookmarkStart w:id="1620" w:name="_Toc499109544"/>
      <w:bookmarkStart w:id="1621" w:name="_Toc499109710"/>
      <w:bookmarkStart w:id="1622" w:name="_Toc499709916"/>
      <w:bookmarkStart w:id="1623" w:name="_Toc509935639"/>
      <w:r w:rsidRPr="00813DDC">
        <w:t>Índice de atendimento à legislação ambiental vigente pelo setor de resíduos</w:t>
      </w:r>
      <w:bookmarkEnd w:id="1615"/>
      <w:bookmarkEnd w:id="1616"/>
      <w:bookmarkEnd w:id="1617"/>
      <w:bookmarkEnd w:id="1618"/>
      <w:bookmarkEnd w:id="1619"/>
      <w:bookmarkEnd w:id="1620"/>
      <w:bookmarkEnd w:id="1621"/>
      <w:bookmarkEnd w:id="1622"/>
      <w:bookmarkEnd w:id="1623"/>
    </w:p>
    <w:p w:rsidR="00813DDC" w:rsidRPr="00813DDC" w:rsidRDefault="001B481B" w:rsidP="00813DDC">
      <w:pPr>
        <w:rPr>
          <w:rFonts w:ascii="Cambria Math" w:hAnsi="Cambria Math"/>
          <w:i/>
          <w:sz w:val="22"/>
        </w:rPr>
      </w:pPr>
      <m:oMathPara>
        <m:oMath>
          <m:sSub>
            <m:sSubPr>
              <m:ctrlPr>
                <w:rPr>
                  <w:rFonts w:ascii="Cambria Math" w:hAnsi="Cambria Math"/>
                  <w:i/>
                  <w:sz w:val="22"/>
                </w:rPr>
              </m:ctrlPr>
            </m:sSubPr>
            <m:e>
              <m:r>
                <w:rPr>
                  <w:rFonts w:ascii="Cambria Math" w:hAnsi="Cambria Math"/>
                  <w:sz w:val="22"/>
                </w:rPr>
                <m:t>I</m:t>
              </m:r>
            </m:e>
            <m:sub>
              <m:r>
                <w:rPr>
                  <w:rFonts w:ascii="Cambria Math" w:hAnsi="Cambria Math"/>
                  <w:sz w:val="22"/>
                </w:rPr>
                <m:t>licenciamento  resíduos</m:t>
              </m:r>
            </m:sub>
          </m:sSub>
          <m:r>
            <w:rPr>
              <w:rFonts w:ascii="Cambria Math" w:hAnsi="Cambria Math"/>
              <w:sz w:val="22"/>
            </w:rPr>
            <m:t>=</m:t>
          </m:r>
          <m:f>
            <m:fPr>
              <m:ctrlPr>
                <w:rPr>
                  <w:rFonts w:ascii="Cambria Math" w:hAnsi="Cambria Math"/>
                  <w:i/>
                  <w:sz w:val="22"/>
                </w:rPr>
              </m:ctrlPr>
            </m:fPr>
            <m:num>
              <m:r>
                <w:rPr>
                  <w:rFonts w:ascii="Cambria Math" w:hAnsi="Cambria Math"/>
                  <w:sz w:val="22"/>
                </w:rPr>
                <m:t>Número de licenças existentes no setor de  resíduos</m:t>
              </m:r>
            </m:num>
            <m:den>
              <m:r>
                <w:rPr>
                  <w:rFonts w:ascii="Cambria Math" w:hAnsi="Cambria Math"/>
                  <w:sz w:val="22"/>
                </w:rPr>
                <m:t>Número de licenças exigidas no setor de  resíduos</m:t>
              </m:r>
            </m:den>
          </m:f>
          <m:r>
            <w:rPr>
              <w:rFonts w:ascii="Cambria Math" w:hAnsi="Cambria Math"/>
              <w:sz w:val="22"/>
            </w:rPr>
            <m:t xml:space="preserve"> x 100</m:t>
          </m:r>
        </m:oMath>
      </m:oMathPara>
    </w:p>
    <w:p w:rsidR="00813DDC" w:rsidRPr="00813DDC" w:rsidRDefault="00813DDC" w:rsidP="00813DDC">
      <w:pPr>
        <w:ind w:firstLine="709"/>
        <w:jc w:val="both"/>
        <w:rPr>
          <w:rFonts w:cs="Arial"/>
          <w:szCs w:val="24"/>
        </w:rPr>
      </w:pPr>
      <w:r w:rsidRPr="00813DDC">
        <w:rPr>
          <w:rFonts w:cs="Arial"/>
          <w:szCs w:val="24"/>
        </w:rPr>
        <w:t>Este indicador informa sobre a conformidade do setor de resíduos com a legislação ambiental vigente. O ideal é que esse indicador seja 100</w:t>
      </w:r>
      <w:r w:rsidRPr="00813DDC">
        <w:t> </w:t>
      </w:r>
      <w:r w:rsidRPr="00813DDC">
        <w:rPr>
          <w:rFonts w:cs="Arial"/>
          <w:szCs w:val="24"/>
        </w:rPr>
        <w:t>%, demonstrando que o setor de resíduos possui todas as licenças ambientais exigidas.</w:t>
      </w:r>
    </w:p>
    <w:p w:rsidR="00813DDC" w:rsidRPr="00813DDC" w:rsidRDefault="00813DDC" w:rsidP="00813DDC">
      <w:pPr>
        <w:ind w:firstLine="709"/>
        <w:jc w:val="both"/>
        <w:rPr>
          <w:rFonts w:cs="Arial"/>
          <w:szCs w:val="24"/>
        </w:rPr>
      </w:pPr>
    </w:p>
    <w:p w:rsidR="00813DDC" w:rsidRPr="00813DDC" w:rsidRDefault="00813DDC" w:rsidP="00BC01B1">
      <w:pPr>
        <w:pStyle w:val="Ttulo4"/>
      </w:pPr>
      <w:bookmarkStart w:id="1624" w:name="_Toc499019010"/>
      <w:bookmarkStart w:id="1625" w:name="_Toc499106743"/>
      <w:bookmarkStart w:id="1626" w:name="_Toc499107063"/>
      <w:bookmarkStart w:id="1627" w:name="_Toc499107883"/>
      <w:bookmarkStart w:id="1628" w:name="_Toc499108720"/>
      <w:bookmarkStart w:id="1629" w:name="_Toc499109545"/>
      <w:bookmarkStart w:id="1630" w:name="_Toc499109711"/>
      <w:bookmarkStart w:id="1631" w:name="_Toc499709917"/>
      <w:bookmarkStart w:id="1632" w:name="_Toc509935640"/>
      <w:r w:rsidRPr="00813DDC">
        <w:lastRenderedPageBreak/>
        <w:t>Índice global de atendimento à legislação ambiental vigente pelo setor de saneamento básico</w:t>
      </w:r>
      <w:bookmarkEnd w:id="1624"/>
      <w:bookmarkEnd w:id="1625"/>
      <w:bookmarkEnd w:id="1626"/>
      <w:bookmarkEnd w:id="1627"/>
      <w:bookmarkEnd w:id="1628"/>
      <w:bookmarkEnd w:id="1629"/>
      <w:bookmarkEnd w:id="1630"/>
      <w:bookmarkEnd w:id="1631"/>
      <w:bookmarkEnd w:id="1632"/>
    </w:p>
    <w:p w:rsidR="00813DDC" w:rsidRPr="00813DDC" w:rsidRDefault="001B481B" w:rsidP="00813DDC">
      <w:pPr>
        <w:ind w:firstLine="709"/>
        <w:jc w:val="both"/>
        <w:rPr>
          <w:rFonts w:cs="Arial"/>
          <w:szCs w:val="24"/>
        </w:rPr>
      </w:pPr>
      <m:oMathPara>
        <m:oMath>
          <m:sSub>
            <m:sSubPr>
              <m:ctrlPr>
                <w:rPr>
                  <w:rFonts w:ascii="Cambria Math" w:hAnsi="Cambria Math"/>
                  <w:i/>
                  <w:sz w:val="22"/>
                </w:rPr>
              </m:ctrlPr>
            </m:sSubPr>
            <m:e>
              <m:r>
                <w:rPr>
                  <w:rFonts w:ascii="Cambria Math" w:hAnsi="Cambria Math"/>
                  <w:sz w:val="22"/>
                </w:rPr>
                <m:t>I</m:t>
              </m:r>
            </m:e>
            <m:sub>
              <m:r>
                <w:rPr>
                  <w:rFonts w:ascii="Cambria Math" w:hAnsi="Cambria Math"/>
                  <w:sz w:val="22"/>
                </w:rPr>
                <m:t xml:space="preserve">licenç. ambiental </m:t>
              </m:r>
              <m:d>
                <m:dPr>
                  <m:ctrlPr>
                    <w:rPr>
                      <w:rFonts w:ascii="Cambria Math" w:hAnsi="Cambria Math"/>
                      <w:i/>
                      <w:sz w:val="22"/>
                    </w:rPr>
                  </m:ctrlPr>
                </m:dPr>
                <m:e>
                  <m:r>
                    <w:rPr>
                      <w:rFonts w:ascii="Cambria Math" w:hAnsi="Cambria Math"/>
                      <w:sz w:val="22"/>
                    </w:rPr>
                    <m:t>ano n</m:t>
                  </m:r>
                </m:e>
              </m:d>
            </m:sub>
          </m:sSub>
          <m:r>
            <w:rPr>
              <w:rFonts w:ascii="Cambria Math" w:hAnsi="Cambria Math"/>
              <w:sz w:val="22"/>
            </w:rPr>
            <m:t>=</m:t>
          </m:r>
          <m:f>
            <m:fPr>
              <m:ctrlPr>
                <w:rPr>
                  <w:rFonts w:ascii="Cambria Math" w:hAnsi="Cambria Math"/>
                  <w:i/>
                  <w:sz w:val="22"/>
                </w:rPr>
              </m:ctrlPr>
            </m:fPr>
            <m:num>
              <m:d>
                <m:dPr>
                  <m:ctrlPr>
                    <w:rPr>
                      <w:rFonts w:ascii="Cambria Math" w:hAnsi="Cambria Math"/>
                      <w:i/>
                      <w:sz w:val="22"/>
                    </w:rPr>
                  </m:ctrlPr>
                </m:dPr>
                <m:e>
                  <m:r>
                    <w:rPr>
                      <w:rFonts w:ascii="Cambria Math" w:hAnsi="Cambria Math"/>
                      <w:sz w:val="22"/>
                    </w:rPr>
                    <m:t>Ilice</m:t>
                  </m:r>
                  <m:r>
                    <w:rPr>
                      <w:rFonts w:ascii="Cambria Math" w:hAnsi="Cambria Math"/>
                      <w:sz w:val="22"/>
                    </w:rPr>
                    <m:t>nc. água</m:t>
                  </m:r>
                </m:e>
              </m:d>
              <m:r>
                <w:rPr>
                  <w:rFonts w:ascii="Cambria Math" w:hAnsi="Cambria Math"/>
                  <w:sz w:val="22"/>
                </w:rPr>
                <m:t>+</m:t>
              </m:r>
              <m:d>
                <m:dPr>
                  <m:ctrlPr>
                    <w:rPr>
                      <w:rFonts w:ascii="Cambria Math" w:hAnsi="Cambria Math"/>
                      <w:i/>
                      <w:sz w:val="22"/>
                    </w:rPr>
                  </m:ctrlPr>
                </m:dPr>
                <m:e>
                  <m:r>
                    <w:rPr>
                      <w:rFonts w:ascii="Cambria Math" w:hAnsi="Cambria Math"/>
                      <w:sz w:val="22"/>
                    </w:rPr>
                    <m:t>Ilicanc. esg</m:t>
                  </m:r>
                </m:e>
              </m:d>
              <m:r>
                <w:rPr>
                  <w:rFonts w:ascii="Cambria Math" w:hAnsi="Cambria Math"/>
                  <w:sz w:val="22"/>
                </w:rPr>
                <m:t>+</m:t>
              </m:r>
              <m:d>
                <m:dPr>
                  <m:ctrlPr>
                    <w:rPr>
                      <w:rFonts w:ascii="Cambria Math" w:hAnsi="Cambria Math"/>
                      <w:i/>
                      <w:sz w:val="22"/>
                    </w:rPr>
                  </m:ctrlPr>
                </m:dPr>
                <m:e>
                  <m:r>
                    <w:rPr>
                      <w:rFonts w:ascii="Cambria Math" w:hAnsi="Cambria Math"/>
                      <w:sz w:val="22"/>
                    </w:rPr>
                    <m:t>Ilicenc. dren</m:t>
                  </m:r>
                </m:e>
              </m:d>
              <m:r>
                <w:rPr>
                  <w:rFonts w:ascii="Cambria Math" w:hAnsi="Cambria Math"/>
                  <w:sz w:val="22"/>
                </w:rPr>
                <m:t>+</m:t>
              </m:r>
              <m:d>
                <m:dPr>
                  <m:ctrlPr>
                    <w:rPr>
                      <w:rFonts w:ascii="Cambria Math" w:hAnsi="Cambria Math"/>
                      <w:i/>
                      <w:sz w:val="22"/>
                    </w:rPr>
                  </m:ctrlPr>
                </m:dPr>
                <m:e>
                  <m:r>
                    <w:rPr>
                      <w:rFonts w:ascii="Cambria Math" w:hAnsi="Cambria Math"/>
                      <w:sz w:val="22"/>
                    </w:rPr>
                    <m:t>Ilicenc.resíd</m:t>
                  </m:r>
                </m:e>
              </m:d>
            </m:num>
            <m:den>
              <m:r>
                <w:rPr>
                  <w:rFonts w:ascii="Cambria Math" w:hAnsi="Cambria Math"/>
                  <w:sz w:val="22"/>
                </w:rPr>
                <m:t>4</m:t>
              </m:r>
            </m:den>
          </m:f>
        </m:oMath>
      </m:oMathPara>
    </w:p>
    <w:p w:rsidR="00810C89" w:rsidRDefault="00810C89" w:rsidP="00813DDC">
      <w:pPr>
        <w:ind w:firstLine="709"/>
        <w:jc w:val="both"/>
        <w:rPr>
          <w:rFonts w:cs="Arial"/>
          <w:szCs w:val="24"/>
        </w:rPr>
      </w:pPr>
    </w:p>
    <w:p w:rsidR="00813DDC" w:rsidRPr="00813DDC" w:rsidRDefault="00813DDC" w:rsidP="00813DDC">
      <w:pPr>
        <w:ind w:firstLine="709"/>
        <w:jc w:val="both"/>
        <w:rPr>
          <w:rFonts w:cs="Arial"/>
          <w:szCs w:val="24"/>
        </w:rPr>
      </w:pPr>
      <w:r w:rsidRPr="00813DDC">
        <w:rPr>
          <w:rFonts w:cs="Arial"/>
          <w:szCs w:val="24"/>
        </w:rPr>
        <w:t xml:space="preserve">Este indicador informa sobre a conformidade do setor do saneamento básico local com a legislação ambiental vigente. O indicador auxiliará no monitoramento do alcance do </w:t>
      </w:r>
      <w:r w:rsidRPr="00813DDC">
        <w:rPr>
          <w:rFonts w:cs="Arial"/>
          <w:b/>
          <w:szCs w:val="24"/>
        </w:rPr>
        <w:t>Objetivo 5</w:t>
      </w:r>
      <w:r w:rsidRPr="00813DDC">
        <w:rPr>
          <w:rFonts w:cs="Arial"/>
          <w:szCs w:val="24"/>
        </w:rPr>
        <w:t>: de “apresentar conformidade com a legislação ambiental vigente”. O ideal é que seu valor seja 100 %, demonstrando que o setor do saneamento municipal possui todas as licenças ambientais exigidas por lei.</w:t>
      </w:r>
    </w:p>
    <w:p w:rsidR="00813DDC" w:rsidRPr="00813DDC" w:rsidRDefault="00813DDC" w:rsidP="00BC01B1">
      <w:pPr>
        <w:pStyle w:val="Ttulo3"/>
      </w:pPr>
      <w:bookmarkStart w:id="1633" w:name="_Toc499019011"/>
      <w:bookmarkStart w:id="1634" w:name="_Toc499106744"/>
      <w:bookmarkStart w:id="1635" w:name="_Toc499107064"/>
      <w:bookmarkStart w:id="1636" w:name="_Toc499107884"/>
      <w:bookmarkStart w:id="1637" w:name="_Toc499108721"/>
      <w:bookmarkStart w:id="1638" w:name="_Toc499109546"/>
      <w:bookmarkStart w:id="1639" w:name="_Toc499109712"/>
      <w:bookmarkStart w:id="1640" w:name="_Toc499709918"/>
      <w:bookmarkStart w:id="1641" w:name="_Toc509935641"/>
      <w:r w:rsidRPr="00813DDC">
        <w:t>Indicadores para o Objetivo 6</w:t>
      </w:r>
      <w:bookmarkEnd w:id="1633"/>
      <w:bookmarkEnd w:id="1634"/>
      <w:bookmarkEnd w:id="1635"/>
      <w:bookmarkEnd w:id="1636"/>
      <w:bookmarkEnd w:id="1637"/>
      <w:bookmarkEnd w:id="1638"/>
      <w:bookmarkEnd w:id="1639"/>
      <w:bookmarkEnd w:id="1640"/>
      <w:bookmarkEnd w:id="1641"/>
    </w:p>
    <w:p w:rsidR="00813DDC" w:rsidRPr="00813DDC" w:rsidRDefault="00813DDC" w:rsidP="00813DDC">
      <w:pPr>
        <w:ind w:firstLine="709"/>
        <w:jc w:val="both"/>
        <w:rPr>
          <w:rFonts w:cs="Arial"/>
          <w:szCs w:val="24"/>
        </w:rPr>
      </w:pPr>
      <w:r w:rsidRPr="00813DDC">
        <w:rPr>
          <w:rFonts w:cs="Arial"/>
          <w:szCs w:val="24"/>
        </w:rPr>
        <w:t xml:space="preserve">Estes indicadores informam sobre o relacionamento do setor com a população, auxiliando no monitoramento do alcance do </w:t>
      </w:r>
      <w:r w:rsidRPr="00813DDC">
        <w:rPr>
          <w:rFonts w:cs="Arial"/>
          <w:b/>
          <w:szCs w:val="24"/>
        </w:rPr>
        <w:t>Objetivo 6</w:t>
      </w:r>
      <w:r w:rsidRPr="00813DDC">
        <w:rPr>
          <w:rFonts w:cs="Arial"/>
          <w:szCs w:val="24"/>
        </w:rPr>
        <w:t>: “introduzir, na gestão do saneamento básico municipal, mecanismos que garantam o acesso a informações e a participação da população na formulação da política local de saneamento básico, além de promover avaliações relacionadas aos serviços prestados”. Este indicador deve ser calculado pelo setor supervisor mediante questionamento formal feito para cada um dos setores específicos sobre o número de reuniões realizadas, por ano, com a população local.</w:t>
      </w:r>
    </w:p>
    <w:p w:rsidR="00813DDC" w:rsidRPr="00813DDC" w:rsidRDefault="00813DDC" w:rsidP="00BC01B1">
      <w:pPr>
        <w:pStyle w:val="Ttulo4"/>
      </w:pPr>
      <w:bookmarkStart w:id="1642" w:name="_Toc499019012"/>
      <w:bookmarkStart w:id="1643" w:name="_Toc499106745"/>
      <w:bookmarkStart w:id="1644" w:name="_Toc499107065"/>
      <w:bookmarkStart w:id="1645" w:name="_Toc499107885"/>
      <w:bookmarkStart w:id="1646" w:name="_Toc499108722"/>
      <w:bookmarkStart w:id="1647" w:name="_Toc499109547"/>
      <w:bookmarkStart w:id="1648" w:name="_Toc499109713"/>
      <w:bookmarkStart w:id="1649" w:name="_Toc499709919"/>
      <w:bookmarkStart w:id="1650" w:name="_Toc509935642"/>
      <w:r w:rsidRPr="00813DDC">
        <w:t>Índice de controle social no setor de água</w:t>
      </w:r>
      <w:bookmarkEnd w:id="1642"/>
      <w:bookmarkEnd w:id="1643"/>
      <w:bookmarkEnd w:id="1644"/>
      <w:bookmarkEnd w:id="1645"/>
      <w:bookmarkEnd w:id="1646"/>
      <w:bookmarkEnd w:id="1647"/>
      <w:bookmarkEnd w:id="1648"/>
      <w:bookmarkEnd w:id="1649"/>
      <w:bookmarkEnd w:id="1650"/>
    </w:p>
    <w:p w:rsidR="00813DDC" w:rsidRPr="00813DDC" w:rsidRDefault="00813DDC" w:rsidP="00813DDC">
      <w:pPr>
        <w:rPr>
          <w:rFonts w:ascii="Cambria Math" w:hAnsi="Cambria Math"/>
          <w:i/>
          <w:szCs w:val="24"/>
        </w:rPr>
      </w:pPr>
      <m:oMathPara>
        <m:oMath>
          <m:r>
            <w:rPr>
              <w:rFonts w:ascii="Cambria Math" w:hAnsi="Cambria Math"/>
              <w:szCs w:val="24"/>
            </w:rPr>
            <m:t xml:space="preserve">ICS(água)=Nº de reuniões com população por ano/2 </m:t>
          </m:r>
        </m:oMath>
      </m:oMathPara>
    </w:p>
    <w:p w:rsidR="00810C89" w:rsidRDefault="00810C89" w:rsidP="00813DDC">
      <w:pPr>
        <w:ind w:firstLine="709"/>
        <w:jc w:val="both"/>
        <w:rPr>
          <w:rFonts w:cs="Arial"/>
          <w:szCs w:val="24"/>
        </w:rPr>
      </w:pPr>
    </w:p>
    <w:p w:rsidR="00813DDC" w:rsidRPr="00813DDC" w:rsidRDefault="00813DDC" w:rsidP="00813DDC">
      <w:pPr>
        <w:ind w:firstLine="709"/>
        <w:jc w:val="both"/>
        <w:rPr>
          <w:rFonts w:cs="Arial"/>
          <w:szCs w:val="24"/>
        </w:rPr>
      </w:pPr>
      <w:r w:rsidRPr="00813DDC">
        <w:rPr>
          <w:rFonts w:cs="Arial"/>
          <w:szCs w:val="24"/>
        </w:rPr>
        <w:t>O ideal é sejam realizadas, pelo menos 2 (duas) reuniões por ano com representantes do SAA e da população, durante a vigência do PMSB.</w:t>
      </w:r>
    </w:p>
    <w:p w:rsidR="00813DDC" w:rsidRPr="00813DDC" w:rsidRDefault="00813DDC" w:rsidP="00BC01B1">
      <w:pPr>
        <w:pStyle w:val="Ttulo4"/>
      </w:pPr>
      <w:bookmarkStart w:id="1651" w:name="_Toc499019013"/>
      <w:bookmarkStart w:id="1652" w:name="_Toc499106746"/>
      <w:bookmarkStart w:id="1653" w:name="_Toc499107066"/>
      <w:bookmarkStart w:id="1654" w:name="_Toc499107886"/>
      <w:bookmarkStart w:id="1655" w:name="_Toc499108723"/>
      <w:bookmarkStart w:id="1656" w:name="_Toc499109548"/>
      <w:bookmarkStart w:id="1657" w:name="_Toc499109714"/>
      <w:bookmarkStart w:id="1658" w:name="_Toc499709920"/>
      <w:bookmarkStart w:id="1659" w:name="_Toc509935643"/>
      <w:r w:rsidRPr="00813DDC">
        <w:t>Índice de controle social no setor de esgotos</w:t>
      </w:r>
      <w:bookmarkEnd w:id="1651"/>
      <w:bookmarkEnd w:id="1652"/>
      <w:bookmarkEnd w:id="1653"/>
      <w:bookmarkEnd w:id="1654"/>
      <w:bookmarkEnd w:id="1655"/>
      <w:bookmarkEnd w:id="1656"/>
      <w:bookmarkEnd w:id="1657"/>
      <w:bookmarkEnd w:id="1658"/>
      <w:bookmarkEnd w:id="1659"/>
    </w:p>
    <w:p w:rsidR="00813DDC" w:rsidRPr="00813DDC" w:rsidRDefault="00813DDC" w:rsidP="00813DDC">
      <w:pPr>
        <w:rPr>
          <w:rFonts w:ascii="Cambria Math" w:hAnsi="Cambria Math"/>
          <w:i/>
          <w:szCs w:val="24"/>
        </w:rPr>
      </w:pPr>
      <m:oMathPara>
        <m:oMath>
          <m:r>
            <w:rPr>
              <w:rFonts w:ascii="Cambria Math" w:hAnsi="Cambria Math"/>
              <w:szCs w:val="24"/>
            </w:rPr>
            <m:t xml:space="preserve">ICS(esgotos)=Nº de reuniões com população por ano/2 </m:t>
          </m:r>
        </m:oMath>
      </m:oMathPara>
    </w:p>
    <w:p w:rsidR="00813DDC" w:rsidRPr="00813DDC" w:rsidRDefault="00813DDC" w:rsidP="00813DDC">
      <w:pPr>
        <w:ind w:firstLine="709"/>
        <w:jc w:val="both"/>
        <w:rPr>
          <w:rFonts w:cs="Arial"/>
          <w:szCs w:val="24"/>
        </w:rPr>
      </w:pPr>
    </w:p>
    <w:p w:rsidR="00813DDC" w:rsidRPr="00813DDC" w:rsidRDefault="00813DDC" w:rsidP="00813DDC">
      <w:pPr>
        <w:ind w:firstLine="709"/>
        <w:jc w:val="both"/>
        <w:rPr>
          <w:rFonts w:cs="Arial"/>
          <w:szCs w:val="24"/>
        </w:rPr>
      </w:pPr>
      <w:r w:rsidRPr="00813DDC">
        <w:rPr>
          <w:rFonts w:cs="Arial"/>
          <w:szCs w:val="24"/>
        </w:rPr>
        <w:t>O ideal é sejam realizadas, pelo menos 2 (duas) reuniões por ano com representantes do SES e da população, durante a vigência do PMSB.</w:t>
      </w:r>
    </w:p>
    <w:p w:rsidR="00813DDC" w:rsidRPr="00813DDC" w:rsidRDefault="00813DDC" w:rsidP="00813DDC">
      <w:pPr>
        <w:ind w:firstLine="709"/>
        <w:jc w:val="both"/>
        <w:rPr>
          <w:rFonts w:cs="Arial"/>
          <w:szCs w:val="24"/>
        </w:rPr>
      </w:pPr>
    </w:p>
    <w:p w:rsidR="00813DDC" w:rsidRPr="00813DDC" w:rsidRDefault="00813DDC" w:rsidP="00BC01B1">
      <w:pPr>
        <w:pStyle w:val="Ttulo4"/>
      </w:pPr>
      <w:bookmarkStart w:id="1660" w:name="_Toc499019014"/>
      <w:bookmarkStart w:id="1661" w:name="_Toc499106747"/>
      <w:bookmarkStart w:id="1662" w:name="_Toc499107067"/>
      <w:bookmarkStart w:id="1663" w:name="_Toc499107887"/>
      <w:bookmarkStart w:id="1664" w:name="_Toc499108724"/>
      <w:bookmarkStart w:id="1665" w:name="_Toc499109549"/>
      <w:bookmarkStart w:id="1666" w:name="_Toc499109715"/>
      <w:bookmarkStart w:id="1667" w:name="_Toc499709921"/>
      <w:bookmarkStart w:id="1668" w:name="_Toc509935644"/>
      <w:r w:rsidRPr="00813DDC">
        <w:lastRenderedPageBreak/>
        <w:t>Índice de controle social no setor de drenagem</w:t>
      </w:r>
      <w:bookmarkEnd w:id="1660"/>
      <w:bookmarkEnd w:id="1661"/>
      <w:bookmarkEnd w:id="1662"/>
      <w:bookmarkEnd w:id="1663"/>
      <w:bookmarkEnd w:id="1664"/>
      <w:bookmarkEnd w:id="1665"/>
      <w:bookmarkEnd w:id="1666"/>
      <w:bookmarkEnd w:id="1667"/>
      <w:bookmarkEnd w:id="1668"/>
    </w:p>
    <w:p w:rsidR="00813DDC" w:rsidRPr="00813DDC" w:rsidRDefault="00813DDC" w:rsidP="00813DDC">
      <w:pPr>
        <w:ind w:left="360"/>
        <w:contextualSpacing/>
        <w:jc w:val="both"/>
        <w:rPr>
          <w:rFonts w:ascii="Cambria Math" w:eastAsia="Times New Roman" w:hAnsi="Cambria Math"/>
          <w:i/>
          <w:szCs w:val="24"/>
        </w:rPr>
      </w:pPr>
      <m:oMathPara>
        <m:oMath>
          <m:r>
            <w:rPr>
              <w:rFonts w:ascii="Cambria Math" w:eastAsia="Times New Roman" w:hAnsi="Cambria Math"/>
              <w:szCs w:val="24"/>
            </w:rPr>
            <m:t xml:space="preserve">ICS(drenagem)=Nº de reuniões com população por ano/2 </m:t>
          </m:r>
        </m:oMath>
      </m:oMathPara>
    </w:p>
    <w:p w:rsidR="00810C89" w:rsidRDefault="00810C89" w:rsidP="00813DDC">
      <w:pPr>
        <w:ind w:firstLine="709"/>
        <w:jc w:val="both"/>
        <w:rPr>
          <w:rFonts w:cs="Arial"/>
          <w:szCs w:val="24"/>
        </w:rPr>
      </w:pPr>
    </w:p>
    <w:p w:rsidR="00813DDC" w:rsidRPr="00813DDC" w:rsidRDefault="00813DDC" w:rsidP="00813DDC">
      <w:pPr>
        <w:ind w:firstLine="709"/>
        <w:jc w:val="both"/>
        <w:rPr>
          <w:rFonts w:cs="Arial"/>
          <w:szCs w:val="24"/>
        </w:rPr>
      </w:pPr>
      <w:r w:rsidRPr="00813DDC">
        <w:rPr>
          <w:rFonts w:cs="Arial"/>
          <w:szCs w:val="24"/>
        </w:rPr>
        <w:t>O ideal é sejam realizadas, pelo menos 2 (duas) reuniões por ano com representantes do SDU e da população, durante a vigência do PMSB.</w:t>
      </w:r>
    </w:p>
    <w:p w:rsidR="00813DDC" w:rsidRPr="00813DDC" w:rsidRDefault="00813DDC" w:rsidP="00BC01B1">
      <w:pPr>
        <w:pStyle w:val="Ttulo4"/>
      </w:pPr>
      <w:bookmarkStart w:id="1669" w:name="_Toc499019015"/>
      <w:bookmarkStart w:id="1670" w:name="_Toc499106748"/>
      <w:bookmarkStart w:id="1671" w:name="_Toc499107068"/>
      <w:bookmarkStart w:id="1672" w:name="_Toc499107888"/>
      <w:bookmarkStart w:id="1673" w:name="_Toc499108725"/>
      <w:bookmarkStart w:id="1674" w:name="_Toc499109550"/>
      <w:bookmarkStart w:id="1675" w:name="_Toc499109716"/>
      <w:bookmarkStart w:id="1676" w:name="_Toc499709922"/>
      <w:bookmarkStart w:id="1677" w:name="_Toc509935645"/>
      <w:r w:rsidRPr="00813DDC">
        <w:t>Índice de controle social no setor de resíduos</w:t>
      </w:r>
      <w:bookmarkEnd w:id="1669"/>
      <w:bookmarkEnd w:id="1670"/>
      <w:bookmarkEnd w:id="1671"/>
      <w:bookmarkEnd w:id="1672"/>
      <w:bookmarkEnd w:id="1673"/>
      <w:bookmarkEnd w:id="1674"/>
      <w:bookmarkEnd w:id="1675"/>
      <w:bookmarkEnd w:id="1676"/>
      <w:bookmarkEnd w:id="1677"/>
    </w:p>
    <w:p w:rsidR="00813DDC" w:rsidRPr="00813DDC" w:rsidRDefault="00813DDC" w:rsidP="00813DDC">
      <w:pPr>
        <w:ind w:left="360"/>
        <w:contextualSpacing/>
        <w:jc w:val="both"/>
        <w:rPr>
          <w:rFonts w:ascii="Cambria Math" w:eastAsia="Times New Roman" w:hAnsi="Cambria Math"/>
          <w:i/>
          <w:szCs w:val="24"/>
        </w:rPr>
      </w:pPr>
      <m:oMathPara>
        <m:oMath>
          <m:r>
            <w:rPr>
              <w:rFonts w:ascii="Cambria Math" w:eastAsia="Times New Roman" w:hAnsi="Cambria Math"/>
              <w:szCs w:val="24"/>
            </w:rPr>
            <m:t xml:space="preserve">ICS(resíduos)=Nº de reuniões com população por ano/2 </m:t>
          </m:r>
        </m:oMath>
      </m:oMathPara>
    </w:p>
    <w:p w:rsidR="00813DDC" w:rsidRPr="00813DDC" w:rsidRDefault="00813DDC" w:rsidP="00813DDC">
      <w:pPr>
        <w:rPr>
          <w:rFonts w:ascii="Cambria Math" w:hAnsi="Cambria Math"/>
          <w:i/>
          <w:sz w:val="22"/>
        </w:rPr>
      </w:pPr>
    </w:p>
    <w:p w:rsidR="00813DDC" w:rsidRPr="00813DDC" w:rsidRDefault="00813DDC" w:rsidP="00813DDC">
      <w:pPr>
        <w:ind w:firstLine="709"/>
        <w:jc w:val="both"/>
        <w:rPr>
          <w:rFonts w:cs="Arial"/>
          <w:szCs w:val="24"/>
        </w:rPr>
      </w:pPr>
      <w:r w:rsidRPr="00813DDC">
        <w:rPr>
          <w:rFonts w:cs="Arial"/>
          <w:szCs w:val="24"/>
        </w:rPr>
        <w:t>O ideal é sejam realizadas, pelo menos 2 (duas) reuniões por ano com representantes do SLU-SRS e da população, durante a vigência do PMSB.</w:t>
      </w:r>
    </w:p>
    <w:p w:rsidR="00813DDC" w:rsidRPr="00813DDC" w:rsidRDefault="00813DDC" w:rsidP="00BC01B1">
      <w:pPr>
        <w:pStyle w:val="Ttulo4"/>
      </w:pPr>
      <w:bookmarkStart w:id="1678" w:name="_Toc499019016"/>
      <w:bookmarkStart w:id="1679" w:name="_Toc499106749"/>
      <w:bookmarkStart w:id="1680" w:name="_Toc499107069"/>
      <w:bookmarkStart w:id="1681" w:name="_Toc499107889"/>
      <w:bookmarkStart w:id="1682" w:name="_Toc499108726"/>
      <w:bookmarkStart w:id="1683" w:name="_Toc499109551"/>
      <w:bookmarkStart w:id="1684" w:name="_Toc499109717"/>
      <w:bookmarkStart w:id="1685" w:name="_Toc499709923"/>
      <w:bookmarkStart w:id="1686" w:name="_Toc509935646"/>
      <w:r w:rsidRPr="00813DDC">
        <w:t>Índice de controle social no saneamento básico municipal</w:t>
      </w:r>
      <w:bookmarkEnd w:id="1678"/>
      <w:bookmarkEnd w:id="1679"/>
      <w:bookmarkEnd w:id="1680"/>
      <w:bookmarkEnd w:id="1681"/>
      <w:bookmarkEnd w:id="1682"/>
      <w:bookmarkEnd w:id="1683"/>
      <w:bookmarkEnd w:id="1684"/>
      <w:bookmarkEnd w:id="1685"/>
      <w:bookmarkEnd w:id="1686"/>
    </w:p>
    <w:p w:rsidR="00813DDC" w:rsidRPr="00813DDC" w:rsidRDefault="00813DDC" w:rsidP="00813DDC">
      <w:pPr>
        <w:ind w:left="360"/>
        <w:contextualSpacing/>
        <w:jc w:val="both"/>
        <w:rPr>
          <w:rFonts w:ascii="Cambria Math" w:eastAsia="Times New Roman" w:hAnsi="Cambria Math"/>
          <w:i/>
          <w:szCs w:val="24"/>
        </w:rPr>
      </w:pPr>
      <m:oMathPara>
        <m:oMath>
          <m:r>
            <w:rPr>
              <w:rFonts w:ascii="Cambria Math" w:eastAsia="Times New Roman" w:hAnsi="Cambria Math"/>
              <w:szCs w:val="24"/>
            </w:rPr>
            <m:t xml:space="preserve">ICS(geral)=Nº de reuniões com população por ano/2 </m:t>
          </m:r>
        </m:oMath>
      </m:oMathPara>
    </w:p>
    <w:p w:rsidR="00813DDC" w:rsidRPr="00813DDC" w:rsidRDefault="00813DDC" w:rsidP="00813DDC">
      <w:pPr>
        <w:ind w:left="360"/>
        <w:contextualSpacing/>
        <w:jc w:val="both"/>
        <w:rPr>
          <w:rFonts w:ascii="Cambria Math" w:eastAsia="Times New Roman" w:hAnsi="Cambria Math"/>
          <w:i/>
          <w:szCs w:val="24"/>
        </w:rPr>
      </w:pPr>
    </w:p>
    <w:p w:rsidR="00813DDC" w:rsidRPr="00813DDC" w:rsidRDefault="00813DDC" w:rsidP="00813DDC">
      <w:pPr>
        <w:ind w:firstLine="709"/>
        <w:jc w:val="both"/>
        <w:rPr>
          <w:rFonts w:cs="Arial"/>
          <w:szCs w:val="24"/>
        </w:rPr>
      </w:pPr>
      <w:r w:rsidRPr="00813DDC">
        <w:rPr>
          <w:rFonts w:cs="Arial"/>
          <w:szCs w:val="24"/>
        </w:rPr>
        <w:t>Para o monitoramento do Índice de Controle Social (ICS) ao longo dos anos de gestão do setor do saneamento básico local, será adotada a classificação indicada na tabela apresentada a seguir.</w:t>
      </w:r>
    </w:p>
    <w:p w:rsidR="00813DDC" w:rsidRPr="00813DDC" w:rsidRDefault="00813DDC" w:rsidP="00813DDC">
      <w:pPr>
        <w:ind w:firstLine="709"/>
        <w:jc w:val="both"/>
        <w:rPr>
          <w:rFonts w:cs="Arial"/>
          <w:szCs w:val="24"/>
        </w:rPr>
      </w:pPr>
      <w:r w:rsidRPr="00813DDC">
        <w:rPr>
          <w:rFonts w:cs="Arial"/>
          <w:szCs w:val="24"/>
        </w:rPr>
        <w:t>O ideal é sejam realizadas, pelo menos 2 (duas) reuniões por ano com representantes da equipe geral e de cada um dos quatro setores do saneamento básico, com a população, durante a vigência do PMSB.</w:t>
      </w:r>
    </w:p>
    <w:p w:rsidR="00813DDC" w:rsidRPr="00813DDC" w:rsidRDefault="00813DDC" w:rsidP="00810C89">
      <w:pPr>
        <w:pStyle w:val="Legenda"/>
      </w:pPr>
      <w:bookmarkStart w:id="1687" w:name="_Toc499710042"/>
      <w:bookmarkStart w:id="1688" w:name="_Toc509935879"/>
      <w:r w:rsidRPr="00813DDC">
        <w:t xml:space="preserve">Tabela </w:t>
      </w:r>
      <w:r w:rsidR="000A1C78">
        <w:fldChar w:fldCharType="begin"/>
      </w:r>
      <w:r w:rsidR="000A1C78">
        <w:instrText xml:space="preserve"> SEQ Tabela \* ARABIC </w:instrText>
      </w:r>
      <w:r w:rsidR="000A1C78">
        <w:fldChar w:fldCharType="separate"/>
      </w:r>
      <w:r w:rsidR="001B481B">
        <w:rPr>
          <w:noProof/>
        </w:rPr>
        <w:t>9</w:t>
      </w:r>
      <w:r w:rsidR="000A1C78">
        <w:rPr>
          <w:noProof/>
        </w:rPr>
        <w:fldChar w:fldCharType="end"/>
      </w:r>
      <w:r w:rsidRPr="00813DDC">
        <w:t xml:space="preserve"> - Tabela de Classificação do ICS (Índice de Controle Social) dado pelo número de reuniões com a população, por ano.</w:t>
      </w:r>
      <w:bookmarkEnd w:id="1687"/>
      <w:bookmarkEnd w:id="1688"/>
    </w:p>
    <w:tbl>
      <w:tblPr>
        <w:tblStyle w:val="Tabelacomgrade"/>
        <w:tblW w:w="0" w:type="auto"/>
        <w:jc w:val="center"/>
        <w:tblLook w:val="04A0" w:firstRow="1" w:lastRow="0" w:firstColumn="1" w:lastColumn="0" w:noHBand="0" w:noVBand="1"/>
      </w:tblPr>
      <w:tblGrid>
        <w:gridCol w:w="1329"/>
        <w:gridCol w:w="1140"/>
        <w:gridCol w:w="1132"/>
      </w:tblGrid>
      <w:tr w:rsidR="00813DDC" w:rsidRPr="00810C89" w:rsidTr="00810C89">
        <w:trPr>
          <w:trHeight w:val="20"/>
          <w:jc w:val="center"/>
        </w:trPr>
        <w:tc>
          <w:tcPr>
            <w:tcW w:w="0" w:type="auto"/>
            <w:gridSpan w:val="3"/>
            <w:vAlign w:val="center"/>
          </w:tcPr>
          <w:p w:rsidR="00813DDC" w:rsidRPr="00810C89" w:rsidRDefault="00813DDC" w:rsidP="00810C89">
            <w:pPr>
              <w:spacing w:before="120" w:after="120" w:line="240" w:lineRule="auto"/>
              <w:jc w:val="center"/>
              <w:rPr>
                <w:b/>
                <w:sz w:val="22"/>
                <w:lang w:eastAsia="pt-BR"/>
              </w:rPr>
            </w:pPr>
            <w:r w:rsidRPr="00810C89">
              <w:rPr>
                <w:b/>
                <w:sz w:val="22"/>
                <w:lang w:eastAsia="pt-BR"/>
              </w:rPr>
              <w:t>Do 1º ao 20º ano</w:t>
            </w:r>
          </w:p>
        </w:tc>
      </w:tr>
      <w:tr w:rsidR="00813DDC" w:rsidRPr="00810C89" w:rsidTr="00810C89">
        <w:trPr>
          <w:trHeight w:val="20"/>
          <w:jc w:val="center"/>
        </w:trPr>
        <w:tc>
          <w:tcPr>
            <w:tcW w:w="0" w:type="auto"/>
            <w:vAlign w:val="center"/>
          </w:tcPr>
          <w:p w:rsidR="00813DDC" w:rsidRPr="00810C89" w:rsidRDefault="00813DDC" w:rsidP="00810C89">
            <w:pPr>
              <w:spacing w:before="120" w:after="120" w:line="240" w:lineRule="auto"/>
              <w:jc w:val="center"/>
              <w:rPr>
                <w:b/>
                <w:sz w:val="22"/>
                <w:lang w:eastAsia="pt-BR"/>
              </w:rPr>
            </w:pPr>
            <w:r w:rsidRPr="00810C89">
              <w:rPr>
                <w:b/>
                <w:sz w:val="22"/>
                <w:lang w:eastAsia="pt-BR"/>
              </w:rPr>
              <w:t>ICS = 0,0</w:t>
            </w:r>
          </w:p>
        </w:tc>
        <w:tc>
          <w:tcPr>
            <w:tcW w:w="0" w:type="auto"/>
            <w:vAlign w:val="center"/>
          </w:tcPr>
          <w:p w:rsidR="00813DDC" w:rsidRPr="00810C89" w:rsidRDefault="00813DDC" w:rsidP="00810C89">
            <w:pPr>
              <w:spacing w:before="120" w:after="120" w:line="240" w:lineRule="auto"/>
              <w:jc w:val="center"/>
              <w:rPr>
                <w:b/>
                <w:sz w:val="22"/>
                <w:lang w:eastAsia="pt-BR"/>
              </w:rPr>
            </w:pPr>
            <w:r w:rsidRPr="00810C89">
              <w:rPr>
                <w:b/>
                <w:sz w:val="22"/>
                <w:lang w:eastAsia="pt-BR"/>
              </w:rPr>
              <w:t>ICS = 0,5</w:t>
            </w:r>
          </w:p>
        </w:tc>
        <w:tc>
          <w:tcPr>
            <w:tcW w:w="0" w:type="auto"/>
            <w:vAlign w:val="center"/>
          </w:tcPr>
          <w:p w:rsidR="00813DDC" w:rsidRPr="00810C89" w:rsidRDefault="00813DDC" w:rsidP="00810C89">
            <w:pPr>
              <w:spacing w:before="120" w:after="120" w:line="240" w:lineRule="auto"/>
              <w:jc w:val="center"/>
              <w:rPr>
                <w:b/>
                <w:sz w:val="22"/>
                <w:lang w:eastAsia="pt-BR"/>
              </w:rPr>
            </w:pPr>
            <w:r w:rsidRPr="00810C89">
              <w:rPr>
                <w:rFonts w:cs="Arial"/>
                <w:b/>
                <w:sz w:val="22"/>
                <w:lang w:eastAsia="pt-BR"/>
              </w:rPr>
              <w:t xml:space="preserve">ICS ≥ </w:t>
            </w:r>
            <w:r w:rsidRPr="00810C89">
              <w:rPr>
                <w:b/>
                <w:sz w:val="22"/>
                <w:lang w:eastAsia="pt-BR"/>
              </w:rPr>
              <w:t>1,0</w:t>
            </w:r>
          </w:p>
        </w:tc>
      </w:tr>
      <w:tr w:rsidR="00813DDC" w:rsidRPr="00810C89" w:rsidTr="00810C89">
        <w:trPr>
          <w:trHeight w:val="20"/>
          <w:jc w:val="center"/>
        </w:trPr>
        <w:tc>
          <w:tcPr>
            <w:tcW w:w="0" w:type="auto"/>
            <w:shd w:val="clear" w:color="auto" w:fill="FF5050"/>
            <w:vAlign w:val="center"/>
          </w:tcPr>
          <w:p w:rsidR="00813DDC" w:rsidRPr="00810C89" w:rsidRDefault="00813DDC" w:rsidP="00810C89">
            <w:pPr>
              <w:spacing w:before="120" w:after="120" w:line="240" w:lineRule="auto"/>
              <w:jc w:val="center"/>
              <w:rPr>
                <w:sz w:val="22"/>
                <w:lang w:eastAsia="pt-BR"/>
              </w:rPr>
            </w:pPr>
            <w:r w:rsidRPr="00810C89">
              <w:rPr>
                <w:sz w:val="22"/>
                <w:lang w:eastAsia="pt-BR"/>
              </w:rPr>
              <w:t>Insuficiente</w:t>
            </w:r>
          </w:p>
        </w:tc>
        <w:tc>
          <w:tcPr>
            <w:tcW w:w="0" w:type="auto"/>
            <w:shd w:val="clear" w:color="auto" w:fill="00B0F0"/>
            <w:vAlign w:val="center"/>
          </w:tcPr>
          <w:p w:rsidR="00813DDC" w:rsidRPr="00810C89" w:rsidRDefault="00813DDC" w:rsidP="00810C89">
            <w:pPr>
              <w:spacing w:before="120" w:after="120" w:line="240" w:lineRule="auto"/>
              <w:jc w:val="center"/>
              <w:rPr>
                <w:sz w:val="22"/>
                <w:lang w:eastAsia="pt-BR"/>
              </w:rPr>
            </w:pPr>
            <w:r w:rsidRPr="00810C89">
              <w:rPr>
                <w:sz w:val="22"/>
                <w:lang w:eastAsia="pt-BR"/>
              </w:rPr>
              <w:t>Bom</w:t>
            </w:r>
          </w:p>
        </w:tc>
        <w:tc>
          <w:tcPr>
            <w:tcW w:w="0" w:type="auto"/>
            <w:shd w:val="clear" w:color="auto" w:fill="C2D69B" w:themeFill="accent3" w:themeFillTint="99"/>
            <w:vAlign w:val="center"/>
          </w:tcPr>
          <w:p w:rsidR="00813DDC" w:rsidRPr="00810C89" w:rsidRDefault="00813DDC" w:rsidP="00810C89">
            <w:pPr>
              <w:spacing w:before="120" w:after="120" w:line="240" w:lineRule="auto"/>
              <w:jc w:val="center"/>
              <w:rPr>
                <w:sz w:val="22"/>
                <w:lang w:eastAsia="pt-BR"/>
              </w:rPr>
            </w:pPr>
            <w:r w:rsidRPr="00810C89">
              <w:rPr>
                <w:sz w:val="22"/>
                <w:lang w:eastAsia="pt-BR"/>
              </w:rPr>
              <w:t>Ótimo</w:t>
            </w:r>
          </w:p>
        </w:tc>
      </w:tr>
    </w:tbl>
    <w:p w:rsidR="00813DDC" w:rsidRPr="00813DDC" w:rsidRDefault="00813DDC" w:rsidP="00810C89">
      <w:pPr>
        <w:pStyle w:val="Fonte"/>
      </w:pPr>
    </w:p>
    <w:p w:rsidR="00813DDC" w:rsidRPr="00813DDC" w:rsidRDefault="00813DDC" w:rsidP="00BC01B1">
      <w:pPr>
        <w:pStyle w:val="Ttulo3"/>
      </w:pPr>
      <w:bookmarkStart w:id="1689" w:name="_Toc499019017"/>
      <w:bookmarkStart w:id="1690" w:name="_Toc499106750"/>
      <w:bookmarkStart w:id="1691" w:name="_Toc499107070"/>
      <w:bookmarkStart w:id="1692" w:name="_Toc499107890"/>
      <w:bookmarkStart w:id="1693" w:name="_Toc499108727"/>
      <w:bookmarkStart w:id="1694" w:name="_Toc499109552"/>
      <w:bookmarkStart w:id="1695" w:name="_Toc499109718"/>
      <w:bookmarkStart w:id="1696" w:name="_Toc499709924"/>
      <w:bookmarkStart w:id="1697" w:name="_Toc509935647"/>
      <w:r w:rsidRPr="00813DDC">
        <w:t>Indicador para o objetivo 7</w:t>
      </w:r>
      <w:bookmarkEnd w:id="1689"/>
      <w:bookmarkEnd w:id="1690"/>
      <w:bookmarkEnd w:id="1691"/>
      <w:bookmarkEnd w:id="1692"/>
      <w:bookmarkEnd w:id="1693"/>
      <w:bookmarkEnd w:id="1694"/>
      <w:bookmarkEnd w:id="1695"/>
      <w:bookmarkEnd w:id="1696"/>
      <w:bookmarkEnd w:id="1697"/>
    </w:p>
    <w:p w:rsidR="00813DDC" w:rsidRPr="00813DDC" w:rsidRDefault="00813DDC" w:rsidP="00813DDC">
      <w:pPr>
        <w:ind w:firstLine="709"/>
        <w:jc w:val="both"/>
        <w:rPr>
          <w:rFonts w:cs="Arial"/>
          <w:szCs w:val="24"/>
        </w:rPr>
      </w:pPr>
      <w:r w:rsidRPr="00813DDC">
        <w:rPr>
          <w:rFonts w:cs="Arial"/>
          <w:szCs w:val="24"/>
        </w:rPr>
        <w:t>Este indicador (I</w:t>
      </w:r>
      <w:r w:rsidRPr="00813DDC">
        <w:rPr>
          <w:rFonts w:cs="Arial"/>
          <w:szCs w:val="24"/>
          <w:vertAlign w:val="subscript"/>
        </w:rPr>
        <w:t>educação em saneamento na escola n</w:t>
      </w:r>
      <w:r w:rsidRPr="00813DDC">
        <w:rPr>
          <w:rFonts w:cs="Arial"/>
          <w:szCs w:val="24"/>
        </w:rPr>
        <w:t xml:space="preserve">) informa sobre a disponibilização de disciplinas com conteúdo sobre saneamento básico nas escolas públicas do município. Deve ser aplicado a todas as escolas públicas do município e calculado para cada uma delas. </w:t>
      </w:r>
    </w:p>
    <w:p w:rsidR="00813DDC" w:rsidRPr="00813DDC" w:rsidRDefault="00813DDC" w:rsidP="00813DDC">
      <w:pPr>
        <w:ind w:firstLine="709"/>
        <w:jc w:val="both"/>
        <w:rPr>
          <w:rFonts w:cs="Arial"/>
          <w:szCs w:val="24"/>
        </w:rPr>
      </w:pPr>
      <w:r w:rsidRPr="00813DDC">
        <w:rPr>
          <w:rFonts w:cs="Arial"/>
          <w:szCs w:val="24"/>
        </w:rPr>
        <w:lastRenderedPageBreak/>
        <w:t xml:space="preserve">O indicador auxiliará no monitoramento do alcance do </w:t>
      </w:r>
      <w:r w:rsidRPr="00813DDC">
        <w:rPr>
          <w:rFonts w:cs="Arial"/>
          <w:b/>
          <w:szCs w:val="24"/>
        </w:rPr>
        <w:t>Objetivo 7</w:t>
      </w:r>
      <w:r w:rsidRPr="00813DDC">
        <w:rPr>
          <w:rFonts w:cs="Arial"/>
          <w:szCs w:val="24"/>
        </w:rPr>
        <w:t>: “incentivar que escolas públicas do município tratem de questões relacionadas aos quatro sistemas do saneamento básico em suas disciplinas oficiais, incluindo conteúdos que promovam a economia de água pelos usuários”.</w:t>
      </w:r>
    </w:p>
    <w:p w:rsidR="00813DDC" w:rsidRPr="00813DDC" w:rsidRDefault="00813DDC" w:rsidP="00BC01B1">
      <w:pPr>
        <w:pStyle w:val="Ttulo4"/>
      </w:pPr>
      <w:bookmarkStart w:id="1698" w:name="_Toc498680889"/>
      <w:bookmarkStart w:id="1699" w:name="_Toc499019018"/>
      <w:bookmarkStart w:id="1700" w:name="_Toc499106751"/>
      <w:bookmarkStart w:id="1701" w:name="_Toc499107071"/>
      <w:bookmarkStart w:id="1702" w:name="_Toc499107891"/>
      <w:bookmarkStart w:id="1703" w:name="_Toc499108728"/>
      <w:bookmarkStart w:id="1704" w:name="_Toc499109553"/>
      <w:bookmarkStart w:id="1705" w:name="_Toc499109719"/>
      <w:bookmarkStart w:id="1706" w:name="_Toc499709925"/>
      <w:bookmarkStart w:id="1707" w:name="_Toc509935648"/>
      <w:r w:rsidRPr="00813DDC">
        <w:t>Número de disciplinas com conteúdo de saneamento básico por escola</w:t>
      </w:r>
      <w:bookmarkEnd w:id="1698"/>
      <w:bookmarkEnd w:id="1699"/>
      <w:bookmarkEnd w:id="1700"/>
      <w:bookmarkEnd w:id="1701"/>
      <w:bookmarkEnd w:id="1702"/>
      <w:bookmarkEnd w:id="1703"/>
      <w:bookmarkEnd w:id="1704"/>
      <w:bookmarkEnd w:id="1705"/>
      <w:bookmarkEnd w:id="1706"/>
      <w:bookmarkEnd w:id="1707"/>
    </w:p>
    <w:p w:rsidR="00813DDC" w:rsidRPr="00813DDC" w:rsidRDefault="001B481B" w:rsidP="00813DDC">
      <w:pPr>
        <w:ind w:firstLine="709"/>
        <w:jc w:val="both"/>
        <w:rPr>
          <w:rFonts w:cs="Arial"/>
          <w:sz w:val="18"/>
          <w:szCs w:val="18"/>
        </w:rPr>
      </w:pPr>
      <m:oMathPara>
        <m:oMath>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edu. em saneam. na escola 1</m:t>
              </m:r>
            </m:sub>
          </m:sSub>
          <m:r>
            <w:rPr>
              <w:rFonts w:ascii="Cambria Math" w:hAnsi="Cambria Math"/>
              <w:sz w:val="18"/>
              <w:szCs w:val="18"/>
            </w:rPr>
            <m:t>=</m:t>
          </m:r>
          <m:f>
            <m:fPr>
              <m:ctrlPr>
                <w:rPr>
                  <w:rFonts w:ascii="Cambria Math" w:hAnsi="Cambria Math"/>
                  <w:i/>
                  <w:sz w:val="18"/>
                  <w:szCs w:val="18"/>
                </w:rPr>
              </m:ctrlPr>
            </m:fPr>
            <m:num>
              <m:eqArr>
                <m:eqArrPr>
                  <m:ctrlPr>
                    <w:rPr>
                      <w:rFonts w:ascii="Cambria Math" w:hAnsi="Cambria Math"/>
                      <w:i/>
                      <w:sz w:val="18"/>
                      <w:szCs w:val="18"/>
                    </w:rPr>
                  </m:ctrlPr>
                </m:eqArrPr>
                <m:e>
                  <m:r>
                    <w:rPr>
                      <w:rFonts w:ascii="Cambria Math" w:hAnsi="Cambria Math"/>
                      <w:sz w:val="18"/>
                      <w:szCs w:val="18"/>
                    </w:rPr>
                    <m:t xml:space="preserve">Nº de séries para as quais são oferecidas  pelo menos 2 disciplinas com conteúdos  </m:t>
                  </m:r>
                </m:e>
                <m:e>
                  <m:r>
                    <w:rPr>
                      <w:rFonts w:ascii="Cambria Math" w:hAnsi="Cambria Math"/>
                      <w:sz w:val="18"/>
                      <w:szCs w:val="18"/>
                    </w:rPr>
                    <m:t>vo</m:t>
                  </m:r>
                  <m:r>
                    <w:rPr>
                      <w:rFonts w:ascii="Cambria Math" w:hAnsi="Cambria Math"/>
                      <w:sz w:val="18"/>
                      <w:szCs w:val="18"/>
                    </w:rPr>
                    <m:t>ltados ao saneamento básico, na escola 1</m:t>
                  </m:r>
                </m:e>
              </m:eqArr>
            </m:num>
            <m:den>
              <m:r>
                <w:rPr>
                  <w:rFonts w:ascii="Cambria Math" w:hAnsi="Cambria Math"/>
                  <w:sz w:val="18"/>
                  <w:szCs w:val="18"/>
                </w:rPr>
                <m:t>Nº total de séries da escola 1</m:t>
              </m:r>
            </m:den>
          </m:f>
          <m:r>
            <w:rPr>
              <w:rFonts w:ascii="Cambria Math" w:hAnsi="Cambria Math"/>
              <w:sz w:val="18"/>
              <w:szCs w:val="18"/>
            </w:rPr>
            <m:t xml:space="preserve"> x 100</m:t>
          </m:r>
        </m:oMath>
      </m:oMathPara>
    </w:p>
    <w:p w:rsidR="00813DDC" w:rsidRPr="00813DDC" w:rsidRDefault="00813DDC" w:rsidP="00813DDC">
      <w:pPr>
        <w:ind w:firstLine="709"/>
        <w:jc w:val="both"/>
        <w:rPr>
          <w:rFonts w:cs="Arial"/>
          <w:szCs w:val="24"/>
        </w:rPr>
      </w:pPr>
    </w:p>
    <w:p w:rsidR="00813DDC" w:rsidRPr="00813DDC" w:rsidRDefault="00813DDC" w:rsidP="00813DDC">
      <w:pPr>
        <w:ind w:firstLine="709"/>
        <w:jc w:val="both"/>
        <w:rPr>
          <w:rFonts w:cs="Arial"/>
          <w:szCs w:val="24"/>
        </w:rPr>
      </w:pPr>
      <w:r w:rsidRPr="00813DDC">
        <w:rPr>
          <w:rFonts w:cs="Arial"/>
          <w:szCs w:val="24"/>
        </w:rPr>
        <w:t>O ideal é que seja esse indicador seja 100 % demonstrando que todas as séries oferecem em pelo menos duas disciplinas, ainda que transversalmente, conteúdos relacionados ao saneamento básico. Este indicador deve ser calculado pelo setor supervisor por meio da aplicação de um questionário padrão a cada escola pública do município.</w:t>
      </w:r>
    </w:p>
    <w:p w:rsidR="00813DDC" w:rsidRPr="00813DDC" w:rsidRDefault="00813DDC" w:rsidP="00BC01B1">
      <w:pPr>
        <w:pStyle w:val="Ttulo4"/>
      </w:pPr>
      <w:bookmarkStart w:id="1708" w:name="_Toc499019019"/>
      <w:bookmarkStart w:id="1709" w:name="_Toc499106752"/>
      <w:bookmarkStart w:id="1710" w:name="_Toc499107072"/>
      <w:bookmarkStart w:id="1711" w:name="_Toc499107892"/>
      <w:bookmarkStart w:id="1712" w:name="_Toc499108729"/>
      <w:bookmarkStart w:id="1713" w:name="_Toc499109554"/>
      <w:bookmarkStart w:id="1714" w:name="_Toc499109720"/>
      <w:bookmarkStart w:id="1715" w:name="_Toc499709926"/>
      <w:bookmarkStart w:id="1716" w:name="_Toc509935649"/>
      <w:r w:rsidRPr="00813DDC">
        <w:t>Índice Municipal de Educação em Saneamento Básico</w:t>
      </w:r>
      <w:bookmarkEnd w:id="1708"/>
      <w:bookmarkEnd w:id="1709"/>
      <w:bookmarkEnd w:id="1710"/>
      <w:bookmarkEnd w:id="1711"/>
      <w:bookmarkEnd w:id="1712"/>
      <w:bookmarkEnd w:id="1713"/>
      <w:bookmarkEnd w:id="1714"/>
      <w:bookmarkEnd w:id="1715"/>
      <w:bookmarkEnd w:id="1716"/>
    </w:p>
    <w:p w:rsidR="00813DDC" w:rsidRPr="00813DDC" w:rsidRDefault="00813DDC" w:rsidP="00813DDC">
      <w:pPr>
        <w:ind w:firstLine="709"/>
        <w:jc w:val="both"/>
        <w:rPr>
          <w:rFonts w:cs="Arial"/>
          <w:szCs w:val="24"/>
        </w:rPr>
      </w:pPr>
      <w:r w:rsidRPr="00813DDC">
        <w:rPr>
          <w:rFonts w:cs="Arial"/>
          <w:szCs w:val="24"/>
        </w:rPr>
        <w:t>O índice municipal de educação em saneamento básico é dado pela média dos índices em saneamento básico de cada escola pública do município ponderada pelo número de alunos de cada escola considerada.</w:t>
      </w:r>
    </w:p>
    <w:p w:rsidR="00813DDC" w:rsidRPr="00813DDC" w:rsidRDefault="00813DDC" w:rsidP="00813DDC">
      <w:pPr>
        <w:ind w:firstLine="709"/>
        <w:jc w:val="both"/>
        <w:rPr>
          <w:rFonts w:cs="Arial"/>
          <w:szCs w:val="24"/>
        </w:rPr>
      </w:pPr>
    </w:p>
    <w:p w:rsidR="00813DDC" w:rsidRPr="00813DDC" w:rsidRDefault="00813DDC" w:rsidP="00813DDC">
      <w:pPr>
        <w:ind w:firstLine="709"/>
        <w:jc w:val="both"/>
        <w:rPr>
          <w:rFonts w:cs="Arial"/>
          <w:szCs w:val="24"/>
        </w:rPr>
      </w:pPr>
      <m:oMathPara>
        <m:oMath>
          <m:r>
            <w:rPr>
              <w:rFonts w:ascii="Cambria Math" w:hAnsi="Cambria Math"/>
              <w:sz w:val="18"/>
              <w:szCs w:val="18"/>
            </w:rPr>
            <m:t>Índice de educ. =</m:t>
          </m:r>
          <m:f>
            <m:fPr>
              <m:ctrlPr>
                <w:rPr>
                  <w:rFonts w:ascii="Cambria Math" w:hAnsi="Cambria Math"/>
                  <w:i/>
                  <w:sz w:val="18"/>
                  <w:szCs w:val="18"/>
                </w:rPr>
              </m:ctrlPr>
            </m:fPr>
            <m:num>
              <m:d>
                <m:dPr>
                  <m:ctrlPr>
                    <w:rPr>
                      <w:rFonts w:ascii="Cambria Math" w:hAnsi="Cambria Math"/>
                      <w:i/>
                      <w:sz w:val="18"/>
                      <w:szCs w:val="18"/>
                    </w:rPr>
                  </m:ctrlPr>
                </m:dPr>
                <m:e>
                  <m:r>
                    <w:rPr>
                      <w:rFonts w:ascii="Cambria Math" w:hAnsi="Cambria Math"/>
                      <w:sz w:val="18"/>
                      <w:szCs w:val="18"/>
                    </w:rPr>
                    <m:t>Índice da escol</m:t>
                  </m:r>
                  <m:r>
                    <w:rPr>
                      <w:rFonts w:ascii="Cambria Math" w:hAnsi="Cambria Math"/>
                      <w:sz w:val="18"/>
                      <w:szCs w:val="18"/>
                    </w:rPr>
                    <m:t>a 1 x nº de séries da escola 1</m:t>
                  </m:r>
                </m:e>
              </m:d>
              <m:r>
                <w:rPr>
                  <w:rFonts w:ascii="Cambria Math" w:hAnsi="Cambria Math"/>
                  <w:sz w:val="18"/>
                  <w:szCs w:val="18"/>
                </w:rPr>
                <m:t>+…+(Índice da escola n x nº de séries da escola n</m:t>
              </m:r>
            </m:num>
            <m:den>
              <m:r>
                <w:rPr>
                  <w:rFonts w:ascii="Cambria Math" w:hAnsi="Cambria Math"/>
                  <w:sz w:val="18"/>
                  <w:szCs w:val="18"/>
                </w:rPr>
                <m:t>Número total de séries</m:t>
              </m:r>
            </m:den>
          </m:f>
        </m:oMath>
      </m:oMathPara>
    </w:p>
    <w:p w:rsidR="00813DDC" w:rsidRPr="00813DDC" w:rsidRDefault="00813DDC" w:rsidP="00813DDC">
      <w:pPr>
        <w:ind w:firstLine="709"/>
        <w:jc w:val="both"/>
        <w:rPr>
          <w:rFonts w:cs="Arial"/>
          <w:szCs w:val="24"/>
        </w:rPr>
      </w:pPr>
    </w:p>
    <w:p w:rsidR="00813DDC" w:rsidRPr="00813DDC" w:rsidRDefault="00813DDC" w:rsidP="00BC01B1">
      <w:pPr>
        <w:pStyle w:val="SHS-Ttulo02"/>
      </w:pPr>
      <w:bookmarkStart w:id="1717" w:name="_Toc438024874"/>
      <w:bookmarkStart w:id="1718" w:name="_Toc453769327"/>
      <w:bookmarkStart w:id="1719" w:name="_Toc453771194"/>
      <w:bookmarkStart w:id="1720" w:name="_Toc453833742"/>
      <w:bookmarkStart w:id="1721" w:name="_Toc499019020"/>
      <w:bookmarkStart w:id="1722" w:name="_Toc499106753"/>
      <w:bookmarkStart w:id="1723" w:name="_Toc499107073"/>
      <w:bookmarkStart w:id="1724" w:name="_Toc499107893"/>
      <w:bookmarkStart w:id="1725" w:name="_Toc499108730"/>
      <w:bookmarkStart w:id="1726" w:name="_Toc499109555"/>
      <w:bookmarkStart w:id="1727" w:name="_Toc499109721"/>
      <w:bookmarkStart w:id="1728" w:name="_Toc499709927"/>
      <w:bookmarkStart w:id="1729" w:name="_Toc509935650"/>
      <w:bookmarkStart w:id="1730" w:name="_Toc438024880"/>
      <w:bookmarkStart w:id="1731" w:name="_Toc453769373"/>
      <w:bookmarkStart w:id="1732" w:name="_Toc453771240"/>
      <w:bookmarkStart w:id="1733" w:name="_Toc453833788"/>
      <w:bookmarkStart w:id="1734" w:name="_Toc438024883"/>
      <w:bookmarkStart w:id="1735" w:name="_Ref440291196"/>
      <w:bookmarkStart w:id="1736" w:name="_Ref440531306"/>
      <w:bookmarkStart w:id="1737" w:name="_Toc453769398"/>
      <w:bookmarkStart w:id="1738" w:name="_Toc453771265"/>
      <w:bookmarkStart w:id="1739" w:name="_Toc453833813"/>
      <w:r w:rsidRPr="00813DDC">
        <w:t>Sistema de Abastecimento de Água</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rsidR="00813DDC" w:rsidRPr="00813DDC" w:rsidRDefault="00813DDC" w:rsidP="00813DDC">
      <w:pPr>
        <w:spacing w:before="120" w:after="120"/>
        <w:ind w:firstLine="708"/>
        <w:contextualSpacing/>
        <w:jc w:val="both"/>
        <w:rPr>
          <w:rFonts w:cs="Arial"/>
          <w:szCs w:val="24"/>
        </w:rPr>
      </w:pPr>
      <w:r w:rsidRPr="00813DDC">
        <w:rPr>
          <w:rFonts w:cs="Arial"/>
          <w:szCs w:val="24"/>
        </w:rPr>
        <w:t xml:space="preserve">A seguir são listados os indicadores propostos, por objetivo, para a avaliação do desempenho do Sistema de Abastecimento de Água em </w:t>
      </w:r>
      <w:r w:rsidRPr="00813DDC">
        <w:rPr>
          <w:rFonts w:cs="Arial"/>
          <w:color w:val="000000"/>
          <w:szCs w:val="24"/>
          <w:shd w:val="clear" w:color="auto" w:fill="FFFFFF"/>
        </w:rPr>
        <w:t>Córrego Novo</w:t>
      </w:r>
      <w:r w:rsidRPr="00813DDC">
        <w:rPr>
          <w:rFonts w:cs="Arial"/>
          <w:szCs w:val="24"/>
        </w:rPr>
        <w:t>.</w:t>
      </w:r>
    </w:p>
    <w:p w:rsidR="00813DDC" w:rsidRPr="00813DDC" w:rsidRDefault="00813DDC" w:rsidP="0066661F">
      <w:pPr>
        <w:numPr>
          <w:ilvl w:val="0"/>
          <w:numId w:val="96"/>
        </w:numPr>
        <w:ind w:left="2062" w:hanging="1560"/>
        <w:contextualSpacing/>
        <w:jc w:val="both"/>
        <w:rPr>
          <w:rFonts w:eastAsia="Times New Roman"/>
          <w:szCs w:val="24"/>
        </w:rPr>
      </w:pPr>
      <w:r w:rsidRPr="00813DDC">
        <w:rPr>
          <w:rFonts w:eastAsia="Times New Roman"/>
          <w:szCs w:val="24"/>
        </w:rPr>
        <w:t>Atender com água potável a 100 % dos domicílios urbanos de forma ininterrupta e monitorar a qualidade da água consumida em 100 % dos domicílios rurais e de sistemas particulares.</w:t>
      </w:r>
    </w:p>
    <w:p w:rsidR="00813DDC" w:rsidRPr="00813DDC" w:rsidRDefault="00813DDC" w:rsidP="0066661F">
      <w:pPr>
        <w:numPr>
          <w:ilvl w:val="0"/>
          <w:numId w:val="98"/>
        </w:numPr>
        <w:ind w:left="2410"/>
        <w:contextualSpacing/>
        <w:jc w:val="both"/>
        <w:rPr>
          <w:rFonts w:eastAsia="Times New Roman"/>
          <w:szCs w:val="24"/>
        </w:rPr>
      </w:pPr>
      <w:r w:rsidRPr="00813DDC">
        <w:rPr>
          <w:rFonts w:eastAsia="Times New Roman"/>
          <w:szCs w:val="24"/>
        </w:rPr>
        <w:t>Indicadores</w:t>
      </w:r>
    </w:p>
    <w:p w:rsidR="00813DDC" w:rsidRPr="00813DDC" w:rsidRDefault="00813DDC" w:rsidP="0066661F">
      <w:pPr>
        <w:numPr>
          <w:ilvl w:val="0"/>
          <w:numId w:val="97"/>
        </w:numPr>
        <w:contextualSpacing/>
        <w:jc w:val="both"/>
        <w:rPr>
          <w:rFonts w:eastAsia="Times New Roman"/>
          <w:szCs w:val="24"/>
        </w:rPr>
      </w:pPr>
      <w:r w:rsidRPr="00813DDC">
        <w:rPr>
          <w:rFonts w:eastAsia="Times New Roman"/>
          <w:szCs w:val="20"/>
        </w:rPr>
        <w:t>Índice de atendimento total de água.</w:t>
      </w:r>
    </w:p>
    <w:p w:rsidR="00813DDC" w:rsidRPr="00813DDC" w:rsidRDefault="00813DDC" w:rsidP="0066661F">
      <w:pPr>
        <w:numPr>
          <w:ilvl w:val="0"/>
          <w:numId w:val="97"/>
        </w:numPr>
        <w:contextualSpacing/>
        <w:jc w:val="both"/>
        <w:rPr>
          <w:rFonts w:eastAsia="Times New Roman"/>
          <w:szCs w:val="24"/>
        </w:rPr>
      </w:pPr>
      <w:r w:rsidRPr="00813DDC">
        <w:rPr>
          <w:rFonts w:eastAsia="Times New Roman"/>
          <w:szCs w:val="20"/>
        </w:rPr>
        <w:t>Índice de atendimento urbano de água.</w:t>
      </w:r>
    </w:p>
    <w:p w:rsidR="00813DDC" w:rsidRPr="00813DDC" w:rsidRDefault="00813DDC" w:rsidP="0066661F">
      <w:pPr>
        <w:numPr>
          <w:ilvl w:val="0"/>
          <w:numId w:val="97"/>
        </w:numPr>
        <w:contextualSpacing/>
        <w:jc w:val="both"/>
        <w:rPr>
          <w:rFonts w:eastAsia="Times New Roman"/>
          <w:szCs w:val="24"/>
        </w:rPr>
      </w:pPr>
      <w:r w:rsidRPr="00813DDC">
        <w:rPr>
          <w:rFonts w:eastAsia="Times New Roman"/>
          <w:szCs w:val="24"/>
        </w:rPr>
        <w:lastRenderedPageBreak/>
        <w:t>Índice de abastecimento rural de água.</w:t>
      </w:r>
    </w:p>
    <w:p w:rsidR="00813DDC" w:rsidRPr="00813DDC" w:rsidRDefault="00813DDC" w:rsidP="0066661F">
      <w:pPr>
        <w:numPr>
          <w:ilvl w:val="0"/>
          <w:numId w:val="97"/>
        </w:numPr>
        <w:contextualSpacing/>
        <w:jc w:val="both"/>
        <w:rPr>
          <w:rFonts w:eastAsia="Times New Roman"/>
          <w:szCs w:val="24"/>
        </w:rPr>
      </w:pPr>
      <w:r w:rsidRPr="00813DDC">
        <w:rPr>
          <w:rFonts w:eastAsia="Times New Roman"/>
          <w:szCs w:val="24"/>
        </w:rPr>
        <w:t>Índice de monitoramento de poços particulares.</w:t>
      </w:r>
    </w:p>
    <w:p w:rsidR="00813DDC" w:rsidRPr="00813DDC" w:rsidRDefault="00813DDC" w:rsidP="0066661F">
      <w:pPr>
        <w:numPr>
          <w:ilvl w:val="0"/>
          <w:numId w:val="97"/>
        </w:numPr>
        <w:contextualSpacing/>
        <w:jc w:val="both"/>
        <w:rPr>
          <w:rFonts w:eastAsia="Times New Roman"/>
          <w:szCs w:val="24"/>
        </w:rPr>
      </w:pPr>
      <w:r w:rsidRPr="00813DDC">
        <w:rPr>
          <w:rFonts w:eastAsia="Times New Roman"/>
          <w:szCs w:val="24"/>
        </w:rPr>
        <w:t>Economias atingidas por paralisações.</w:t>
      </w:r>
    </w:p>
    <w:p w:rsidR="00813DDC" w:rsidRPr="00813DDC" w:rsidRDefault="00813DDC" w:rsidP="0066661F">
      <w:pPr>
        <w:numPr>
          <w:ilvl w:val="0"/>
          <w:numId w:val="97"/>
        </w:numPr>
        <w:contextualSpacing/>
        <w:jc w:val="both"/>
        <w:rPr>
          <w:rFonts w:eastAsia="Times New Roman"/>
          <w:szCs w:val="24"/>
        </w:rPr>
      </w:pPr>
      <w:r w:rsidRPr="00813DDC">
        <w:rPr>
          <w:rFonts w:eastAsia="Times New Roman"/>
          <w:szCs w:val="24"/>
        </w:rPr>
        <w:t>Duração média das paralisações.</w:t>
      </w:r>
    </w:p>
    <w:p w:rsidR="00813DDC" w:rsidRPr="00813DDC" w:rsidRDefault="00813DDC" w:rsidP="0066661F">
      <w:pPr>
        <w:numPr>
          <w:ilvl w:val="0"/>
          <w:numId w:val="97"/>
        </w:numPr>
        <w:contextualSpacing/>
        <w:jc w:val="both"/>
        <w:rPr>
          <w:rFonts w:eastAsia="Times New Roman"/>
          <w:szCs w:val="24"/>
        </w:rPr>
      </w:pPr>
      <w:r w:rsidRPr="00813DDC">
        <w:rPr>
          <w:rFonts w:eastAsia="Times New Roman"/>
          <w:szCs w:val="24"/>
        </w:rPr>
        <w:t>Incidência das análises de cloro residual fora do padrão.</w:t>
      </w:r>
    </w:p>
    <w:p w:rsidR="00813DDC" w:rsidRPr="00813DDC" w:rsidRDefault="00813DDC" w:rsidP="0066661F">
      <w:pPr>
        <w:numPr>
          <w:ilvl w:val="0"/>
          <w:numId w:val="97"/>
        </w:numPr>
        <w:contextualSpacing/>
        <w:jc w:val="both"/>
        <w:rPr>
          <w:rFonts w:eastAsia="Times New Roman"/>
          <w:szCs w:val="24"/>
        </w:rPr>
      </w:pPr>
      <w:r w:rsidRPr="00813DDC">
        <w:rPr>
          <w:rFonts w:eastAsia="Times New Roman"/>
          <w:szCs w:val="24"/>
        </w:rPr>
        <w:t>Incidência das análises de turbidez fora do padrão.</w:t>
      </w:r>
    </w:p>
    <w:p w:rsidR="00813DDC" w:rsidRPr="00813DDC" w:rsidRDefault="00813DDC" w:rsidP="0066661F">
      <w:pPr>
        <w:numPr>
          <w:ilvl w:val="0"/>
          <w:numId w:val="97"/>
        </w:numPr>
        <w:contextualSpacing/>
        <w:jc w:val="both"/>
        <w:rPr>
          <w:rFonts w:eastAsia="Times New Roman"/>
          <w:szCs w:val="24"/>
        </w:rPr>
      </w:pPr>
      <w:r w:rsidRPr="00813DDC">
        <w:rPr>
          <w:rFonts w:eastAsia="Times New Roman"/>
          <w:szCs w:val="24"/>
        </w:rPr>
        <w:t>Índice de conformidade da quantidade de amostras - cloro residual.</w:t>
      </w:r>
    </w:p>
    <w:p w:rsidR="00813DDC" w:rsidRPr="00813DDC" w:rsidRDefault="00813DDC" w:rsidP="0066661F">
      <w:pPr>
        <w:numPr>
          <w:ilvl w:val="0"/>
          <w:numId w:val="97"/>
        </w:numPr>
        <w:contextualSpacing/>
        <w:jc w:val="both"/>
        <w:rPr>
          <w:rFonts w:eastAsia="Times New Roman"/>
          <w:szCs w:val="24"/>
        </w:rPr>
      </w:pPr>
      <w:r w:rsidRPr="00813DDC">
        <w:rPr>
          <w:rFonts w:eastAsia="Times New Roman"/>
          <w:szCs w:val="24"/>
        </w:rPr>
        <w:t>Índice de conformidade da quantidade de amostras - turbidez.</w:t>
      </w:r>
    </w:p>
    <w:p w:rsidR="00813DDC" w:rsidRPr="00813DDC" w:rsidRDefault="00813DDC" w:rsidP="0066661F">
      <w:pPr>
        <w:numPr>
          <w:ilvl w:val="0"/>
          <w:numId w:val="96"/>
        </w:numPr>
        <w:ind w:left="2062" w:hanging="1560"/>
        <w:contextualSpacing/>
        <w:jc w:val="both"/>
        <w:rPr>
          <w:rFonts w:eastAsia="Times New Roman"/>
          <w:szCs w:val="24"/>
        </w:rPr>
      </w:pPr>
      <w:r w:rsidRPr="00813DDC">
        <w:rPr>
          <w:rFonts w:eastAsia="Times New Roman"/>
          <w:szCs w:val="24"/>
        </w:rPr>
        <w:t>Reduzir as perdas de água e promover o uso racional da água.</w:t>
      </w:r>
    </w:p>
    <w:p w:rsidR="00813DDC" w:rsidRPr="00813DDC" w:rsidRDefault="00813DDC" w:rsidP="0066661F">
      <w:pPr>
        <w:numPr>
          <w:ilvl w:val="0"/>
          <w:numId w:val="98"/>
        </w:numPr>
        <w:ind w:left="2410"/>
        <w:contextualSpacing/>
        <w:jc w:val="both"/>
        <w:rPr>
          <w:rFonts w:eastAsia="Times New Roman"/>
          <w:szCs w:val="24"/>
        </w:rPr>
      </w:pPr>
      <w:r w:rsidRPr="00813DDC">
        <w:rPr>
          <w:rFonts w:eastAsia="Times New Roman"/>
          <w:szCs w:val="24"/>
        </w:rPr>
        <w:t>Indicadores</w:t>
      </w:r>
    </w:p>
    <w:p w:rsidR="00813DDC" w:rsidRPr="00813DDC" w:rsidRDefault="00813DDC" w:rsidP="0066661F">
      <w:pPr>
        <w:numPr>
          <w:ilvl w:val="0"/>
          <w:numId w:val="97"/>
        </w:numPr>
        <w:contextualSpacing/>
        <w:jc w:val="both"/>
        <w:rPr>
          <w:rFonts w:eastAsia="Times New Roman"/>
          <w:szCs w:val="24"/>
        </w:rPr>
      </w:pPr>
      <w:r w:rsidRPr="00813DDC">
        <w:rPr>
          <w:rFonts w:eastAsia="Times New Roman"/>
          <w:szCs w:val="24"/>
        </w:rPr>
        <w:t>Índice de perdas na distribuição de água.</w:t>
      </w:r>
    </w:p>
    <w:p w:rsidR="00813DDC" w:rsidRPr="00813DDC" w:rsidRDefault="00813DDC" w:rsidP="0066661F">
      <w:pPr>
        <w:numPr>
          <w:ilvl w:val="0"/>
          <w:numId w:val="97"/>
        </w:numPr>
        <w:contextualSpacing/>
        <w:jc w:val="both"/>
        <w:rPr>
          <w:rFonts w:eastAsia="Times New Roman"/>
          <w:szCs w:val="24"/>
        </w:rPr>
      </w:pPr>
      <w:r w:rsidRPr="00813DDC">
        <w:rPr>
          <w:rFonts w:eastAsia="Times New Roman"/>
          <w:szCs w:val="24"/>
        </w:rPr>
        <w:t xml:space="preserve">Consumo médio </w:t>
      </w:r>
      <w:r w:rsidRPr="00813DDC">
        <w:rPr>
          <w:rFonts w:eastAsia="Times New Roman"/>
          <w:i/>
          <w:szCs w:val="24"/>
        </w:rPr>
        <w:t>per capita</w:t>
      </w:r>
      <w:r w:rsidRPr="00813DDC">
        <w:rPr>
          <w:rFonts w:eastAsia="Times New Roman"/>
          <w:szCs w:val="24"/>
        </w:rPr>
        <w:t xml:space="preserve"> de água.</w:t>
      </w:r>
    </w:p>
    <w:p w:rsidR="00813DDC" w:rsidRPr="00813DDC" w:rsidRDefault="00813DDC" w:rsidP="0066661F">
      <w:pPr>
        <w:numPr>
          <w:ilvl w:val="0"/>
          <w:numId w:val="96"/>
        </w:numPr>
        <w:ind w:left="2062" w:hanging="1560"/>
        <w:contextualSpacing/>
        <w:jc w:val="both"/>
        <w:rPr>
          <w:rFonts w:eastAsia="Times New Roman"/>
          <w:szCs w:val="24"/>
        </w:rPr>
      </w:pPr>
      <w:r w:rsidRPr="00813DDC">
        <w:rPr>
          <w:rFonts w:eastAsia="Times New Roman"/>
          <w:szCs w:val="24"/>
        </w:rPr>
        <w:t>Implementar para o SAA do município uma gestão eficiente no que concerne aos aspectos administrativos, operacionais, financeiros, de planejamento estratégico e de sustentabilidade, além de definir instrumentos legais que garantam a regulação do setor e a observação das diretrizes aprovadas no presente PMSB.</w:t>
      </w:r>
    </w:p>
    <w:p w:rsidR="00813DDC" w:rsidRPr="00813DDC" w:rsidRDefault="00813DDC" w:rsidP="0066661F">
      <w:pPr>
        <w:numPr>
          <w:ilvl w:val="0"/>
          <w:numId w:val="98"/>
        </w:numPr>
        <w:ind w:left="2410"/>
        <w:contextualSpacing/>
        <w:jc w:val="both"/>
        <w:rPr>
          <w:rFonts w:eastAsia="Times New Roman"/>
          <w:szCs w:val="24"/>
        </w:rPr>
      </w:pPr>
      <w:r w:rsidRPr="00813DDC">
        <w:rPr>
          <w:rFonts w:eastAsia="Times New Roman"/>
          <w:szCs w:val="24"/>
        </w:rPr>
        <w:t>Indicadores</w:t>
      </w:r>
    </w:p>
    <w:p w:rsidR="00813DDC" w:rsidRPr="00813DDC" w:rsidRDefault="00813DDC" w:rsidP="0066661F">
      <w:pPr>
        <w:numPr>
          <w:ilvl w:val="0"/>
          <w:numId w:val="97"/>
        </w:numPr>
        <w:contextualSpacing/>
        <w:jc w:val="both"/>
        <w:rPr>
          <w:rFonts w:eastAsia="Times New Roman"/>
          <w:szCs w:val="24"/>
        </w:rPr>
      </w:pPr>
      <w:r w:rsidRPr="00813DDC">
        <w:rPr>
          <w:rFonts w:eastAsia="Times New Roman"/>
          <w:szCs w:val="24"/>
        </w:rPr>
        <w:t>Índice de atendimento às ações propostas para o SAA.</w:t>
      </w:r>
    </w:p>
    <w:p w:rsidR="00813DDC" w:rsidRPr="00813DDC" w:rsidRDefault="00813DDC" w:rsidP="0066661F">
      <w:pPr>
        <w:numPr>
          <w:ilvl w:val="0"/>
          <w:numId w:val="97"/>
        </w:numPr>
        <w:contextualSpacing/>
        <w:jc w:val="both"/>
        <w:rPr>
          <w:rFonts w:eastAsia="Times New Roman"/>
          <w:szCs w:val="24"/>
        </w:rPr>
      </w:pPr>
      <w:r w:rsidRPr="00813DDC">
        <w:rPr>
          <w:rFonts w:eastAsia="Times New Roman"/>
          <w:szCs w:val="24"/>
        </w:rPr>
        <w:t>Tarifa média de água.</w:t>
      </w:r>
    </w:p>
    <w:p w:rsidR="00813DDC" w:rsidRPr="00813DDC" w:rsidRDefault="00813DDC" w:rsidP="0066661F">
      <w:pPr>
        <w:numPr>
          <w:ilvl w:val="0"/>
          <w:numId w:val="97"/>
        </w:numPr>
        <w:contextualSpacing/>
        <w:jc w:val="both"/>
        <w:rPr>
          <w:rFonts w:eastAsia="Times New Roman"/>
          <w:szCs w:val="24"/>
        </w:rPr>
      </w:pPr>
      <w:r w:rsidRPr="00813DDC">
        <w:rPr>
          <w:rFonts w:eastAsia="Times New Roman"/>
          <w:szCs w:val="24"/>
        </w:rPr>
        <w:t>Margem da despesa de exploração.</w:t>
      </w:r>
    </w:p>
    <w:p w:rsidR="00813DDC" w:rsidRPr="00813DDC" w:rsidRDefault="00813DDC" w:rsidP="0066661F">
      <w:pPr>
        <w:numPr>
          <w:ilvl w:val="0"/>
          <w:numId w:val="97"/>
        </w:numPr>
        <w:contextualSpacing/>
        <w:jc w:val="both"/>
        <w:rPr>
          <w:rFonts w:eastAsia="Times New Roman"/>
          <w:szCs w:val="24"/>
        </w:rPr>
      </w:pPr>
      <w:r w:rsidRPr="00813DDC">
        <w:rPr>
          <w:rFonts w:eastAsia="Times New Roman"/>
          <w:szCs w:val="24"/>
        </w:rPr>
        <w:t>Indicador de desempenho financeiro.</w:t>
      </w:r>
    </w:p>
    <w:p w:rsidR="00813DDC" w:rsidRPr="00813DDC" w:rsidRDefault="00813DDC" w:rsidP="0066661F">
      <w:pPr>
        <w:numPr>
          <w:ilvl w:val="0"/>
          <w:numId w:val="96"/>
        </w:numPr>
        <w:ind w:left="2062" w:hanging="1560"/>
        <w:contextualSpacing/>
        <w:jc w:val="both"/>
        <w:rPr>
          <w:rFonts w:eastAsia="Times New Roman"/>
          <w:szCs w:val="24"/>
        </w:rPr>
      </w:pPr>
      <w:r w:rsidRPr="00813DDC">
        <w:rPr>
          <w:rFonts w:eastAsia="Times New Roman"/>
          <w:szCs w:val="24"/>
        </w:rPr>
        <w:t>Alcançar o pleno atendimento à legislação ambiental aplicável em todos os subprocessos integrantes do SAA (captação, adução, tratamento, reservação e distribuição).</w:t>
      </w:r>
    </w:p>
    <w:p w:rsidR="00813DDC" w:rsidRPr="00813DDC" w:rsidRDefault="00813DDC" w:rsidP="0066661F">
      <w:pPr>
        <w:numPr>
          <w:ilvl w:val="0"/>
          <w:numId w:val="98"/>
        </w:numPr>
        <w:ind w:left="2410"/>
        <w:contextualSpacing/>
        <w:jc w:val="both"/>
        <w:rPr>
          <w:rFonts w:eastAsia="Times New Roman"/>
          <w:szCs w:val="24"/>
        </w:rPr>
      </w:pPr>
      <w:r w:rsidRPr="00813DDC">
        <w:rPr>
          <w:rFonts w:eastAsia="Times New Roman"/>
          <w:szCs w:val="24"/>
        </w:rPr>
        <w:t>Indicadores</w:t>
      </w:r>
    </w:p>
    <w:p w:rsidR="00813DDC" w:rsidRPr="00813DDC" w:rsidRDefault="00813DDC" w:rsidP="0066661F">
      <w:pPr>
        <w:numPr>
          <w:ilvl w:val="0"/>
          <w:numId w:val="97"/>
        </w:numPr>
        <w:contextualSpacing/>
        <w:jc w:val="both"/>
        <w:rPr>
          <w:rFonts w:eastAsia="Times New Roman"/>
          <w:szCs w:val="24"/>
        </w:rPr>
      </w:pPr>
      <w:r w:rsidRPr="00813DDC">
        <w:rPr>
          <w:rFonts w:eastAsia="Times New Roman"/>
          <w:szCs w:val="24"/>
        </w:rPr>
        <w:t>Índice de monitoramento da regularidade das outorgas.</w:t>
      </w:r>
    </w:p>
    <w:p w:rsidR="00813DDC" w:rsidRPr="00813DDC" w:rsidRDefault="00813DDC" w:rsidP="0066661F">
      <w:pPr>
        <w:numPr>
          <w:ilvl w:val="0"/>
          <w:numId w:val="97"/>
        </w:numPr>
        <w:contextualSpacing/>
        <w:jc w:val="both"/>
        <w:rPr>
          <w:rFonts w:eastAsia="Times New Roman"/>
          <w:szCs w:val="24"/>
        </w:rPr>
      </w:pPr>
      <w:r w:rsidRPr="00813DDC">
        <w:rPr>
          <w:rFonts w:eastAsia="Times New Roman"/>
          <w:szCs w:val="24"/>
        </w:rPr>
        <w:t>Índice de monitoramento da regularidade das licenças ambientais.</w:t>
      </w:r>
    </w:p>
    <w:p w:rsidR="00813DDC" w:rsidRPr="00813DDC" w:rsidRDefault="00813DDC" w:rsidP="0066661F">
      <w:pPr>
        <w:numPr>
          <w:ilvl w:val="0"/>
          <w:numId w:val="96"/>
        </w:numPr>
        <w:ind w:left="2062" w:hanging="1560"/>
        <w:contextualSpacing/>
        <w:jc w:val="both"/>
        <w:rPr>
          <w:rFonts w:eastAsia="Times New Roman"/>
          <w:szCs w:val="24"/>
        </w:rPr>
      </w:pPr>
      <w:r w:rsidRPr="00813DDC">
        <w:rPr>
          <w:rFonts w:eastAsia="Times New Roman"/>
          <w:szCs w:val="24"/>
        </w:rPr>
        <w:lastRenderedPageBreak/>
        <w:t>Garantir a mobilização social e canais de comunicação com a sociedade, além de promover ações para a avaliação periódica da percepção dos usuários e para a promoção de educação ambiental.</w:t>
      </w:r>
    </w:p>
    <w:p w:rsidR="00813DDC" w:rsidRPr="00813DDC" w:rsidRDefault="00813DDC" w:rsidP="0066661F">
      <w:pPr>
        <w:numPr>
          <w:ilvl w:val="0"/>
          <w:numId w:val="98"/>
        </w:numPr>
        <w:ind w:left="2410"/>
        <w:contextualSpacing/>
        <w:jc w:val="both"/>
        <w:rPr>
          <w:rFonts w:eastAsia="Times New Roman"/>
          <w:szCs w:val="24"/>
        </w:rPr>
      </w:pPr>
      <w:r w:rsidRPr="00813DDC">
        <w:rPr>
          <w:rFonts w:eastAsia="Times New Roman"/>
          <w:szCs w:val="24"/>
        </w:rPr>
        <w:t>Indicadores</w:t>
      </w:r>
    </w:p>
    <w:p w:rsidR="00813DDC" w:rsidRPr="00813DDC" w:rsidRDefault="00813DDC" w:rsidP="0066661F">
      <w:pPr>
        <w:numPr>
          <w:ilvl w:val="0"/>
          <w:numId w:val="97"/>
        </w:numPr>
        <w:contextualSpacing/>
        <w:jc w:val="both"/>
        <w:rPr>
          <w:rFonts w:eastAsia="Times New Roman"/>
          <w:szCs w:val="24"/>
        </w:rPr>
      </w:pPr>
      <w:r w:rsidRPr="00813DDC">
        <w:rPr>
          <w:rFonts w:eastAsia="Times New Roman"/>
          <w:szCs w:val="24"/>
        </w:rPr>
        <w:t>Índice de respostas satisfatórias à pesquisa de satisfação.</w:t>
      </w:r>
    </w:p>
    <w:p w:rsidR="00813DDC" w:rsidRPr="00813DDC" w:rsidRDefault="00813DDC" w:rsidP="0066661F">
      <w:pPr>
        <w:numPr>
          <w:ilvl w:val="0"/>
          <w:numId w:val="97"/>
        </w:numPr>
        <w:contextualSpacing/>
        <w:jc w:val="both"/>
        <w:rPr>
          <w:rFonts w:eastAsia="Times New Roman"/>
          <w:szCs w:val="24"/>
        </w:rPr>
      </w:pPr>
      <w:r w:rsidRPr="00813DDC">
        <w:rPr>
          <w:rFonts w:eastAsia="Times New Roman"/>
          <w:szCs w:val="24"/>
        </w:rPr>
        <w:t>Evolução do número de eventos oficiais realizados por ano no município, que envolvam temas de saneamento básico.</w:t>
      </w:r>
    </w:p>
    <w:p w:rsidR="00813DDC" w:rsidRPr="00813DDC" w:rsidRDefault="00813DDC" w:rsidP="00813DDC">
      <w:pPr>
        <w:ind w:left="2062"/>
        <w:contextualSpacing/>
        <w:jc w:val="both"/>
        <w:rPr>
          <w:rFonts w:eastAsia="Times New Roman"/>
          <w:b/>
          <w:sz w:val="2"/>
          <w:szCs w:val="2"/>
        </w:rPr>
      </w:pPr>
    </w:p>
    <w:p w:rsidR="00813DDC" w:rsidRPr="00813DDC" w:rsidRDefault="00813DDC" w:rsidP="00813DDC">
      <w:pPr>
        <w:spacing w:before="120" w:after="120"/>
        <w:ind w:firstLine="708"/>
        <w:contextualSpacing/>
        <w:jc w:val="both"/>
        <w:rPr>
          <w:rFonts w:cs="Arial"/>
          <w:szCs w:val="24"/>
        </w:rPr>
      </w:pPr>
      <w:r w:rsidRPr="00813DDC">
        <w:rPr>
          <w:rFonts w:cs="Arial"/>
          <w:szCs w:val="24"/>
        </w:rPr>
        <w:t xml:space="preserve">Na sequência, apresenta-se a descrição dos indicadores, bem como as equações para a obtenção dos mesmos. Os formulários com orientações para a coleta de dados e parâmetros que compõem os indicadores se encontram no </w:t>
      </w:r>
      <w:r w:rsidR="00B119E3">
        <w:rPr>
          <w:rFonts w:cs="Arial"/>
          <w:szCs w:val="24"/>
          <w:highlight w:val="yellow"/>
        </w:rPr>
        <w:fldChar w:fldCharType="begin"/>
      </w:r>
      <w:r w:rsidR="00B119E3">
        <w:rPr>
          <w:rFonts w:cs="Arial"/>
          <w:szCs w:val="24"/>
        </w:rPr>
        <w:instrText xml:space="preserve"> REF _Ref505841899 \h </w:instrText>
      </w:r>
      <w:r w:rsidR="00B119E3">
        <w:rPr>
          <w:rFonts w:cs="Arial"/>
          <w:szCs w:val="24"/>
          <w:highlight w:val="yellow"/>
        </w:rPr>
      </w:r>
      <w:r w:rsidR="00B119E3">
        <w:rPr>
          <w:rFonts w:cs="Arial"/>
          <w:szCs w:val="24"/>
          <w:highlight w:val="yellow"/>
        </w:rPr>
        <w:fldChar w:fldCharType="separate"/>
      </w:r>
      <w:r w:rsidR="001B481B">
        <w:t xml:space="preserve">Anexo </w:t>
      </w:r>
      <w:r w:rsidR="001B481B">
        <w:rPr>
          <w:noProof/>
        </w:rPr>
        <w:t>4</w:t>
      </w:r>
      <w:r w:rsidR="00B119E3">
        <w:rPr>
          <w:rFonts w:cs="Arial"/>
          <w:szCs w:val="24"/>
          <w:highlight w:val="yellow"/>
        </w:rPr>
        <w:fldChar w:fldCharType="end"/>
      </w:r>
      <w:r w:rsidRPr="00813DDC">
        <w:rPr>
          <w:rFonts w:cs="Arial"/>
          <w:szCs w:val="24"/>
        </w:rPr>
        <w:t>.</w:t>
      </w:r>
    </w:p>
    <w:p w:rsidR="00813DDC" w:rsidRPr="00813DDC" w:rsidRDefault="00813DDC" w:rsidP="00BC01B1">
      <w:pPr>
        <w:pStyle w:val="Ttulo3"/>
      </w:pPr>
      <w:bookmarkStart w:id="1740" w:name="_Toc453769328"/>
      <w:bookmarkStart w:id="1741" w:name="_Toc453771195"/>
      <w:bookmarkStart w:id="1742" w:name="_Toc453833743"/>
      <w:bookmarkStart w:id="1743" w:name="_Toc499019021"/>
      <w:bookmarkStart w:id="1744" w:name="_Toc499106754"/>
      <w:bookmarkStart w:id="1745" w:name="_Toc499107074"/>
      <w:bookmarkStart w:id="1746" w:name="_Toc499107894"/>
      <w:bookmarkStart w:id="1747" w:name="_Toc499108731"/>
      <w:bookmarkStart w:id="1748" w:name="_Toc499109556"/>
      <w:bookmarkStart w:id="1749" w:name="_Toc499109722"/>
      <w:bookmarkStart w:id="1750" w:name="_Toc499709928"/>
      <w:bookmarkStart w:id="1751" w:name="_Toc509935651"/>
      <w:r w:rsidRPr="00813DDC">
        <w:t>Indicadores para o objetivo 1</w:t>
      </w:r>
      <w:bookmarkEnd w:id="1740"/>
      <w:bookmarkEnd w:id="1741"/>
      <w:bookmarkEnd w:id="1742"/>
      <w:bookmarkEnd w:id="1743"/>
      <w:bookmarkEnd w:id="1744"/>
      <w:bookmarkEnd w:id="1745"/>
      <w:bookmarkEnd w:id="1746"/>
      <w:bookmarkEnd w:id="1747"/>
      <w:bookmarkEnd w:id="1748"/>
      <w:bookmarkEnd w:id="1749"/>
      <w:bookmarkEnd w:id="1750"/>
      <w:bookmarkEnd w:id="1751"/>
    </w:p>
    <w:p w:rsidR="00813DDC" w:rsidRPr="00813DDC" w:rsidRDefault="00813DDC" w:rsidP="00BC01B1">
      <w:pPr>
        <w:pStyle w:val="Ttulo4"/>
      </w:pPr>
      <w:bookmarkStart w:id="1752" w:name="_Toc453769329"/>
      <w:bookmarkStart w:id="1753" w:name="_Toc453771196"/>
      <w:bookmarkStart w:id="1754" w:name="_Toc453833744"/>
      <w:bookmarkStart w:id="1755" w:name="_Toc499019022"/>
      <w:bookmarkStart w:id="1756" w:name="_Toc499106755"/>
      <w:bookmarkStart w:id="1757" w:name="_Toc499107075"/>
      <w:bookmarkStart w:id="1758" w:name="_Toc499107895"/>
      <w:bookmarkStart w:id="1759" w:name="_Toc499108732"/>
      <w:bookmarkStart w:id="1760" w:name="_Toc499109557"/>
      <w:bookmarkStart w:id="1761" w:name="_Toc499109723"/>
      <w:bookmarkStart w:id="1762" w:name="_Toc499709929"/>
      <w:bookmarkStart w:id="1763" w:name="_Toc509935652"/>
      <w:r w:rsidRPr="00813DDC">
        <w:t>Índice de atendimento total de água</w:t>
      </w:r>
      <w:bookmarkEnd w:id="1752"/>
      <w:bookmarkEnd w:id="1753"/>
      <w:bookmarkEnd w:id="1754"/>
      <w:bookmarkEnd w:id="1755"/>
      <w:bookmarkEnd w:id="1756"/>
      <w:bookmarkEnd w:id="1757"/>
      <w:bookmarkEnd w:id="1758"/>
      <w:bookmarkEnd w:id="1759"/>
      <w:bookmarkEnd w:id="1760"/>
      <w:bookmarkEnd w:id="1761"/>
      <w:bookmarkEnd w:id="1762"/>
      <w:bookmarkEnd w:id="1763"/>
    </w:p>
    <w:p w:rsidR="00813DDC" w:rsidRPr="00813DDC" w:rsidRDefault="00813DDC" w:rsidP="00813DDC">
      <w:pPr>
        <w:widowControl w:val="0"/>
        <w:spacing w:line="240" w:lineRule="auto"/>
        <w:jc w:val="center"/>
        <w:rPr>
          <w:rFonts w:eastAsia="Times New Roman" w:cs="Arial"/>
          <w:sz w:val="22"/>
          <w:lang w:eastAsia="pt-BR"/>
        </w:rPr>
      </w:pPr>
    </w:p>
    <w:p w:rsidR="00813DDC" w:rsidRPr="00813DDC" w:rsidRDefault="00813DDC" w:rsidP="00813DDC">
      <w:pPr>
        <w:rPr>
          <w:rFonts w:ascii="Cambria Math" w:hAnsi="Cambria Math"/>
          <w:i/>
          <w:sz w:val="22"/>
        </w:rPr>
      </w:pPr>
      <m:oMathPara>
        <m:oMath>
          <m:r>
            <w:rPr>
              <w:rFonts w:ascii="Cambria Math" w:hAnsi="Cambria Math"/>
              <w:sz w:val="22"/>
            </w:rPr>
            <m:t>IN055=</m:t>
          </m:r>
          <m:f>
            <m:fPr>
              <m:ctrlPr>
                <w:rPr>
                  <w:rFonts w:ascii="Cambria Math" w:hAnsi="Cambria Math"/>
                  <w:i/>
                  <w:sz w:val="22"/>
                </w:rPr>
              </m:ctrlPr>
            </m:fPr>
            <m:num>
              <m:r>
                <w:rPr>
                  <w:rFonts w:ascii="Cambria Math" w:hAnsi="Cambria Math"/>
                  <w:sz w:val="22"/>
                </w:rPr>
                <m:t>AG001</m:t>
              </m:r>
            </m:num>
            <m:den>
              <m:r>
                <w:rPr>
                  <w:rFonts w:ascii="Cambria Math" w:hAnsi="Cambria Math"/>
                  <w:sz w:val="22"/>
                </w:rPr>
                <m:t>Pop_Tot</m:t>
              </m:r>
            </m:den>
          </m:f>
          <m:r>
            <w:rPr>
              <w:rFonts w:ascii="Cambria Math" w:hAnsi="Cambria Math"/>
              <w:sz w:val="22"/>
            </w:rPr>
            <m:t xml:space="preserve"> x 100</m:t>
          </m:r>
        </m:oMath>
      </m:oMathPara>
    </w:p>
    <w:p w:rsidR="00813DDC" w:rsidRPr="00813DDC" w:rsidRDefault="00813DDC" w:rsidP="00813DDC">
      <w:pPr>
        <w:spacing w:before="120" w:after="120"/>
        <w:ind w:firstLine="708"/>
        <w:contextualSpacing/>
        <w:jc w:val="both"/>
        <w:rPr>
          <w:rFonts w:cs="Arial"/>
          <w:szCs w:val="24"/>
        </w:rPr>
      </w:pPr>
      <w:r w:rsidRPr="00813DDC">
        <w:rPr>
          <w:rFonts w:cs="Arial"/>
          <w:szCs w:val="24"/>
        </w:rPr>
        <w:t>Em que:</w:t>
      </w:r>
    </w:p>
    <w:p w:rsidR="00813DDC" w:rsidRPr="00813DDC" w:rsidRDefault="00813DDC" w:rsidP="0066661F">
      <w:pPr>
        <w:numPr>
          <w:ilvl w:val="0"/>
          <w:numId w:val="27"/>
        </w:numPr>
        <w:jc w:val="both"/>
        <w:rPr>
          <w:rFonts w:cs="Arial"/>
          <w:i/>
          <w:szCs w:val="24"/>
        </w:rPr>
      </w:pPr>
      <w:r w:rsidRPr="00813DDC">
        <w:rPr>
          <w:rFonts w:cs="Arial"/>
          <w:i/>
          <w:szCs w:val="24"/>
        </w:rPr>
        <w:t>IN055 = Índice de atendimento total de água (%).</w:t>
      </w:r>
    </w:p>
    <w:p w:rsidR="00813DDC" w:rsidRPr="00813DDC" w:rsidRDefault="00813DDC" w:rsidP="0066661F">
      <w:pPr>
        <w:numPr>
          <w:ilvl w:val="0"/>
          <w:numId w:val="27"/>
        </w:numPr>
        <w:jc w:val="both"/>
        <w:rPr>
          <w:rFonts w:cs="Arial"/>
          <w:i/>
          <w:szCs w:val="24"/>
        </w:rPr>
      </w:pPr>
      <w:r w:rsidRPr="00813DDC">
        <w:rPr>
          <w:rFonts w:cs="Arial"/>
          <w:i/>
          <w:szCs w:val="24"/>
        </w:rPr>
        <w:t>AG001 = População total atendida com abastecimento de água (em habitantes).</w:t>
      </w:r>
    </w:p>
    <w:p w:rsidR="00813DDC" w:rsidRPr="00813DDC" w:rsidRDefault="00813DDC" w:rsidP="0066661F">
      <w:pPr>
        <w:numPr>
          <w:ilvl w:val="0"/>
          <w:numId w:val="27"/>
        </w:numPr>
        <w:jc w:val="both"/>
        <w:rPr>
          <w:rFonts w:cs="Arial"/>
          <w:i/>
          <w:szCs w:val="24"/>
        </w:rPr>
      </w:pPr>
      <w:r w:rsidRPr="00813DDC">
        <w:rPr>
          <w:rFonts w:cs="Arial"/>
          <w:i/>
          <w:szCs w:val="24"/>
        </w:rPr>
        <w:t>Pop_Tot = População total do município no ano de referência, segundo dados do IBGE (em habitantes).</w:t>
      </w:r>
    </w:p>
    <w:p w:rsidR="00813DDC" w:rsidRPr="00813DDC" w:rsidRDefault="00813DDC" w:rsidP="00813DDC">
      <w:pPr>
        <w:spacing w:before="120" w:after="120"/>
        <w:ind w:firstLine="708"/>
        <w:contextualSpacing/>
        <w:jc w:val="both"/>
        <w:rPr>
          <w:rFonts w:cs="Arial"/>
          <w:szCs w:val="24"/>
        </w:rPr>
      </w:pPr>
      <w:r w:rsidRPr="00813DDC">
        <w:rPr>
          <w:rFonts w:cs="Arial"/>
          <w:szCs w:val="24"/>
        </w:rPr>
        <w:t>O indicador mede a porcentagem da população total atendida pelo SAA. Assim, auxiliará no monitoramento do alcance do objetivo “atender com água potável a 100 % dos domicílios urbanos e monitorar a qualidade da água consumida em 100 % dos domicílios rurais e de sistemas particulares”. O presente PMSB objetiva a universalização do acesso aos serviços, portanto o ideal é que esse indicador seja o mais próximo possível de 100 %.</w:t>
      </w:r>
    </w:p>
    <w:p w:rsidR="00813DDC" w:rsidRPr="00813DDC" w:rsidRDefault="00813DDC" w:rsidP="00BC01B1">
      <w:pPr>
        <w:pStyle w:val="Ttulo4"/>
      </w:pPr>
      <w:bookmarkStart w:id="1764" w:name="_Toc453769330"/>
      <w:bookmarkStart w:id="1765" w:name="_Toc453771197"/>
      <w:bookmarkStart w:id="1766" w:name="_Toc453833745"/>
      <w:bookmarkStart w:id="1767" w:name="_Toc499019023"/>
      <w:bookmarkStart w:id="1768" w:name="_Toc499106756"/>
      <w:bookmarkStart w:id="1769" w:name="_Toc499107076"/>
      <w:bookmarkStart w:id="1770" w:name="_Toc499107896"/>
      <w:bookmarkStart w:id="1771" w:name="_Toc499108733"/>
      <w:bookmarkStart w:id="1772" w:name="_Toc499109558"/>
      <w:bookmarkStart w:id="1773" w:name="_Toc499109724"/>
      <w:bookmarkStart w:id="1774" w:name="_Toc499709930"/>
      <w:bookmarkStart w:id="1775" w:name="_Toc509935653"/>
      <w:r w:rsidRPr="00813DDC">
        <w:t>Índice de atendimento urbano de água</w:t>
      </w:r>
      <w:bookmarkEnd w:id="1764"/>
      <w:bookmarkEnd w:id="1765"/>
      <w:bookmarkEnd w:id="1766"/>
      <w:bookmarkEnd w:id="1767"/>
      <w:bookmarkEnd w:id="1768"/>
      <w:bookmarkEnd w:id="1769"/>
      <w:bookmarkEnd w:id="1770"/>
      <w:bookmarkEnd w:id="1771"/>
      <w:bookmarkEnd w:id="1772"/>
      <w:bookmarkEnd w:id="1773"/>
      <w:bookmarkEnd w:id="1774"/>
      <w:bookmarkEnd w:id="1775"/>
    </w:p>
    <w:p w:rsidR="00813DDC" w:rsidRPr="00813DDC" w:rsidRDefault="00813DDC" w:rsidP="00813DDC">
      <w:pPr>
        <w:rPr>
          <w:rFonts w:ascii="Cambria Math" w:hAnsi="Cambria Math"/>
          <w:i/>
          <w:sz w:val="22"/>
        </w:rPr>
      </w:pPr>
      <m:oMathPara>
        <m:oMath>
          <m:r>
            <w:rPr>
              <w:rFonts w:ascii="Cambria Math" w:hAnsi="Cambria Math"/>
              <w:sz w:val="22"/>
            </w:rPr>
            <m:t>IN023=</m:t>
          </m:r>
          <m:f>
            <m:fPr>
              <m:ctrlPr>
                <w:rPr>
                  <w:rFonts w:ascii="Cambria Math" w:hAnsi="Cambria Math"/>
                  <w:i/>
                  <w:sz w:val="22"/>
                </w:rPr>
              </m:ctrlPr>
            </m:fPr>
            <m:num>
              <m:r>
                <w:rPr>
                  <w:rFonts w:ascii="Cambria Math" w:hAnsi="Cambria Math"/>
                  <w:sz w:val="22"/>
                </w:rPr>
                <m:t>AG026</m:t>
              </m:r>
            </m:num>
            <m:den>
              <m:r>
                <w:rPr>
                  <w:rFonts w:ascii="Cambria Math" w:hAnsi="Cambria Math"/>
                  <w:sz w:val="22"/>
                </w:rPr>
                <m:t>Pop_Urb</m:t>
              </m:r>
            </m:den>
          </m:f>
          <m:r>
            <w:rPr>
              <w:rFonts w:ascii="Cambria Math" w:hAnsi="Cambria Math"/>
              <w:sz w:val="22"/>
            </w:rPr>
            <m:t xml:space="preserve"> x 100</m:t>
          </m:r>
        </m:oMath>
      </m:oMathPara>
    </w:p>
    <w:p w:rsidR="00810C89" w:rsidRDefault="00810C89" w:rsidP="00813DDC">
      <w:pPr>
        <w:spacing w:before="120" w:after="120"/>
        <w:ind w:firstLine="708"/>
        <w:contextualSpacing/>
        <w:jc w:val="both"/>
        <w:rPr>
          <w:rFonts w:cs="Arial"/>
          <w:szCs w:val="24"/>
        </w:rPr>
      </w:pPr>
    </w:p>
    <w:p w:rsidR="00813DDC" w:rsidRPr="00813DDC" w:rsidRDefault="00813DDC" w:rsidP="00813DDC">
      <w:pPr>
        <w:spacing w:before="120" w:after="120"/>
        <w:ind w:firstLine="708"/>
        <w:contextualSpacing/>
        <w:jc w:val="both"/>
        <w:rPr>
          <w:rFonts w:cs="Arial"/>
          <w:szCs w:val="24"/>
        </w:rPr>
      </w:pPr>
      <w:r w:rsidRPr="00813DDC">
        <w:rPr>
          <w:rFonts w:cs="Arial"/>
          <w:szCs w:val="24"/>
        </w:rPr>
        <w:lastRenderedPageBreak/>
        <w:t>Em que:</w:t>
      </w:r>
    </w:p>
    <w:p w:rsidR="00813DDC" w:rsidRPr="00813DDC" w:rsidRDefault="00813DDC" w:rsidP="0066661F">
      <w:pPr>
        <w:numPr>
          <w:ilvl w:val="0"/>
          <w:numId w:val="27"/>
        </w:numPr>
        <w:jc w:val="both"/>
        <w:rPr>
          <w:rFonts w:cs="Arial"/>
          <w:i/>
          <w:szCs w:val="24"/>
        </w:rPr>
      </w:pPr>
      <w:r w:rsidRPr="00813DDC">
        <w:rPr>
          <w:rFonts w:cs="Arial"/>
          <w:i/>
          <w:szCs w:val="24"/>
        </w:rPr>
        <w:t>IN023 = Índice de atendimento urbano de água (%).</w:t>
      </w:r>
    </w:p>
    <w:p w:rsidR="00813DDC" w:rsidRPr="00813DDC" w:rsidRDefault="00813DDC" w:rsidP="0066661F">
      <w:pPr>
        <w:numPr>
          <w:ilvl w:val="0"/>
          <w:numId w:val="27"/>
        </w:numPr>
        <w:jc w:val="both"/>
        <w:rPr>
          <w:rFonts w:cs="Arial"/>
          <w:i/>
          <w:szCs w:val="24"/>
        </w:rPr>
      </w:pPr>
      <w:r w:rsidRPr="00813DDC">
        <w:rPr>
          <w:rFonts w:cs="Arial"/>
          <w:i/>
          <w:szCs w:val="24"/>
        </w:rPr>
        <w:t>AG026 = População urbana atendida com abastecimento de água (em habitantes).</w:t>
      </w:r>
    </w:p>
    <w:p w:rsidR="00813DDC" w:rsidRPr="00813DDC" w:rsidRDefault="00813DDC" w:rsidP="0066661F">
      <w:pPr>
        <w:numPr>
          <w:ilvl w:val="0"/>
          <w:numId w:val="27"/>
        </w:numPr>
        <w:jc w:val="both"/>
        <w:rPr>
          <w:rFonts w:cs="Arial"/>
          <w:i/>
          <w:szCs w:val="24"/>
        </w:rPr>
      </w:pPr>
      <w:r w:rsidRPr="00813DDC">
        <w:rPr>
          <w:rFonts w:cs="Arial"/>
          <w:i/>
          <w:szCs w:val="24"/>
        </w:rPr>
        <w:t>Pop_Urb = População urbana residente no município no ano de referência, segundo IBGE (em habitantes).</w:t>
      </w:r>
    </w:p>
    <w:p w:rsidR="00813DDC" w:rsidRPr="00813DDC" w:rsidRDefault="00813DDC" w:rsidP="00813DDC">
      <w:pPr>
        <w:spacing w:before="120" w:after="120"/>
        <w:ind w:firstLine="708"/>
        <w:contextualSpacing/>
        <w:jc w:val="both"/>
        <w:rPr>
          <w:rFonts w:cs="Arial"/>
          <w:szCs w:val="24"/>
          <w:highlight w:val="yellow"/>
        </w:rPr>
      </w:pPr>
      <w:r w:rsidRPr="00813DDC">
        <w:rPr>
          <w:rFonts w:cs="Arial"/>
          <w:szCs w:val="24"/>
        </w:rPr>
        <w:t>Este indicador, que mede a porcentagem da população urbana atendida pelo SAA, auxiliará no monitoramento do alcance do objetivo “atender com água potável a 100 % dos domicílios urbanos”. O presente PMSB objetiva a universalização do acesso aos serviços, portanto o ideal é que esse indicador seja o mais próximo possível de 100 %.</w:t>
      </w:r>
    </w:p>
    <w:p w:rsidR="00813DDC" w:rsidRPr="00813DDC" w:rsidRDefault="00813DDC" w:rsidP="00BC01B1">
      <w:pPr>
        <w:pStyle w:val="Ttulo4"/>
      </w:pPr>
      <w:bookmarkStart w:id="1776" w:name="_Toc453769331"/>
      <w:bookmarkStart w:id="1777" w:name="_Toc453771198"/>
      <w:bookmarkStart w:id="1778" w:name="_Toc453833746"/>
      <w:bookmarkStart w:id="1779" w:name="_Toc499019024"/>
      <w:bookmarkStart w:id="1780" w:name="_Toc499106757"/>
      <w:bookmarkStart w:id="1781" w:name="_Toc499107077"/>
      <w:bookmarkStart w:id="1782" w:name="_Toc499107897"/>
      <w:bookmarkStart w:id="1783" w:name="_Toc499108734"/>
      <w:bookmarkStart w:id="1784" w:name="_Toc499109559"/>
      <w:bookmarkStart w:id="1785" w:name="_Toc499109725"/>
      <w:bookmarkStart w:id="1786" w:name="_Toc499709931"/>
      <w:bookmarkStart w:id="1787" w:name="_Toc509935654"/>
      <w:r w:rsidRPr="00813DDC">
        <w:t>Índice de abastecimento rural de água</w:t>
      </w:r>
      <w:bookmarkEnd w:id="1776"/>
      <w:bookmarkEnd w:id="1777"/>
      <w:bookmarkEnd w:id="1778"/>
      <w:bookmarkEnd w:id="1779"/>
      <w:bookmarkEnd w:id="1780"/>
      <w:bookmarkEnd w:id="1781"/>
      <w:bookmarkEnd w:id="1782"/>
      <w:bookmarkEnd w:id="1783"/>
      <w:bookmarkEnd w:id="1784"/>
      <w:bookmarkEnd w:id="1785"/>
      <w:bookmarkEnd w:id="1786"/>
      <w:bookmarkEnd w:id="1787"/>
    </w:p>
    <w:p w:rsidR="00813DDC" w:rsidRPr="00813DDC" w:rsidRDefault="00813DDC" w:rsidP="00813DDC">
      <w:pPr>
        <w:rPr>
          <w:rFonts w:ascii="Cambria Math" w:hAnsi="Cambria Math"/>
          <w:i/>
          <w:sz w:val="22"/>
        </w:rPr>
      </w:pPr>
      <m:oMathPara>
        <m:oMath>
          <m:r>
            <w:rPr>
              <w:rFonts w:ascii="Cambria Math" w:hAnsi="Cambria Math"/>
              <w:sz w:val="22"/>
            </w:rPr>
            <m:t>IARA=</m:t>
          </m:r>
          <m:f>
            <m:fPr>
              <m:ctrlPr>
                <w:rPr>
                  <w:rFonts w:ascii="Cambria Math" w:hAnsi="Cambria Math"/>
                  <w:i/>
                  <w:sz w:val="22"/>
                </w:rPr>
              </m:ctrlPr>
            </m:fPr>
            <m:num>
              <m:r>
                <w:rPr>
                  <w:rFonts w:ascii="Cambria Math" w:hAnsi="Cambria Math"/>
                  <w:sz w:val="22"/>
                </w:rPr>
                <m:t xml:space="preserve">Dra </m:t>
              </m:r>
            </m:num>
            <m:den>
              <m:r>
                <w:rPr>
                  <w:rFonts w:ascii="Cambria Math" w:hAnsi="Cambria Math"/>
                  <w:sz w:val="22"/>
                </w:rPr>
                <m:t>Nt</m:t>
              </m:r>
            </m:den>
          </m:f>
          <m:r>
            <w:rPr>
              <w:rFonts w:ascii="Cambria Math" w:hAnsi="Cambria Math"/>
              <w:sz w:val="22"/>
            </w:rPr>
            <m:t xml:space="preserve"> x 100</m:t>
          </m:r>
        </m:oMath>
      </m:oMathPara>
    </w:p>
    <w:p w:rsidR="00813DDC" w:rsidRPr="00813DDC" w:rsidRDefault="00813DDC" w:rsidP="00813DDC">
      <w:pPr>
        <w:spacing w:before="120" w:after="120"/>
        <w:ind w:firstLine="708"/>
        <w:contextualSpacing/>
        <w:jc w:val="both"/>
        <w:rPr>
          <w:rFonts w:eastAsia="Times New Roman"/>
          <w:i/>
          <w:szCs w:val="24"/>
        </w:rPr>
      </w:pPr>
      <w:r w:rsidRPr="00813DDC">
        <w:rPr>
          <w:rFonts w:cs="Arial"/>
          <w:szCs w:val="24"/>
        </w:rPr>
        <w:t>Em que:</w:t>
      </w:r>
    </w:p>
    <w:p w:rsidR="00813DDC" w:rsidRPr="00813DDC" w:rsidRDefault="00813DDC" w:rsidP="0066661F">
      <w:pPr>
        <w:numPr>
          <w:ilvl w:val="0"/>
          <w:numId w:val="27"/>
        </w:numPr>
        <w:jc w:val="both"/>
        <w:rPr>
          <w:rFonts w:cs="Arial"/>
          <w:i/>
          <w:szCs w:val="24"/>
        </w:rPr>
      </w:pPr>
      <w:r w:rsidRPr="00813DDC">
        <w:rPr>
          <w:rFonts w:cs="Arial"/>
          <w:i/>
          <w:szCs w:val="24"/>
        </w:rPr>
        <w:t>IARA = Índice de abastecimento rural de água (%).</w:t>
      </w:r>
    </w:p>
    <w:p w:rsidR="00813DDC" w:rsidRPr="00813DDC" w:rsidRDefault="00813DDC" w:rsidP="0066661F">
      <w:pPr>
        <w:numPr>
          <w:ilvl w:val="0"/>
          <w:numId w:val="27"/>
        </w:numPr>
        <w:jc w:val="both"/>
        <w:rPr>
          <w:rFonts w:cs="Arial"/>
          <w:i/>
          <w:szCs w:val="24"/>
        </w:rPr>
      </w:pPr>
      <w:r w:rsidRPr="00813DDC">
        <w:rPr>
          <w:rFonts w:cs="Arial"/>
          <w:i/>
          <w:szCs w:val="24"/>
        </w:rPr>
        <w:t>Dra = Domicílios rurais com meios adequados para o abastecimento de água potável (unid.).</w:t>
      </w:r>
    </w:p>
    <w:p w:rsidR="00813DDC" w:rsidRPr="00813DDC" w:rsidRDefault="00813DDC" w:rsidP="0066661F">
      <w:pPr>
        <w:numPr>
          <w:ilvl w:val="0"/>
          <w:numId w:val="27"/>
        </w:numPr>
        <w:jc w:val="both"/>
        <w:rPr>
          <w:rFonts w:cs="Arial"/>
          <w:i/>
          <w:szCs w:val="24"/>
        </w:rPr>
      </w:pPr>
      <w:r w:rsidRPr="00813DDC">
        <w:rPr>
          <w:rFonts w:cs="Arial"/>
          <w:i/>
          <w:szCs w:val="24"/>
        </w:rPr>
        <w:t>Nt = Nº total de domicílios rurais (unid.).</w:t>
      </w:r>
    </w:p>
    <w:p w:rsidR="00813DDC" w:rsidRPr="00813DDC" w:rsidRDefault="00813DDC" w:rsidP="00813DDC">
      <w:pPr>
        <w:spacing w:before="120" w:after="120"/>
        <w:ind w:firstLine="709"/>
        <w:contextualSpacing/>
        <w:jc w:val="both"/>
        <w:rPr>
          <w:rFonts w:cs="Arial"/>
          <w:szCs w:val="24"/>
        </w:rPr>
      </w:pPr>
      <w:r w:rsidRPr="00813DDC">
        <w:rPr>
          <w:rFonts w:cs="Arial"/>
          <w:szCs w:val="24"/>
        </w:rPr>
        <w:t>Este indicador, que mede a porcentagem da população rural atendida pelo SAA, auxiliará no monitoramento do alcance do objetivo “monitorar a qualidade da água consumida em 100 % dos domicílios rurais e de sistemas particulares". O presente PMSB objetiva a universalização do acesso aos serviços, portanto o ideal é que esse indicador seja o mais próximo possível de 100 %.</w:t>
      </w:r>
    </w:p>
    <w:p w:rsidR="00813DDC" w:rsidRPr="00813DDC" w:rsidRDefault="00813DDC" w:rsidP="00BC01B1">
      <w:pPr>
        <w:pStyle w:val="Ttulo4"/>
      </w:pPr>
      <w:bookmarkStart w:id="1788" w:name="_Toc453769332"/>
      <w:bookmarkStart w:id="1789" w:name="_Toc453771199"/>
      <w:bookmarkStart w:id="1790" w:name="_Toc453833747"/>
      <w:bookmarkStart w:id="1791" w:name="_Toc499019025"/>
      <w:bookmarkStart w:id="1792" w:name="_Toc499106758"/>
      <w:bookmarkStart w:id="1793" w:name="_Toc499107078"/>
      <w:bookmarkStart w:id="1794" w:name="_Toc499107898"/>
      <w:bookmarkStart w:id="1795" w:name="_Toc499108735"/>
      <w:bookmarkStart w:id="1796" w:name="_Toc499109560"/>
      <w:bookmarkStart w:id="1797" w:name="_Toc499109726"/>
      <w:bookmarkStart w:id="1798" w:name="_Toc499709932"/>
      <w:bookmarkStart w:id="1799" w:name="_Toc509935655"/>
      <w:r w:rsidRPr="00813DDC">
        <w:t>Índice de monitoramento de poços particulares</w:t>
      </w:r>
      <w:bookmarkEnd w:id="1788"/>
      <w:bookmarkEnd w:id="1789"/>
      <w:bookmarkEnd w:id="1790"/>
      <w:bookmarkEnd w:id="1791"/>
      <w:bookmarkEnd w:id="1792"/>
      <w:bookmarkEnd w:id="1793"/>
      <w:bookmarkEnd w:id="1794"/>
      <w:bookmarkEnd w:id="1795"/>
      <w:bookmarkEnd w:id="1796"/>
      <w:bookmarkEnd w:id="1797"/>
      <w:bookmarkEnd w:id="1798"/>
      <w:bookmarkEnd w:id="1799"/>
    </w:p>
    <w:p w:rsidR="00813DDC" w:rsidRPr="00813DDC" w:rsidRDefault="00813DDC" w:rsidP="00813DDC">
      <w:pPr>
        <w:rPr>
          <w:rFonts w:ascii="Cambria Math" w:hAnsi="Cambria Math"/>
          <w:i/>
          <w:sz w:val="22"/>
        </w:rPr>
      </w:pPr>
      <m:oMathPara>
        <m:oMath>
          <m:r>
            <w:rPr>
              <w:rFonts w:ascii="Cambria Math" w:hAnsi="Cambria Math"/>
              <w:sz w:val="22"/>
            </w:rPr>
            <m:t>IMPP=</m:t>
          </m:r>
          <m:f>
            <m:fPr>
              <m:ctrlPr>
                <w:rPr>
                  <w:rFonts w:ascii="Cambria Math" w:hAnsi="Cambria Math"/>
                  <w:i/>
                  <w:sz w:val="22"/>
                </w:rPr>
              </m:ctrlPr>
            </m:fPr>
            <m:num>
              <m:r>
                <w:rPr>
                  <w:rFonts w:ascii="Cambria Math" w:hAnsi="Cambria Math"/>
                  <w:sz w:val="22"/>
                </w:rPr>
                <m:t>n° de sistemas particulares monitorados</m:t>
              </m:r>
            </m:num>
            <m:den>
              <m:r>
                <w:rPr>
                  <w:rFonts w:ascii="Cambria Math" w:hAnsi="Cambria Math"/>
                  <w:sz w:val="22"/>
                </w:rPr>
                <m:t>n° total de sistemas particulares existentes no município</m:t>
              </m:r>
            </m:den>
          </m:f>
          <m:r>
            <w:rPr>
              <w:rFonts w:ascii="Cambria Math" w:hAnsi="Cambria Math"/>
              <w:sz w:val="22"/>
            </w:rPr>
            <m:t xml:space="preserve"> x 100</m:t>
          </m:r>
        </m:oMath>
      </m:oMathPara>
    </w:p>
    <w:p w:rsidR="00813DDC" w:rsidRPr="00813DDC" w:rsidRDefault="00813DDC" w:rsidP="00813DDC">
      <w:pPr>
        <w:spacing w:before="120" w:after="120"/>
        <w:ind w:firstLine="708"/>
        <w:contextualSpacing/>
        <w:jc w:val="both"/>
        <w:rPr>
          <w:rFonts w:cs="Arial"/>
          <w:szCs w:val="24"/>
        </w:rPr>
      </w:pPr>
      <w:r w:rsidRPr="00813DDC">
        <w:rPr>
          <w:rFonts w:cs="Arial"/>
          <w:szCs w:val="24"/>
        </w:rPr>
        <w:t>Em que:</w:t>
      </w:r>
    </w:p>
    <w:p w:rsidR="00813DDC" w:rsidRPr="00813DDC" w:rsidRDefault="00813DDC" w:rsidP="0066661F">
      <w:pPr>
        <w:numPr>
          <w:ilvl w:val="0"/>
          <w:numId w:val="27"/>
        </w:numPr>
        <w:jc w:val="both"/>
        <w:rPr>
          <w:rFonts w:cs="Arial"/>
          <w:i/>
          <w:szCs w:val="24"/>
        </w:rPr>
      </w:pPr>
      <w:r w:rsidRPr="00813DDC">
        <w:rPr>
          <w:rFonts w:cs="Arial"/>
          <w:i/>
          <w:szCs w:val="24"/>
        </w:rPr>
        <w:t>IMPP = Índice de monitoramento de poços particulares (%).</w:t>
      </w:r>
    </w:p>
    <w:p w:rsidR="00813DDC" w:rsidRPr="00813DDC" w:rsidRDefault="00813DDC" w:rsidP="0066661F">
      <w:pPr>
        <w:numPr>
          <w:ilvl w:val="0"/>
          <w:numId w:val="27"/>
        </w:numPr>
        <w:jc w:val="both"/>
        <w:rPr>
          <w:rFonts w:cs="Arial"/>
          <w:i/>
          <w:szCs w:val="24"/>
        </w:rPr>
      </w:pPr>
      <w:r w:rsidRPr="00813DDC">
        <w:rPr>
          <w:rFonts w:cs="Arial"/>
          <w:i/>
          <w:szCs w:val="24"/>
        </w:rPr>
        <w:t>N° de sistemas particulares monitorados (unid.).</w:t>
      </w:r>
    </w:p>
    <w:p w:rsidR="00813DDC" w:rsidRPr="00813DDC" w:rsidRDefault="00813DDC" w:rsidP="0066661F">
      <w:pPr>
        <w:numPr>
          <w:ilvl w:val="0"/>
          <w:numId w:val="27"/>
        </w:numPr>
        <w:jc w:val="both"/>
        <w:rPr>
          <w:rFonts w:cs="Arial"/>
          <w:i/>
          <w:szCs w:val="24"/>
        </w:rPr>
      </w:pPr>
      <w:r w:rsidRPr="00813DDC">
        <w:rPr>
          <w:rFonts w:cs="Arial"/>
          <w:i/>
          <w:szCs w:val="24"/>
        </w:rPr>
        <w:t>N° total de sistemas particulares existentes no município (unid.).</w:t>
      </w:r>
    </w:p>
    <w:p w:rsidR="00813DDC" w:rsidRPr="00813DDC" w:rsidRDefault="00813DDC" w:rsidP="00813DDC">
      <w:pPr>
        <w:spacing w:before="240" w:after="120"/>
        <w:ind w:firstLine="709"/>
        <w:contextualSpacing/>
        <w:jc w:val="both"/>
        <w:rPr>
          <w:rFonts w:cs="Arial"/>
          <w:szCs w:val="24"/>
        </w:rPr>
      </w:pPr>
      <w:r w:rsidRPr="00813DDC">
        <w:rPr>
          <w:rFonts w:cs="Arial"/>
          <w:szCs w:val="24"/>
        </w:rPr>
        <w:lastRenderedPageBreak/>
        <w:t>O indicador mede a porcentagem de sistemas particulares monitorados. Desse modo, auxiliará no monitoramento do alcance do objetivo “monitorar a qualidade da água consumida em 100 % dos domicílios rurais e de sistemas particulares”. O presente PMSB objetiva a universalização do acesso aos serviços, portanto o ideal é que esse indicador seja o mais próximo possível de 100 %.</w:t>
      </w:r>
    </w:p>
    <w:p w:rsidR="00813DDC" w:rsidRPr="00813DDC" w:rsidRDefault="00813DDC" w:rsidP="00BC01B1">
      <w:pPr>
        <w:pStyle w:val="Ttulo4"/>
      </w:pPr>
      <w:bookmarkStart w:id="1800" w:name="_Toc453769333"/>
      <w:bookmarkStart w:id="1801" w:name="_Toc453771200"/>
      <w:bookmarkStart w:id="1802" w:name="_Toc453833748"/>
      <w:bookmarkStart w:id="1803" w:name="_Toc499019026"/>
      <w:bookmarkStart w:id="1804" w:name="_Toc499106759"/>
      <w:bookmarkStart w:id="1805" w:name="_Toc499107079"/>
      <w:bookmarkStart w:id="1806" w:name="_Toc499107899"/>
      <w:bookmarkStart w:id="1807" w:name="_Toc499108736"/>
      <w:bookmarkStart w:id="1808" w:name="_Toc499109561"/>
      <w:bookmarkStart w:id="1809" w:name="_Toc499109727"/>
      <w:bookmarkStart w:id="1810" w:name="_Toc499709933"/>
      <w:bookmarkStart w:id="1811" w:name="_Toc509935656"/>
      <w:r w:rsidRPr="00813DDC">
        <w:t>Economias atingidas por paralisações</w:t>
      </w:r>
      <w:bookmarkEnd w:id="1800"/>
      <w:bookmarkEnd w:id="1801"/>
      <w:bookmarkEnd w:id="1802"/>
      <w:bookmarkEnd w:id="1803"/>
      <w:bookmarkEnd w:id="1804"/>
      <w:bookmarkEnd w:id="1805"/>
      <w:bookmarkEnd w:id="1806"/>
      <w:bookmarkEnd w:id="1807"/>
      <w:bookmarkEnd w:id="1808"/>
      <w:bookmarkEnd w:id="1809"/>
      <w:bookmarkEnd w:id="1810"/>
      <w:bookmarkEnd w:id="1811"/>
      <w:r w:rsidRPr="00813DDC">
        <w:t xml:space="preserve"> </w:t>
      </w:r>
    </w:p>
    <w:p w:rsidR="00813DDC" w:rsidRPr="00813DDC" w:rsidRDefault="00813DDC" w:rsidP="00813DDC">
      <w:pPr>
        <w:rPr>
          <w:rFonts w:ascii="Cambria Math" w:hAnsi="Cambria Math"/>
          <w:i/>
          <w:sz w:val="22"/>
        </w:rPr>
      </w:pPr>
      <m:oMathPara>
        <m:oMath>
          <m:r>
            <w:rPr>
              <w:rFonts w:ascii="Cambria Math" w:hAnsi="Cambria Math"/>
              <w:sz w:val="22"/>
            </w:rPr>
            <m:t>IN071=</m:t>
          </m:r>
          <m:f>
            <m:fPr>
              <m:ctrlPr>
                <w:rPr>
                  <w:rFonts w:ascii="Cambria Math" w:hAnsi="Cambria Math"/>
                  <w:i/>
                  <w:sz w:val="22"/>
                </w:rPr>
              </m:ctrlPr>
            </m:fPr>
            <m:num>
              <m:r>
                <w:rPr>
                  <w:rFonts w:ascii="Cambria Math" w:hAnsi="Cambria Math"/>
                  <w:sz w:val="22"/>
                </w:rPr>
                <m:t>QD004</m:t>
              </m:r>
            </m:num>
            <m:den>
              <m:r>
                <w:rPr>
                  <w:rFonts w:ascii="Cambria Math" w:hAnsi="Cambria Math"/>
                  <w:sz w:val="22"/>
                </w:rPr>
                <m:t>QD002</m:t>
              </m:r>
            </m:den>
          </m:f>
        </m:oMath>
      </m:oMathPara>
    </w:p>
    <w:p w:rsidR="00813DDC" w:rsidRPr="00813DDC" w:rsidRDefault="00813DDC" w:rsidP="00813DDC">
      <w:pPr>
        <w:spacing w:before="120" w:after="120"/>
        <w:ind w:firstLine="708"/>
        <w:contextualSpacing/>
        <w:jc w:val="both"/>
        <w:rPr>
          <w:rFonts w:cs="Arial"/>
          <w:szCs w:val="24"/>
        </w:rPr>
      </w:pPr>
      <w:r w:rsidRPr="00813DDC">
        <w:rPr>
          <w:rFonts w:cs="Arial"/>
          <w:szCs w:val="24"/>
        </w:rPr>
        <w:t>Em que:</w:t>
      </w:r>
    </w:p>
    <w:p w:rsidR="00813DDC" w:rsidRPr="00813DDC" w:rsidRDefault="00813DDC" w:rsidP="0066661F">
      <w:pPr>
        <w:numPr>
          <w:ilvl w:val="0"/>
          <w:numId w:val="27"/>
        </w:numPr>
        <w:jc w:val="both"/>
        <w:rPr>
          <w:rFonts w:cs="Arial"/>
          <w:i/>
          <w:szCs w:val="24"/>
        </w:rPr>
      </w:pPr>
      <w:r w:rsidRPr="00813DDC">
        <w:rPr>
          <w:rFonts w:cs="Arial"/>
          <w:i/>
          <w:szCs w:val="24"/>
        </w:rPr>
        <w:t>IN071= Economias atingidas por paralisações (Econ./paralisação).</w:t>
      </w:r>
    </w:p>
    <w:p w:rsidR="00813DDC" w:rsidRPr="00813DDC" w:rsidRDefault="00813DDC" w:rsidP="0066661F">
      <w:pPr>
        <w:numPr>
          <w:ilvl w:val="0"/>
          <w:numId w:val="27"/>
        </w:numPr>
        <w:jc w:val="both"/>
        <w:rPr>
          <w:rFonts w:cs="Arial"/>
          <w:i/>
          <w:szCs w:val="24"/>
        </w:rPr>
      </w:pPr>
      <w:r w:rsidRPr="00813DDC">
        <w:rPr>
          <w:rFonts w:cs="Arial"/>
          <w:i/>
          <w:szCs w:val="24"/>
        </w:rPr>
        <w:t>QD004 = Quantidade de economias ativas atingidas por paralisações.</w:t>
      </w:r>
    </w:p>
    <w:p w:rsidR="00813DDC" w:rsidRPr="00813DDC" w:rsidRDefault="00813DDC" w:rsidP="0066661F">
      <w:pPr>
        <w:numPr>
          <w:ilvl w:val="0"/>
          <w:numId w:val="27"/>
        </w:numPr>
        <w:jc w:val="both"/>
        <w:rPr>
          <w:rFonts w:cs="Arial"/>
          <w:i/>
          <w:szCs w:val="24"/>
        </w:rPr>
      </w:pPr>
      <w:r w:rsidRPr="00813DDC">
        <w:rPr>
          <w:rFonts w:cs="Arial"/>
          <w:i/>
          <w:szCs w:val="24"/>
        </w:rPr>
        <w:t>QD002 = Quantidade de paralisações no sistema de distribuição de água.</w:t>
      </w:r>
    </w:p>
    <w:p w:rsidR="00813DDC" w:rsidRPr="00813DDC" w:rsidRDefault="00813DDC" w:rsidP="00813DDC">
      <w:pPr>
        <w:spacing w:before="120" w:after="120"/>
        <w:ind w:firstLine="708"/>
        <w:contextualSpacing/>
        <w:jc w:val="both"/>
        <w:rPr>
          <w:rFonts w:cs="Arial"/>
          <w:szCs w:val="24"/>
        </w:rPr>
      </w:pPr>
      <w:r w:rsidRPr="00813DDC">
        <w:rPr>
          <w:rFonts w:cs="Arial"/>
          <w:szCs w:val="24"/>
        </w:rPr>
        <w:t>O indicador mede a porcentagem de economias atingidas por paralisações. Desse modo, auxiliará o monitoramento do alcance do objetivo de “atendimento de forma ininterrupta”. Como as economias atingidas são as que sofrem a paralisação no fornecimento de água e o presente PMSB objetiva uma maior eficiência nos serviços de saneamento básico, o ideal é que esse indicador seja o mais próximo possível de 0 (zero).</w:t>
      </w:r>
    </w:p>
    <w:p w:rsidR="00813DDC" w:rsidRPr="00813DDC" w:rsidRDefault="00813DDC" w:rsidP="00BC01B1">
      <w:pPr>
        <w:pStyle w:val="Ttulo4"/>
      </w:pPr>
      <w:bookmarkStart w:id="1812" w:name="_Toc453769334"/>
      <w:bookmarkStart w:id="1813" w:name="_Toc453771201"/>
      <w:bookmarkStart w:id="1814" w:name="_Toc453833749"/>
      <w:bookmarkStart w:id="1815" w:name="_Toc499019027"/>
      <w:bookmarkStart w:id="1816" w:name="_Toc499106760"/>
      <w:bookmarkStart w:id="1817" w:name="_Toc499107080"/>
      <w:bookmarkStart w:id="1818" w:name="_Toc499107900"/>
      <w:bookmarkStart w:id="1819" w:name="_Toc499108737"/>
      <w:bookmarkStart w:id="1820" w:name="_Toc499109562"/>
      <w:bookmarkStart w:id="1821" w:name="_Toc499109728"/>
      <w:bookmarkStart w:id="1822" w:name="_Toc499709934"/>
      <w:bookmarkStart w:id="1823" w:name="_Toc509935657"/>
      <w:r w:rsidRPr="00813DDC">
        <w:t>Duração média das paralisações</w:t>
      </w:r>
      <w:bookmarkEnd w:id="1812"/>
      <w:bookmarkEnd w:id="1813"/>
      <w:bookmarkEnd w:id="1814"/>
      <w:bookmarkEnd w:id="1815"/>
      <w:bookmarkEnd w:id="1816"/>
      <w:bookmarkEnd w:id="1817"/>
      <w:bookmarkEnd w:id="1818"/>
      <w:bookmarkEnd w:id="1819"/>
      <w:bookmarkEnd w:id="1820"/>
      <w:bookmarkEnd w:id="1821"/>
      <w:bookmarkEnd w:id="1822"/>
      <w:bookmarkEnd w:id="1823"/>
    </w:p>
    <w:p w:rsidR="00813DDC" w:rsidRPr="00813DDC" w:rsidRDefault="00813DDC" w:rsidP="00813DDC">
      <w:pPr>
        <w:rPr>
          <w:rFonts w:ascii="Cambria Math" w:hAnsi="Cambria Math"/>
          <w:i/>
          <w:sz w:val="22"/>
        </w:rPr>
      </w:pPr>
      <m:oMathPara>
        <m:oMath>
          <m:r>
            <w:rPr>
              <w:rFonts w:ascii="Cambria Math" w:hAnsi="Cambria Math"/>
              <w:sz w:val="22"/>
            </w:rPr>
            <m:t>IN072=</m:t>
          </m:r>
          <m:f>
            <m:fPr>
              <m:ctrlPr>
                <w:rPr>
                  <w:rFonts w:ascii="Cambria Math" w:hAnsi="Cambria Math"/>
                  <w:i/>
                  <w:sz w:val="22"/>
                </w:rPr>
              </m:ctrlPr>
            </m:fPr>
            <m:num>
              <m:r>
                <w:rPr>
                  <w:rFonts w:ascii="Cambria Math" w:hAnsi="Cambria Math"/>
                  <w:sz w:val="22"/>
                </w:rPr>
                <m:t>QD003</m:t>
              </m:r>
            </m:num>
            <m:den>
              <m:r>
                <w:rPr>
                  <w:rFonts w:ascii="Cambria Math" w:hAnsi="Cambria Math"/>
                  <w:sz w:val="22"/>
                </w:rPr>
                <m:t>QD002</m:t>
              </m:r>
            </m:den>
          </m:f>
        </m:oMath>
      </m:oMathPara>
    </w:p>
    <w:p w:rsidR="00813DDC" w:rsidRPr="00813DDC" w:rsidRDefault="00813DDC" w:rsidP="00813DDC">
      <w:pPr>
        <w:spacing w:before="120" w:after="120"/>
        <w:ind w:firstLine="708"/>
        <w:contextualSpacing/>
        <w:jc w:val="both"/>
        <w:rPr>
          <w:rFonts w:cs="Arial"/>
          <w:szCs w:val="24"/>
        </w:rPr>
      </w:pPr>
      <w:r w:rsidRPr="00813DDC">
        <w:rPr>
          <w:rFonts w:cs="Arial"/>
          <w:szCs w:val="24"/>
        </w:rPr>
        <w:t>Em que:</w:t>
      </w:r>
    </w:p>
    <w:p w:rsidR="00813DDC" w:rsidRPr="00813DDC" w:rsidRDefault="00813DDC" w:rsidP="0066661F">
      <w:pPr>
        <w:numPr>
          <w:ilvl w:val="0"/>
          <w:numId w:val="27"/>
        </w:numPr>
        <w:jc w:val="both"/>
        <w:rPr>
          <w:rFonts w:cs="Arial"/>
          <w:i/>
          <w:szCs w:val="24"/>
        </w:rPr>
      </w:pPr>
      <w:r w:rsidRPr="00813DDC">
        <w:rPr>
          <w:rFonts w:cs="Arial"/>
          <w:i/>
          <w:szCs w:val="24"/>
        </w:rPr>
        <w:t>IN072= Duração média das paralisações (horas/paralisação).</w:t>
      </w:r>
    </w:p>
    <w:p w:rsidR="00813DDC" w:rsidRPr="00813DDC" w:rsidRDefault="00813DDC" w:rsidP="0066661F">
      <w:pPr>
        <w:numPr>
          <w:ilvl w:val="0"/>
          <w:numId w:val="27"/>
        </w:numPr>
        <w:jc w:val="both"/>
        <w:rPr>
          <w:rFonts w:cs="Arial"/>
          <w:i/>
          <w:szCs w:val="24"/>
        </w:rPr>
      </w:pPr>
      <w:r w:rsidRPr="00813DDC">
        <w:rPr>
          <w:rFonts w:cs="Arial"/>
          <w:i/>
          <w:szCs w:val="24"/>
        </w:rPr>
        <w:t>QD003 = Duração das paralisações (soma de todas as paralisações que duraram mais de 6 horas no ano).</w:t>
      </w:r>
    </w:p>
    <w:p w:rsidR="00813DDC" w:rsidRPr="00813DDC" w:rsidRDefault="00813DDC" w:rsidP="0066661F">
      <w:pPr>
        <w:numPr>
          <w:ilvl w:val="0"/>
          <w:numId w:val="27"/>
        </w:numPr>
        <w:jc w:val="both"/>
        <w:rPr>
          <w:rFonts w:cs="Arial"/>
          <w:i/>
          <w:szCs w:val="24"/>
        </w:rPr>
      </w:pPr>
      <w:r w:rsidRPr="00813DDC">
        <w:rPr>
          <w:rFonts w:cs="Arial"/>
          <w:i/>
          <w:szCs w:val="24"/>
        </w:rPr>
        <w:t>QD002 = Quantidade de paralisações no sistema de distribuição de água.</w:t>
      </w:r>
    </w:p>
    <w:p w:rsidR="00813DDC" w:rsidRPr="00813DDC" w:rsidRDefault="00813DDC" w:rsidP="00813DDC">
      <w:pPr>
        <w:spacing w:before="120" w:after="120"/>
        <w:ind w:firstLine="708"/>
        <w:contextualSpacing/>
        <w:jc w:val="both"/>
        <w:rPr>
          <w:rFonts w:cs="Arial"/>
          <w:szCs w:val="24"/>
        </w:rPr>
      </w:pPr>
      <w:r w:rsidRPr="00813DDC">
        <w:rPr>
          <w:rFonts w:cs="Arial"/>
          <w:szCs w:val="24"/>
        </w:rPr>
        <w:t>O indicador mede o tempo médio gasto para solucionar os problemas relacionados às paralisações. Desse modo, auxiliará no monitoramento do objetivo “atendimento de forma ininterrupta”. O presente PMSB objetiva uma maior eficiência nos serviços de saneamento básico, portanto o ideal é que esse indicador seja o mais próximo possível de 0 (zero).</w:t>
      </w:r>
    </w:p>
    <w:p w:rsidR="00813DDC" w:rsidRPr="00813DDC" w:rsidRDefault="00813DDC" w:rsidP="00BC01B1">
      <w:pPr>
        <w:pStyle w:val="Ttulo4"/>
      </w:pPr>
      <w:bookmarkStart w:id="1824" w:name="_Toc453769335"/>
      <w:bookmarkStart w:id="1825" w:name="_Toc453771202"/>
      <w:bookmarkStart w:id="1826" w:name="_Toc453833750"/>
      <w:bookmarkStart w:id="1827" w:name="_Toc499019028"/>
      <w:bookmarkStart w:id="1828" w:name="_Toc499106761"/>
      <w:bookmarkStart w:id="1829" w:name="_Toc499107081"/>
      <w:bookmarkStart w:id="1830" w:name="_Toc499107901"/>
      <w:bookmarkStart w:id="1831" w:name="_Toc499108738"/>
      <w:bookmarkStart w:id="1832" w:name="_Toc499109563"/>
      <w:bookmarkStart w:id="1833" w:name="_Toc499109729"/>
      <w:bookmarkStart w:id="1834" w:name="_Toc499709935"/>
      <w:bookmarkStart w:id="1835" w:name="_Toc509935658"/>
      <w:r w:rsidRPr="00813DDC">
        <w:lastRenderedPageBreak/>
        <w:t>Incidência das análises de cloro residual fora do padrão</w:t>
      </w:r>
      <w:bookmarkEnd w:id="1824"/>
      <w:bookmarkEnd w:id="1825"/>
      <w:bookmarkEnd w:id="1826"/>
      <w:bookmarkEnd w:id="1827"/>
      <w:bookmarkEnd w:id="1828"/>
      <w:bookmarkEnd w:id="1829"/>
      <w:bookmarkEnd w:id="1830"/>
      <w:bookmarkEnd w:id="1831"/>
      <w:bookmarkEnd w:id="1832"/>
      <w:bookmarkEnd w:id="1833"/>
      <w:bookmarkEnd w:id="1834"/>
      <w:bookmarkEnd w:id="1835"/>
    </w:p>
    <w:p w:rsidR="00813DDC" w:rsidRPr="00813DDC" w:rsidRDefault="00813DDC" w:rsidP="00813DDC">
      <w:pPr>
        <w:rPr>
          <w:rFonts w:ascii="Cambria Math" w:hAnsi="Cambria Math"/>
          <w:i/>
          <w:sz w:val="22"/>
        </w:rPr>
      </w:pPr>
      <m:oMathPara>
        <m:oMath>
          <m:r>
            <w:rPr>
              <w:rFonts w:ascii="Cambria Math" w:hAnsi="Cambria Math"/>
              <w:sz w:val="22"/>
            </w:rPr>
            <m:t>IN075=</m:t>
          </m:r>
          <m:f>
            <m:fPr>
              <m:ctrlPr>
                <w:rPr>
                  <w:rFonts w:ascii="Cambria Math" w:hAnsi="Cambria Math"/>
                  <w:i/>
                  <w:sz w:val="22"/>
                </w:rPr>
              </m:ctrlPr>
            </m:fPr>
            <m:num>
              <m:r>
                <w:rPr>
                  <w:rFonts w:ascii="Cambria Math" w:hAnsi="Cambria Math"/>
                  <w:sz w:val="22"/>
                </w:rPr>
                <m:t>QD007</m:t>
              </m:r>
            </m:num>
            <m:den>
              <m:r>
                <w:rPr>
                  <w:rFonts w:ascii="Cambria Math" w:hAnsi="Cambria Math"/>
                  <w:sz w:val="22"/>
                </w:rPr>
                <m:t>QD006</m:t>
              </m:r>
            </m:den>
          </m:f>
          <m:r>
            <w:rPr>
              <w:rFonts w:ascii="Cambria Math" w:hAnsi="Cambria Math"/>
              <w:sz w:val="22"/>
            </w:rPr>
            <m:t xml:space="preserve"> x 100</m:t>
          </m:r>
        </m:oMath>
      </m:oMathPara>
    </w:p>
    <w:p w:rsidR="00813DDC" w:rsidRPr="00813DDC" w:rsidRDefault="00813DDC" w:rsidP="00813DDC">
      <w:pPr>
        <w:spacing w:before="120" w:after="120"/>
        <w:ind w:firstLine="708"/>
        <w:contextualSpacing/>
        <w:jc w:val="both"/>
        <w:rPr>
          <w:rFonts w:cs="Arial"/>
          <w:szCs w:val="24"/>
        </w:rPr>
      </w:pPr>
      <w:r w:rsidRPr="00813DDC">
        <w:rPr>
          <w:rFonts w:cs="Arial"/>
          <w:szCs w:val="24"/>
        </w:rPr>
        <w:t>Em que:</w:t>
      </w:r>
    </w:p>
    <w:p w:rsidR="00813DDC" w:rsidRPr="00813DDC" w:rsidRDefault="00813DDC" w:rsidP="0066661F">
      <w:pPr>
        <w:numPr>
          <w:ilvl w:val="0"/>
          <w:numId w:val="27"/>
        </w:numPr>
        <w:jc w:val="both"/>
        <w:rPr>
          <w:rFonts w:cs="Arial"/>
          <w:i/>
          <w:szCs w:val="24"/>
        </w:rPr>
      </w:pPr>
      <w:r w:rsidRPr="00813DDC">
        <w:rPr>
          <w:rFonts w:cs="Arial"/>
          <w:i/>
          <w:szCs w:val="24"/>
        </w:rPr>
        <w:t>IN075 = Incidência das análises de cloro residual fora do padrão (%).</w:t>
      </w:r>
    </w:p>
    <w:p w:rsidR="00813DDC" w:rsidRPr="00813DDC" w:rsidRDefault="00813DDC" w:rsidP="0066661F">
      <w:pPr>
        <w:numPr>
          <w:ilvl w:val="0"/>
          <w:numId w:val="27"/>
        </w:numPr>
        <w:jc w:val="both"/>
        <w:rPr>
          <w:rFonts w:cs="Arial"/>
          <w:i/>
          <w:szCs w:val="24"/>
        </w:rPr>
      </w:pPr>
      <w:r w:rsidRPr="00813DDC">
        <w:rPr>
          <w:rFonts w:cs="Arial"/>
          <w:i/>
          <w:szCs w:val="24"/>
        </w:rPr>
        <w:t>QD007 = Quantidade de amostras para cloro residual com resultados fora do padrão.</w:t>
      </w:r>
    </w:p>
    <w:p w:rsidR="00813DDC" w:rsidRPr="00813DDC" w:rsidRDefault="00813DDC" w:rsidP="0066661F">
      <w:pPr>
        <w:numPr>
          <w:ilvl w:val="0"/>
          <w:numId w:val="27"/>
        </w:numPr>
        <w:jc w:val="both"/>
        <w:rPr>
          <w:rFonts w:cs="Arial"/>
          <w:i/>
          <w:szCs w:val="24"/>
        </w:rPr>
      </w:pPr>
      <w:r w:rsidRPr="00813DDC">
        <w:rPr>
          <w:rFonts w:cs="Arial"/>
          <w:i/>
          <w:szCs w:val="24"/>
        </w:rPr>
        <w:t>QD006 = Quantidade de amostras para cloro residual (analisadas).</w:t>
      </w:r>
    </w:p>
    <w:p w:rsidR="00813DDC" w:rsidRPr="00813DDC" w:rsidRDefault="00813DDC" w:rsidP="00813DDC">
      <w:pPr>
        <w:spacing w:before="120" w:after="120"/>
        <w:ind w:firstLine="708"/>
        <w:contextualSpacing/>
        <w:jc w:val="both"/>
        <w:rPr>
          <w:rFonts w:cs="Arial"/>
          <w:szCs w:val="24"/>
        </w:rPr>
      </w:pPr>
      <w:r w:rsidRPr="00813DDC">
        <w:rPr>
          <w:rFonts w:cs="Arial"/>
          <w:szCs w:val="24"/>
        </w:rPr>
        <w:t>O indicador mede a incidência de análises de cloro residual fora do padrão. Desse modo, auxiliará no monitoramento do alcance do objetivo “atendimento com água potável e monitoramento da qualidade da água consumida em 100 % dos domicílios rurais e de sistemas particulares”. O presente PMSB objetiva melhorar o saneamento básico e, consequentemente, a saúde da população. Portanto, o ideal é que esse indicador seja o mais próximo possível de 0 %.</w:t>
      </w:r>
    </w:p>
    <w:p w:rsidR="00813DDC" w:rsidRPr="00813DDC" w:rsidRDefault="00813DDC" w:rsidP="00BC01B1">
      <w:pPr>
        <w:pStyle w:val="Ttulo4"/>
      </w:pPr>
      <w:bookmarkStart w:id="1836" w:name="_Toc453769336"/>
      <w:bookmarkStart w:id="1837" w:name="_Toc453771203"/>
      <w:bookmarkStart w:id="1838" w:name="_Toc453833751"/>
      <w:bookmarkStart w:id="1839" w:name="_Toc499019029"/>
      <w:bookmarkStart w:id="1840" w:name="_Toc499106762"/>
      <w:bookmarkStart w:id="1841" w:name="_Toc499107082"/>
      <w:bookmarkStart w:id="1842" w:name="_Toc499107902"/>
      <w:bookmarkStart w:id="1843" w:name="_Toc499108739"/>
      <w:bookmarkStart w:id="1844" w:name="_Toc499109564"/>
      <w:bookmarkStart w:id="1845" w:name="_Toc499109730"/>
      <w:bookmarkStart w:id="1846" w:name="_Toc499709936"/>
      <w:bookmarkStart w:id="1847" w:name="_Toc509935659"/>
      <w:r w:rsidRPr="00813DDC">
        <w:t>Incidência das análises de turbidez fora do padrão</w:t>
      </w:r>
      <w:bookmarkEnd w:id="1836"/>
      <w:bookmarkEnd w:id="1837"/>
      <w:bookmarkEnd w:id="1838"/>
      <w:bookmarkEnd w:id="1839"/>
      <w:bookmarkEnd w:id="1840"/>
      <w:bookmarkEnd w:id="1841"/>
      <w:bookmarkEnd w:id="1842"/>
      <w:bookmarkEnd w:id="1843"/>
      <w:bookmarkEnd w:id="1844"/>
      <w:bookmarkEnd w:id="1845"/>
      <w:bookmarkEnd w:id="1846"/>
      <w:bookmarkEnd w:id="1847"/>
    </w:p>
    <w:p w:rsidR="00813DDC" w:rsidRPr="00813DDC" w:rsidRDefault="00813DDC" w:rsidP="00813DDC">
      <w:pPr>
        <w:rPr>
          <w:rFonts w:ascii="Cambria Math" w:hAnsi="Cambria Math"/>
          <w:i/>
          <w:sz w:val="22"/>
        </w:rPr>
      </w:pPr>
      <m:oMathPara>
        <m:oMath>
          <m:r>
            <w:rPr>
              <w:rFonts w:ascii="Cambria Math" w:hAnsi="Cambria Math"/>
              <w:sz w:val="22"/>
            </w:rPr>
            <m:t>IN076=</m:t>
          </m:r>
          <m:f>
            <m:fPr>
              <m:ctrlPr>
                <w:rPr>
                  <w:rFonts w:ascii="Cambria Math" w:hAnsi="Cambria Math"/>
                  <w:i/>
                  <w:sz w:val="22"/>
                </w:rPr>
              </m:ctrlPr>
            </m:fPr>
            <m:num>
              <m:r>
                <w:rPr>
                  <w:rFonts w:ascii="Cambria Math" w:hAnsi="Cambria Math"/>
                  <w:sz w:val="22"/>
                </w:rPr>
                <m:t>QD009</m:t>
              </m:r>
            </m:num>
            <m:den>
              <m:r>
                <w:rPr>
                  <w:rFonts w:ascii="Cambria Math" w:hAnsi="Cambria Math"/>
                  <w:sz w:val="22"/>
                </w:rPr>
                <m:t>QD008</m:t>
              </m:r>
            </m:den>
          </m:f>
          <m:r>
            <w:rPr>
              <w:rFonts w:ascii="Cambria Math" w:hAnsi="Cambria Math"/>
              <w:sz w:val="22"/>
            </w:rPr>
            <m:t xml:space="preserve"> x 100</m:t>
          </m:r>
        </m:oMath>
      </m:oMathPara>
    </w:p>
    <w:p w:rsidR="00813DDC" w:rsidRPr="00813DDC" w:rsidRDefault="00813DDC" w:rsidP="00813DDC">
      <w:pPr>
        <w:spacing w:before="120" w:after="120"/>
        <w:ind w:firstLine="708"/>
        <w:contextualSpacing/>
        <w:jc w:val="both"/>
        <w:rPr>
          <w:rFonts w:cs="Arial"/>
          <w:szCs w:val="24"/>
        </w:rPr>
      </w:pPr>
      <w:r w:rsidRPr="00813DDC">
        <w:rPr>
          <w:rFonts w:cs="Arial"/>
          <w:szCs w:val="24"/>
        </w:rPr>
        <w:t>Em que:</w:t>
      </w:r>
    </w:p>
    <w:p w:rsidR="00813DDC" w:rsidRPr="00813DDC" w:rsidRDefault="00813DDC" w:rsidP="0066661F">
      <w:pPr>
        <w:numPr>
          <w:ilvl w:val="0"/>
          <w:numId w:val="27"/>
        </w:numPr>
        <w:jc w:val="both"/>
        <w:rPr>
          <w:rFonts w:cs="Arial"/>
          <w:i/>
          <w:szCs w:val="24"/>
        </w:rPr>
      </w:pPr>
      <w:r w:rsidRPr="00813DDC">
        <w:rPr>
          <w:rFonts w:cs="Arial"/>
          <w:i/>
          <w:szCs w:val="24"/>
        </w:rPr>
        <w:t>IN076 = Incidência das análises de turbidez fora do padrão (%);</w:t>
      </w:r>
    </w:p>
    <w:p w:rsidR="00813DDC" w:rsidRPr="00813DDC" w:rsidRDefault="00813DDC" w:rsidP="0066661F">
      <w:pPr>
        <w:numPr>
          <w:ilvl w:val="0"/>
          <w:numId w:val="27"/>
        </w:numPr>
        <w:jc w:val="both"/>
        <w:rPr>
          <w:rFonts w:cs="Arial"/>
          <w:i/>
          <w:szCs w:val="24"/>
        </w:rPr>
      </w:pPr>
      <w:r w:rsidRPr="00813DDC">
        <w:rPr>
          <w:rFonts w:cs="Arial"/>
          <w:i/>
          <w:szCs w:val="24"/>
        </w:rPr>
        <w:t>QD008: Quantidade de amostras para turbidez (analisadas);</w:t>
      </w:r>
    </w:p>
    <w:p w:rsidR="00813DDC" w:rsidRPr="00813DDC" w:rsidRDefault="00813DDC" w:rsidP="0066661F">
      <w:pPr>
        <w:numPr>
          <w:ilvl w:val="0"/>
          <w:numId w:val="27"/>
        </w:numPr>
        <w:jc w:val="both"/>
        <w:rPr>
          <w:rFonts w:cs="Arial"/>
          <w:szCs w:val="24"/>
        </w:rPr>
      </w:pPr>
      <w:r w:rsidRPr="00813DDC">
        <w:rPr>
          <w:rFonts w:cs="Arial"/>
          <w:i/>
          <w:szCs w:val="24"/>
        </w:rPr>
        <w:t>QD009: Quantidade de amostras para turbidez fora do padrão.</w:t>
      </w:r>
    </w:p>
    <w:p w:rsidR="00813DDC" w:rsidRPr="00813DDC" w:rsidRDefault="00813DDC" w:rsidP="00813DDC">
      <w:pPr>
        <w:spacing w:before="120" w:after="120"/>
        <w:ind w:firstLine="708"/>
        <w:contextualSpacing/>
        <w:jc w:val="both"/>
        <w:rPr>
          <w:rFonts w:cs="Arial"/>
          <w:szCs w:val="24"/>
        </w:rPr>
      </w:pPr>
      <w:r w:rsidRPr="00813DDC">
        <w:rPr>
          <w:rFonts w:cs="Arial"/>
          <w:szCs w:val="24"/>
        </w:rPr>
        <w:t>O indicador mede a incidência de análises de turbidez fora do padrão. Desse modo, auxiliará no monitoramento do alcance do objetivo de “atendimento com água potável e monitoramento da qualidade da água consumida em 100 % dos domicílios rurais e de sistemas particulares”. O presente PMSB objetiva melhorar o saneamento básico e, consequentemente, a saúde da população. Portanto, o ideal é que esse indicador seja o mais próximo possível de 0 %.</w:t>
      </w:r>
    </w:p>
    <w:p w:rsidR="00813DDC" w:rsidRPr="00813DDC" w:rsidRDefault="00813DDC" w:rsidP="00BC01B1">
      <w:pPr>
        <w:pStyle w:val="Ttulo4"/>
      </w:pPr>
      <w:bookmarkStart w:id="1848" w:name="_Toc453769337"/>
      <w:bookmarkStart w:id="1849" w:name="_Toc453771204"/>
      <w:bookmarkStart w:id="1850" w:name="_Toc453833752"/>
      <w:bookmarkStart w:id="1851" w:name="_Toc499019030"/>
      <w:bookmarkStart w:id="1852" w:name="_Toc499106763"/>
      <w:bookmarkStart w:id="1853" w:name="_Toc499107083"/>
      <w:bookmarkStart w:id="1854" w:name="_Toc499107903"/>
      <w:bookmarkStart w:id="1855" w:name="_Toc499108740"/>
      <w:bookmarkStart w:id="1856" w:name="_Toc499109565"/>
      <w:bookmarkStart w:id="1857" w:name="_Toc499109731"/>
      <w:bookmarkStart w:id="1858" w:name="_Toc499709937"/>
      <w:bookmarkStart w:id="1859" w:name="_Toc509935660"/>
      <w:r w:rsidRPr="00813DDC">
        <w:t>Índice de conformidade da quantidade de amostras - cloro residual</w:t>
      </w:r>
      <w:bookmarkEnd w:id="1848"/>
      <w:bookmarkEnd w:id="1849"/>
      <w:bookmarkEnd w:id="1850"/>
      <w:bookmarkEnd w:id="1851"/>
      <w:bookmarkEnd w:id="1852"/>
      <w:bookmarkEnd w:id="1853"/>
      <w:bookmarkEnd w:id="1854"/>
      <w:bookmarkEnd w:id="1855"/>
      <w:bookmarkEnd w:id="1856"/>
      <w:bookmarkEnd w:id="1857"/>
      <w:bookmarkEnd w:id="1858"/>
      <w:bookmarkEnd w:id="1859"/>
    </w:p>
    <w:p w:rsidR="00813DDC" w:rsidRPr="00813DDC" w:rsidRDefault="00813DDC" w:rsidP="00813DDC">
      <w:pPr>
        <w:rPr>
          <w:rFonts w:ascii="Cambria Math" w:hAnsi="Cambria Math"/>
          <w:i/>
          <w:sz w:val="22"/>
        </w:rPr>
      </w:pPr>
      <m:oMathPara>
        <m:oMath>
          <m:r>
            <w:rPr>
              <w:rFonts w:ascii="Cambria Math" w:hAnsi="Cambria Math"/>
              <w:sz w:val="22"/>
            </w:rPr>
            <m:t>IN079=</m:t>
          </m:r>
          <m:f>
            <m:fPr>
              <m:ctrlPr>
                <w:rPr>
                  <w:rFonts w:ascii="Cambria Math" w:hAnsi="Cambria Math"/>
                  <w:i/>
                  <w:sz w:val="22"/>
                </w:rPr>
              </m:ctrlPr>
            </m:fPr>
            <m:num>
              <m:r>
                <w:rPr>
                  <w:rFonts w:ascii="Cambria Math" w:hAnsi="Cambria Math"/>
                  <w:sz w:val="22"/>
                </w:rPr>
                <m:t>QD006</m:t>
              </m:r>
            </m:num>
            <m:den>
              <m:r>
                <w:rPr>
                  <w:rFonts w:ascii="Cambria Math" w:hAnsi="Cambria Math"/>
                  <w:sz w:val="22"/>
                </w:rPr>
                <m:t>QD020</m:t>
              </m:r>
            </m:den>
          </m:f>
          <m:r>
            <w:rPr>
              <w:rFonts w:ascii="Cambria Math" w:hAnsi="Cambria Math"/>
              <w:sz w:val="22"/>
            </w:rPr>
            <m:t xml:space="preserve"> x 100</m:t>
          </m:r>
        </m:oMath>
      </m:oMathPara>
    </w:p>
    <w:p w:rsidR="00810C89" w:rsidRDefault="00810C89" w:rsidP="00813DDC">
      <w:pPr>
        <w:spacing w:before="120" w:after="120"/>
        <w:ind w:firstLine="708"/>
        <w:contextualSpacing/>
        <w:jc w:val="both"/>
        <w:rPr>
          <w:rFonts w:cs="Arial"/>
          <w:szCs w:val="24"/>
        </w:rPr>
      </w:pPr>
    </w:p>
    <w:p w:rsidR="00813DDC" w:rsidRPr="00813DDC" w:rsidRDefault="00813DDC" w:rsidP="00813DDC">
      <w:pPr>
        <w:spacing w:before="120" w:after="120"/>
        <w:ind w:firstLine="708"/>
        <w:contextualSpacing/>
        <w:jc w:val="both"/>
        <w:rPr>
          <w:rFonts w:cs="Arial"/>
          <w:szCs w:val="24"/>
        </w:rPr>
      </w:pPr>
      <w:r w:rsidRPr="00813DDC">
        <w:rPr>
          <w:rFonts w:cs="Arial"/>
          <w:szCs w:val="24"/>
        </w:rPr>
        <w:lastRenderedPageBreak/>
        <w:t>Em que:</w:t>
      </w:r>
    </w:p>
    <w:p w:rsidR="00813DDC" w:rsidRPr="00813DDC" w:rsidRDefault="00813DDC" w:rsidP="0066661F">
      <w:pPr>
        <w:numPr>
          <w:ilvl w:val="0"/>
          <w:numId w:val="27"/>
        </w:numPr>
        <w:jc w:val="both"/>
        <w:rPr>
          <w:rFonts w:cs="Arial"/>
          <w:i/>
          <w:szCs w:val="24"/>
        </w:rPr>
      </w:pPr>
      <w:r w:rsidRPr="00813DDC">
        <w:rPr>
          <w:rFonts w:cs="Arial"/>
          <w:i/>
          <w:szCs w:val="24"/>
        </w:rPr>
        <w:t>IN079 = Índice de Conformidade da Quantidade de Amostras – Cloro Residual (%);</w:t>
      </w:r>
    </w:p>
    <w:p w:rsidR="00813DDC" w:rsidRPr="00813DDC" w:rsidRDefault="00813DDC" w:rsidP="0066661F">
      <w:pPr>
        <w:numPr>
          <w:ilvl w:val="0"/>
          <w:numId w:val="27"/>
        </w:numPr>
        <w:jc w:val="both"/>
        <w:rPr>
          <w:rFonts w:cs="Arial"/>
          <w:i/>
          <w:szCs w:val="24"/>
        </w:rPr>
      </w:pPr>
      <w:r w:rsidRPr="00813DDC">
        <w:rPr>
          <w:rFonts w:cs="Arial"/>
          <w:i/>
          <w:szCs w:val="24"/>
        </w:rPr>
        <w:t>QD006 = Quantidade de amostras para cloro residual (analisadas);</w:t>
      </w:r>
    </w:p>
    <w:p w:rsidR="00813DDC" w:rsidRPr="00813DDC" w:rsidRDefault="00813DDC" w:rsidP="0066661F">
      <w:pPr>
        <w:numPr>
          <w:ilvl w:val="0"/>
          <w:numId w:val="27"/>
        </w:numPr>
        <w:jc w:val="both"/>
        <w:rPr>
          <w:rFonts w:cs="Arial"/>
          <w:szCs w:val="24"/>
        </w:rPr>
      </w:pPr>
      <w:r w:rsidRPr="00813DDC">
        <w:rPr>
          <w:rFonts w:cs="Arial"/>
          <w:i/>
          <w:szCs w:val="24"/>
        </w:rPr>
        <w:t>QD020 = Quantidade mínima de amostras para cloro residual (obrigatórias).</w:t>
      </w:r>
    </w:p>
    <w:p w:rsidR="00813DDC" w:rsidRPr="00813DDC" w:rsidRDefault="00813DDC" w:rsidP="00813DDC">
      <w:pPr>
        <w:ind w:firstLine="708"/>
        <w:jc w:val="both"/>
        <w:rPr>
          <w:rFonts w:cs="Arial"/>
          <w:szCs w:val="24"/>
        </w:rPr>
      </w:pPr>
      <w:r w:rsidRPr="00813DDC">
        <w:rPr>
          <w:rFonts w:cs="Arial"/>
          <w:szCs w:val="24"/>
        </w:rPr>
        <w:t>Este indicador, que se refere à amostragem de cloro residual, auxiliará no monitoramento do alcance do objetivo “atendimento com água potável e monitoramento da qualidade da água consumida em 100 % dos domicílios rurais e de sistemas particulares”. O presente PMSB objetiva melhorar o saneamento básico e, consequentemente, a saúde da população. Portanto, o ideal é que esse indicador seja o mais próximo possível de 100 %.</w:t>
      </w:r>
    </w:p>
    <w:p w:rsidR="00813DDC" w:rsidRPr="00813DDC" w:rsidRDefault="00813DDC" w:rsidP="00BC01B1">
      <w:pPr>
        <w:pStyle w:val="Ttulo4"/>
      </w:pPr>
      <w:bookmarkStart w:id="1860" w:name="_Toc453769338"/>
      <w:bookmarkStart w:id="1861" w:name="_Toc453771205"/>
      <w:bookmarkStart w:id="1862" w:name="_Toc453833753"/>
      <w:bookmarkStart w:id="1863" w:name="_Toc499019031"/>
      <w:bookmarkStart w:id="1864" w:name="_Toc499106764"/>
      <w:bookmarkStart w:id="1865" w:name="_Toc499107084"/>
      <w:bookmarkStart w:id="1866" w:name="_Toc499107904"/>
      <w:bookmarkStart w:id="1867" w:name="_Toc499108741"/>
      <w:bookmarkStart w:id="1868" w:name="_Toc499109566"/>
      <w:bookmarkStart w:id="1869" w:name="_Toc499109732"/>
      <w:bookmarkStart w:id="1870" w:name="_Toc499709938"/>
      <w:bookmarkStart w:id="1871" w:name="_Toc509935661"/>
      <w:r w:rsidRPr="00813DDC">
        <w:t>Índice de conformidade da quantidade de amostras - turbidez</w:t>
      </w:r>
      <w:bookmarkEnd w:id="1860"/>
      <w:bookmarkEnd w:id="1861"/>
      <w:bookmarkEnd w:id="1862"/>
      <w:bookmarkEnd w:id="1863"/>
      <w:bookmarkEnd w:id="1864"/>
      <w:bookmarkEnd w:id="1865"/>
      <w:bookmarkEnd w:id="1866"/>
      <w:bookmarkEnd w:id="1867"/>
      <w:bookmarkEnd w:id="1868"/>
      <w:bookmarkEnd w:id="1869"/>
      <w:bookmarkEnd w:id="1870"/>
      <w:bookmarkEnd w:id="1871"/>
    </w:p>
    <w:p w:rsidR="00813DDC" w:rsidRPr="00813DDC" w:rsidRDefault="00813DDC" w:rsidP="00813DDC">
      <w:pPr>
        <w:rPr>
          <w:rFonts w:ascii="Cambria Math" w:hAnsi="Cambria Math"/>
          <w:i/>
          <w:sz w:val="22"/>
        </w:rPr>
      </w:pPr>
      <m:oMathPara>
        <m:oMath>
          <m:r>
            <w:rPr>
              <w:rFonts w:ascii="Cambria Math" w:hAnsi="Cambria Math"/>
              <w:sz w:val="22"/>
            </w:rPr>
            <m:t>IN080=</m:t>
          </m:r>
          <m:f>
            <m:fPr>
              <m:ctrlPr>
                <w:rPr>
                  <w:rFonts w:ascii="Cambria Math" w:hAnsi="Cambria Math"/>
                  <w:i/>
                  <w:sz w:val="22"/>
                </w:rPr>
              </m:ctrlPr>
            </m:fPr>
            <m:num>
              <m:r>
                <w:rPr>
                  <w:rFonts w:ascii="Cambria Math" w:hAnsi="Cambria Math"/>
                  <w:sz w:val="22"/>
                </w:rPr>
                <m:t>QD008</m:t>
              </m:r>
            </m:num>
            <m:den>
              <m:r>
                <w:rPr>
                  <w:rFonts w:ascii="Cambria Math" w:hAnsi="Cambria Math"/>
                  <w:sz w:val="22"/>
                </w:rPr>
                <m:t>QD019</m:t>
              </m:r>
            </m:den>
          </m:f>
          <m:r>
            <w:rPr>
              <w:rFonts w:ascii="Cambria Math" w:hAnsi="Cambria Math"/>
              <w:sz w:val="22"/>
            </w:rPr>
            <m:t xml:space="preserve"> x 100</m:t>
          </m:r>
        </m:oMath>
      </m:oMathPara>
    </w:p>
    <w:p w:rsidR="00813DDC" w:rsidRPr="00813DDC" w:rsidRDefault="00813DDC" w:rsidP="00813DDC">
      <w:pPr>
        <w:spacing w:before="120" w:after="120"/>
        <w:ind w:firstLine="708"/>
        <w:contextualSpacing/>
        <w:jc w:val="both"/>
        <w:rPr>
          <w:rFonts w:cs="Arial"/>
          <w:szCs w:val="24"/>
        </w:rPr>
      </w:pPr>
      <w:r w:rsidRPr="00813DDC">
        <w:rPr>
          <w:rFonts w:cs="Arial"/>
          <w:szCs w:val="24"/>
        </w:rPr>
        <w:t>Em que:</w:t>
      </w:r>
    </w:p>
    <w:p w:rsidR="00813DDC" w:rsidRPr="00813DDC" w:rsidRDefault="00813DDC" w:rsidP="0066661F">
      <w:pPr>
        <w:numPr>
          <w:ilvl w:val="0"/>
          <w:numId w:val="27"/>
        </w:numPr>
        <w:jc w:val="both"/>
        <w:rPr>
          <w:rFonts w:cs="Arial"/>
          <w:i/>
          <w:szCs w:val="24"/>
        </w:rPr>
      </w:pPr>
      <w:r w:rsidRPr="00813DDC">
        <w:rPr>
          <w:rFonts w:cs="Arial"/>
          <w:i/>
          <w:szCs w:val="24"/>
        </w:rPr>
        <w:t>IN080 = Índice de conformidade da quantidade de amostras - turbidez (%);</w:t>
      </w:r>
    </w:p>
    <w:p w:rsidR="00813DDC" w:rsidRPr="00813DDC" w:rsidRDefault="00813DDC" w:rsidP="0066661F">
      <w:pPr>
        <w:numPr>
          <w:ilvl w:val="0"/>
          <w:numId w:val="27"/>
        </w:numPr>
        <w:jc w:val="both"/>
        <w:rPr>
          <w:rFonts w:cs="Arial"/>
          <w:i/>
          <w:szCs w:val="24"/>
        </w:rPr>
      </w:pPr>
      <w:r w:rsidRPr="00813DDC">
        <w:rPr>
          <w:rFonts w:cs="Arial"/>
          <w:i/>
          <w:szCs w:val="24"/>
        </w:rPr>
        <w:t>QD008 = Quantidade de amostras para turbidez (analisadas);</w:t>
      </w:r>
    </w:p>
    <w:p w:rsidR="00813DDC" w:rsidRPr="00813DDC" w:rsidRDefault="00813DDC" w:rsidP="0066661F">
      <w:pPr>
        <w:numPr>
          <w:ilvl w:val="0"/>
          <w:numId w:val="27"/>
        </w:numPr>
        <w:jc w:val="both"/>
        <w:rPr>
          <w:rFonts w:cs="Arial"/>
          <w:szCs w:val="24"/>
        </w:rPr>
      </w:pPr>
      <w:r w:rsidRPr="00813DDC">
        <w:rPr>
          <w:rFonts w:cs="Arial"/>
          <w:i/>
          <w:szCs w:val="24"/>
        </w:rPr>
        <w:t>QD019 = Quantidade mínima de amostras para turbidez (obrigatórias).</w:t>
      </w:r>
    </w:p>
    <w:p w:rsidR="00813DDC" w:rsidRPr="00813DDC" w:rsidRDefault="00813DDC" w:rsidP="00813DDC">
      <w:pPr>
        <w:ind w:firstLine="708"/>
        <w:jc w:val="both"/>
        <w:rPr>
          <w:rFonts w:cs="Arial"/>
          <w:szCs w:val="24"/>
        </w:rPr>
      </w:pPr>
      <w:r w:rsidRPr="00813DDC">
        <w:rPr>
          <w:rFonts w:cs="Arial"/>
          <w:szCs w:val="24"/>
        </w:rPr>
        <w:t>Este indicador, que se refere à amostragem de turbidez, auxiliará no monitoramento do alcance do objetivo “atendimento com água potável e monitoramento da qualidade da água consumida em 100 % dos domicílios rurais e de sistemas particulares”. O presente PMSB objetiva melhorar o saneamento básico e, consequentemente, a saúde da população. Portanto, o ideal é que esse indicador seja o mais próximo possível de 100 %.</w:t>
      </w:r>
    </w:p>
    <w:p w:rsidR="00813DDC" w:rsidRPr="00813DDC" w:rsidRDefault="00813DDC" w:rsidP="00BC01B1">
      <w:pPr>
        <w:pStyle w:val="Ttulo3"/>
      </w:pPr>
      <w:bookmarkStart w:id="1872" w:name="_Toc453769339"/>
      <w:bookmarkStart w:id="1873" w:name="_Toc453771206"/>
      <w:bookmarkStart w:id="1874" w:name="_Toc453833754"/>
      <w:bookmarkStart w:id="1875" w:name="_Toc499019032"/>
      <w:bookmarkStart w:id="1876" w:name="_Toc499106765"/>
      <w:bookmarkStart w:id="1877" w:name="_Toc499107085"/>
      <w:bookmarkStart w:id="1878" w:name="_Toc499107905"/>
      <w:bookmarkStart w:id="1879" w:name="_Toc499108742"/>
      <w:bookmarkStart w:id="1880" w:name="_Toc499109567"/>
      <w:bookmarkStart w:id="1881" w:name="_Toc499109733"/>
      <w:bookmarkStart w:id="1882" w:name="_Toc499709939"/>
      <w:bookmarkStart w:id="1883" w:name="_Toc509935662"/>
      <w:r w:rsidRPr="00813DDC">
        <w:t>Indicadores para o objetivo 2</w:t>
      </w:r>
      <w:bookmarkEnd w:id="1872"/>
      <w:bookmarkEnd w:id="1873"/>
      <w:bookmarkEnd w:id="1874"/>
      <w:bookmarkEnd w:id="1875"/>
      <w:bookmarkEnd w:id="1876"/>
      <w:bookmarkEnd w:id="1877"/>
      <w:bookmarkEnd w:id="1878"/>
      <w:bookmarkEnd w:id="1879"/>
      <w:bookmarkEnd w:id="1880"/>
      <w:bookmarkEnd w:id="1881"/>
      <w:bookmarkEnd w:id="1882"/>
      <w:bookmarkEnd w:id="1883"/>
    </w:p>
    <w:p w:rsidR="00813DDC" w:rsidRPr="00813DDC" w:rsidRDefault="00813DDC" w:rsidP="00BC01B1">
      <w:pPr>
        <w:pStyle w:val="Ttulo4"/>
      </w:pPr>
      <w:bookmarkStart w:id="1884" w:name="_Toc453769340"/>
      <w:bookmarkStart w:id="1885" w:name="_Toc453771207"/>
      <w:bookmarkStart w:id="1886" w:name="_Toc453833755"/>
      <w:bookmarkStart w:id="1887" w:name="_Toc499019033"/>
      <w:bookmarkStart w:id="1888" w:name="_Toc499106766"/>
      <w:bookmarkStart w:id="1889" w:name="_Toc499107086"/>
      <w:bookmarkStart w:id="1890" w:name="_Toc499107906"/>
      <w:bookmarkStart w:id="1891" w:name="_Toc499108743"/>
      <w:bookmarkStart w:id="1892" w:name="_Toc499109568"/>
      <w:bookmarkStart w:id="1893" w:name="_Toc499109734"/>
      <w:bookmarkStart w:id="1894" w:name="_Toc499709940"/>
      <w:bookmarkStart w:id="1895" w:name="_Toc509935663"/>
      <w:r w:rsidRPr="00813DDC">
        <w:t>Índice de perdas na distribuição</w:t>
      </w:r>
      <w:bookmarkEnd w:id="1884"/>
      <w:bookmarkEnd w:id="1885"/>
      <w:bookmarkEnd w:id="1886"/>
      <w:bookmarkEnd w:id="1887"/>
      <w:bookmarkEnd w:id="1888"/>
      <w:bookmarkEnd w:id="1889"/>
      <w:bookmarkEnd w:id="1890"/>
      <w:bookmarkEnd w:id="1891"/>
      <w:bookmarkEnd w:id="1892"/>
      <w:bookmarkEnd w:id="1893"/>
      <w:bookmarkEnd w:id="1894"/>
      <w:bookmarkEnd w:id="1895"/>
    </w:p>
    <w:p w:rsidR="00813DDC" w:rsidRPr="00813DDC" w:rsidRDefault="00813DDC" w:rsidP="00813DDC">
      <w:pPr>
        <w:rPr>
          <w:rFonts w:ascii="Cambria Math" w:hAnsi="Cambria Math"/>
          <w:i/>
          <w:sz w:val="22"/>
        </w:rPr>
      </w:pPr>
      <m:oMathPara>
        <m:oMath>
          <m:r>
            <w:rPr>
              <w:rFonts w:ascii="Cambria Math" w:hAnsi="Cambria Math"/>
              <w:sz w:val="22"/>
            </w:rPr>
            <m:t>IN049=</m:t>
          </m:r>
          <m:f>
            <m:fPr>
              <m:ctrlPr>
                <w:rPr>
                  <w:rFonts w:ascii="Cambria Math" w:hAnsi="Cambria Math"/>
                  <w:i/>
                  <w:sz w:val="22"/>
                </w:rPr>
              </m:ctrlPr>
            </m:fPr>
            <m:num>
              <m:r>
                <w:rPr>
                  <w:rFonts w:ascii="Cambria Math" w:hAnsi="Cambria Math"/>
                  <w:sz w:val="22"/>
                </w:rPr>
                <m:t>AG006+AG018-AG024-AG010</m:t>
              </m:r>
            </m:num>
            <m:den>
              <m:r>
                <w:rPr>
                  <w:rFonts w:ascii="Cambria Math" w:hAnsi="Cambria Math"/>
                  <w:sz w:val="22"/>
                </w:rPr>
                <m:t>AG006+AG018-AG024</m:t>
              </m:r>
            </m:den>
          </m:f>
          <m:r>
            <w:rPr>
              <w:rFonts w:ascii="Cambria Math" w:hAnsi="Cambria Math"/>
              <w:sz w:val="22"/>
            </w:rPr>
            <m:t xml:space="preserve"> x 100</m:t>
          </m:r>
        </m:oMath>
      </m:oMathPara>
    </w:p>
    <w:p w:rsidR="00810C89" w:rsidRDefault="00810C89" w:rsidP="00813DDC">
      <w:pPr>
        <w:spacing w:before="120" w:after="120"/>
        <w:ind w:firstLine="708"/>
        <w:contextualSpacing/>
        <w:jc w:val="both"/>
        <w:rPr>
          <w:rFonts w:cs="Arial"/>
          <w:szCs w:val="24"/>
        </w:rPr>
      </w:pPr>
    </w:p>
    <w:p w:rsidR="00813DDC" w:rsidRPr="00813DDC" w:rsidRDefault="00813DDC" w:rsidP="00813DDC">
      <w:pPr>
        <w:spacing w:before="120" w:after="120"/>
        <w:ind w:firstLine="708"/>
        <w:contextualSpacing/>
        <w:jc w:val="both"/>
        <w:rPr>
          <w:rFonts w:cs="Arial"/>
          <w:szCs w:val="24"/>
        </w:rPr>
      </w:pPr>
      <w:r w:rsidRPr="00813DDC">
        <w:rPr>
          <w:rFonts w:cs="Arial"/>
          <w:szCs w:val="24"/>
        </w:rPr>
        <w:lastRenderedPageBreak/>
        <w:t>Em que:</w:t>
      </w:r>
    </w:p>
    <w:p w:rsidR="00813DDC" w:rsidRPr="00813DDC" w:rsidRDefault="00813DDC" w:rsidP="0066661F">
      <w:pPr>
        <w:numPr>
          <w:ilvl w:val="0"/>
          <w:numId w:val="27"/>
        </w:numPr>
        <w:jc w:val="both"/>
        <w:rPr>
          <w:rFonts w:cs="Arial"/>
          <w:i/>
          <w:szCs w:val="24"/>
        </w:rPr>
      </w:pPr>
      <w:r w:rsidRPr="00813DDC">
        <w:rPr>
          <w:rFonts w:cs="Arial"/>
          <w:i/>
          <w:szCs w:val="24"/>
        </w:rPr>
        <w:t>IN049 = Índice de perdas na distribuição (%);</w:t>
      </w:r>
    </w:p>
    <w:p w:rsidR="00813DDC" w:rsidRPr="00813DDC" w:rsidRDefault="00813DDC" w:rsidP="0066661F">
      <w:pPr>
        <w:numPr>
          <w:ilvl w:val="0"/>
          <w:numId w:val="27"/>
        </w:numPr>
        <w:jc w:val="both"/>
        <w:rPr>
          <w:rFonts w:cs="Arial"/>
          <w:i/>
          <w:szCs w:val="24"/>
        </w:rPr>
      </w:pPr>
      <w:r w:rsidRPr="00813DDC">
        <w:rPr>
          <w:rFonts w:cs="Arial"/>
          <w:i/>
          <w:szCs w:val="24"/>
        </w:rPr>
        <w:t>AG006 = Volume de água produzido (1.000 m³/ano);</w:t>
      </w:r>
    </w:p>
    <w:p w:rsidR="00813DDC" w:rsidRPr="00813DDC" w:rsidRDefault="00813DDC" w:rsidP="0066661F">
      <w:pPr>
        <w:numPr>
          <w:ilvl w:val="0"/>
          <w:numId w:val="27"/>
        </w:numPr>
        <w:jc w:val="both"/>
        <w:rPr>
          <w:rFonts w:cs="Arial"/>
          <w:i/>
          <w:szCs w:val="24"/>
        </w:rPr>
      </w:pPr>
      <w:r w:rsidRPr="00813DDC">
        <w:rPr>
          <w:rFonts w:cs="Arial"/>
          <w:i/>
          <w:szCs w:val="24"/>
        </w:rPr>
        <w:t>AG010 = Volume de água consumido (1.000 m³/ano);</w:t>
      </w:r>
    </w:p>
    <w:p w:rsidR="00813DDC" w:rsidRPr="00813DDC" w:rsidRDefault="00813DDC" w:rsidP="0066661F">
      <w:pPr>
        <w:numPr>
          <w:ilvl w:val="0"/>
          <w:numId w:val="27"/>
        </w:numPr>
        <w:jc w:val="both"/>
        <w:rPr>
          <w:rFonts w:cs="Arial"/>
          <w:i/>
          <w:szCs w:val="24"/>
        </w:rPr>
      </w:pPr>
      <w:r w:rsidRPr="00813DDC">
        <w:rPr>
          <w:rFonts w:cs="Arial"/>
          <w:i/>
          <w:szCs w:val="24"/>
        </w:rPr>
        <w:t>AG018 = Volume de água tratada importado (1.000 m³/ano);</w:t>
      </w:r>
    </w:p>
    <w:p w:rsidR="00813DDC" w:rsidRPr="00813DDC" w:rsidRDefault="00813DDC" w:rsidP="0066661F">
      <w:pPr>
        <w:numPr>
          <w:ilvl w:val="0"/>
          <w:numId w:val="27"/>
        </w:numPr>
        <w:jc w:val="both"/>
        <w:rPr>
          <w:rFonts w:cs="Arial"/>
          <w:i/>
          <w:szCs w:val="24"/>
        </w:rPr>
      </w:pPr>
      <w:r w:rsidRPr="00813DDC">
        <w:rPr>
          <w:rFonts w:cs="Arial"/>
          <w:i/>
          <w:szCs w:val="24"/>
        </w:rPr>
        <w:t>AG024 = Volume de água de serviço (1.000 m³/ano).</w:t>
      </w:r>
    </w:p>
    <w:p w:rsidR="00813DDC" w:rsidRPr="00813DDC" w:rsidRDefault="00813DDC" w:rsidP="00813DDC">
      <w:pPr>
        <w:spacing w:before="120" w:after="120"/>
        <w:ind w:firstLine="708"/>
        <w:contextualSpacing/>
        <w:jc w:val="both"/>
        <w:rPr>
          <w:rFonts w:cs="Arial"/>
          <w:szCs w:val="24"/>
        </w:rPr>
      </w:pPr>
      <w:r w:rsidRPr="00813DDC">
        <w:rPr>
          <w:rFonts w:cs="Arial"/>
          <w:szCs w:val="24"/>
        </w:rPr>
        <w:t>Sendo que:</w:t>
      </w:r>
    </w:p>
    <w:p w:rsidR="00813DDC" w:rsidRPr="00813DDC" w:rsidRDefault="00813DDC" w:rsidP="00813DDC">
      <w:pPr>
        <w:spacing w:before="120" w:after="120"/>
        <w:ind w:firstLine="708"/>
        <w:contextualSpacing/>
        <w:jc w:val="both"/>
        <w:rPr>
          <w:rFonts w:cs="Arial"/>
          <w:szCs w:val="24"/>
        </w:rPr>
      </w:pPr>
      <w:r w:rsidRPr="00813DDC">
        <w:rPr>
          <w:rFonts w:cs="Arial"/>
          <w:szCs w:val="24"/>
        </w:rPr>
        <w:t>AG018 = Volume de água tratada importado: é o volume anual de água potável previamente tratada (em Estações de Tratamento de Água - ETAs ou em Unidades de Tratamento Simplificado - UTSs), recebido de outros agentes fornecedores. Deve estar computado no volume de água macromedido (AG012), mas não nos volumes de água produzidos (AG006), tratados em ETAs (AG007) ou por simples desinfecção (AG015). A despesa com a importação de água deve estar computada na informação FN020. Para prestadores de serviços de abrangência regional (X004) e microrregional (X003), nos formulários de dados municipais (informações desagregadas), o volume de água tratada importado deve corresponder ao recebimento de água de outro prestador de serviços ou de outro município do próprio prestador.</w:t>
      </w:r>
    </w:p>
    <w:p w:rsidR="00813DDC" w:rsidRPr="00813DDC" w:rsidRDefault="00813DDC" w:rsidP="00813DDC">
      <w:pPr>
        <w:spacing w:before="120" w:after="120"/>
        <w:ind w:firstLine="708"/>
        <w:contextualSpacing/>
        <w:jc w:val="both"/>
        <w:rPr>
          <w:rFonts w:cs="Arial"/>
          <w:szCs w:val="24"/>
        </w:rPr>
      </w:pPr>
      <w:r w:rsidRPr="00813DDC">
        <w:rPr>
          <w:rFonts w:cs="Arial"/>
          <w:szCs w:val="24"/>
        </w:rPr>
        <w:t>AG024 = Volume de água de serviço: valor da soma dos volumes anuais de água usados para atividades operacionais e especiais, acrescido do volume de água recuperado. As águas de lavagem das ETAs ou UTSs não devem ser consideradas. A receita com água recuperada deve estar computada na informação FN005.</w:t>
      </w:r>
    </w:p>
    <w:p w:rsidR="00813DDC" w:rsidRPr="00813DDC" w:rsidRDefault="00813DDC" w:rsidP="00813DDC">
      <w:pPr>
        <w:spacing w:before="120" w:after="120"/>
        <w:ind w:firstLine="708"/>
        <w:contextualSpacing/>
        <w:jc w:val="both"/>
        <w:rPr>
          <w:rFonts w:cs="Arial"/>
          <w:szCs w:val="24"/>
        </w:rPr>
      </w:pPr>
      <w:r w:rsidRPr="00813DDC">
        <w:rPr>
          <w:rFonts w:cs="Arial"/>
          <w:szCs w:val="24"/>
        </w:rPr>
        <w:t>Esse indicador tem como objetivo avaliar a evolução da porcentagem de água que é perdida no sistema na distribuição. Visto que a água é um recurso finito e sua escassez na região é considerável, principalmente nas localidades semiáridas, o monitoramento desse indicador é fundamental para as tomadas de decisão e avaliação do desempenho das ações do PMSB ao longo do tempo.</w:t>
      </w:r>
    </w:p>
    <w:p w:rsidR="00813DDC" w:rsidRPr="00813DDC" w:rsidRDefault="00813DDC" w:rsidP="00813DDC">
      <w:pPr>
        <w:spacing w:before="120" w:after="120"/>
        <w:ind w:firstLine="708"/>
        <w:contextualSpacing/>
        <w:jc w:val="both"/>
        <w:rPr>
          <w:rFonts w:cs="Arial"/>
          <w:szCs w:val="24"/>
        </w:rPr>
      </w:pPr>
      <w:r w:rsidRPr="00813DDC">
        <w:rPr>
          <w:rFonts w:cs="Arial"/>
          <w:szCs w:val="24"/>
        </w:rPr>
        <w:t>O valor ideal para esse indicador é 0 %, entretanto, é extremamente difícil que isso ocorra. O presente PMSB tem por objetivo garantir o acesso da população aos recursos naturais e diminuir o desperdício de água, portanto, quanto mais próximo do 0 %, melhor.</w:t>
      </w:r>
    </w:p>
    <w:p w:rsidR="00813DDC" w:rsidRPr="00813DDC" w:rsidRDefault="00813DDC" w:rsidP="00813DDC">
      <w:pPr>
        <w:spacing w:before="120" w:after="120"/>
        <w:ind w:firstLine="708"/>
        <w:contextualSpacing/>
        <w:jc w:val="both"/>
        <w:rPr>
          <w:rFonts w:cs="Arial"/>
          <w:szCs w:val="24"/>
        </w:rPr>
      </w:pPr>
    </w:p>
    <w:p w:rsidR="00813DDC" w:rsidRPr="00813DDC" w:rsidRDefault="00813DDC" w:rsidP="00BC01B1">
      <w:pPr>
        <w:pStyle w:val="Ttulo4"/>
      </w:pPr>
      <w:bookmarkStart w:id="1896" w:name="_Toc453769341"/>
      <w:bookmarkStart w:id="1897" w:name="_Toc453771208"/>
      <w:bookmarkStart w:id="1898" w:name="_Toc453833756"/>
      <w:bookmarkStart w:id="1899" w:name="_Toc499019034"/>
      <w:bookmarkStart w:id="1900" w:name="_Toc499106767"/>
      <w:bookmarkStart w:id="1901" w:name="_Toc499107087"/>
      <w:bookmarkStart w:id="1902" w:name="_Toc499107907"/>
      <w:bookmarkStart w:id="1903" w:name="_Toc499108744"/>
      <w:bookmarkStart w:id="1904" w:name="_Toc499109569"/>
      <w:bookmarkStart w:id="1905" w:name="_Toc499109735"/>
      <w:bookmarkStart w:id="1906" w:name="_Toc499709941"/>
      <w:bookmarkStart w:id="1907" w:name="_Toc509935664"/>
      <w:r w:rsidRPr="00813DDC">
        <w:lastRenderedPageBreak/>
        <w:t xml:space="preserve">Consumo médio </w:t>
      </w:r>
      <w:r w:rsidRPr="00813DDC">
        <w:rPr>
          <w:i/>
        </w:rPr>
        <w:t>per capita</w:t>
      </w:r>
      <w:r w:rsidRPr="00813DDC">
        <w:t xml:space="preserve"> de água</w:t>
      </w:r>
      <w:bookmarkEnd w:id="1896"/>
      <w:bookmarkEnd w:id="1897"/>
      <w:bookmarkEnd w:id="1898"/>
      <w:bookmarkEnd w:id="1899"/>
      <w:bookmarkEnd w:id="1900"/>
      <w:bookmarkEnd w:id="1901"/>
      <w:bookmarkEnd w:id="1902"/>
      <w:bookmarkEnd w:id="1903"/>
      <w:bookmarkEnd w:id="1904"/>
      <w:bookmarkEnd w:id="1905"/>
      <w:bookmarkEnd w:id="1906"/>
      <w:bookmarkEnd w:id="1907"/>
    </w:p>
    <w:p w:rsidR="00813DDC" w:rsidRPr="00813DDC" w:rsidRDefault="00813DDC" w:rsidP="00813DDC">
      <w:pPr>
        <w:rPr>
          <w:rFonts w:ascii="Cambria Math" w:hAnsi="Cambria Math"/>
          <w:i/>
          <w:sz w:val="22"/>
        </w:rPr>
      </w:pPr>
      <m:oMathPara>
        <m:oMath>
          <m:r>
            <w:rPr>
              <w:rFonts w:ascii="Cambria Math" w:hAnsi="Cambria Math"/>
              <w:sz w:val="22"/>
            </w:rPr>
            <m:t>IN022=</m:t>
          </m:r>
          <m:f>
            <m:fPr>
              <m:ctrlPr>
                <w:rPr>
                  <w:rFonts w:ascii="Cambria Math" w:hAnsi="Cambria Math"/>
                  <w:i/>
                  <w:sz w:val="22"/>
                </w:rPr>
              </m:ctrlPr>
            </m:fPr>
            <m:num>
              <m:r>
                <w:rPr>
                  <w:rFonts w:ascii="Cambria Math" w:hAnsi="Cambria Math"/>
                  <w:sz w:val="22"/>
                </w:rPr>
                <m:t>AG010-AG019</m:t>
              </m:r>
            </m:num>
            <m:den>
              <m:r>
                <w:rPr>
                  <w:rFonts w:ascii="Cambria Math" w:hAnsi="Cambria Math"/>
                  <w:sz w:val="22"/>
                </w:rPr>
                <m:t>AG001*</m:t>
              </m:r>
            </m:den>
          </m:f>
          <m:r>
            <w:rPr>
              <w:rFonts w:ascii="Cambria Math" w:hAnsi="Cambria Math"/>
              <w:sz w:val="22"/>
            </w:rPr>
            <m:t xml:space="preserve"> x </m:t>
          </m:r>
          <m:f>
            <m:fPr>
              <m:ctrlPr>
                <w:rPr>
                  <w:rFonts w:ascii="Cambria Math" w:hAnsi="Cambria Math"/>
                  <w:i/>
                  <w:sz w:val="22"/>
                </w:rPr>
              </m:ctrlPr>
            </m:fPr>
            <m:num>
              <m:sSup>
                <m:sSupPr>
                  <m:ctrlPr>
                    <w:rPr>
                      <w:rFonts w:ascii="Cambria Math" w:hAnsi="Cambria Math"/>
                      <w:i/>
                      <w:sz w:val="22"/>
                    </w:rPr>
                  </m:ctrlPr>
                </m:sSupPr>
                <m:e>
                  <m:r>
                    <w:rPr>
                      <w:rFonts w:ascii="Cambria Math" w:hAnsi="Cambria Math"/>
                      <w:sz w:val="22"/>
                    </w:rPr>
                    <m:t>10</m:t>
                  </m:r>
                </m:e>
                <m:sup>
                  <m:r>
                    <w:rPr>
                      <w:rFonts w:ascii="Cambria Math" w:hAnsi="Cambria Math"/>
                      <w:sz w:val="22"/>
                    </w:rPr>
                    <m:t>6</m:t>
                  </m:r>
                </m:sup>
              </m:sSup>
            </m:num>
            <m:den>
              <m:r>
                <w:rPr>
                  <w:rFonts w:ascii="Cambria Math" w:hAnsi="Cambria Math"/>
                  <w:sz w:val="22"/>
                </w:rPr>
                <m:t>365</m:t>
              </m:r>
            </m:den>
          </m:f>
        </m:oMath>
      </m:oMathPara>
    </w:p>
    <w:p w:rsidR="00813DDC" w:rsidRPr="00813DDC" w:rsidRDefault="00813DDC" w:rsidP="00813DDC">
      <w:pPr>
        <w:spacing w:before="120" w:after="120"/>
        <w:ind w:firstLine="708"/>
        <w:contextualSpacing/>
        <w:jc w:val="both"/>
        <w:rPr>
          <w:rFonts w:cs="Arial"/>
          <w:szCs w:val="24"/>
        </w:rPr>
      </w:pPr>
      <w:r w:rsidRPr="00813DDC">
        <w:rPr>
          <w:rFonts w:cs="Arial"/>
          <w:szCs w:val="24"/>
        </w:rPr>
        <w:t>Em que:</w:t>
      </w:r>
    </w:p>
    <w:p w:rsidR="00813DDC" w:rsidRPr="00813DDC" w:rsidRDefault="00813DDC" w:rsidP="0066661F">
      <w:pPr>
        <w:numPr>
          <w:ilvl w:val="0"/>
          <w:numId w:val="27"/>
        </w:numPr>
        <w:jc w:val="both"/>
        <w:rPr>
          <w:rFonts w:cs="Arial"/>
          <w:i/>
          <w:szCs w:val="24"/>
        </w:rPr>
      </w:pPr>
      <w:r w:rsidRPr="00813DDC">
        <w:rPr>
          <w:rFonts w:cs="Arial"/>
          <w:i/>
          <w:szCs w:val="24"/>
        </w:rPr>
        <w:t>IN022 = Consumo médio per capita de água (L/hab./dia);</w:t>
      </w:r>
    </w:p>
    <w:p w:rsidR="00813DDC" w:rsidRPr="00813DDC" w:rsidRDefault="00813DDC" w:rsidP="0066661F">
      <w:pPr>
        <w:numPr>
          <w:ilvl w:val="0"/>
          <w:numId w:val="27"/>
        </w:numPr>
        <w:jc w:val="both"/>
        <w:rPr>
          <w:rFonts w:cs="Arial"/>
          <w:i/>
          <w:szCs w:val="24"/>
        </w:rPr>
      </w:pPr>
      <w:r w:rsidRPr="00813DDC">
        <w:rPr>
          <w:rFonts w:cs="Arial"/>
          <w:i/>
          <w:szCs w:val="24"/>
        </w:rPr>
        <w:t>AG010 = Volume de água consumido (1.000 m³/ano);</w:t>
      </w:r>
    </w:p>
    <w:p w:rsidR="00813DDC" w:rsidRPr="00813DDC" w:rsidRDefault="00813DDC" w:rsidP="0066661F">
      <w:pPr>
        <w:numPr>
          <w:ilvl w:val="0"/>
          <w:numId w:val="27"/>
        </w:numPr>
        <w:jc w:val="both"/>
        <w:rPr>
          <w:rFonts w:cs="Arial"/>
          <w:i/>
          <w:szCs w:val="24"/>
        </w:rPr>
      </w:pPr>
      <w:r w:rsidRPr="00813DDC">
        <w:rPr>
          <w:rFonts w:cs="Arial"/>
          <w:i/>
          <w:szCs w:val="24"/>
        </w:rPr>
        <w:t>AG019 = Volume de água tratada exportado (1.000 m³/ano);</w:t>
      </w:r>
    </w:p>
    <w:p w:rsidR="00813DDC" w:rsidRPr="00813DDC" w:rsidRDefault="00813DDC" w:rsidP="0066661F">
      <w:pPr>
        <w:numPr>
          <w:ilvl w:val="0"/>
          <w:numId w:val="27"/>
        </w:numPr>
        <w:jc w:val="both"/>
        <w:rPr>
          <w:rFonts w:cs="Arial"/>
          <w:i/>
          <w:szCs w:val="24"/>
        </w:rPr>
      </w:pPr>
      <w:r w:rsidRPr="00813DDC">
        <w:rPr>
          <w:rFonts w:cs="Arial"/>
          <w:i/>
          <w:szCs w:val="24"/>
        </w:rPr>
        <w:t>AG001 = População total atendida com abastecimento de água (hab.);</w:t>
      </w:r>
    </w:p>
    <w:p w:rsidR="00813DDC" w:rsidRPr="00813DDC" w:rsidRDefault="00813DDC" w:rsidP="00813DDC">
      <w:pPr>
        <w:ind w:left="1429"/>
        <w:jc w:val="both"/>
        <w:rPr>
          <w:rFonts w:cs="Arial"/>
          <w:i/>
          <w:szCs w:val="24"/>
        </w:rPr>
      </w:pPr>
      <w:r w:rsidRPr="00813DDC">
        <w:rPr>
          <w:rFonts w:cs="Arial"/>
          <w:i/>
          <w:szCs w:val="24"/>
        </w:rPr>
        <w:t>*Utiliza-se a média aritmética dos valores do ano de referência e do ano anterior ao mesmo.</w:t>
      </w:r>
    </w:p>
    <w:p w:rsidR="00813DDC" w:rsidRPr="00813DDC" w:rsidRDefault="00813DDC" w:rsidP="00813DDC">
      <w:pPr>
        <w:spacing w:before="120" w:after="120"/>
        <w:ind w:firstLine="708"/>
        <w:contextualSpacing/>
        <w:jc w:val="both"/>
        <w:rPr>
          <w:rFonts w:cs="Arial"/>
          <w:szCs w:val="24"/>
        </w:rPr>
      </w:pPr>
      <w:r w:rsidRPr="00813DDC">
        <w:rPr>
          <w:rFonts w:cs="Arial"/>
          <w:szCs w:val="24"/>
        </w:rPr>
        <w:t>Sendo que:</w:t>
      </w:r>
    </w:p>
    <w:p w:rsidR="00813DDC" w:rsidRPr="00813DDC" w:rsidRDefault="00813DDC" w:rsidP="00813DDC">
      <w:pPr>
        <w:spacing w:before="120" w:after="120"/>
        <w:ind w:firstLine="708"/>
        <w:contextualSpacing/>
        <w:jc w:val="both"/>
        <w:rPr>
          <w:rFonts w:cs="Arial"/>
          <w:szCs w:val="24"/>
        </w:rPr>
      </w:pPr>
      <w:r w:rsidRPr="00813DDC">
        <w:rPr>
          <w:rFonts w:cs="Arial"/>
          <w:szCs w:val="24"/>
        </w:rPr>
        <w:t>AG019 = Volume anual de água potável previamente tratada (em ETAs - AG007 ou em UTSs - AG015), transferido para outros agentes distribuidores. Deve estar computado nos volumes de água consumido (AG010) e faturado (AG011), caso tenha ocorrido faturamento. A receita com a exportação de água deve estar computada em receita operacional direta de água exportada (bruta ou tratada), na informação FN007. Para prestadores de serviços de abrangência regional (X004) e microrregional (X003), nos formulários de dados municipais (informações desagregadas), o volume de água tratada exportado deve corresponder ao envio de água para outro prestador de serviços ou para outro município do próprio prestador.</w:t>
      </w:r>
    </w:p>
    <w:p w:rsidR="00813DDC" w:rsidRPr="00813DDC" w:rsidRDefault="00813DDC" w:rsidP="00813DDC">
      <w:pPr>
        <w:spacing w:before="120" w:after="120"/>
        <w:ind w:firstLine="708"/>
        <w:contextualSpacing/>
        <w:jc w:val="both"/>
        <w:rPr>
          <w:rFonts w:cs="Arial"/>
          <w:szCs w:val="24"/>
        </w:rPr>
      </w:pPr>
      <w:r w:rsidRPr="00813DDC">
        <w:rPr>
          <w:rFonts w:cs="Arial"/>
          <w:szCs w:val="24"/>
        </w:rPr>
        <w:t>Este indicador permite avaliar o valor do consumo médio de água por habitante, permitindo, assim, um acompanhamento das ações do Plano e do atendimento eficiente da demanda para os próximos anos. Além disso, sua base histórica permite a extrapolação do índice e, consequentemente, a estimativa da demanda no município para os anos seguintes.</w:t>
      </w:r>
    </w:p>
    <w:p w:rsidR="00813DDC" w:rsidRPr="00813DDC" w:rsidRDefault="00813DDC" w:rsidP="00BC01B1">
      <w:pPr>
        <w:pStyle w:val="Ttulo3"/>
      </w:pPr>
      <w:bookmarkStart w:id="1908" w:name="_Toc453769342"/>
      <w:bookmarkStart w:id="1909" w:name="_Toc453771209"/>
      <w:bookmarkStart w:id="1910" w:name="_Toc453833757"/>
      <w:bookmarkStart w:id="1911" w:name="_Toc499019035"/>
      <w:bookmarkStart w:id="1912" w:name="_Toc499106768"/>
      <w:bookmarkStart w:id="1913" w:name="_Toc499107088"/>
      <w:bookmarkStart w:id="1914" w:name="_Toc499107908"/>
      <w:bookmarkStart w:id="1915" w:name="_Toc499108745"/>
      <w:bookmarkStart w:id="1916" w:name="_Toc499109570"/>
      <w:bookmarkStart w:id="1917" w:name="_Toc499109736"/>
      <w:bookmarkStart w:id="1918" w:name="_Toc499709942"/>
      <w:bookmarkStart w:id="1919" w:name="_Toc509935665"/>
      <w:r w:rsidRPr="00813DDC">
        <w:t>Indicadores para o objetivo 3</w:t>
      </w:r>
      <w:bookmarkEnd w:id="1908"/>
      <w:bookmarkEnd w:id="1909"/>
      <w:bookmarkEnd w:id="1910"/>
      <w:bookmarkEnd w:id="1911"/>
      <w:bookmarkEnd w:id="1912"/>
      <w:bookmarkEnd w:id="1913"/>
      <w:bookmarkEnd w:id="1914"/>
      <w:bookmarkEnd w:id="1915"/>
      <w:bookmarkEnd w:id="1916"/>
      <w:bookmarkEnd w:id="1917"/>
      <w:bookmarkEnd w:id="1918"/>
      <w:bookmarkEnd w:id="1919"/>
    </w:p>
    <w:p w:rsidR="00813DDC" w:rsidRPr="00813DDC" w:rsidRDefault="00813DDC" w:rsidP="00BC01B1">
      <w:pPr>
        <w:pStyle w:val="Ttulo4"/>
      </w:pPr>
      <w:bookmarkStart w:id="1920" w:name="_Toc453769343"/>
      <w:bookmarkStart w:id="1921" w:name="_Toc453771210"/>
      <w:bookmarkStart w:id="1922" w:name="_Toc453833758"/>
      <w:bookmarkStart w:id="1923" w:name="_Toc499019036"/>
      <w:bookmarkStart w:id="1924" w:name="_Toc499106769"/>
      <w:bookmarkStart w:id="1925" w:name="_Toc499107089"/>
      <w:bookmarkStart w:id="1926" w:name="_Toc499107909"/>
      <w:bookmarkStart w:id="1927" w:name="_Toc499108746"/>
      <w:bookmarkStart w:id="1928" w:name="_Toc499109571"/>
      <w:bookmarkStart w:id="1929" w:name="_Toc499109737"/>
      <w:bookmarkStart w:id="1930" w:name="_Toc499709943"/>
      <w:bookmarkStart w:id="1931" w:name="_Toc509935666"/>
      <w:r w:rsidRPr="00813DDC">
        <w:t>Índice de atendimento às ações propostas para o SAA</w:t>
      </w:r>
      <w:bookmarkEnd w:id="1920"/>
      <w:bookmarkEnd w:id="1921"/>
      <w:bookmarkEnd w:id="1922"/>
      <w:bookmarkEnd w:id="1923"/>
      <w:bookmarkEnd w:id="1924"/>
      <w:bookmarkEnd w:id="1925"/>
      <w:bookmarkEnd w:id="1926"/>
      <w:bookmarkEnd w:id="1927"/>
      <w:bookmarkEnd w:id="1928"/>
      <w:bookmarkEnd w:id="1929"/>
      <w:bookmarkEnd w:id="1930"/>
      <w:bookmarkEnd w:id="1931"/>
    </w:p>
    <w:p w:rsidR="00813DDC" w:rsidRPr="00813DDC" w:rsidRDefault="001B481B" w:rsidP="00813DDC">
      <w:pPr>
        <w:rPr>
          <w:rFonts w:ascii="Cambria Math" w:hAnsi="Cambria Math"/>
          <w:i/>
          <w:sz w:val="22"/>
        </w:rPr>
      </w:pPr>
      <m:oMathPara>
        <m:oMath>
          <m:sSub>
            <m:sSubPr>
              <m:ctrlPr>
                <w:rPr>
                  <w:rFonts w:ascii="Cambria Math" w:hAnsi="Cambria Math"/>
                  <w:i/>
                  <w:sz w:val="22"/>
                </w:rPr>
              </m:ctrlPr>
            </m:sSubPr>
            <m:e>
              <m:r>
                <w:rPr>
                  <w:rFonts w:ascii="Cambria Math" w:hAnsi="Cambria Math"/>
                  <w:sz w:val="22"/>
                </w:rPr>
                <m:t>IA</m:t>
              </m:r>
            </m:e>
            <m:sub>
              <m:r>
                <w:rPr>
                  <w:rFonts w:ascii="Cambria Math" w:hAnsi="Cambria Math"/>
                  <w:sz w:val="22"/>
                </w:rPr>
                <m:t>SAA</m:t>
              </m:r>
            </m:sub>
          </m:sSub>
          <m:r>
            <w:rPr>
              <w:rFonts w:ascii="Cambria Math" w:hAnsi="Cambria Math"/>
              <w:sz w:val="22"/>
            </w:rPr>
            <m:t xml:space="preserve">= </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Aimp</m:t>
                  </m:r>
                </m:e>
                <m:sub>
                  <m:r>
                    <w:rPr>
                      <w:rFonts w:ascii="Cambria Math" w:hAnsi="Cambria Math"/>
                      <w:sz w:val="22"/>
                    </w:rPr>
                    <m:t>SAA</m:t>
                  </m:r>
                </m:sub>
              </m:sSub>
            </m:num>
            <m:den>
              <m:sSub>
                <m:sSubPr>
                  <m:ctrlPr>
                    <w:rPr>
                      <w:rFonts w:ascii="Cambria Math" w:hAnsi="Cambria Math"/>
                      <w:i/>
                      <w:sz w:val="22"/>
                    </w:rPr>
                  </m:ctrlPr>
                </m:sSubPr>
                <m:e>
                  <m:r>
                    <w:rPr>
                      <w:rFonts w:ascii="Cambria Math" w:hAnsi="Cambria Math"/>
                      <w:sz w:val="22"/>
                    </w:rPr>
                    <m:t>Asug</m:t>
                  </m:r>
                </m:e>
                <m:sub>
                  <m:r>
                    <w:rPr>
                      <w:rFonts w:ascii="Cambria Math" w:hAnsi="Cambria Math"/>
                      <w:sz w:val="22"/>
                    </w:rPr>
                    <m:t>SAA</m:t>
                  </m:r>
                </m:sub>
              </m:sSub>
            </m:den>
          </m:f>
          <m:r>
            <w:rPr>
              <w:rFonts w:ascii="Cambria Math" w:hAnsi="Cambria Math"/>
              <w:sz w:val="22"/>
            </w:rPr>
            <m:t xml:space="preserve"> x 100</m:t>
          </m:r>
        </m:oMath>
      </m:oMathPara>
    </w:p>
    <w:p w:rsidR="00813DDC" w:rsidRPr="00813DDC" w:rsidRDefault="00813DDC" w:rsidP="00813DDC">
      <w:r w:rsidRPr="00813DDC">
        <w:tab/>
        <w:t>Em que:</w:t>
      </w:r>
    </w:p>
    <w:p w:rsidR="00813DDC" w:rsidRPr="00813DDC" w:rsidRDefault="00813DDC" w:rsidP="0066661F">
      <w:pPr>
        <w:numPr>
          <w:ilvl w:val="0"/>
          <w:numId w:val="27"/>
        </w:numPr>
        <w:jc w:val="both"/>
        <w:rPr>
          <w:rFonts w:cs="Arial"/>
          <w:i/>
          <w:szCs w:val="24"/>
        </w:rPr>
      </w:pPr>
      <w:r w:rsidRPr="00813DDC">
        <w:rPr>
          <w:rFonts w:cs="Arial"/>
          <w:i/>
          <w:szCs w:val="24"/>
        </w:rPr>
        <w:t>IA</w:t>
      </w:r>
      <w:r w:rsidRPr="00813DDC">
        <w:rPr>
          <w:rFonts w:cs="Arial"/>
          <w:i/>
          <w:szCs w:val="24"/>
          <w:vertAlign w:val="subscript"/>
        </w:rPr>
        <w:t>SAA</w:t>
      </w:r>
      <w:r w:rsidRPr="00813DDC">
        <w:rPr>
          <w:rFonts w:cs="Arial"/>
          <w:i/>
          <w:szCs w:val="24"/>
        </w:rPr>
        <w:t>: Índice de atendimento às ações relacionadas ao SAA (%);</w:t>
      </w:r>
    </w:p>
    <w:p w:rsidR="00813DDC" w:rsidRPr="00813DDC" w:rsidRDefault="00813DDC" w:rsidP="0066661F">
      <w:pPr>
        <w:numPr>
          <w:ilvl w:val="0"/>
          <w:numId w:val="27"/>
        </w:numPr>
        <w:jc w:val="both"/>
        <w:rPr>
          <w:rFonts w:cs="Arial"/>
          <w:i/>
          <w:szCs w:val="24"/>
        </w:rPr>
      </w:pPr>
      <w:r w:rsidRPr="00813DDC">
        <w:rPr>
          <w:rFonts w:cs="Arial"/>
          <w:i/>
          <w:szCs w:val="24"/>
        </w:rPr>
        <w:lastRenderedPageBreak/>
        <w:t>Aimp</w:t>
      </w:r>
      <w:r w:rsidRPr="00813DDC">
        <w:rPr>
          <w:rFonts w:cs="Arial"/>
          <w:i/>
          <w:szCs w:val="24"/>
          <w:vertAlign w:val="subscript"/>
        </w:rPr>
        <w:t>SAA</w:t>
      </w:r>
      <w:r w:rsidRPr="00813DDC">
        <w:rPr>
          <w:rFonts w:cs="Arial"/>
          <w:i/>
          <w:szCs w:val="24"/>
        </w:rPr>
        <w:t>: Total de ações implantadas;</w:t>
      </w:r>
    </w:p>
    <w:p w:rsidR="00813DDC" w:rsidRPr="00813DDC" w:rsidRDefault="00813DDC" w:rsidP="0066661F">
      <w:pPr>
        <w:numPr>
          <w:ilvl w:val="0"/>
          <w:numId w:val="27"/>
        </w:numPr>
        <w:jc w:val="both"/>
        <w:rPr>
          <w:rFonts w:cs="Arial"/>
          <w:i/>
          <w:szCs w:val="24"/>
        </w:rPr>
      </w:pPr>
      <w:r w:rsidRPr="00813DDC">
        <w:rPr>
          <w:rFonts w:cs="Arial"/>
          <w:i/>
          <w:szCs w:val="24"/>
        </w:rPr>
        <w:t>Asug</w:t>
      </w:r>
      <w:r w:rsidRPr="00813DDC">
        <w:rPr>
          <w:rFonts w:cs="Arial"/>
          <w:i/>
          <w:szCs w:val="24"/>
          <w:vertAlign w:val="subscript"/>
        </w:rPr>
        <w:t>SAA</w:t>
      </w:r>
      <w:r w:rsidRPr="00813DDC">
        <w:rPr>
          <w:rFonts w:cs="Arial"/>
          <w:i/>
          <w:szCs w:val="24"/>
        </w:rPr>
        <w:t>: Total de ações sugeridas.</w:t>
      </w:r>
    </w:p>
    <w:p w:rsidR="00813DDC" w:rsidRPr="00813DDC" w:rsidRDefault="00813DDC" w:rsidP="00813DDC">
      <w:pPr>
        <w:ind w:firstLine="708"/>
        <w:jc w:val="both"/>
      </w:pPr>
      <w:r w:rsidRPr="00813DDC">
        <w:t>Este indicador representa a porcentagem de ações propostas para o SAA que foram atendidas. Dessa maneira, torna-se possível o monitoramento das atividades realizadas para o setor de abastecimento de água potável.</w:t>
      </w:r>
    </w:p>
    <w:p w:rsidR="00813DDC" w:rsidRPr="00813DDC" w:rsidRDefault="00813DDC" w:rsidP="00BC01B1">
      <w:pPr>
        <w:pStyle w:val="Ttulo4"/>
      </w:pPr>
      <w:bookmarkStart w:id="1932" w:name="_Toc453769344"/>
      <w:bookmarkStart w:id="1933" w:name="_Toc453771211"/>
      <w:bookmarkStart w:id="1934" w:name="_Toc453833759"/>
      <w:bookmarkStart w:id="1935" w:name="_Toc499019037"/>
      <w:bookmarkStart w:id="1936" w:name="_Toc499106770"/>
      <w:bookmarkStart w:id="1937" w:name="_Toc499107090"/>
      <w:bookmarkStart w:id="1938" w:name="_Toc499107910"/>
      <w:bookmarkStart w:id="1939" w:name="_Toc499108747"/>
      <w:bookmarkStart w:id="1940" w:name="_Toc499109572"/>
      <w:bookmarkStart w:id="1941" w:name="_Toc499109738"/>
      <w:bookmarkStart w:id="1942" w:name="_Toc499709944"/>
      <w:bookmarkStart w:id="1943" w:name="_Toc509935667"/>
      <w:r w:rsidRPr="00813DDC">
        <w:t>Tarifa média de água</w:t>
      </w:r>
      <w:bookmarkEnd w:id="1932"/>
      <w:bookmarkEnd w:id="1933"/>
      <w:bookmarkEnd w:id="1934"/>
      <w:bookmarkEnd w:id="1935"/>
      <w:bookmarkEnd w:id="1936"/>
      <w:bookmarkEnd w:id="1937"/>
      <w:bookmarkEnd w:id="1938"/>
      <w:bookmarkEnd w:id="1939"/>
      <w:bookmarkEnd w:id="1940"/>
      <w:bookmarkEnd w:id="1941"/>
      <w:bookmarkEnd w:id="1942"/>
      <w:bookmarkEnd w:id="1943"/>
    </w:p>
    <w:p w:rsidR="00813DDC" w:rsidRPr="00813DDC" w:rsidRDefault="00813DDC" w:rsidP="00813DDC">
      <w:pPr>
        <w:ind w:firstLine="708"/>
        <w:rPr>
          <w:rFonts w:eastAsia="Times New Roman" w:cs="Arial"/>
          <w:sz w:val="22"/>
        </w:rPr>
      </w:pPr>
      <m:oMathPara>
        <m:oMath>
          <m:r>
            <w:rPr>
              <w:rFonts w:ascii="Cambria Math" w:hAnsi="Cambria Math"/>
              <w:sz w:val="22"/>
            </w:rPr>
            <m:t>IN005=</m:t>
          </m:r>
          <m:f>
            <m:fPr>
              <m:ctrlPr>
                <w:rPr>
                  <w:rFonts w:ascii="Cambria Math" w:hAnsi="Cambria Math"/>
                  <w:i/>
                  <w:sz w:val="22"/>
                </w:rPr>
              </m:ctrlPr>
            </m:fPr>
            <m:num>
              <m:r>
                <w:rPr>
                  <w:rFonts w:ascii="Cambria Math" w:hAnsi="Cambria Math"/>
                  <w:sz w:val="22"/>
                </w:rPr>
                <m:t>FN002</m:t>
              </m:r>
            </m:num>
            <m:den>
              <m:r>
                <w:rPr>
                  <w:rFonts w:ascii="Cambria Math" w:hAnsi="Cambria Math"/>
                  <w:sz w:val="22"/>
                </w:rPr>
                <m:t xml:space="preserve">AG011-AG017-AG019  </m:t>
              </m:r>
            </m:den>
          </m:f>
          <m:r>
            <w:rPr>
              <w:rFonts w:ascii="Cambria Math" w:hAnsi="Cambria Math"/>
              <w:sz w:val="22"/>
            </w:rPr>
            <m:t xml:space="preserve"> x 1000</m:t>
          </m:r>
        </m:oMath>
      </m:oMathPara>
    </w:p>
    <w:p w:rsidR="00813DDC" w:rsidRPr="00813DDC" w:rsidRDefault="00813DDC" w:rsidP="00813DDC">
      <w:pPr>
        <w:ind w:firstLine="708"/>
        <w:rPr>
          <w:rFonts w:cs="Arial"/>
          <w:szCs w:val="24"/>
        </w:rPr>
      </w:pPr>
    </w:p>
    <w:p w:rsidR="00813DDC" w:rsidRPr="00813DDC" w:rsidRDefault="00813DDC" w:rsidP="00813DDC">
      <w:pPr>
        <w:ind w:firstLine="708"/>
        <w:rPr>
          <w:rFonts w:eastAsia="Times New Roman" w:cs="Arial"/>
          <w:szCs w:val="24"/>
        </w:rPr>
      </w:pPr>
      <w:r w:rsidRPr="00813DDC">
        <w:rPr>
          <w:rFonts w:cs="Arial"/>
          <w:szCs w:val="24"/>
        </w:rPr>
        <w:t>Em que:</w:t>
      </w:r>
    </w:p>
    <w:p w:rsidR="00813DDC" w:rsidRPr="00813DDC" w:rsidRDefault="00813DDC" w:rsidP="0066661F">
      <w:pPr>
        <w:numPr>
          <w:ilvl w:val="0"/>
          <w:numId w:val="27"/>
        </w:numPr>
        <w:jc w:val="both"/>
        <w:rPr>
          <w:rFonts w:cs="Arial"/>
          <w:i/>
          <w:szCs w:val="24"/>
        </w:rPr>
      </w:pPr>
      <w:r w:rsidRPr="00813DDC">
        <w:rPr>
          <w:rFonts w:cs="Arial"/>
          <w:i/>
          <w:szCs w:val="24"/>
        </w:rPr>
        <w:t>IN005 = Tarifa média de água (R$/m³);</w:t>
      </w:r>
    </w:p>
    <w:p w:rsidR="00813DDC" w:rsidRPr="00813DDC" w:rsidRDefault="00813DDC" w:rsidP="0066661F">
      <w:pPr>
        <w:numPr>
          <w:ilvl w:val="0"/>
          <w:numId w:val="27"/>
        </w:numPr>
        <w:jc w:val="both"/>
        <w:rPr>
          <w:rFonts w:cs="Arial"/>
          <w:i/>
          <w:szCs w:val="24"/>
        </w:rPr>
      </w:pPr>
      <w:r w:rsidRPr="00813DDC">
        <w:rPr>
          <w:rFonts w:cs="Arial"/>
          <w:i/>
          <w:szCs w:val="24"/>
        </w:rPr>
        <w:t>FN002 = Receita operacional direta água (R$/ano);</w:t>
      </w:r>
    </w:p>
    <w:p w:rsidR="00813DDC" w:rsidRPr="00813DDC" w:rsidRDefault="00813DDC" w:rsidP="0066661F">
      <w:pPr>
        <w:numPr>
          <w:ilvl w:val="0"/>
          <w:numId w:val="27"/>
        </w:numPr>
        <w:jc w:val="both"/>
        <w:rPr>
          <w:rFonts w:cs="Arial"/>
          <w:i/>
          <w:szCs w:val="24"/>
        </w:rPr>
      </w:pPr>
      <w:r w:rsidRPr="00813DDC">
        <w:rPr>
          <w:rFonts w:cs="Arial"/>
          <w:i/>
          <w:szCs w:val="24"/>
        </w:rPr>
        <w:t>AG011 = Volume de água faturado (1.000 m³/ano);</w:t>
      </w:r>
    </w:p>
    <w:p w:rsidR="00813DDC" w:rsidRPr="00813DDC" w:rsidRDefault="00813DDC" w:rsidP="0066661F">
      <w:pPr>
        <w:numPr>
          <w:ilvl w:val="0"/>
          <w:numId w:val="27"/>
        </w:numPr>
        <w:jc w:val="both"/>
        <w:rPr>
          <w:rFonts w:cs="Arial"/>
          <w:i/>
          <w:szCs w:val="24"/>
        </w:rPr>
      </w:pPr>
      <w:r w:rsidRPr="00813DDC">
        <w:rPr>
          <w:rFonts w:cs="Arial"/>
          <w:i/>
          <w:szCs w:val="24"/>
        </w:rPr>
        <w:t>AG017 = Volumes de água bruta exportado (1.000 m³/ano);</w:t>
      </w:r>
    </w:p>
    <w:p w:rsidR="00813DDC" w:rsidRPr="00813DDC" w:rsidRDefault="00813DDC" w:rsidP="0066661F">
      <w:pPr>
        <w:numPr>
          <w:ilvl w:val="0"/>
          <w:numId w:val="27"/>
        </w:numPr>
        <w:jc w:val="both"/>
        <w:rPr>
          <w:rFonts w:cs="Arial"/>
          <w:i/>
          <w:szCs w:val="24"/>
        </w:rPr>
      </w:pPr>
      <w:r w:rsidRPr="00813DDC">
        <w:rPr>
          <w:rFonts w:cs="Arial"/>
          <w:i/>
          <w:szCs w:val="24"/>
        </w:rPr>
        <w:t>AG019 = Volume de água tratada exportado (1.000 m³/ano).</w:t>
      </w:r>
    </w:p>
    <w:p w:rsidR="00813DDC" w:rsidRPr="00813DDC" w:rsidRDefault="00813DDC" w:rsidP="00813DDC">
      <w:pPr>
        <w:spacing w:before="120" w:after="120"/>
        <w:ind w:firstLine="708"/>
        <w:contextualSpacing/>
        <w:jc w:val="both"/>
        <w:rPr>
          <w:rFonts w:cs="Arial"/>
          <w:szCs w:val="24"/>
        </w:rPr>
      </w:pPr>
      <w:r w:rsidRPr="00813DDC">
        <w:rPr>
          <w:rFonts w:cs="Arial"/>
          <w:szCs w:val="24"/>
        </w:rPr>
        <w:t>Este indicador, que calcula a tarifa média de água, auxiliará no monitoramento do alcance do objetivo “implementar uma gestão eficiente”, com a cobrança de uma tarifa justa, conforme definições do órgão regulador.</w:t>
      </w:r>
    </w:p>
    <w:p w:rsidR="00813DDC" w:rsidRPr="00813DDC" w:rsidRDefault="00813DDC" w:rsidP="00813DDC">
      <w:pPr>
        <w:spacing w:before="120" w:after="120"/>
        <w:contextualSpacing/>
        <w:jc w:val="both"/>
        <w:rPr>
          <w:rFonts w:cs="Arial"/>
          <w:szCs w:val="24"/>
        </w:rPr>
      </w:pPr>
      <w:r w:rsidRPr="00813DDC">
        <w:rPr>
          <w:rFonts w:cs="Arial"/>
          <w:szCs w:val="24"/>
        </w:rPr>
        <w:t>OBS: A fórmula para cálculo do indicador IN005 foi apresentada aqui com uma pequena alteração em relação à apresentada no Glossário do SNIS – 2016, para manter a unidade em R$/m³. No glossário, os parâmetros são multiplicados por 1/1000, ao invés de 1000.</w:t>
      </w:r>
    </w:p>
    <w:p w:rsidR="00813DDC" w:rsidRPr="00813DDC" w:rsidRDefault="00813DDC" w:rsidP="00BC01B1">
      <w:pPr>
        <w:pStyle w:val="Ttulo4"/>
      </w:pPr>
      <w:bookmarkStart w:id="1944" w:name="_Toc453769345"/>
      <w:bookmarkStart w:id="1945" w:name="_Toc453771212"/>
      <w:bookmarkStart w:id="1946" w:name="_Toc453833760"/>
      <w:bookmarkStart w:id="1947" w:name="_Toc499019038"/>
      <w:bookmarkStart w:id="1948" w:name="_Toc499106771"/>
      <w:bookmarkStart w:id="1949" w:name="_Toc499107091"/>
      <w:bookmarkStart w:id="1950" w:name="_Toc499107911"/>
      <w:bookmarkStart w:id="1951" w:name="_Toc499108748"/>
      <w:bookmarkStart w:id="1952" w:name="_Toc499109573"/>
      <w:bookmarkStart w:id="1953" w:name="_Toc499109739"/>
      <w:bookmarkStart w:id="1954" w:name="_Toc499709945"/>
      <w:bookmarkStart w:id="1955" w:name="_Toc509935668"/>
      <w:r w:rsidRPr="00813DDC">
        <w:t>Margem da despesa de exploração</w:t>
      </w:r>
      <w:bookmarkEnd w:id="1944"/>
      <w:bookmarkEnd w:id="1945"/>
      <w:bookmarkEnd w:id="1946"/>
      <w:bookmarkEnd w:id="1947"/>
      <w:bookmarkEnd w:id="1948"/>
      <w:bookmarkEnd w:id="1949"/>
      <w:bookmarkEnd w:id="1950"/>
      <w:bookmarkEnd w:id="1951"/>
      <w:bookmarkEnd w:id="1952"/>
      <w:bookmarkEnd w:id="1953"/>
      <w:bookmarkEnd w:id="1954"/>
      <w:bookmarkEnd w:id="1955"/>
    </w:p>
    <w:p w:rsidR="00813DDC" w:rsidRPr="00813DDC" w:rsidRDefault="00813DDC" w:rsidP="00813DDC">
      <w:pPr>
        <w:rPr>
          <w:rFonts w:cs="Arial"/>
          <w:szCs w:val="24"/>
        </w:rPr>
      </w:pPr>
      <m:oMathPara>
        <m:oMath>
          <m:r>
            <w:rPr>
              <w:rFonts w:ascii="Cambria Math" w:hAnsi="Cambria Math"/>
              <w:sz w:val="22"/>
            </w:rPr>
            <m:t>IN030 =</m:t>
          </m:r>
          <m:f>
            <m:fPr>
              <m:ctrlPr>
                <w:rPr>
                  <w:rFonts w:ascii="Cambria Math" w:hAnsi="Cambria Math"/>
                  <w:i/>
                  <w:sz w:val="22"/>
                </w:rPr>
              </m:ctrlPr>
            </m:fPr>
            <m:num>
              <m:r>
                <w:rPr>
                  <w:rFonts w:ascii="Cambria Math" w:hAnsi="Cambria Math"/>
                  <w:sz w:val="22"/>
                </w:rPr>
                <m:t>FN015</m:t>
              </m:r>
            </m:num>
            <m:den>
              <m:r>
                <w:rPr>
                  <w:rFonts w:ascii="Cambria Math" w:hAnsi="Cambria Math"/>
                  <w:sz w:val="22"/>
                </w:rPr>
                <m:t xml:space="preserve">FN001 </m:t>
              </m:r>
            </m:den>
          </m:f>
          <m:r>
            <w:rPr>
              <w:rFonts w:ascii="Cambria Math" w:hAnsi="Cambria Math"/>
              <w:sz w:val="22"/>
            </w:rPr>
            <m:t xml:space="preserve"> x 100</m:t>
          </m:r>
          <m:r>
            <m:rPr>
              <m:sty m:val="p"/>
            </m:rPr>
            <w:rPr>
              <w:rFonts w:ascii="Cambria Math" w:hAnsi="Cambria Math" w:cs="Arial"/>
              <w:szCs w:val="24"/>
            </w:rPr>
            <w:br/>
          </m:r>
        </m:oMath>
      </m:oMathPara>
    </w:p>
    <w:p w:rsidR="00813DDC" w:rsidRPr="00813DDC" w:rsidRDefault="00813DDC" w:rsidP="00813DDC">
      <w:pPr>
        <w:rPr>
          <w:rFonts w:cs="Arial"/>
          <w:szCs w:val="24"/>
        </w:rPr>
      </w:pPr>
      <w:r w:rsidRPr="00813DDC">
        <w:rPr>
          <w:rFonts w:cs="Arial"/>
          <w:szCs w:val="24"/>
        </w:rPr>
        <w:tab/>
        <w:t>Em que:</w:t>
      </w:r>
    </w:p>
    <w:p w:rsidR="00813DDC" w:rsidRPr="00813DDC" w:rsidRDefault="00813DDC" w:rsidP="0066661F">
      <w:pPr>
        <w:numPr>
          <w:ilvl w:val="0"/>
          <w:numId w:val="27"/>
        </w:numPr>
        <w:jc w:val="both"/>
        <w:rPr>
          <w:rFonts w:cs="Arial"/>
          <w:i/>
          <w:szCs w:val="24"/>
        </w:rPr>
      </w:pPr>
      <w:r w:rsidRPr="00813DDC">
        <w:rPr>
          <w:rFonts w:cs="Arial"/>
          <w:i/>
          <w:szCs w:val="24"/>
        </w:rPr>
        <w:t>IN030 = Margem da despesa de exploração (%);</w:t>
      </w:r>
    </w:p>
    <w:p w:rsidR="00813DDC" w:rsidRPr="00813DDC" w:rsidRDefault="00813DDC" w:rsidP="0066661F">
      <w:pPr>
        <w:numPr>
          <w:ilvl w:val="0"/>
          <w:numId w:val="27"/>
        </w:numPr>
        <w:jc w:val="both"/>
        <w:rPr>
          <w:rFonts w:cs="Arial"/>
          <w:i/>
          <w:szCs w:val="24"/>
        </w:rPr>
      </w:pPr>
      <w:r w:rsidRPr="00813DDC">
        <w:rPr>
          <w:rFonts w:cs="Arial"/>
          <w:i/>
          <w:szCs w:val="24"/>
        </w:rPr>
        <w:t>FN015 = Despesas de exploração (R$/ano);</w:t>
      </w:r>
    </w:p>
    <w:p w:rsidR="00813DDC" w:rsidRPr="00813DDC" w:rsidRDefault="00813DDC" w:rsidP="0066661F">
      <w:pPr>
        <w:numPr>
          <w:ilvl w:val="0"/>
          <w:numId w:val="27"/>
        </w:numPr>
        <w:jc w:val="both"/>
        <w:rPr>
          <w:rFonts w:cs="Arial"/>
          <w:i/>
          <w:szCs w:val="24"/>
        </w:rPr>
      </w:pPr>
      <w:r w:rsidRPr="00813DDC">
        <w:rPr>
          <w:rFonts w:cs="Arial"/>
          <w:i/>
          <w:szCs w:val="24"/>
        </w:rPr>
        <w:t>FN001 = FN002 + FN003 + FN007 + FN038 = Receita operacional direta total (R$/ano);</w:t>
      </w:r>
    </w:p>
    <w:p w:rsidR="00813DDC" w:rsidRPr="00813DDC" w:rsidRDefault="00813DDC" w:rsidP="0066661F">
      <w:pPr>
        <w:numPr>
          <w:ilvl w:val="0"/>
          <w:numId w:val="27"/>
        </w:numPr>
        <w:jc w:val="both"/>
        <w:rPr>
          <w:rFonts w:cs="Arial"/>
          <w:i/>
          <w:szCs w:val="24"/>
        </w:rPr>
      </w:pPr>
      <w:r w:rsidRPr="00813DDC">
        <w:rPr>
          <w:rFonts w:cs="Arial"/>
          <w:i/>
          <w:szCs w:val="24"/>
        </w:rPr>
        <w:lastRenderedPageBreak/>
        <w:t>FN002 = Receita operacional direta de água (R$/ano);</w:t>
      </w:r>
    </w:p>
    <w:p w:rsidR="00813DDC" w:rsidRPr="00813DDC" w:rsidRDefault="00813DDC" w:rsidP="0066661F">
      <w:pPr>
        <w:numPr>
          <w:ilvl w:val="0"/>
          <w:numId w:val="27"/>
        </w:numPr>
        <w:jc w:val="both"/>
        <w:rPr>
          <w:rFonts w:cs="Arial"/>
          <w:i/>
          <w:szCs w:val="24"/>
        </w:rPr>
      </w:pPr>
      <w:r w:rsidRPr="00813DDC">
        <w:rPr>
          <w:rFonts w:cs="Arial"/>
          <w:i/>
          <w:szCs w:val="24"/>
        </w:rPr>
        <w:t>FN003 = Receita operacional direta de esgoto (R$/ano);</w:t>
      </w:r>
    </w:p>
    <w:p w:rsidR="00813DDC" w:rsidRPr="00813DDC" w:rsidRDefault="00813DDC" w:rsidP="0066661F">
      <w:pPr>
        <w:numPr>
          <w:ilvl w:val="0"/>
          <w:numId w:val="27"/>
        </w:numPr>
        <w:jc w:val="both"/>
        <w:rPr>
          <w:rFonts w:cs="Arial"/>
          <w:i/>
          <w:szCs w:val="24"/>
        </w:rPr>
      </w:pPr>
      <w:r w:rsidRPr="00813DDC">
        <w:rPr>
          <w:rFonts w:cs="Arial"/>
          <w:i/>
          <w:szCs w:val="24"/>
        </w:rPr>
        <w:t>FN007 = Receita operacional direta de água exportada (bruta ou tratada) (R$/ano);</w:t>
      </w:r>
    </w:p>
    <w:p w:rsidR="00813DDC" w:rsidRPr="00813DDC" w:rsidRDefault="00813DDC" w:rsidP="0066661F">
      <w:pPr>
        <w:numPr>
          <w:ilvl w:val="0"/>
          <w:numId w:val="27"/>
        </w:numPr>
        <w:jc w:val="both"/>
        <w:rPr>
          <w:rFonts w:cs="Arial"/>
          <w:i/>
          <w:szCs w:val="24"/>
        </w:rPr>
      </w:pPr>
      <w:r w:rsidRPr="00813DDC">
        <w:rPr>
          <w:rFonts w:cs="Arial"/>
          <w:i/>
          <w:szCs w:val="24"/>
        </w:rPr>
        <w:t>FN038 = Receita operacional direta – esgoto bruto importado (R$/ano).</w:t>
      </w:r>
    </w:p>
    <w:p w:rsidR="00813DDC" w:rsidRPr="00813DDC" w:rsidRDefault="00813DDC" w:rsidP="00813DDC">
      <w:pPr>
        <w:ind w:firstLine="851"/>
        <w:jc w:val="both"/>
        <w:rPr>
          <w:rFonts w:cs="Arial"/>
          <w:szCs w:val="24"/>
        </w:rPr>
      </w:pPr>
      <w:r w:rsidRPr="00813DDC">
        <w:rPr>
          <w:rFonts w:cs="Arial"/>
          <w:szCs w:val="24"/>
        </w:rPr>
        <w:t>Este indicador, que calcula a margem da despesa de exploração, auxiliará no monitoramento do alcance do objetivo de “implementar uma gestão eficiente”, pois avalia a relação entre despesas e receitas. Pode ser calculado para os setores de água e esgoto juntos, ou apenas para o setor de água ou de esgoto separadamente.</w:t>
      </w:r>
    </w:p>
    <w:p w:rsidR="00813DDC" w:rsidRPr="00813DDC" w:rsidRDefault="00813DDC" w:rsidP="00BC01B1">
      <w:pPr>
        <w:pStyle w:val="Ttulo4"/>
      </w:pPr>
      <w:bookmarkStart w:id="1956" w:name="_Toc453769346"/>
      <w:bookmarkStart w:id="1957" w:name="_Toc453771213"/>
      <w:bookmarkStart w:id="1958" w:name="_Toc453833761"/>
      <w:bookmarkStart w:id="1959" w:name="_Toc499019039"/>
      <w:bookmarkStart w:id="1960" w:name="_Toc499106772"/>
      <w:bookmarkStart w:id="1961" w:name="_Toc499107092"/>
      <w:bookmarkStart w:id="1962" w:name="_Toc499107912"/>
      <w:bookmarkStart w:id="1963" w:name="_Toc499108749"/>
      <w:bookmarkStart w:id="1964" w:name="_Toc499109574"/>
      <w:bookmarkStart w:id="1965" w:name="_Toc499109740"/>
      <w:bookmarkStart w:id="1966" w:name="_Toc499709946"/>
      <w:bookmarkStart w:id="1967" w:name="_Toc509935669"/>
      <w:r w:rsidRPr="00813DDC">
        <w:t>Indicador de desempenho financeiro</w:t>
      </w:r>
      <w:bookmarkEnd w:id="1956"/>
      <w:bookmarkEnd w:id="1957"/>
      <w:bookmarkEnd w:id="1958"/>
      <w:bookmarkEnd w:id="1959"/>
      <w:bookmarkEnd w:id="1960"/>
      <w:bookmarkEnd w:id="1961"/>
      <w:bookmarkEnd w:id="1962"/>
      <w:bookmarkEnd w:id="1963"/>
      <w:bookmarkEnd w:id="1964"/>
      <w:bookmarkEnd w:id="1965"/>
      <w:bookmarkEnd w:id="1966"/>
      <w:bookmarkEnd w:id="1967"/>
    </w:p>
    <w:p w:rsidR="00813DDC" w:rsidRPr="00813DDC" w:rsidRDefault="00813DDC" w:rsidP="00813DDC">
      <w:pPr>
        <w:widowControl w:val="0"/>
        <w:spacing w:line="240" w:lineRule="auto"/>
        <w:jc w:val="center"/>
        <w:rPr>
          <w:rFonts w:eastAsia="Times New Roman" w:cs="Arial"/>
          <w:sz w:val="22"/>
          <w:szCs w:val="20"/>
          <w:lang w:eastAsia="pt-BR"/>
        </w:rPr>
      </w:pPr>
      <m:oMathPara>
        <m:oMath>
          <m:r>
            <w:rPr>
              <w:rFonts w:ascii="Cambria Math" w:eastAsia="Times New Roman" w:hAnsi="Cambria Math" w:cs="Arial"/>
              <w:sz w:val="22"/>
              <w:szCs w:val="24"/>
              <w:lang w:eastAsia="pt-BR"/>
            </w:rPr>
            <m:t>I</m:t>
          </m:r>
          <m:r>
            <w:rPr>
              <w:rFonts w:ascii="Cambria Math" w:hAnsi="Cambria Math"/>
              <w:sz w:val="22"/>
            </w:rPr>
            <m:t>N012 =</m:t>
          </m:r>
          <m:f>
            <m:fPr>
              <m:ctrlPr>
                <w:rPr>
                  <w:rFonts w:ascii="Cambria Math" w:hAnsi="Cambria Math"/>
                  <w:i/>
                  <w:sz w:val="22"/>
                </w:rPr>
              </m:ctrlPr>
            </m:fPr>
            <m:num>
              <m:r>
                <w:rPr>
                  <w:rFonts w:ascii="Cambria Math" w:hAnsi="Cambria Math"/>
                  <w:sz w:val="22"/>
                </w:rPr>
                <m:t>FN002+FN007</m:t>
              </m:r>
            </m:num>
            <m:den>
              <m:r>
                <w:rPr>
                  <w:rFonts w:ascii="Cambria Math" w:hAnsi="Cambria Math"/>
                  <w:sz w:val="22"/>
                </w:rPr>
                <m:t xml:space="preserve">FN017 </m:t>
              </m:r>
            </m:den>
          </m:f>
          <m:r>
            <w:rPr>
              <w:rFonts w:ascii="Cambria Math" w:hAnsi="Cambria Math"/>
              <w:sz w:val="22"/>
            </w:rPr>
            <m:t xml:space="preserve"> x 100</m:t>
          </m:r>
        </m:oMath>
      </m:oMathPara>
    </w:p>
    <w:p w:rsidR="00813DDC" w:rsidRPr="00813DDC" w:rsidRDefault="00813DDC" w:rsidP="00813DDC">
      <w:pPr>
        <w:spacing w:before="120" w:after="120"/>
        <w:ind w:firstLine="708"/>
        <w:contextualSpacing/>
        <w:jc w:val="both"/>
        <w:rPr>
          <w:rFonts w:cs="Arial"/>
          <w:szCs w:val="24"/>
        </w:rPr>
      </w:pPr>
      <w:r w:rsidRPr="00813DDC">
        <w:rPr>
          <w:rFonts w:cs="Arial"/>
          <w:szCs w:val="24"/>
        </w:rPr>
        <w:t>Em que:</w:t>
      </w:r>
    </w:p>
    <w:p w:rsidR="00813DDC" w:rsidRPr="00813DDC" w:rsidRDefault="00813DDC" w:rsidP="0066661F">
      <w:pPr>
        <w:numPr>
          <w:ilvl w:val="0"/>
          <w:numId w:val="27"/>
        </w:numPr>
        <w:jc w:val="both"/>
        <w:rPr>
          <w:rFonts w:cs="Arial"/>
          <w:i/>
          <w:szCs w:val="24"/>
        </w:rPr>
      </w:pPr>
      <w:r w:rsidRPr="00813DDC">
        <w:rPr>
          <w:rFonts w:cs="Arial"/>
          <w:i/>
          <w:szCs w:val="24"/>
        </w:rPr>
        <w:t>IN012 = Indicador de desempenho financeiro (%);</w:t>
      </w:r>
    </w:p>
    <w:p w:rsidR="00813DDC" w:rsidRPr="00813DDC" w:rsidRDefault="00813DDC" w:rsidP="0066661F">
      <w:pPr>
        <w:numPr>
          <w:ilvl w:val="0"/>
          <w:numId w:val="27"/>
        </w:numPr>
        <w:jc w:val="both"/>
        <w:rPr>
          <w:rFonts w:cs="Arial"/>
          <w:i/>
          <w:szCs w:val="24"/>
        </w:rPr>
      </w:pPr>
      <w:r w:rsidRPr="00813DDC">
        <w:rPr>
          <w:rFonts w:cs="Arial"/>
          <w:i/>
          <w:szCs w:val="24"/>
        </w:rPr>
        <w:t>FN002 = Receita operacional direta de água (R$/ano);</w:t>
      </w:r>
    </w:p>
    <w:p w:rsidR="00813DDC" w:rsidRPr="00813DDC" w:rsidRDefault="00813DDC" w:rsidP="0066661F">
      <w:pPr>
        <w:numPr>
          <w:ilvl w:val="0"/>
          <w:numId w:val="27"/>
        </w:numPr>
        <w:jc w:val="both"/>
        <w:rPr>
          <w:rFonts w:cs="Arial"/>
          <w:i/>
          <w:szCs w:val="24"/>
        </w:rPr>
      </w:pPr>
      <w:r w:rsidRPr="00813DDC">
        <w:rPr>
          <w:rFonts w:cs="Arial"/>
          <w:i/>
          <w:szCs w:val="24"/>
        </w:rPr>
        <w:t>FN007 = Receita operacional direta de água exportada (bruta ou tratada) (R$/ano);</w:t>
      </w:r>
    </w:p>
    <w:p w:rsidR="00813DDC" w:rsidRPr="00813DDC" w:rsidRDefault="00813DDC" w:rsidP="0066661F">
      <w:pPr>
        <w:numPr>
          <w:ilvl w:val="0"/>
          <w:numId w:val="27"/>
        </w:numPr>
        <w:jc w:val="both"/>
        <w:rPr>
          <w:rFonts w:cs="Arial"/>
          <w:i/>
          <w:szCs w:val="24"/>
        </w:rPr>
      </w:pPr>
      <w:r w:rsidRPr="00813DDC">
        <w:rPr>
          <w:rFonts w:cs="Arial"/>
          <w:i/>
          <w:szCs w:val="24"/>
        </w:rPr>
        <w:t>FN017 = Despesas totais com serviços.</w:t>
      </w:r>
    </w:p>
    <w:p w:rsidR="00813DDC" w:rsidRPr="00813DDC" w:rsidRDefault="00813DDC" w:rsidP="00813DDC">
      <w:pPr>
        <w:spacing w:before="120" w:after="120"/>
        <w:ind w:firstLine="708"/>
        <w:contextualSpacing/>
        <w:jc w:val="both"/>
        <w:rPr>
          <w:rFonts w:cs="Arial"/>
          <w:szCs w:val="24"/>
        </w:rPr>
      </w:pPr>
      <w:r w:rsidRPr="00813DDC">
        <w:rPr>
          <w:rFonts w:cs="Arial"/>
          <w:szCs w:val="24"/>
        </w:rPr>
        <w:t>Este indicador, que calcula o desempenho financeiro, auxiliará no monitoramento do alcance do objetivo “implementar uma gestão eficiente”, pois avalia a relação entre despesas e receitas.</w:t>
      </w:r>
    </w:p>
    <w:p w:rsidR="00813DDC" w:rsidRPr="00813DDC" w:rsidRDefault="00813DDC" w:rsidP="00813DDC">
      <w:pPr>
        <w:spacing w:before="120" w:after="120"/>
        <w:ind w:firstLine="708"/>
        <w:contextualSpacing/>
        <w:jc w:val="both"/>
        <w:rPr>
          <w:rFonts w:cs="Arial"/>
          <w:szCs w:val="24"/>
        </w:rPr>
      </w:pPr>
      <w:r w:rsidRPr="00813DDC">
        <w:rPr>
          <w:rFonts w:cs="Arial"/>
          <w:szCs w:val="24"/>
        </w:rPr>
        <w:t>Para analisar esse indicador estipula-se que:</w:t>
      </w:r>
    </w:p>
    <w:p w:rsidR="00813DDC" w:rsidRPr="00813DDC" w:rsidRDefault="00813DDC" w:rsidP="0066661F">
      <w:pPr>
        <w:numPr>
          <w:ilvl w:val="0"/>
          <w:numId w:val="25"/>
        </w:numPr>
        <w:spacing w:before="120" w:after="120"/>
        <w:contextualSpacing/>
        <w:jc w:val="both"/>
        <w:rPr>
          <w:rFonts w:cs="Arial"/>
          <w:szCs w:val="24"/>
        </w:rPr>
      </w:pPr>
      <w:r w:rsidRPr="00813DDC">
        <w:rPr>
          <w:rFonts w:cs="Arial"/>
          <w:szCs w:val="24"/>
        </w:rPr>
        <w:t>Valores menores que 100 % indicam que o sistema está em prejuízo, logo, se gasta mais do que se arrecada.</w:t>
      </w:r>
    </w:p>
    <w:p w:rsidR="00813DDC" w:rsidRPr="00813DDC" w:rsidRDefault="00813DDC" w:rsidP="0066661F">
      <w:pPr>
        <w:numPr>
          <w:ilvl w:val="0"/>
          <w:numId w:val="25"/>
        </w:numPr>
        <w:spacing w:before="120" w:after="120"/>
        <w:contextualSpacing/>
        <w:jc w:val="both"/>
        <w:rPr>
          <w:rFonts w:cs="Arial"/>
          <w:szCs w:val="24"/>
        </w:rPr>
      </w:pPr>
      <w:r w:rsidRPr="00813DDC">
        <w:rPr>
          <w:rFonts w:cs="Arial"/>
          <w:szCs w:val="24"/>
        </w:rPr>
        <w:t>Valor igual a 100 % indica que o valor gasto é o mesmo que o arrecadado (não há lucro nem prejuízo).</w:t>
      </w:r>
    </w:p>
    <w:p w:rsidR="00813DDC" w:rsidRPr="00813DDC" w:rsidRDefault="00813DDC" w:rsidP="0066661F">
      <w:pPr>
        <w:numPr>
          <w:ilvl w:val="0"/>
          <w:numId w:val="25"/>
        </w:numPr>
        <w:spacing w:before="120" w:after="120"/>
        <w:contextualSpacing/>
        <w:jc w:val="both"/>
        <w:rPr>
          <w:rFonts w:cs="Arial"/>
          <w:szCs w:val="24"/>
        </w:rPr>
      </w:pPr>
      <w:r w:rsidRPr="00813DDC">
        <w:rPr>
          <w:rFonts w:cs="Arial"/>
          <w:szCs w:val="24"/>
        </w:rPr>
        <w:t>Valores maiores que 100 %, indicam que o sistema gera lucros, logo, se gasta menos do que se arrecada.</w:t>
      </w:r>
    </w:p>
    <w:p w:rsidR="00813DDC" w:rsidRPr="00813DDC" w:rsidRDefault="00813DDC" w:rsidP="00813DDC">
      <w:pPr>
        <w:rPr>
          <w:rFonts w:cs="Arial"/>
          <w:szCs w:val="24"/>
        </w:rPr>
      </w:pPr>
      <w:r w:rsidRPr="00813DDC">
        <w:rPr>
          <w:rFonts w:cs="Arial"/>
          <w:szCs w:val="24"/>
        </w:rPr>
        <w:tab/>
        <w:t>Estima-se que o ideal são valores maiores que 100 %, porém próximos a 100 %, pois indicam que o sistema gera certo lucro, entretanto a taxa cobrada não se mostra superdimensionada.</w:t>
      </w:r>
    </w:p>
    <w:p w:rsidR="00813DDC" w:rsidRPr="00813DDC" w:rsidRDefault="00813DDC" w:rsidP="00BC01B1">
      <w:pPr>
        <w:pStyle w:val="Ttulo3"/>
      </w:pPr>
      <w:bookmarkStart w:id="1968" w:name="_Toc453769347"/>
      <w:bookmarkStart w:id="1969" w:name="_Toc453771214"/>
      <w:bookmarkStart w:id="1970" w:name="_Toc453833762"/>
      <w:bookmarkStart w:id="1971" w:name="_Toc499019040"/>
      <w:bookmarkStart w:id="1972" w:name="_Toc499106773"/>
      <w:bookmarkStart w:id="1973" w:name="_Toc499107093"/>
      <w:bookmarkStart w:id="1974" w:name="_Toc499107913"/>
      <w:bookmarkStart w:id="1975" w:name="_Toc499108750"/>
      <w:bookmarkStart w:id="1976" w:name="_Toc499109575"/>
      <w:bookmarkStart w:id="1977" w:name="_Toc499109741"/>
      <w:bookmarkStart w:id="1978" w:name="_Toc499709947"/>
      <w:bookmarkStart w:id="1979" w:name="_Toc509935670"/>
      <w:r w:rsidRPr="00813DDC">
        <w:lastRenderedPageBreak/>
        <w:t>Indicadores para o objetivo 4</w:t>
      </w:r>
      <w:bookmarkEnd w:id="1968"/>
      <w:bookmarkEnd w:id="1969"/>
      <w:bookmarkEnd w:id="1970"/>
      <w:bookmarkEnd w:id="1971"/>
      <w:bookmarkEnd w:id="1972"/>
      <w:bookmarkEnd w:id="1973"/>
      <w:bookmarkEnd w:id="1974"/>
      <w:bookmarkEnd w:id="1975"/>
      <w:bookmarkEnd w:id="1976"/>
      <w:bookmarkEnd w:id="1977"/>
      <w:bookmarkEnd w:id="1978"/>
      <w:bookmarkEnd w:id="1979"/>
    </w:p>
    <w:p w:rsidR="00813DDC" w:rsidRPr="00813DDC" w:rsidRDefault="00813DDC" w:rsidP="00BC01B1">
      <w:pPr>
        <w:pStyle w:val="Ttulo4"/>
      </w:pPr>
      <w:bookmarkStart w:id="1980" w:name="_Toc453769348"/>
      <w:bookmarkStart w:id="1981" w:name="_Toc453771215"/>
      <w:bookmarkStart w:id="1982" w:name="_Toc453833763"/>
      <w:bookmarkStart w:id="1983" w:name="_Toc499019041"/>
      <w:bookmarkStart w:id="1984" w:name="_Toc499106774"/>
      <w:bookmarkStart w:id="1985" w:name="_Toc499107094"/>
      <w:bookmarkStart w:id="1986" w:name="_Toc499107914"/>
      <w:bookmarkStart w:id="1987" w:name="_Toc499108751"/>
      <w:bookmarkStart w:id="1988" w:name="_Toc499109576"/>
      <w:bookmarkStart w:id="1989" w:name="_Toc499109742"/>
      <w:bookmarkStart w:id="1990" w:name="_Toc499709948"/>
      <w:bookmarkStart w:id="1991" w:name="_Toc509935671"/>
      <w:r w:rsidRPr="00813DDC">
        <w:t>Índice de monitoramento da regularidade das outorgas</w:t>
      </w:r>
      <w:bookmarkEnd w:id="1980"/>
      <w:bookmarkEnd w:id="1981"/>
      <w:bookmarkEnd w:id="1982"/>
      <w:bookmarkEnd w:id="1983"/>
      <w:bookmarkEnd w:id="1984"/>
      <w:bookmarkEnd w:id="1985"/>
      <w:bookmarkEnd w:id="1986"/>
      <w:bookmarkEnd w:id="1987"/>
      <w:bookmarkEnd w:id="1988"/>
      <w:bookmarkEnd w:id="1989"/>
      <w:bookmarkEnd w:id="1990"/>
      <w:bookmarkEnd w:id="1991"/>
    </w:p>
    <w:p w:rsidR="00813DDC" w:rsidRPr="00813DDC" w:rsidRDefault="00813DDC" w:rsidP="00813DDC">
      <w:pPr>
        <w:rPr>
          <w:rFonts w:ascii="Cambria Math" w:hAnsi="Cambria Math"/>
          <w:i/>
          <w:sz w:val="22"/>
        </w:rPr>
      </w:pPr>
      <m:oMathPara>
        <m:oMath>
          <m:r>
            <w:rPr>
              <w:rFonts w:ascii="Cambria Math" w:hAnsi="Cambria Math"/>
              <w:sz w:val="22"/>
            </w:rPr>
            <m:t>IMRO=</m:t>
          </m:r>
          <m:f>
            <m:fPr>
              <m:ctrlPr>
                <w:rPr>
                  <w:rFonts w:ascii="Cambria Math" w:hAnsi="Cambria Math"/>
                  <w:i/>
                  <w:sz w:val="22"/>
                </w:rPr>
              </m:ctrlPr>
            </m:fPr>
            <m:num>
              <m:r>
                <w:rPr>
                  <w:rFonts w:ascii="Cambria Math" w:hAnsi="Cambria Math"/>
                  <w:sz w:val="22"/>
                </w:rPr>
                <m:t>n</m:t>
              </m:r>
              <m:r>
                <w:rPr>
                  <w:rFonts w:ascii="Cambria Math" w:hAnsi="Cambria Math" w:hint="eastAsia"/>
                  <w:sz w:val="22"/>
                </w:rPr>
                <m:t>°</m:t>
              </m:r>
              <m:r>
                <w:rPr>
                  <w:rFonts w:ascii="Cambria Math" w:hAnsi="Cambria Math"/>
                  <w:sz w:val="22"/>
                </w:rPr>
                <m:t xml:space="preserve"> de capta</m:t>
              </m:r>
              <m:r>
                <w:rPr>
                  <w:rFonts w:ascii="Cambria Math" w:hAnsi="Cambria Math" w:hint="eastAsia"/>
                  <w:sz w:val="22"/>
                </w:rPr>
                <m:t>çõ</m:t>
              </m:r>
              <m:r>
                <w:rPr>
                  <w:rFonts w:ascii="Cambria Math" w:hAnsi="Cambria Math"/>
                  <w:sz w:val="22"/>
                </w:rPr>
                <m:t>es outorgadas+n</m:t>
              </m:r>
              <m:r>
                <w:rPr>
                  <w:rFonts w:ascii="Cambria Math" w:hAnsi="Cambria Math" w:hint="eastAsia"/>
                  <w:sz w:val="22"/>
                </w:rPr>
                <m:t>°</m:t>
              </m:r>
              <m:r>
                <w:rPr>
                  <w:rFonts w:ascii="Cambria Math" w:hAnsi="Cambria Math"/>
                  <w:sz w:val="22"/>
                </w:rPr>
                <m:t xml:space="preserve"> de travessias outorgad</m:t>
              </m:r>
              <m:r>
                <w:rPr>
                  <w:rFonts w:ascii="Cambria Math" w:hAnsi="Cambria Math"/>
                  <w:sz w:val="22"/>
                </w:rPr>
                <m:t>as</m:t>
              </m:r>
            </m:num>
            <m:den>
              <m:r>
                <w:rPr>
                  <w:rFonts w:ascii="Cambria Math" w:hAnsi="Cambria Math"/>
                  <w:sz w:val="22"/>
                </w:rPr>
                <m:t xml:space="preserve"> n</m:t>
              </m:r>
              <m:r>
                <w:rPr>
                  <w:rFonts w:ascii="Cambria Math" w:hAnsi="Cambria Math" w:hint="eastAsia"/>
                  <w:sz w:val="22"/>
                </w:rPr>
                <m:t>°</m:t>
              </m:r>
              <m:r>
                <w:rPr>
                  <w:rFonts w:ascii="Cambria Math" w:hAnsi="Cambria Math"/>
                  <w:sz w:val="22"/>
                </w:rPr>
                <m:t xml:space="preserve"> total de capta</m:t>
              </m:r>
              <m:r>
                <w:rPr>
                  <w:rFonts w:ascii="Cambria Math" w:hAnsi="Cambria Math" w:hint="eastAsia"/>
                  <w:sz w:val="22"/>
                </w:rPr>
                <m:t>çõ</m:t>
              </m:r>
              <m:r>
                <w:rPr>
                  <w:rFonts w:ascii="Cambria Math" w:hAnsi="Cambria Math"/>
                  <w:sz w:val="22"/>
                </w:rPr>
                <m:t>es+n</m:t>
              </m:r>
              <m:r>
                <w:rPr>
                  <w:rFonts w:ascii="Cambria Math" w:hAnsi="Cambria Math" w:hint="eastAsia"/>
                  <w:sz w:val="22"/>
                </w:rPr>
                <m:t>°</m:t>
              </m:r>
              <m:r>
                <w:rPr>
                  <w:rFonts w:ascii="Cambria Math" w:hAnsi="Cambria Math"/>
                  <w:sz w:val="22"/>
                </w:rPr>
                <m:t xml:space="preserve"> total de travessias</m:t>
              </m:r>
            </m:den>
          </m:f>
          <m:r>
            <w:rPr>
              <w:rFonts w:ascii="Cambria Math" w:hAnsi="Cambria Math"/>
              <w:sz w:val="22"/>
            </w:rPr>
            <m:t xml:space="preserve"> x 100</m:t>
          </m:r>
        </m:oMath>
      </m:oMathPara>
    </w:p>
    <w:p w:rsidR="00813DDC" w:rsidRPr="00813DDC" w:rsidRDefault="00813DDC" w:rsidP="00813DDC">
      <w:pPr>
        <w:rPr>
          <w:rFonts w:cs="Arial"/>
          <w:i/>
          <w:szCs w:val="24"/>
        </w:rPr>
      </w:pPr>
      <w:r w:rsidRPr="00813DDC">
        <w:rPr>
          <w:rFonts w:cs="Arial"/>
          <w:szCs w:val="24"/>
        </w:rPr>
        <w:tab/>
        <w:t>Em que:</w:t>
      </w:r>
    </w:p>
    <w:p w:rsidR="00813DDC" w:rsidRPr="00813DDC" w:rsidRDefault="00813DDC" w:rsidP="0066661F">
      <w:pPr>
        <w:numPr>
          <w:ilvl w:val="0"/>
          <w:numId w:val="27"/>
        </w:numPr>
        <w:jc w:val="both"/>
        <w:rPr>
          <w:rFonts w:cs="Arial"/>
          <w:i/>
          <w:szCs w:val="24"/>
        </w:rPr>
      </w:pPr>
      <w:r w:rsidRPr="00813DDC">
        <w:rPr>
          <w:rFonts w:cs="Arial"/>
          <w:i/>
          <w:szCs w:val="24"/>
        </w:rPr>
        <w:t>IMRO = Índice de monitoramento da regularidade das outorgas (%);</w:t>
      </w:r>
    </w:p>
    <w:p w:rsidR="00813DDC" w:rsidRPr="00813DDC" w:rsidRDefault="00813DDC" w:rsidP="0066661F">
      <w:pPr>
        <w:numPr>
          <w:ilvl w:val="0"/>
          <w:numId w:val="27"/>
        </w:numPr>
        <w:jc w:val="both"/>
        <w:rPr>
          <w:rFonts w:cs="Arial"/>
          <w:i/>
          <w:szCs w:val="24"/>
        </w:rPr>
      </w:pPr>
      <w:r w:rsidRPr="00813DDC">
        <w:rPr>
          <w:rFonts w:cs="Arial"/>
          <w:i/>
          <w:szCs w:val="24"/>
        </w:rPr>
        <w:t>N° de captações outorgadas (unid.);</w:t>
      </w:r>
    </w:p>
    <w:p w:rsidR="00813DDC" w:rsidRPr="00813DDC" w:rsidRDefault="00813DDC" w:rsidP="0066661F">
      <w:pPr>
        <w:numPr>
          <w:ilvl w:val="0"/>
          <w:numId w:val="27"/>
        </w:numPr>
        <w:jc w:val="both"/>
        <w:rPr>
          <w:rFonts w:cs="Arial"/>
          <w:i/>
          <w:szCs w:val="24"/>
        </w:rPr>
      </w:pPr>
      <w:r w:rsidRPr="00813DDC">
        <w:rPr>
          <w:rFonts w:cs="Arial"/>
          <w:i/>
          <w:szCs w:val="24"/>
        </w:rPr>
        <w:t>N° de travessias outorgadas (unid.);</w:t>
      </w:r>
    </w:p>
    <w:p w:rsidR="00813DDC" w:rsidRPr="00813DDC" w:rsidRDefault="00813DDC" w:rsidP="0066661F">
      <w:pPr>
        <w:numPr>
          <w:ilvl w:val="0"/>
          <w:numId w:val="27"/>
        </w:numPr>
        <w:jc w:val="both"/>
        <w:rPr>
          <w:rFonts w:cs="Arial"/>
          <w:i/>
          <w:szCs w:val="24"/>
        </w:rPr>
      </w:pPr>
      <w:r w:rsidRPr="00813DDC">
        <w:rPr>
          <w:rFonts w:cs="Arial"/>
          <w:i/>
          <w:szCs w:val="24"/>
        </w:rPr>
        <w:t>N° total de captações (unid.);</w:t>
      </w:r>
    </w:p>
    <w:p w:rsidR="00813DDC" w:rsidRPr="00813DDC" w:rsidRDefault="00813DDC" w:rsidP="0066661F">
      <w:pPr>
        <w:numPr>
          <w:ilvl w:val="0"/>
          <w:numId w:val="27"/>
        </w:numPr>
        <w:jc w:val="both"/>
        <w:rPr>
          <w:rFonts w:cs="Arial"/>
          <w:i/>
          <w:szCs w:val="24"/>
        </w:rPr>
      </w:pPr>
      <w:r w:rsidRPr="00813DDC">
        <w:rPr>
          <w:rFonts w:cs="Arial"/>
          <w:i/>
          <w:szCs w:val="24"/>
        </w:rPr>
        <w:t>N° total de travessias (unid.).</w:t>
      </w:r>
    </w:p>
    <w:p w:rsidR="00813DDC" w:rsidRPr="00813DDC" w:rsidRDefault="00813DDC" w:rsidP="00813DDC">
      <w:pPr>
        <w:jc w:val="both"/>
        <w:rPr>
          <w:rFonts w:cs="Arial"/>
          <w:szCs w:val="24"/>
        </w:rPr>
      </w:pPr>
      <w:r w:rsidRPr="00813DDC">
        <w:rPr>
          <w:rFonts w:cs="Arial"/>
          <w:szCs w:val="24"/>
        </w:rPr>
        <w:tab/>
        <w:t>Este indicador, que mostra a porcentagem de captações e travessias outorgadas, auxiliará no monitoramento do alcance do objetivo de “pleno atendimento à legislação ambiental aplicável em todos os subprocessos integrantes do SAA (captação, adução, reservação e distribuição)”.</w:t>
      </w:r>
    </w:p>
    <w:p w:rsidR="00813DDC" w:rsidRPr="00813DDC" w:rsidRDefault="00813DDC" w:rsidP="00BC01B1">
      <w:pPr>
        <w:pStyle w:val="Ttulo4"/>
      </w:pPr>
      <w:bookmarkStart w:id="1992" w:name="_Toc453769349"/>
      <w:bookmarkStart w:id="1993" w:name="_Toc453771216"/>
      <w:bookmarkStart w:id="1994" w:name="_Toc453833764"/>
      <w:bookmarkStart w:id="1995" w:name="_Toc499019042"/>
      <w:bookmarkStart w:id="1996" w:name="_Toc499106775"/>
      <w:bookmarkStart w:id="1997" w:name="_Toc499107095"/>
      <w:bookmarkStart w:id="1998" w:name="_Toc499107915"/>
      <w:bookmarkStart w:id="1999" w:name="_Toc499108752"/>
      <w:bookmarkStart w:id="2000" w:name="_Toc499109577"/>
      <w:bookmarkStart w:id="2001" w:name="_Toc499109743"/>
      <w:bookmarkStart w:id="2002" w:name="_Toc499709949"/>
      <w:bookmarkStart w:id="2003" w:name="_Toc509935672"/>
      <w:r w:rsidRPr="00813DDC">
        <w:t>Índice de monitoramento da regularidade das licenças ambientais</w:t>
      </w:r>
      <w:bookmarkEnd w:id="1992"/>
      <w:bookmarkEnd w:id="1993"/>
      <w:bookmarkEnd w:id="1994"/>
      <w:bookmarkEnd w:id="1995"/>
      <w:bookmarkEnd w:id="1996"/>
      <w:bookmarkEnd w:id="1997"/>
      <w:bookmarkEnd w:id="1998"/>
      <w:bookmarkEnd w:id="1999"/>
      <w:bookmarkEnd w:id="2000"/>
      <w:bookmarkEnd w:id="2001"/>
      <w:bookmarkEnd w:id="2002"/>
      <w:bookmarkEnd w:id="2003"/>
    </w:p>
    <w:p w:rsidR="00813DDC" w:rsidRPr="00813DDC" w:rsidRDefault="00813DDC" w:rsidP="00813DDC">
      <w:pPr>
        <w:rPr>
          <w:rFonts w:ascii="Cambria Math" w:hAnsi="Cambria Math"/>
          <w:i/>
          <w:sz w:val="22"/>
        </w:rPr>
      </w:pPr>
      <m:oMathPara>
        <m:oMath>
          <m:r>
            <w:rPr>
              <w:rFonts w:ascii="Cambria Math" w:hAnsi="Cambria Math"/>
              <w:sz w:val="22"/>
            </w:rPr>
            <m:t>IMRL=</m:t>
          </m:r>
          <m:f>
            <m:fPr>
              <m:ctrlPr>
                <w:rPr>
                  <w:rFonts w:ascii="Cambria Math" w:hAnsi="Cambria Math"/>
                  <w:i/>
                  <w:sz w:val="22"/>
                </w:rPr>
              </m:ctrlPr>
            </m:fPr>
            <m:num>
              <m:r>
                <w:rPr>
                  <w:rFonts w:ascii="Cambria Math" w:hAnsi="Cambria Math"/>
                  <w:sz w:val="22"/>
                </w:rPr>
                <m:t>n° de instalações licenciadas</m:t>
              </m:r>
            </m:num>
            <m:den>
              <m:r>
                <w:rPr>
                  <w:rFonts w:ascii="Cambria Math" w:hAnsi="Cambria Math"/>
                  <w:sz w:val="22"/>
                </w:rPr>
                <m:t xml:space="preserve"> n° total de instalações licenciáveis</m:t>
              </m:r>
            </m:den>
          </m:f>
          <m:r>
            <w:rPr>
              <w:rFonts w:ascii="Cambria Math" w:hAnsi="Cambria Math"/>
              <w:sz w:val="22"/>
            </w:rPr>
            <m:t xml:space="preserve"> x 100</m:t>
          </m:r>
        </m:oMath>
      </m:oMathPara>
    </w:p>
    <w:p w:rsidR="00813DDC" w:rsidRPr="00813DDC" w:rsidRDefault="00813DDC" w:rsidP="00813DDC">
      <w:pPr>
        <w:spacing w:before="120" w:after="120"/>
        <w:ind w:firstLine="708"/>
        <w:contextualSpacing/>
        <w:jc w:val="both"/>
        <w:rPr>
          <w:rFonts w:cs="Arial"/>
          <w:szCs w:val="24"/>
        </w:rPr>
      </w:pPr>
      <w:r w:rsidRPr="00813DDC">
        <w:rPr>
          <w:rFonts w:cs="Arial"/>
          <w:szCs w:val="24"/>
        </w:rPr>
        <w:t>Em que:</w:t>
      </w:r>
    </w:p>
    <w:p w:rsidR="00813DDC" w:rsidRPr="00813DDC" w:rsidRDefault="00813DDC" w:rsidP="0066661F">
      <w:pPr>
        <w:numPr>
          <w:ilvl w:val="0"/>
          <w:numId w:val="27"/>
        </w:numPr>
        <w:jc w:val="both"/>
        <w:rPr>
          <w:rFonts w:cs="Arial"/>
          <w:i/>
          <w:szCs w:val="24"/>
        </w:rPr>
      </w:pPr>
      <w:r w:rsidRPr="00813DDC">
        <w:rPr>
          <w:rFonts w:cs="Arial"/>
          <w:i/>
          <w:szCs w:val="24"/>
        </w:rPr>
        <w:t>IMRL = Índice de monitoramento da regularidade das licenças ambientais (%);</w:t>
      </w:r>
    </w:p>
    <w:p w:rsidR="00813DDC" w:rsidRPr="00813DDC" w:rsidRDefault="00813DDC" w:rsidP="0066661F">
      <w:pPr>
        <w:numPr>
          <w:ilvl w:val="0"/>
          <w:numId w:val="27"/>
        </w:numPr>
        <w:jc w:val="both"/>
        <w:rPr>
          <w:rFonts w:cs="Arial"/>
          <w:i/>
          <w:szCs w:val="24"/>
        </w:rPr>
      </w:pPr>
      <w:r w:rsidRPr="00813DDC">
        <w:rPr>
          <w:rFonts w:cs="Arial"/>
          <w:i/>
          <w:szCs w:val="24"/>
        </w:rPr>
        <w:t>N° de instalações licenciadas (unid.);</w:t>
      </w:r>
    </w:p>
    <w:p w:rsidR="00813DDC" w:rsidRPr="00813DDC" w:rsidRDefault="00813DDC" w:rsidP="0066661F">
      <w:pPr>
        <w:numPr>
          <w:ilvl w:val="0"/>
          <w:numId w:val="27"/>
        </w:numPr>
        <w:jc w:val="both"/>
        <w:rPr>
          <w:rFonts w:cs="Arial"/>
          <w:i/>
          <w:szCs w:val="24"/>
        </w:rPr>
      </w:pPr>
      <w:r w:rsidRPr="00813DDC">
        <w:rPr>
          <w:rFonts w:cs="Arial"/>
          <w:i/>
          <w:szCs w:val="24"/>
        </w:rPr>
        <w:t>N° total de instalações licenciáveis (unid.).</w:t>
      </w:r>
    </w:p>
    <w:p w:rsidR="00813DDC" w:rsidRPr="00813DDC" w:rsidRDefault="00813DDC" w:rsidP="00813DDC">
      <w:pPr>
        <w:jc w:val="both"/>
        <w:rPr>
          <w:rFonts w:cs="Arial"/>
          <w:szCs w:val="24"/>
        </w:rPr>
      </w:pPr>
      <w:r w:rsidRPr="00813DDC">
        <w:rPr>
          <w:rFonts w:cs="Arial"/>
          <w:szCs w:val="24"/>
        </w:rPr>
        <w:tab/>
        <w:t>Este indicador, que mostra a porcentagem de instalações licenciadas, auxiliará no monitoramento do alcance do objetivo de “pleno atendimento à legislação ambiental aplicável em todos os subprocessos integrantes do SAA (captação, adução, reservação e distribuição)”.</w:t>
      </w:r>
    </w:p>
    <w:p w:rsidR="00813DDC" w:rsidRPr="00813DDC" w:rsidRDefault="00813DDC" w:rsidP="00BC01B1">
      <w:pPr>
        <w:pStyle w:val="Ttulo3"/>
      </w:pPr>
      <w:bookmarkStart w:id="2004" w:name="_Toc453769350"/>
      <w:bookmarkStart w:id="2005" w:name="_Toc453771217"/>
      <w:bookmarkStart w:id="2006" w:name="_Toc453833765"/>
      <w:bookmarkStart w:id="2007" w:name="_Toc499019043"/>
      <w:bookmarkStart w:id="2008" w:name="_Toc499106776"/>
      <w:bookmarkStart w:id="2009" w:name="_Toc499107096"/>
      <w:bookmarkStart w:id="2010" w:name="_Toc499107916"/>
      <w:bookmarkStart w:id="2011" w:name="_Toc499108753"/>
      <w:bookmarkStart w:id="2012" w:name="_Toc499109578"/>
      <w:bookmarkStart w:id="2013" w:name="_Toc499109744"/>
      <w:bookmarkStart w:id="2014" w:name="_Toc499709950"/>
      <w:bookmarkStart w:id="2015" w:name="_Toc509935673"/>
      <w:r w:rsidRPr="00813DDC">
        <w:t>Indicadores para o objetivo 5</w:t>
      </w:r>
      <w:bookmarkEnd w:id="2004"/>
      <w:bookmarkEnd w:id="2005"/>
      <w:bookmarkEnd w:id="2006"/>
      <w:bookmarkEnd w:id="2007"/>
      <w:bookmarkEnd w:id="2008"/>
      <w:bookmarkEnd w:id="2009"/>
      <w:bookmarkEnd w:id="2010"/>
      <w:bookmarkEnd w:id="2011"/>
      <w:bookmarkEnd w:id="2012"/>
      <w:bookmarkEnd w:id="2013"/>
      <w:bookmarkEnd w:id="2014"/>
      <w:bookmarkEnd w:id="2015"/>
    </w:p>
    <w:p w:rsidR="00813DDC" w:rsidRPr="00813DDC" w:rsidRDefault="00813DDC" w:rsidP="00BC01B1">
      <w:pPr>
        <w:pStyle w:val="Ttulo4"/>
      </w:pPr>
      <w:bookmarkStart w:id="2016" w:name="_Toc453769351"/>
      <w:bookmarkStart w:id="2017" w:name="_Toc453771218"/>
      <w:bookmarkStart w:id="2018" w:name="_Toc453833766"/>
      <w:bookmarkStart w:id="2019" w:name="_Toc499019044"/>
      <w:bookmarkStart w:id="2020" w:name="_Toc499106777"/>
      <w:bookmarkStart w:id="2021" w:name="_Toc499107097"/>
      <w:bookmarkStart w:id="2022" w:name="_Toc499107917"/>
      <w:bookmarkStart w:id="2023" w:name="_Toc499108754"/>
      <w:bookmarkStart w:id="2024" w:name="_Toc499109579"/>
      <w:bookmarkStart w:id="2025" w:name="_Toc499109745"/>
      <w:bookmarkStart w:id="2026" w:name="_Toc499709951"/>
      <w:bookmarkStart w:id="2027" w:name="_Toc509935674"/>
      <w:r w:rsidRPr="00813DDC">
        <w:t>Índice de respostas satisfatórias à pesquisa de satisfação</w:t>
      </w:r>
      <w:bookmarkEnd w:id="2016"/>
      <w:bookmarkEnd w:id="2017"/>
      <w:bookmarkEnd w:id="2018"/>
      <w:bookmarkEnd w:id="2019"/>
      <w:bookmarkEnd w:id="2020"/>
      <w:bookmarkEnd w:id="2021"/>
      <w:bookmarkEnd w:id="2022"/>
      <w:bookmarkEnd w:id="2023"/>
      <w:bookmarkEnd w:id="2024"/>
      <w:bookmarkEnd w:id="2025"/>
      <w:bookmarkEnd w:id="2026"/>
      <w:bookmarkEnd w:id="2027"/>
    </w:p>
    <w:p w:rsidR="00813DDC" w:rsidRPr="00813DDC" w:rsidRDefault="00813DDC" w:rsidP="00813DDC">
      <w:pPr>
        <w:rPr>
          <w:rFonts w:ascii="Cambria Math" w:hAnsi="Cambria Math"/>
          <w:i/>
          <w:sz w:val="22"/>
        </w:rPr>
      </w:pPr>
      <m:oMathPara>
        <m:oMath>
          <m:r>
            <w:rPr>
              <w:rFonts w:ascii="Cambria Math" w:hAnsi="Cambria Math"/>
              <w:sz w:val="22"/>
            </w:rPr>
            <m:t>IRS=</m:t>
          </m:r>
          <m:f>
            <m:fPr>
              <m:ctrlPr>
                <w:rPr>
                  <w:rFonts w:ascii="Cambria Math" w:hAnsi="Cambria Math"/>
                  <w:i/>
                  <w:sz w:val="22"/>
                </w:rPr>
              </m:ctrlPr>
            </m:fPr>
            <m:num>
              <m:r>
                <w:rPr>
                  <w:rFonts w:ascii="Cambria Math" w:hAnsi="Cambria Math"/>
                  <w:sz w:val="22"/>
                </w:rPr>
                <m:t>n° de respostas satisfatórias</m:t>
              </m:r>
            </m:num>
            <m:den>
              <m:r>
                <w:rPr>
                  <w:rFonts w:ascii="Cambria Math" w:hAnsi="Cambria Math"/>
                  <w:sz w:val="22"/>
                </w:rPr>
                <m:t xml:space="preserve"> n° total de respostas</m:t>
              </m:r>
            </m:den>
          </m:f>
          <m:r>
            <w:rPr>
              <w:rFonts w:ascii="Cambria Math" w:hAnsi="Cambria Math"/>
              <w:sz w:val="22"/>
            </w:rPr>
            <m:t xml:space="preserve"> x 100</m:t>
          </m:r>
        </m:oMath>
      </m:oMathPara>
    </w:p>
    <w:p w:rsidR="00813DDC" w:rsidRPr="00813DDC" w:rsidRDefault="00813DDC" w:rsidP="00813DDC">
      <w:pPr>
        <w:spacing w:before="120" w:after="120"/>
        <w:ind w:firstLine="708"/>
        <w:contextualSpacing/>
        <w:jc w:val="both"/>
        <w:rPr>
          <w:rFonts w:cs="Arial"/>
          <w:szCs w:val="24"/>
        </w:rPr>
      </w:pPr>
      <w:r w:rsidRPr="00813DDC">
        <w:rPr>
          <w:rFonts w:cs="Arial"/>
          <w:szCs w:val="24"/>
        </w:rPr>
        <w:lastRenderedPageBreak/>
        <w:t>Em que:</w:t>
      </w:r>
    </w:p>
    <w:p w:rsidR="00813DDC" w:rsidRPr="00813DDC" w:rsidRDefault="00813DDC" w:rsidP="0066661F">
      <w:pPr>
        <w:numPr>
          <w:ilvl w:val="0"/>
          <w:numId w:val="27"/>
        </w:numPr>
        <w:contextualSpacing/>
        <w:jc w:val="both"/>
        <w:rPr>
          <w:rFonts w:cs="Arial"/>
          <w:i/>
          <w:szCs w:val="24"/>
        </w:rPr>
      </w:pPr>
      <w:r w:rsidRPr="00813DDC">
        <w:rPr>
          <w:rFonts w:cs="Arial"/>
          <w:i/>
          <w:szCs w:val="24"/>
          <w:lang w:eastAsia="pt-BR"/>
        </w:rPr>
        <w:t xml:space="preserve">IRS = </w:t>
      </w:r>
      <w:r w:rsidRPr="00813DDC">
        <w:rPr>
          <w:rFonts w:cs="Arial"/>
          <w:i/>
          <w:szCs w:val="24"/>
        </w:rPr>
        <w:t xml:space="preserve">Índice de respostas satisfatórias à pesquisa de satisfação </w:t>
      </w:r>
      <w:r w:rsidRPr="00813DDC">
        <w:rPr>
          <w:rFonts w:cs="Arial"/>
          <w:i/>
          <w:szCs w:val="24"/>
          <w:lang w:eastAsia="pt-BR"/>
        </w:rPr>
        <w:t>(%);</w:t>
      </w:r>
    </w:p>
    <w:p w:rsidR="00813DDC" w:rsidRPr="00813DDC" w:rsidRDefault="00813DDC" w:rsidP="0066661F">
      <w:pPr>
        <w:numPr>
          <w:ilvl w:val="0"/>
          <w:numId w:val="27"/>
        </w:numPr>
        <w:jc w:val="both"/>
        <w:rPr>
          <w:rFonts w:cs="Arial"/>
          <w:i/>
          <w:szCs w:val="24"/>
        </w:rPr>
      </w:pPr>
      <w:r w:rsidRPr="00813DDC">
        <w:rPr>
          <w:rFonts w:cs="Arial"/>
          <w:i/>
          <w:szCs w:val="24"/>
        </w:rPr>
        <w:t>N° de respostas satisfatórias (unid.);</w:t>
      </w:r>
    </w:p>
    <w:p w:rsidR="00813DDC" w:rsidRPr="00813DDC" w:rsidRDefault="00813DDC" w:rsidP="0066661F">
      <w:pPr>
        <w:numPr>
          <w:ilvl w:val="0"/>
          <w:numId w:val="27"/>
        </w:numPr>
        <w:jc w:val="both"/>
        <w:rPr>
          <w:rFonts w:cs="Arial"/>
          <w:i/>
          <w:szCs w:val="24"/>
        </w:rPr>
      </w:pPr>
      <w:r w:rsidRPr="00813DDC">
        <w:rPr>
          <w:rFonts w:cs="Arial"/>
          <w:i/>
          <w:szCs w:val="24"/>
        </w:rPr>
        <w:t>N° total de respostas (unid.).</w:t>
      </w:r>
    </w:p>
    <w:p w:rsidR="00813DDC" w:rsidRPr="00813DDC" w:rsidRDefault="00813DDC" w:rsidP="00813DDC">
      <w:pPr>
        <w:spacing w:before="120" w:after="120"/>
        <w:ind w:firstLine="708"/>
        <w:contextualSpacing/>
        <w:jc w:val="both"/>
        <w:rPr>
          <w:rFonts w:cs="Arial"/>
          <w:szCs w:val="24"/>
        </w:rPr>
      </w:pPr>
      <w:r w:rsidRPr="00813DDC">
        <w:rPr>
          <w:rFonts w:cs="Arial"/>
          <w:szCs w:val="24"/>
        </w:rPr>
        <w:t>Este indicador fornece dados quantitativos acerca da percepção da população em relação os setores do saneamento básico e a prestação de serviços, e auxiliará no monitoramento do alcance do objetivo de “garantir canais de comunicação com a sociedade e mobilização social”, bem como possibilitar a realização de pesquisas e questionários presenciais e/ou virtuais por meio de plataformas eletrônicas. O valor ideal desse indicador é 100 %, mostrando que todas as respostas às pesquisas de satisfação foram satisfatórias, referindo-se aos serviços prestados.</w:t>
      </w:r>
    </w:p>
    <w:p w:rsidR="00813DDC" w:rsidRPr="00813DDC" w:rsidRDefault="00813DDC" w:rsidP="00BC01B1">
      <w:pPr>
        <w:pStyle w:val="Ttulo4"/>
      </w:pPr>
      <w:bookmarkStart w:id="2028" w:name="_Toc453769352"/>
      <w:bookmarkStart w:id="2029" w:name="_Toc453771219"/>
      <w:bookmarkStart w:id="2030" w:name="_Toc453833767"/>
      <w:bookmarkStart w:id="2031" w:name="_Toc499019045"/>
      <w:bookmarkStart w:id="2032" w:name="_Toc499106778"/>
      <w:bookmarkStart w:id="2033" w:name="_Toc499107098"/>
      <w:bookmarkStart w:id="2034" w:name="_Toc499107918"/>
      <w:bookmarkStart w:id="2035" w:name="_Toc499108755"/>
      <w:bookmarkStart w:id="2036" w:name="_Toc499109580"/>
      <w:bookmarkStart w:id="2037" w:name="_Toc499109746"/>
      <w:bookmarkStart w:id="2038" w:name="_Toc499709952"/>
      <w:bookmarkStart w:id="2039" w:name="_Toc509935675"/>
      <w:r w:rsidRPr="00813DDC">
        <w:t>Evolução do número de eventos oficiais realizados por ano no município, que envolvam temas de saneamento básico</w:t>
      </w:r>
      <w:bookmarkEnd w:id="2028"/>
      <w:bookmarkEnd w:id="2029"/>
      <w:bookmarkEnd w:id="2030"/>
      <w:bookmarkEnd w:id="2031"/>
      <w:bookmarkEnd w:id="2032"/>
      <w:bookmarkEnd w:id="2033"/>
      <w:bookmarkEnd w:id="2034"/>
      <w:bookmarkEnd w:id="2035"/>
      <w:bookmarkEnd w:id="2036"/>
      <w:bookmarkEnd w:id="2037"/>
      <w:bookmarkEnd w:id="2038"/>
      <w:bookmarkEnd w:id="2039"/>
    </w:p>
    <w:p w:rsidR="00813DDC" w:rsidRPr="00813DDC" w:rsidRDefault="00813DDC" w:rsidP="00813DDC">
      <w:pPr>
        <w:spacing w:before="120" w:after="120"/>
        <w:ind w:firstLine="708"/>
        <w:contextualSpacing/>
        <w:jc w:val="both"/>
        <w:rPr>
          <w:rFonts w:cs="Arial"/>
          <w:szCs w:val="24"/>
        </w:rPr>
      </w:pPr>
      <w:r w:rsidRPr="00813DDC">
        <w:rPr>
          <w:rFonts w:cs="Arial"/>
          <w:szCs w:val="24"/>
        </w:rPr>
        <w:t>Este indicador fornece dados quantitativos acerca das atividades relacionadas com a promoção de Educação Ambiental realizadas pelos diferentes agentes sociais. Essas atividades devem envolver temas como água e conservação dos recursos naturais visando à sensibilização e conscientização ambiental da população do município de Córrego Novo, bem como, ampliar a percepção da mesma em relação aos setores do saneamento básico e à prestação de serviços. O indicador ainda auxiliará no monitoramento do alcance do objetivo de “promover ações para avaliação da percepção dos usuários e para promoção de educação ambiental”. Quanto maior o valor desse indicador, melhor a situação.</w:t>
      </w:r>
    </w:p>
    <w:p w:rsidR="00813DDC" w:rsidRPr="00813DDC" w:rsidRDefault="00813DDC" w:rsidP="00BC01B1">
      <w:pPr>
        <w:pStyle w:val="SHS-Ttulo02"/>
      </w:pPr>
      <w:bookmarkStart w:id="2040" w:name="_Toc438024877"/>
      <w:bookmarkStart w:id="2041" w:name="_Toc453769353"/>
      <w:bookmarkStart w:id="2042" w:name="_Toc453771220"/>
      <w:bookmarkStart w:id="2043" w:name="_Toc453833768"/>
      <w:bookmarkStart w:id="2044" w:name="_Toc499019046"/>
      <w:bookmarkStart w:id="2045" w:name="_Toc499106779"/>
      <w:bookmarkStart w:id="2046" w:name="_Toc499107099"/>
      <w:bookmarkStart w:id="2047" w:name="_Toc499107919"/>
      <w:bookmarkStart w:id="2048" w:name="_Toc499108756"/>
      <w:bookmarkStart w:id="2049" w:name="_Toc499109581"/>
      <w:bookmarkStart w:id="2050" w:name="_Toc499109747"/>
      <w:bookmarkStart w:id="2051" w:name="_Toc499709953"/>
      <w:bookmarkStart w:id="2052" w:name="_Toc509935676"/>
      <w:r w:rsidRPr="00813DDC">
        <w:t>Sistema de Esgotamento Sanitário</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rsidR="00813DDC" w:rsidRPr="00813DDC" w:rsidRDefault="00813DDC" w:rsidP="00813DDC">
      <w:pPr>
        <w:spacing w:before="120" w:after="120"/>
        <w:ind w:firstLine="709"/>
        <w:contextualSpacing/>
        <w:jc w:val="both"/>
        <w:rPr>
          <w:rFonts w:cs="Arial"/>
          <w:szCs w:val="24"/>
          <w:lang w:eastAsia="pt-BR"/>
        </w:rPr>
      </w:pPr>
      <w:r w:rsidRPr="00813DDC">
        <w:rPr>
          <w:rFonts w:cs="Arial"/>
          <w:szCs w:val="24"/>
          <w:lang w:eastAsia="pt-BR"/>
        </w:rPr>
        <w:t>Para avaliar a evolução do Sistema de Esgotamento Sanitário são sugeridos alguns indicadores para cada objetivo específico do setor. Tais indicadores deverão ser aferidos e atualizados periodicamente pela Prefeitura Municipal, para que se obtenha um melhor acompanhamento da evolução atingida com a implementação das ações relacionadas a cada objetivo. Dessa forma, é possível, por exemplo, avaliar a necessidade da realização de novas obras no setor de esgotos ou verificar se as obras executadas estão sendo eficientes.</w:t>
      </w:r>
    </w:p>
    <w:p w:rsidR="00813DDC" w:rsidRPr="00813DDC" w:rsidRDefault="00813DDC" w:rsidP="00813DDC">
      <w:pPr>
        <w:spacing w:before="120" w:after="120"/>
        <w:ind w:firstLine="709"/>
        <w:contextualSpacing/>
        <w:jc w:val="both"/>
        <w:rPr>
          <w:rFonts w:cs="Arial"/>
          <w:szCs w:val="24"/>
          <w:lang w:eastAsia="pt-BR"/>
        </w:rPr>
      </w:pPr>
      <w:r w:rsidRPr="00813DDC">
        <w:rPr>
          <w:rFonts w:cs="Arial"/>
          <w:szCs w:val="24"/>
          <w:lang w:eastAsia="pt-BR"/>
        </w:rPr>
        <w:lastRenderedPageBreak/>
        <w:t xml:space="preserve">A seguir são listados os indicadores propostos, por objetivo, para a avaliação do desempenho do Sistema de Esgotamento Sanitário de </w:t>
      </w:r>
      <w:r w:rsidRPr="00813DDC">
        <w:rPr>
          <w:rFonts w:cs="Arial"/>
          <w:szCs w:val="24"/>
        </w:rPr>
        <w:t>Córrego Novo,</w:t>
      </w:r>
      <w:r w:rsidRPr="00813DDC">
        <w:rPr>
          <w:rFonts w:cs="Arial"/>
          <w:szCs w:val="24"/>
          <w:lang w:eastAsia="pt-BR"/>
        </w:rPr>
        <w:t xml:space="preserve"> tanto de caráter qualitativo, como quantitativo.</w:t>
      </w:r>
    </w:p>
    <w:p w:rsidR="00813DDC" w:rsidRPr="00813DDC" w:rsidRDefault="00813DDC" w:rsidP="0066661F">
      <w:pPr>
        <w:numPr>
          <w:ilvl w:val="0"/>
          <w:numId w:val="104"/>
        </w:numPr>
        <w:contextualSpacing/>
        <w:jc w:val="both"/>
        <w:rPr>
          <w:rFonts w:eastAsia="Times New Roman" w:cs="Arial"/>
          <w:szCs w:val="24"/>
        </w:rPr>
      </w:pPr>
      <w:r w:rsidRPr="00813DDC">
        <w:rPr>
          <w:rFonts w:eastAsia="Times New Roman"/>
          <w:color w:val="000000"/>
          <w:szCs w:val="24"/>
        </w:rPr>
        <w:t xml:space="preserve">Atender com serviços de coleta, afastamento e tratamento a 100 % dos esgotos produzidos nas áreas urbanizadas, rurais e aglomerados do município de </w:t>
      </w:r>
      <w:r w:rsidRPr="00813DDC">
        <w:rPr>
          <w:rFonts w:eastAsia="Times New Roman" w:cs="Arial"/>
          <w:szCs w:val="24"/>
        </w:rPr>
        <w:t>Córrego Novo.</w:t>
      </w:r>
    </w:p>
    <w:p w:rsidR="00813DDC" w:rsidRPr="00813DDC" w:rsidRDefault="00813DDC" w:rsidP="0066661F">
      <w:pPr>
        <w:numPr>
          <w:ilvl w:val="0"/>
          <w:numId w:val="98"/>
        </w:numPr>
        <w:ind w:left="2410"/>
        <w:contextualSpacing/>
        <w:jc w:val="both"/>
        <w:rPr>
          <w:rFonts w:eastAsia="Times New Roman"/>
          <w:szCs w:val="24"/>
        </w:rPr>
      </w:pPr>
      <w:r w:rsidRPr="00813DDC">
        <w:rPr>
          <w:rFonts w:eastAsia="Times New Roman"/>
          <w:szCs w:val="24"/>
        </w:rPr>
        <w:t>Indicadores</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Índice de cobertura dos serviços de esgotamento sanitário.</w:t>
      </w:r>
    </w:p>
    <w:p w:rsidR="00813DDC" w:rsidRPr="00813DDC" w:rsidRDefault="00813DDC" w:rsidP="0066661F">
      <w:pPr>
        <w:numPr>
          <w:ilvl w:val="0"/>
          <w:numId w:val="97"/>
        </w:numPr>
        <w:contextualSpacing/>
        <w:jc w:val="both"/>
        <w:rPr>
          <w:rFonts w:eastAsia="Times New Roman"/>
          <w:szCs w:val="24"/>
        </w:rPr>
      </w:pPr>
      <w:r w:rsidRPr="00813DDC">
        <w:rPr>
          <w:rFonts w:eastAsia="Times New Roman"/>
          <w:color w:val="000000"/>
          <w:szCs w:val="24"/>
        </w:rPr>
        <w:t>Índice de coleta de esgotos.</w:t>
      </w:r>
    </w:p>
    <w:p w:rsidR="00813DDC" w:rsidRPr="00813DDC" w:rsidRDefault="00813DDC" w:rsidP="0066661F">
      <w:pPr>
        <w:numPr>
          <w:ilvl w:val="0"/>
          <w:numId w:val="97"/>
        </w:numPr>
        <w:contextualSpacing/>
        <w:jc w:val="both"/>
        <w:rPr>
          <w:rFonts w:eastAsia="Times New Roman"/>
          <w:szCs w:val="24"/>
        </w:rPr>
      </w:pPr>
      <w:r w:rsidRPr="00813DDC">
        <w:rPr>
          <w:rFonts w:eastAsia="Times New Roman"/>
          <w:color w:val="000000"/>
          <w:szCs w:val="24"/>
        </w:rPr>
        <w:t>Índice de tratamento de esgotos.</w:t>
      </w:r>
    </w:p>
    <w:p w:rsidR="00813DDC" w:rsidRPr="00813DDC" w:rsidRDefault="00813DDC" w:rsidP="0066661F">
      <w:pPr>
        <w:numPr>
          <w:ilvl w:val="0"/>
          <w:numId w:val="97"/>
        </w:numPr>
        <w:contextualSpacing/>
        <w:jc w:val="both"/>
        <w:rPr>
          <w:rFonts w:eastAsia="Times New Roman"/>
          <w:szCs w:val="24"/>
        </w:rPr>
      </w:pPr>
      <w:r w:rsidRPr="00813DDC">
        <w:rPr>
          <w:rFonts w:eastAsia="Times New Roman"/>
          <w:color w:val="000000"/>
          <w:szCs w:val="24"/>
        </w:rPr>
        <w:t>Indicador da utilização da infraestrutura de tratamento de esgotos.</w:t>
      </w:r>
    </w:p>
    <w:p w:rsidR="00813DDC" w:rsidRPr="00813DDC" w:rsidRDefault="00813DDC" w:rsidP="0066661F">
      <w:pPr>
        <w:numPr>
          <w:ilvl w:val="0"/>
          <w:numId w:val="104"/>
        </w:numPr>
        <w:ind w:left="2127" w:hanging="1560"/>
        <w:contextualSpacing/>
        <w:jc w:val="both"/>
        <w:rPr>
          <w:rFonts w:eastAsia="Times New Roman"/>
          <w:color w:val="000000"/>
          <w:szCs w:val="24"/>
        </w:rPr>
      </w:pPr>
      <w:r w:rsidRPr="00813DDC">
        <w:rPr>
          <w:rFonts w:eastAsia="Times New Roman"/>
          <w:color w:val="000000"/>
          <w:szCs w:val="24"/>
        </w:rPr>
        <w:t>Erradicar sistemas de tratamento de esgotos inadequados e implantar dispositivos de saneamento rural.</w:t>
      </w:r>
    </w:p>
    <w:p w:rsidR="00813DDC" w:rsidRPr="00813DDC" w:rsidRDefault="00813DDC" w:rsidP="0066661F">
      <w:pPr>
        <w:numPr>
          <w:ilvl w:val="0"/>
          <w:numId w:val="98"/>
        </w:numPr>
        <w:ind w:left="2410"/>
        <w:contextualSpacing/>
        <w:jc w:val="both"/>
        <w:rPr>
          <w:rFonts w:eastAsia="Times New Roman"/>
          <w:szCs w:val="24"/>
        </w:rPr>
      </w:pPr>
      <w:r w:rsidRPr="00813DDC">
        <w:rPr>
          <w:rFonts w:eastAsia="Times New Roman"/>
          <w:szCs w:val="24"/>
        </w:rPr>
        <w:t>Indicador</w:t>
      </w:r>
    </w:p>
    <w:p w:rsidR="00813DDC" w:rsidRPr="00813DDC" w:rsidRDefault="00813DDC" w:rsidP="0066661F">
      <w:pPr>
        <w:numPr>
          <w:ilvl w:val="0"/>
          <w:numId w:val="97"/>
        </w:numPr>
        <w:contextualSpacing/>
        <w:jc w:val="both"/>
        <w:rPr>
          <w:rFonts w:eastAsia="Times New Roman"/>
          <w:szCs w:val="24"/>
        </w:rPr>
      </w:pPr>
      <w:r w:rsidRPr="00813DDC">
        <w:rPr>
          <w:rFonts w:eastAsia="Times New Roman"/>
          <w:szCs w:val="24"/>
        </w:rPr>
        <w:t>Indicador da regularização e fiscalização das atividades de limpa fossa.</w:t>
      </w:r>
    </w:p>
    <w:p w:rsidR="00813DDC" w:rsidRPr="00813DDC" w:rsidRDefault="00813DDC" w:rsidP="0066661F">
      <w:pPr>
        <w:numPr>
          <w:ilvl w:val="0"/>
          <w:numId w:val="99"/>
        </w:numPr>
        <w:spacing w:line="336" w:lineRule="auto"/>
        <w:ind w:left="2127" w:hanging="1560"/>
        <w:contextualSpacing/>
        <w:jc w:val="both"/>
        <w:rPr>
          <w:rFonts w:eastAsia="Times New Roman"/>
          <w:color w:val="000000"/>
          <w:szCs w:val="24"/>
        </w:rPr>
      </w:pPr>
      <w:r w:rsidRPr="00813DDC">
        <w:rPr>
          <w:rFonts w:eastAsia="Times New Roman"/>
          <w:color w:val="000000"/>
          <w:szCs w:val="24"/>
        </w:rPr>
        <w:t>Implementar, para o SES, uma gestão eficiente no que se refere aos aspectos administrativos, operacionais, financeiros, de planejamento estratégico e de sustentabilidade, além de definir instrumentos legais que garantam a regulação do mesmo e a observação das diretrizes aprovadas no presente PMSB.</w:t>
      </w:r>
    </w:p>
    <w:p w:rsidR="00813DDC" w:rsidRPr="00813DDC" w:rsidRDefault="00813DDC" w:rsidP="0066661F">
      <w:pPr>
        <w:numPr>
          <w:ilvl w:val="0"/>
          <w:numId w:val="98"/>
        </w:numPr>
        <w:ind w:left="2410"/>
        <w:contextualSpacing/>
        <w:jc w:val="both"/>
        <w:rPr>
          <w:rFonts w:eastAsia="Times New Roman"/>
          <w:szCs w:val="24"/>
        </w:rPr>
      </w:pPr>
      <w:r w:rsidRPr="00813DDC">
        <w:rPr>
          <w:rFonts w:eastAsia="Times New Roman"/>
          <w:szCs w:val="24"/>
        </w:rPr>
        <w:t>Indicadores</w:t>
      </w:r>
    </w:p>
    <w:p w:rsidR="00813DDC" w:rsidRPr="00813DDC" w:rsidRDefault="00813DDC" w:rsidP="0066661F">
      <w:pPr>
        <w:numPr>
          <w:ilvl w:val="0"/>
          <w:numId w:val="97"/>
        </w:numPr>
        <w:contextualSpacing/>
        <w:jc w:val="both"/>
        <w:rPr>
          <w:rFonts w:eastAsia="Times New Roman"/>
          <w:szCs w:val="24"/>
        </w:rPr>
      </w:pPr>
      <w:r w:rsidRPr="00813DDC">
        <w:rPr>
          <w:rFonts w:eastAsia="Times New Roman"/>
          <w:szCs w:val="24"/>
        </w:rPr>
        <w:t>Índice de atendimento às ações propostas para o SES.</w:t>
      </w:r>
    </w:p>
    <w:p w:rsidR="00813DDC" w:rsidRPr="00813DDC" w:rsidRDefault="00813DDC" w:rsidP="0066661F">
      <w:pPr>
        <w:numPr>
          <w:ilvl w:val="0"/>
          <w:numId w:val="97"/>
        </w:numPr>
        <w:contextualSpacing/>
        <w:jc w:val="both"/>
        <w:rPr>
          <w:rFonts w:eastAsia="Times New Roman"/>
          <w:szCs w:val="24"/>
        </w:rPr>
      </w:pPr>
      <w:r w:rsidRPr="00813DDC">
        <w:rPr>
          <w:rFonts w:eastAsia="Times New Roman"/>
          <w:color w:val="000000"/>
          <w:szCs w:val="24"/>
        </w:rPr>
        <w:t>Tarifa média de esgotos.</w:t>
      </w:r>
    </w:p>
    <w:p w:rsidR="00813DDC" w:rsidRPr="00813DDC" w:rsidRDefault="00813DDC" w:rsidP="0066661F">
      <w:pPr>
        <w:numPr>
          <w:ilvl w:val="0"/>
          <w:numId w:val="97"/>
        </w:numPr>
        <w:contextualSpacing/>
        <w:jc w:val="both"/>
        <w:rPr>
          <w:rFonts w:eastAsia="Times New Roman"/>
          <w:szCs w:val="24"/>
        </w:rPr>
      </w:pPr>
      <w:r w:rsidRPr="00813DDC">
        <w:rPr>
          <w:rFonts w:eastAsia="Times New Roman"/>
          <w:color w:val="000000"/>
          <w:szCs w:val="24"/>
        </w:rPr>
        <w:t>Duração média dos reparos de extravasamentos de esgotos.</w:t>
      </w:r>
    </w:p>
    <w:p w:rsidR="00813DDC" w:rsidRPr="00813DDC" w:rsidRDefault="00813DDC" w:rsidP="0066661F">
      <w:pPr>
        <w:numPr>
          <w:ilvl w:val="0"/>
          <w:numId w:val="100"/>
        </w:numPr>
        <w:spacing w:line="336" w:lineRule="auto"/>
        <w:ind w:left="2127" w:hanging="1560"/>
        <w:contextualSpacing/>
        <w:jc w:val="both"/>
        <w:rPr>
          <w:rFonts w:eastAsia="Times New Roman"/>
          <w:color w:val="000000"/>
          <w:szCs w:val="24"/>
        </w:rPr>
      </w:pPr>
      <w:r w:rsidRPr="00813DDC">
        <w:rPr>
          <w:rFonts w:eastAsia="Times New Roman"/>
          <w:color w:val="000000"/>
          <w:szCs w:val="24"/>
        </w:rPr>
        <w:t xml:space="preserve">Adequar todo o sistema de esgotamento sanitário de </w:t>
      </w:r>
      <w:r w:rsidRPr="00813DDC">
        <w:rPr>
          <w:rFonts w:eastAsia="Times New Roman" w:cs="Arial"/>
          <w:szCs w:val="24"/>
        </w:rPr>
        <w:t>Córrego Novo,</w:t>
      </w:r>
      <w:r w:rsidRPr="00813DDC">
        <w:rPr>
          <w:rFonts w:eastAsia="Times New Roman"/>
          <w:color w:val="000000"/>
          <w:szCs w:val="24"/>
        </w:rPr>
        <w:t xml:space="preserve"> de forma a atender à legislação ambiental vigente.</w:t>
      </w:r>
    </w:p>
    <w:p w:rsidR="00813DDC" w:rsidRPr="00813DDC" w:rsidRDefault="00813DDC" w:rsidP="0066661F">
      <w:pPr>
        <w:numPr>
          <w:ilvl w:val="0"/>
          <w:numId w:val="98"/>
        </w:numPr>
        <w:ind w:left="2410"/>
        <w:contextualSpacing/>
        <w:jc w:val="both"/>
        <w:rPr>
          <w:rFonts w:eastAsia="Times New Roman"/>
          <w:szCs w:val="24"/>
        </w:rPr>
      </w:pPr>
      <w:r w:rsidRPr="00813DDC">
        <w:rPr>
          <w:rFonts w:eastAsia="Times New Roman"/>
          <w:szCs w:val="24"/>
        </w:rPr>
        <w:t>Indicadores</w:t>
      </w:r>
    </w:p>
    <w:p w:rsidR="00813DDC" w:rsidRPr="00813DDC" w:rsidRDefault="00813DDC" w:rsidP="0066661F">
      <w:pPr>
        <w:numPr>
          <w:ilvl w:val="0"/>
          <w:numId w:val="97"/>
        </w:numPr>
        <w:contextualSpacing/>
        <w:jc w:val="both"/>
        <w:rPr>
          <w:rFonts w:eastAsia="Times New Roman"/>
          <w:szCs w:val="24"/>
        </w:rPr>
      </w:pPr>
      <w:r w:rsidRPr="00813DDC">
        <w:rPr>
          <w:rFonts w:eastAsia="Times New Roman"/>
          <w:color w:val="000000"/>
          <w:szCs w:val="24"/>
        </w:rPr>
        <w:t>Indicador de eficiência de remoção de matéria orgânica.</w:t>
      </w:r>
    </w:p>
    <w:p w:rsidR="00813DDC" w:rsidRPr="00813DDC" w:rsidRDefault="00813DDC" w:rsidP="0066661F">
      <w:pPr>
        <w:numPr>
          <w:ilvl w:val="0"/>
          <w:numId w:val="97"/>
        </w:numPr>
        <w:contextualSpacing/>
        <w:jc w:val="both"/>
        <w:rPr>
          <w:rFonts w:eastAsia="Times New Roman"/>
          <w:szCs w:val="24"/>
        </w:rPr>
      </w:pPr>
      <w:r w:rsidRPr="00813DDC">
        <w:rPr>
          <w:rFonts w:eastAsia="Times New Roman"/>
          <w:color w:val="000000"/>
          <w:szCs w:val="24"/>
        </w:rPr>
        <w:t>Indicador da qualidade do corpo receptor.</w:t>
      </w:r>
    </w:p>
    <w:p w:rsidR="00813DDC" w:rsidRPr="00813DDC" w:rsidRDefault="00813DDC" w:rsidP="0066661F">
      <w:pPr>
        <w:numPr>
          <w:ilvl w:val="0"/>
          <w:numId w:val="97"/>
        </w:numPr>
        <w:contextualSpacing/>
        <w:jc w:val="both"/>
        <w:rPr>
          <w:rFonts w:eastAsia="Times New Roman"/>
          <w:szCs w:val="24"/>
        </w:rPr>
      </w:pPr>
      <w:r w:rsidRPr="00813DDC">
        <w:rPr>
          <w:rFonts w:eastAsia="Times New Roman"/>
          <w:szCs w:val="24"/>
        </w:rPr>
        <w:t>Índice de ETEs com manuais de operações adequados.</w:t>
      </w:r>
    </w:p>
    <w:p w:rsidR="00813DDC" w:rsidRPr="00813DDC" w:rsidRDefault="00813DDC" w:rsidP="0066661F">
      <w:pPr>
        <w:numPr>
          <w:ilvl w:val="0"/>
          <w:numId w:val="97"/>
        </w:numPr>
        <w:contextualSpacing/>
        <w:jc w:val="both"/>
        <w:rPr>
          <w:rFonts w:eastAsia="Times New Roman"/>
          <w:szCs w:val="24"/>
        </w:rPr>
      </w:pPr>
      <w:r w:rsidRPr="00813DDC">
        <w:rPr>
          <w:rFonts w:eastAsia="Times New Roman"/>
          <w:szCs w:val="24"/>
        </w:rPr>
        <w:lastRenderedPageBreak/>
        <w:t>Índice de destinação adequada dos lodos gerados na ETE.</w:t>
      </w:r>
    </w:p>
    <w:p w:rsidR="00813DDC" w:rsidRPr="00813DDC" w:rsidRDefault="00813DDC" w:rsidP="0066661F">
      <w:pPr>
        <w:numPr>
          <w:ilvl w:val="0"/>
          <w:numId w:val="97"/>
        </w:numPr>
        <w:contextualSpacing/>
        <w:jc w:val="both"/>
        <w:rPr>
          <w:rFonts w:eastAsia="Times New Roman"/>
          <w:szCs w:val="24"/>
        </w:rPr>
      </w:pPr>
      <w:r w:rsidRPr="00813DDC">
        <w:rPr>
          <w:rFonts w:eastAsia="Times New Roman"/>
          <w:color w:val="000000"/>
          <w:szCs w:val="24"/>
        </w:rPr>
        <w:t>Índice de regulamentação ambiental do setor.</w:t>
      </w:r>
    </w:p>
    <w:p w:rsidR="00813DDC" w:rsidRPr="00813DDC" w:rsidRDefault="00813DDC" w:rsidP="0066661F">
      <w:pPr>
        <w:numPr>
          <w:ilvl w:val="0"/>
          <w:numId w:val="100"/>
        </w:numPr>
        <w:spacing w:line="336" w:lineRule="auto"/>
        <w:ind w:left="2127" w:hanging="1560"/>
        <w:contextualSpacing/>
        <w:jc w:val="both"/>
        <w:rPr>
          <w:rFonts w:eastAsia="Times New Roman"/>
          <w:szCs w:val="24"/>
        </w:rPr>
      </w:pPr>
      <w:r w:rsidRPr="00813DDC">
        <w:rPr>
          <w:rFonts w:eastAsia="Times New Roman"/>
          <w:szCs w:val="24"/>
        </w:rPr>
        <w:t>Instituir canais de comunicação e participação com a sociedade e promover ações continuadas em educação ambiental</w:t>
      </w:r>
      <w:r w:rsidRPr="00813DDC">
        <w:rPr>
          <w:rFonts w:eastAsia="Times New Roman"/>
          <w:color w:val="000000"/>
          <w:szCs w:val="24"/>
        </w:rPr>
        <w:t>.</w:t>
      </w:r>
    </w:p>
    <w:p w:rsidR="00813DDC" w:rsidRPr="00813DDC" w:rsidRDefault="00813DDC" w:rsidP="0066661F">
      <w:pPr>
        <w:numPr>
          <w:ilvl w:val="0"/>
          <w:numId w:val="98"/>
        </w:numPr>
        <w:ind w:left="2410"/>
        <w:contextualSpacing/>
        <w:jc w:val="both"/>
        <w:rPr>
          <w:rFonts w:eastAsia="Times New Roman"/>
          <w:szCs w:val="24"/>
        </w:rPr>
      </w:pPr>
      <w:r w:rsidRPr="00813DDC">
        <w:rPr>
          <w:rFonts w:eastAsia="Times New Roman"/>
          <w:szCs w:val="24"/>
        </w:rPr>
        <w:t>Indicadores</w:t>
      </w:r>
    </w:p>
    <w:p w:rsidR="00813DDC" w:rsidRPr="00813DDC" w:rsidRDefault="00813DDC" w:rsidP="0066661F">
      <w:pPr>
        <w:numPr>
          <w:ilvl w:val="0"/>
          <w:numId w:val="97"/>
        </w:numPr>
        <w:contextualSpacing/>
        <w:jc w:val="both"/>
        <w:rPr>
          <w:rFonts w:eastAsia="Times New Roman"/>
          <w:szCs w:val="24"/>
        </w:rPr>
      </w:pPr>
      <w:r w:rsidRPr="00813DDC">
        <w:rPr>
          <w:rFonts w:eastAsia="Times New Roman"/>
          <w:szCs w:val="24"/>
        </w:rPr>
        <w:t>Índice de respostas satisfatórias à pesquisa de satisfação.</w:t>
      </w:r>
    </w:p>
    <w:p w:rsidR="00813DDC" w:rsidRPr="00813DDC" w:rsidRDefault="00813DDC" w:rsidP="0066661F">
      <w:pPr>
        <w:numPr>
          <w:ilvl w:val="0"/>
          <w:numId w:val="97"/>
        </w:numPr>
        <w:contextualSpacing/>
        <w:jc w:val="both"/>
        <w:rPr>
          <w:rFonts w:eastAsia="Times New Roman"/>
          <w:szCs w:val="24"/>
        </w:rPr>
      </w:pPr>
      <w:r w:rsidRPr="00813DDC">
        <w:rPr>
          <w:rFonts w:eastAsia="Times New Roman"/>
          <w:szCs w:val="24"/>
        </w:rPr>
        <w:t xml:space="preserve">Evolução </w:t>
      </w:r>
      <w:r w:rsidRPr="00813DDC">
        <w:rPr>
          <w:rFonts w:eastAsia="Times New Roman"/>
          <w:color w:val="000000"/>
          <w:szCs w:val="24"/>
        </w:rPr>
        <w:t>do número de eventos oficiais realizados por ano no município, que envolvam temas de saneamento básico.</w:t>
      </w:r>
    </w:p>
    <w:p w:rsidR="00813DDC" w:rsidRPr="00813DDC" w:rsidRDefault="00813DDC" w:rsidP="00813DDC">
      <w:pPr>
        <w:spacing w:before="120" w:after="120"/>
        <w:ind w:firstLine="709"/>
        <w:contextualSpacing/>
        <w:jc w:val="both"/>
        <w:rPr>
          <w:rFonts w:cs="Arial"/>
          <w:szCs w:val="24"/>
        </w:rPr>
      </w:pPr>
      <w:r w:rsidRPr="00813DDC">
        <w:rPr>
          <w:rFonts w:cs="Arial"/>
          <w:szCs w:val="24"/>
        </w:rPr>
        <w:t>A seguir serão apresentadas a descrição e a forma de cálculo dos indicadores. Os formulários com orientações para a coleta de dados e parâmetros que compõem os indicadores se encontram no</w:t>
      </w:r>
      <w:r w:rsidRPr="00813DDC">
        <w:t xml:space="preserve"> </w:t>
      </w:r>
      <w:r w:rsidR="00B119E3">
        <w:rPr>
          <w:highlight w:val="yellow"/>
        </w:rPr>
        <w:fldChar w:fldCharType="begin"/>
      </w:r>
      <w:r w:rsidR="00B119E3">
        <w:instrText xml:space="preserve"> REF _Ref505841901 \h </w:instrText>
      </w:r>
      <w:r w:rsidR="00B119E3">
        <w:rPr>
          <w:highlight w:val="yellow"/>
        </w:rPr>
      </w:r>
      <w:r w:rsidR="00B119E3">
        <w:rPr>
          <w:highlight w:val="yellow"/>
        </w:rPr>
        <w:fldChar w:fldCharType="separate"/>
      </w:r>
      <w:r w:rsidR="001B481B">
        <w:t xml:space="preserve">Anexo </w:t>
      </w:r>
      <w:r w:rsidR="001B481B">
        <w:rPr>
          <w:noProof/>
        </w:rPr>
        <w:t>5</w:t>
      </w:r>
      <w:r w:rsidR="00B119E3">
        <w:rPr>
          <w:highlight w:val="yellow"/>
        </w:rPr>
        <w:fldChar w:fldCharType="end"/>
      </w:r>
      <w:r w:rsidRPr="00813DDC">
        <w:t>.</w:t>
      </w:r>
    </w:p>
    <w:p w:rsidR="00813DDC" w:rsidRPr="00813DDC" w:rsidRDefault="00813DDC" w:rsidP="00BC01B1">
      <w:pPr>
        <w:pStyle w:val="Ttulo3"/>
      </w:pPr>
      <w:bookmarkStart w:id="2053" w:name="_Toc453769354"/>
      <w:bookmarkStart w:id="2054" w:name="_Toc453771221"/>
      <w:bookmarkStart w:id="2055" w:name="_Toc453833769"/>
      <w:bookmarkStart w:id="2056" w:name="_Toc499019047"/>
      <w:bookmarkStart w:id="2057" w:name="_Toc499106780"/>
      <w:bookmarkStart w:id="2058" w:name="_Toc499107100"/>
      <w:bookmarkStart w:id="2059" w:name="_Toc499107920"/>
      <w:bookmarkStart w:id="2060" w:name="_Toc499108757"/>
      <w:bookmarkStart w:id="2061" w:name="_Toc499109582"/>
      <w:bookmarkStart w:id="2062" w:name="_Toc499109748"/>
      <w:bookmarkStart w:id="2063" w:name="_Toc499709954"/>
      <w:bookmarkStart w:id="2064" w:name="_Toc509935677"/>
      <w:r w:rsidRPr="00813DDC">
        <w:t>Indicadores para o objetivo 1</w:t>
      </w:r>
      <w:bookmarkEnd w:id="2053"/>
      <w:bookmarkEnd w:id="2054"/>
      <w:bookmarkEnd w:id="2055"/>
      <w:bookmarkEnd w:id="2056"/>
      <w:bookmarkEnd w:id="2057"/>
      <w:bookmarkEnd w:id="2058"/>
      <w:bookmarkEnd w:id="2059"/>
      <w:bookmarkEnd w:id="2060"/>
      <w:bookmarkEnd w:id="2061"/>
      <w:bookmarkEnd w:id="2062"/>
      <w:bookmarkEnd w:id="2063"/>
      <w:bookmarkEnd w:id="2064"/>
    </w:p>
    <w:p w:rsidR="00813DDC" w:rsidRPr="00813DDC" w:rsidRDefault="00813DDC" w:rsidP="00BC01B1">
      <w:pPr>
        <w:pStyle w:val="Ttulo4"/>
      </w:pPr>
      <w:bookmarkStart w:id="2065" w:name="_Toc499019048"/>
      <w:bookmarkStart w:id="2066" w:name="_Toc499106781"/>
      <w:bookmarkStart w:id="2067" w:name="_Toc499107101"/>
      <w:bookmarkStart w:id="2068" w:name="_Toc499107921"/>
      <w:bookmarkStart w:id="2069" w:name="_Toc499108758"/>
      <w:bookmarkStart w:id="2070" w:name="_Toc499109583"/>
      <w:bookmarkStart w:id="2071" w:name="_Toc499109749"/>
      <w:bookmarkStart w:id="2072" w:name="_Toc499709955"/>
      <w:bookmarkStart w:id="2073" w:name="_Toc509935678"/>
      <w:r w:rsidRPr="00813DDC">
        <w:t>Índice de cobertura dos serviços de esgotamento sanitário</w:t>
      </w:r>
      <w:bookmarkEnd w:id="2065"/>
      <w:bookmarkEnd w:id="2066"/>
      <w:bookmarkEnd w:id="2067"/>
      <w:bookmarkEnd w:id="2068"/>
      <w:bookmarkEnd w:id="2069"/>
      <w:bookmarkEnd w:id="2070"/>
      <w:bookmarkEnd w:id="2071"/>
      <w:bookmarkEnd w:id="2072"/>
      <w:bookmarkEnd w:id="2073"/>
    </w:p>
    <w:p w:rsidR="00813DDC" w:rsidRPr="00813DDC" w:rsidRDefault="00813DDC" w:rsidP="00813DDC">
      <w:pPr>
        <w:rPr>
          <w:lang w:eastAsia="pt-BR"/>
        </w:rPr>
      </w:pPr>
      <m:oMathPara>
        <m:oMath>
          <m:r>
            <w:rPr>
              <w:rFonts w:ascii="Cambria Math" w:hAnsi="Cambria Math"/>
              <w:lang w:eastAsia="pt-BR"/>
            </w:rPr>
            <m:t xml:space="preserve">ICE= </m:t>
          </m:r>
          <m:f>
            <m:fPr>
              <m:ctrlPr>
                <w:rPr>
                  <w:rFonts w:ascii="Cambria Math" w:hAnsi="Cambria Math"/>
                  <w:i/>
                  <w:lang w:eastAsia="pt-BR"/>
                </w:rPr>
              </m:ctrlPr>
            </m:fPr>
            <m:num>
              <m:r>
                <w:rPr>
                  <w:rFonts w:ascii="Cambria Math" w:hAnsi="Cambria Math"/>
                  <w:lang w:eastAsia="pt-BR"/>
                </w:rPr>
                <m:t>Due</m:t>
              </m:r>
            </m:num>
            <m:den>
              <m:r>
                <w:rPr>
                  <w:rFonts w:ascii="Cambria Math" w:hAnsi="Cambria Math"/>
                  <w:lang w:eastAsia="pt-BR"/>
                </w:rPr>
                <m:t>Dur</m:t>
              </m:r>
            </m:den>
          </m:f>
          <m:r>
            <w:rPr>
              <w:rFonts w:ascii="Cambria Math" w:hAnsi="Cambria Math"/>
              <w:lang w:eastAsia="pt-BR"/>
            </w:rPr>
            <m:t xml:space="preserve"> x 100</m:t>
          </m:r>
        </m:oMath>
      </m:oMathPara>
    </w:p>
    <w:p w:rsidR="00813DDC" w:rsidRPr="00813DDC" w:rsidRDefault="00813DDC" w:rsidP="00813DDC">
      <w:pPr>
        <w:spacing w:before="120" w:after="120"/>
        <w:ind w:firstLine="708"/>
        <w:contextualSpacing/>
        <w:jc w:val="both"/>
        <w:rPr>
          <w:lang w:eastAsia="pt-BR"/>
        </w:rPr>
      </w:pPr>
      <w:r w:rsidRPr="00813DDC">
        <w:rPr>
          <w:lang w:eastAsia="pt-BR"/>
        </w:rPr>
        <w:t>Em que:</w:t>
      </w:r>
    </w:p>
    <w:p w:rsidR="00813DDC" w:rsidRPr="00813DDC" w:rsidRDefault="00813DDC" w:rsidP="0066661F">
      <w:pPr>
        <w:numPr>
          <w:ilvl w:val="0"/>
          <w:numId w:val="27"/>
        </w:numPr>
        <w:spacing w:before="120" w:after="120"/>
        <w:contextualSpacing/>
        <w:jc w:val="both"/>
        <w:rPr>
          <w:i/>
          <w:lang w:eastAsia="pt-BR"/>
        </w:rPr>
      </w:pPr>
      <w:r w:rsidRPr="00813DDC">
        <w:rPr>
          <w:i/>
          <w:lang w:eastAsia="pt-BR"/>
        </w:rPr>
        <w:t>ICE = Índice de cobertura dos serviços de esgotamento sanitário (%).</w:t>
      </w:r>
    </w:p>
    <w:p w:rsidR="00813DDC" w:rsidRPr="00813DDC" w:rsidRDefault="00813DDC" w:rsidP="0066661F">
      <w:pPr>
        <w:numPr>
          <w:ilvl w:val="0"/>
          <w:numId w:val="27"/>
        </w:numPr>
        <w:spacing w:before="120" w:after="120"/>
        <w:contextualSpacing/>
        <w:jc w:val="both"/>
        <w:rPr>
          <w:i/>
          <w:lang w:eastAsia="pt-BR"/>
        </w:rPr>
      </w:pPr>
      <w:r w:rsidRPr="00813DDC">
        <w:rPr>
          <w:i/>
          <w:lang w:eastAsia="pt-BR"/>
        </w:rPr>
        <w:t>Due = nº de domicílios urbanos e rurais atendidos por coleta, afastamento e tratamento de esgotos ou tanques sépticos.</w:t>
      </w:r>
    </w:p>
    <w:p w:rsidR="00813DDC" w:rsidRPr="00813DDC" w:rsidRDefault="00813DDC" w:rsidP="0066661F">
      <w:pPr>
        <w:numPr>
          <w:ilvl w:val="0"/>
          <w:numId w:val="27"/>
        </w:numPr>
        <w:spacing w:before="120" w:after="120"/>
        <w:contextualSpacing/>
        <w:jc w:val="both"/>
        <w:rPr>
          <w:i/>
          <w:lang w:eastAsia="pt-BR"/>
        </w:rPr>
      </w:pPr>
      <w:r w:rsidRPr="00813DDC">
        <w:rPr>
          <w:i/>
          <w:lang w:eastAsia="pt-BR"/>
        </w:rPr>
        <w:t>Dur = nº de domicílios urbanos e rurais.</w:t>
      </w:r>
    </w:p>
    <w:p w:rsidR="00813DDC" w:rsidRPr="00813DDC" w:rsidRDefault="00813DDC" w:rsidP="00813DDC">
      <w:pPr>
        <w:ind w:firstLine="708"/>
        <w:jc w:val="both"/>
        <w:rPr>
          <w:lang w:eastAsia="pt-BR"/>
        </w:rPr>
      </w:pPr>
      <w:r w:rsidRPr="00813DDC">
        <w:rPr>
          <w:lang w:eastAsia="pt-BR"/>
        </w:rPr>
        <w:t>Este indicador mede a porcentagem dos domicílios atendidos pelo SES, tanto pelo sistema interligado à rede e estações de tratamento, quanto àqueles atendidos por tanques sépticos adequados. Ele auxiliará no monitoramento do alcance do objetivo de "atingir com coleta, afastamento e tratamento para 100 % dos esgotos produzidos no município". O presente PMSB objetiva a universalização do acesso aos serviços, portanto o ideal é que esse indicador seja o mais próximo possível de 100 %.</w:t>
      </w:r>
    </w:p>
    <w:p w:rsidR="00813DDC" w:rsidRPr="00813DDC" w:rsidRDefault="00813DDC" w:rsidP="00BC01B1">
      <w:pPr>
        <w:pStyle w:val="Ttulo4"/>
      </w:pPr>
      <w:bookmarkStart w:id="2074" w:name="_Toc499019049"/>
      <w:bookmarkStart w:id="2075" w:name="_Toc499106782"/>
      <w:bookmarkStart w:id="2076" w:name="_Toc499107102"/>
      <w:bookmarkStart w:id="2077" w:name="_Toc499107922"/>
      <w:bookmarkStart w:id="2078" w:name="_Toc499108759"/>
      <w:bookmarkStart w:id="2079" w:name="_Toc499109584"/>
      <w:bookmarkStart w:id="2080" w:name="_Toc499109750"/>
      <w:bookmarkStart w:id="2081" w:name="_Toc499709956"/>
      <w:bookmarkStart w:id="2082" w:name="_Toc509935679"/>
      <w:r w:rsidRPr="00813DDC">
        <w:t>Índice de coleta de esgotos</w:t>
      </w:r>
      <w:bookmarkEnd w:id="2074"/>
      <w:bookmarkEnd w:id="2075"/>
      <w:bookmarkEnd w:id="2076"/>
      <w:bookmarkEnd w:id="2077"/>
      <w:bookmarkEnd w:id="2078"/>
      <w:bookmarkEnd w:id="2079"/>
      <w:bookmarkEnd w:id="2080"/>
      <w:bookmarkEnd w:id="2081"/>
      <w:bookmarkEnd w:id="2082"/>
    </w:p>
    <w:p w:rsidR="00813DDC" w:rsidRPr="00813DDC" w:rsidRDefault="00813DDC" w:rsidP="00813DDC">
      <w:pPr>
        <w:widowControl w:val="0"/>
        <w:autoSpaceDE w:val="0"/>
        <w:autoSpaceDN w:val="0"/>
        <w:adjustRightInd w:val="0"/>
        <w:spacing w:before="120" w:after="120"/>
        <w:ind w:left="360"/>
        <w:contextualSpacing/>
        <w:jc w:val="center"/>
        <w:rPr>
          <w:rFonts w:eastAsia="Times New Roman" w:cs="Arial"/>
          <w:szCs w:val="24"/>
        </w:rPr>
      </w:pPr>
      <m:oMathPara>
        <m:oMath>
          <m:r>
            <w:rPr>
              <w:rFonts w:ascii="Cambria Math" w:eastAsia="Times New Roman" w:hAnsi="Cambria Math" w:cs="Arial"/>
              <w:szCs w:val="24"/>
            </w:rPr>
            <m:t xml:space="preserve">IN015= </m:t>
          </m:r>
          <m:f>
            <m:fPr>
              <m:ctrlPr>
                <w:rPr>
                  <w:rFonts w:ascii="Cambria Math" w:eastAsia="Times New Roman" w:hAnsi="Cambria Math" w:cs="Arial"/>
                  <w:i/>
                  <w:szCs w:val="24"/>
                </w:rPr>
              </m:ctrlPr>
            </m:fPr>
            <m:num>
              <m:r>
                <w:rPr>
                  <w:rFonts w:ascii="Cambria Math" w:eastAsia="Times New Roman" w:hAnsi="Cambria Math" w:cs="Arial"/>
                  <w:szCs w:val="24"/>
                </w:rPr>
                <m:t>ES005</m:t>
              </m:r>
            </m:num>
            <m:den>
              <m:r>
                <w:rPr>
                  <w:rFonts w:ascii="Cambria Math" w:eastAsia="Times New Roman" w:hAnsi="Cambria Math" w:cs="Arial"/>
                  <w:szCs w:val="24"/>
                </w:rPr>
                <m:t>(AG010-AG019)</m:t>
              </m:r>
            </m:den>
          </m:f>
          <m:r>
            <w:rPr>
              <w:rFonts w:ascii="Cambria Math" w:eastAsia="Times New Roman" w:hAnsi="Cambria Math" w:cs="Arial"/>
              <w:szCs w:val="24"/>
            </w:rPr>
            <m:t>*100</m:t>
          </m:r>
        </m:oMath>
      </m:oMathPara>
    </w:p>
    <w:p w:rsidR="00813DDC" w:rsidRPr="00813DDC" w:rsidRDefault="00813DDC" w:rsidP="00813DDC">
      <w:pPr>
        <w:widowControl w:val="0"/>
        <w:autoSpaceDE w:val="0"/>
        <w:autoSpaceDN w:val="0"/>
        <w:adjustRightInd w:val="0"/>
        <w:spacing w:before="120" w:after="120"/>
        <w:ind w:firstLine="709"/>
        <w:contextualSpacing/>
        <w:jc w:val="both"/>
        <w:rPr>
          <w:rFonts w:cs="Arial"/>
          <w:szCs w:val="24"/>
        </w:rPr>
      </w:pPr>
      <w:r w:rsidRPr="00813DDC">
        <w:rPr>
          <w:rFonts w:cs="Arial"/>
          <w:szCs w:val="24"/>
        </w:rPr>
        <w:t>Em que:</w:t>
      </w:r>
    </w:p>
    <w:p w:rsidR="00813DDC" w:rsidRPr="00813DDC" w:rsidRDefault="00813DDC" w:rsidP="0066661F">
      <w:pPr>
        <w:numPr>
          <w:ilvl w:val="0"/>
          <w:numId w:val="27"/>
        </w:numPr>
        <w:spacing w:before="120" w:after="120"/>
        <w:contextualSpacing/>
        <w:jc w:val="both"/>
        <w:rPr>
          <w:rFonts w:cs="Arial"/>
          <w:i/>
          <w:szCs w:val="24"/>
        </w:rPr>
      </w:pPr>
      <w:r w:rsidRPr="00813DDC">
        <w:rPr>
          <w:rFonts w:cs="Arial"/>
          <w:i/>
          <w:szCs w:val="24"/>
        </w:rPr>
        <w:t>IN015: Índice de coleta de esgotos (%);</w:t>
      </w:r>
    </w:p>
    <w:p w:rsidR="00813DDC" w:rsidRPr="00813DDC" w:rsidRDefault="00813DDC" w:rsidP="0066661F">
      <w:pPr>
        <w:numPr>
          <w:ilvl w:val="0"/>
          <w:numId w:val="27"/>
        </w:numPr>
        <w:spacing w:before="120" w:after="120"/>
        <w:contextualSpacing/>
        <w:jc w:val="both"/>
        <w:rPr>
          <w:rFonts w:cs="Arial"/>
          <w:i/>
          <w:szCs w:val="24"/>
        </w:rPr>
      </w:pPr>
      <w:r w:rsidRPr="00813DDC">
        <w:rPr>
          <w:rFonts w:cs="Arial"/>
          <w:i/>
          <w:szCs w:val="24"/>
        </w:rPr>
        <w:lastRenderedPageBreak/>
        <w:t>ES005: Volume de esgotos coletado;</w:t>
      </w:r>
    </w:p>
    <w:p w:rsidR="00813DDC" w:rsidRPr="00813DDC" w:rsidRDefault="00813DDC" w:rsidP="0066661F">
      <w:pPr>
        <w:numPr>
          <w:ilvl w:val="0"/>
          <w:numId w:val="27"/>
        </w:numPr>
        <w:spacing w:before="120" w:after="120"/>
        <w:contextualSpacing/>
        <w:jc w:val="both"/>
        <w:rPr>
          <w:rFonts w:cs="Arial"/>
          <w:i/>
          <w:szCs w:val="24"/>
        </w:rPr>
      </w:pPr>
      <w:r w:rsidRPr="00813DDC">
        <w:rPr>
          <w:rFonts w:cs="Arial"/>
          <w:i/>
          <w:szCs w:val="24"/>
        </w:rPr>
        <w:t>AG010: Volume de água consumido;</w:t>
      </w:r>
    </w:p>
    <w:p w:rsidR="00813DDC" w:rsidRPr="00813DDC" w:rsidRDefault="00813DDC" w:rsidP="0066661F">
      <w:pPr>
        <w:numPr>
          <w:ilvl w:val="0"/>
          <w:numId w:val="27"/>
        </w:numPr>
        <w:spacing w:before="120" w:after="120"/>
        <w:contextualSpacing/>
        <w:jc w:val="both"/>
        <w:rPr>
          <w:rFonts w:cs="Arial"/>
          <w:i/>
          <w:szCs w:val="24"/>
        </w:rPr>
      </w:pPr>
      <w:r w:rsidRPr="00813DDC">
        <w:rPr>
          <w:rFonts w:cs="Arial"/>
          <w:i/>
          <w:szCs w:val="24"/>
        </w:rPr>
        <w:t>AG019: Volume de água tratado exportado.</w:t>
      </w:r>
    </w:p>
    <w:p w:rsidR="00813DDC" w:rsidRPr="00813DDC" w:rsidRDefault="00813DDC" w:rsidP="00813DDC">
      <w:pPr>
        <w:spacing w:before="120" w:after="120"/>
        <w:ind w:firstLine="709"/>
        <w:contextualSpacing/>
        <w:jc w:val="both"/>
        <w:rPr>
          <w:rFonts w:cs="Arial"/>
          <w:szCs w:val="24"/>
        </w:rPr>
      </w:pPr>
      <w:r w:rsidRPr="00813DDC">
        <w:rPr>
          <w:rFonts w:cs="Arial"/>
          <w:szCs w:val="24"/>
        </w:rPr>
        <w:t>Este indicador mede a porcentagem da população total atendida pelo SES e é medido pelo volume de esgotos coletado dividido pela diferença entre o volume de água consumido e o volume de água tratado exportado. Esse índice auxiliará no monitoramento do alcance do objetivo de "atingir com coleta, afastamento e tratamento para 100 % dos esgotos produzidos no município de Córrego Novo. O presente PMSB objetiva a universalização do acesso aos serviços, portanto o ideal é que esse indicador seja o mais próximo possível de 100 %.</w:t>
      </w:r>
    </w:p>
    <w:p w:rsidR="00813DDC" w:rsidRPr="00813DDC" w:rsidRDefault="00813DDC" w:rsidP="00BC01B1">
      <w:pPr>
        <w:pStyle w:val="Ttulo4"/>
      </w:pPr>
      <w:bookmarkStart w:id="2083" w:name="_Toc453769356"/>
      <w:bookmarkStart w:id="2084" w:name="_Toc453771223"/>
      <w:bookmarkStart w:id="2085" w:name="_Toc499019050"/>
      <w:bookmarkStart w:id="2086" w:name="_Toc499106783"/>
      <w:bookmarkStart w:id="2087" w:name="_Toc499107103"/>
      <w:bookmarkStart w:id="2088" w:name="_Toc499107923"/>
      <w:bookmarkStart w:id="2089" w:name="_Toc499108760"/>
      <w:bookmarkStart w:id="2090" w:name="_Toc499109585"/>
      <w:bookmarkStart w:id="2091" w:name="_Toc499109751"/>
      <w:bookmarkStart w:id="2092" w:name="_Toc499709957"/>
      <w:bookmarkStart w:id="2093" w:name="_Toc509935680"/>
      <w:r w:rsidRPr="00813DDC">
        <w:t>Índice de tratamento de esgotos</w:t>
      </w:r>
      <w:bookmarkEnd w:id="2083"/>
      <w:bookmarkEnd w:id="2084"/>
      <w:bookmarkEnd w:id="2085"/>
      <w:bookmarkEnd w:id="2086"/>
      <w:bookmarkEnd w:id="2087"/>
      <w:bookmarkEnd w:id="2088"/>
      <w:bookmarkEnd w:id="2089"/>
      <w:bookmarkEnd w:id="2090"/>
      <w:bookmarkEnd w:id="2091"/>
      <w:bookmarkEnd w:id="2092"/>
      <w:bookmarkEnd w:id="2093"/>
    </w:p>
    <w:p w:rsidR="00813DDC" w:rsidRPr="00813DDC" w:rsidRDefault="00813DDC" w:rsidP="00813DDC">
      <w:pPr>
        <w:rPr>
          <w:rFonts w:ascii="Cambria Math" w:hAnsi="Cambria Math"/>
          <w:i/>
          <w:sz w:val="22"/>
        </w:rPr>
      </w:pPr>
      <m:oMathPara>
        <m:oMath>
          <m:r>
            <w:rPr>
              <w:rFonts w:ascii="Cambria Math" w:hAnsi="Cambria Math"/>
              <w:sz w:val="22"/>
            </w:rPr>
            <m:t xml:space="preserve">IN016= </m:t>
          </m:r>
          <m:f>
            <m:fPr>
              <m:ctrlPr>
                <w:rPr>
                  <w:rFonts w:ascii="Cambria Math" w:hAnsi="Cambria Math"/>
                  <w:i/>
                  <w:sz w:val="22"/>
                </w:rPr>
              </m:ctrlPr>
            </m:fPr>
            <m:num>
              <m:r>
                <w:rPr>
                  <w:rFonts w:ascii="Cambria Math" w:hAnsi="Cambria Math"/>
                  <w:sz w:val="22"/>
                </w:rPr>
                <m:t>ES006</m:t>
              </m:r>
            </m:num>
            <m:den>
              <m:r>
                <w:rPr>
                  <w:rFonts w:ascii="Cambria Math" w:hAnsi="Cambria Math"/>
                  <w:sz w:val="22"/>
                </w:rPr>
                <m:t>ES005</m:t>
              </m:r>
            </m:den>
          </m:f>
          <m:r>
            <w:rPr>
              <w:rFonts w:ascii="Cambria Math" w:hAnsi="Cambria Math"/>
              <w:sz w:val="22"/>
            </w:rPr>
            <m:t xml:space="preserve"> x 100</m:t>
          </m:r>
        </m:oMath>
      </m:oMathPara>
    </w:p>
    <w:p w:rsidR="00813DDC" w:rsidRPr="00813DDC" w:rsidRDefault="00813DDC" w:rsidP="00813DDC">
      <w:pPr>
        <w:spacing w:before="120" w:after="120"/>
        <w:ind w:firstLine="709"/>
        <w:contextualSpacing/>
        <w:jc w:val="both"/>
        <w:rPr>
          <w:rFonts w:cs="Arial"/>
          <w:szCs w:val="24"/>
        </w:rPr>
      </w:pPr>
      <w:r w:rsidRPr="00813DDC">
        <w:rPr>
          <w:rFonts w:cs="Arial"/>
          <w:szCs w:val="24"/>
        </w:rPr>
        <w:t>Em que:</w:t>
      </w:r>
    </w:p>
    <w:p w:rsidR="00813DDC" w:rsidRPr="00813DDC" w:rsidRDefault="00813DDC" w:rsidP="0066661F">
      <w:pPr>
        <w:numPr>
          <w:ilvl w:val="0"/>
          <w:numId w:val="27"/>
        </w:numPr>
        <w:jc w:val="both"/>
        <w:rPr>
          <w:rFonts w:cs="Arial"/>
          <w:i/>
          <w:szCs w:val="24"/>
        </w:rPr>
      </w:pPr>
      <w:r w:rsidRPr="00813DDC">
        <w:rPr>
          <w:rFonts w:cs="Arial"/>
          <w:i/>
          <w:szCs w:val="24"/>
        </w:rPr>
        <w:t>IN016 = índice de tratamento de esgotos (%).</w:t>
      </w:r>
    </w:p>
    <w:p w:rsidR="00813DDC" w:rsidRPr="00813DDC" w:rsidRDefault="00813DDC" w:rsidP="0066661F">
      <w:pPr>
        <w:numPr>
          <w:ilvl w:val="0"/>
          <w:numId w:val="27"/>
        </w:numPr>
        <w:jc w:val="both"/>
        <w:rPr>
          <w:rFonts w:cs="Arial"/>
          <w:i/>
          <w:szCs w:val="24"/>
        </w:rPr>
      </w:pPr>
      <w:r w:rsidRPr="00813DDC">
        <w:rPr>
          <w:rFonts w:cs="Arial"/>
          <w:i/>
          <w:szCs w:val="24"/>
        </w:rPr>
        <w:t>ES005 = Volume de esgotos coletado (1000m³/ano).</w:t>
      </w:r>
    </w:p>
    <w:p w:rsidR="00813DDC" w:rsidRPr="00813DDC" w:rsidRDefault="00813DDC" w:rsidP="0066661F">
      <w:pPr>
        <w:numPr>
          <w:ilvl w:val="0"/>
          <w:numId w:val="27"/>
        </w:numPr>
        <w:jc w:val="both"/>
        <w:rPr>
          <w:rFonts w:cs="Arial"/>
          <w:i/>
          <w:szCs w:val="24"/>
        </w:rPr>
      </w:pPr>
      <w:r w:rsidRPr="00813DDC">
        <w:rPr>
          <w:rFonts w:cs="Arial"/>
          <w:i/>
          <w:szCs w:val="24"/>
        </w:rPr>
        <w:t>ES006 = Volume de esgotos tratado (1000m³/ano).</w:t>
      </w:r>
    </w:p>
    <w:p w:rsidR="00813DDC" w:rsidRPr="00813DDC" w:rsidRDefault="00813DDC" w:rsidP="00813DDC">
      <w:pPr>
        <w:widowControl w:val="0"/>
        <w:autoSpaceDE w:val="0"/>
        <w:autoSpaceDN w:val="0"/>
        <w:adjustRightInd w:val="0"/>
        <w:spacing w:before="120" w:after="120"/>
        <w:ind w:firstLine="709"/>
        <w:contextualSpacing/>
        <w:jc w:val="both"/>
        <w:rPr>
          <w:rFonts w:cs="Arial"/>
          <w:szCs w:val="24"/>
        </w:rPr>
      </w:pPr>
      <w:r w:rsidRPr="00813DDC">
        <w:rPr>
          <w:rFonts w:cs="Arial"/>
          <w:szCs w:val="24"/>
        </w:rPr>
        <w:t xml:space="preserve">Este indicador, que mede a porcentagem dos esgotos tratados, auxiliará no monitoramento do sistema, com o objetivo de tratar todos os esgotos coletados dos domicílios. O valor de 100 % representa que não há lançamentos de esgotos in natura nos corpos hídricos. O presente PMSB </w:t>
      </w:r>
      <w:bookmarkStart w:id="2094" w:name="_Toc453769357"/>
      <w:bookmarkStart w:id="2095" w:name="_Toc453771224"/>
      <w:bookmarkStart w:id="2096" w:name="_Toc453833772"/>
      <w:r w:rsidRPr="00813DDC">
        <w:rPr>
          <w:rFonts w:cs="Arial"/>
          <w:szCs w:val="24"/>
        </w:rPr>
        <w:t>almeja alcançar 100 % de tratamento do esgoto coletado no horizonte de 20 anos.</w:t>
      </w:r>
    </w:p>
    <w:p w:rsidR="00813DDC" w:rsidRPr="00813DDC" w:rsidRDefault="00813DDC" w:rsidP="00BC01B1">
      <w:pPr>
        <w:pStyle w:val="Ttulo4"/>
      </w:pPr>
      <w:bookmarkStart w:id="2097" w:name="_Toc453769359"/>
      <w:bookmarkStart w:id="2098" w:name="_Toc453771226"/>
      <w:bookmarkStart w:id="2099" w:name="_Toc453833774"/>
      <w:bookmarkStart w:id="2100" w:name="_Toc499019051"/>
      <w:bookmarkStart w:id="2101" w:name="_Toc499106784"/>
      <w:bookmarkStart w:id="2102" w:name="_Toc499107104"/>
      <w:bookmarkStart w:id="2103" w:name="_Toc499107924"/>
      <w:bookmarkStart w:id="2104" w:name="_Toc499108761"/>
      <w:bookmarkStart w:id="2105" w:name="_Toc499109586"/>
      <w:bookmarkStart w:id="2106" w:name="_Toc499109752"/>
      <w:bookmarkStart w:id="2107" w:name="_Toc499709958"/>
      <w:bookmarkStart w:id="2108" w:name="_Toc509935681"/>
      <w:r w:rsidRPr="00813DDC">
        <w:t>Indicador da utilização da infraestrutura de tratamento de esgotos</w:t>
      </w:r>
      <w:bookmarkEnd w:id="2097"/>
      <w:bookmarkEnd w:id="2098"/>
      <w:bookmarkEnd w:id="2099"/>
      <w:bookmarkEnd w:id="2100"/>
      <w:bookmarkEnd w:id="2101"/>
      <w:bookmarkEnd w:id="2102"/>
      <w:bookmarkEnd w:id="2103"/>
      <w:bookmarkEnd w:id="2104"/>
      <w:bookmarkEnd w:id="2105"/>
      <w:bookmarkEnd w:id="2106"/>
      <w:bookmarkEnd w:id="2107"/>
      <w:bookmarkEnd w:id="2108"/>
    </w:p>
    <w:p w:rsidR="00813DDC" w:rsidRPr="00813DDC" w:rsidRDefault="00813DDC" w:rsidP="00813DDC">
      <w:pPr>
        <w:jc w:val="center"/>
        <w:rPr>
          <w:rFonts w:eastAsia="Times New Roman" w:cs="Arial"/>
          <w:sz w:val="22"/>
          <w:lang w:eastAsia="pt-BR"/>
        </w:rPr>
      </w:pPr>
      <m:oMathPara>
        <m:oMath>
          <m:r>
            <w:rPr>
              <w:rFonts w:ascii="Cambria Math" w:eastAsia="Times New Roman" w:hAnsi="Cambria Math" w:cs="Arial"/>
              <w:sz w:val="22"/>
              <w:lang w:eastAsia="pt-BR"/>
            </w:rPr>
            <m:t xml:space="preserve">Iue= 100 x </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Qt</m:t>
              </m:r>
            </m:num>
            <m:den>
              <m:r>
                <w:rPr>
                  <w:rFonts w:ascii="Cambria Math" w:eastAsia="Times New Roman" w:hAnsi="Cambria Math" w:cs="Arial"/>
                  <w:sz w:val="22"/>
                  <w:lang w:eastAsia="pt-BR"/>
                </w:rPr>
                <m:t>CapETE</m:t>
              </m:r>
            </m:den>
          </m:f>
        </m:oMath>
      </m:oMathPara>
    </w:p>
    <w:p w:rsidR="00813DDC" w:rsidRPr="00813DDC" w:rsidRDefault="00813DDC" w:rsidP="00813DDC">
      <w:pPr>
        <w:jc w:val="both"/>
        <w:rPr>
          <w:rFonts w:eastAsia="Times New Roman" w:cs="Arial"/>
          <w:sz w:val="22"/>
          <w:lang w:eastAsia="pt-BR"/>
        </w:rPr>
      </w:pPr>
    </w:p>
    <w:p w:rsidR="00813DDC" w:rsidRPr="00813DDC" w:rsidRDefault="00813DDC" w:rsidP="00813DDC">
      <w:pPr>
        <w:spacing w:before="120" w:after="120"/>
        <w:ind w:firstLine="709"/>
        <w:contextualSpacing/>
        <w:jc w:val="both"/>
        <w:rPr>
          <w:rFonts w:eastAsia="Times New Roman" w:cs="Arial"/>
          <w:szCs w:val="24"/>
          <w:lang w:eastAsia="pt-BR"/>
        </w:rPr>
      </w:pPr>
      <w:r w:rsidRPr="00813DDC">
        <w:rPr>
          <w:rFonts w:eastAsia="Times New Roman" w:cs="Arial"/>
          <w:szCs w:val="24"/>
          <w:lang w:eastAsia="pt-BR"/>
        </w:rPr>
        <w:t>Em que:</w:t>
      </w:r>
    </w:p>
    <w:p w:rsidR="00813DDC" w:rsidRPr="00813DDC" w:rsidRDefault="00813DDC" w:rsidP="0066661F">
      <w:pPr>
        <w:numPr>
          <w:ilvl w:val="0"/>
          <w:numId w:val="27"/>
        </w:numPr>
        <w:jc w:val="both"/>
        <w:rPr>
          <w:rFonts w:eastAsia="Times New Roman" w:cs="Arial"/>
          <w:i/>
          <w:szCs w:val="24"/>
          <w:lang w:eastAsia="pt-BR"/>
        </w:rPr>
      </w:pPr>
      <w:r w:rsidRPr="00813DDC">
        <w:rPr>
          <w:rFonts w:eastAsia="Times New Roman" w:cs="Arial"/>
          <w:i/>
          <w:szCs w:val="24"/>
          <w:lang w:eastAsia="pt-BR"/>
        </w:rPr>
        <w:t>Iue = Indicador da utilização da infraestrutura de tratamento de esgotos;</w:t>
      </w:r>
    </w:p>
    <w:p w:rsidR="00813DDC" w:rsidRPr="00813DDC" w:rsidRDefault="00813DDC" w:rsidP="0066661F">
      <w:pPr>
        <w:numPr>
          <w:ilvl w:val="0"/>
          <w:numId w:val="27"/>
        </w:numPr>
        <w:jc w:val="both"/>
        <w:rPr>
          <w:rFonts w:eastAsia="Times New Roman" w:cs="Arial"/>
          <w:i/>
          <w:szCs w:val="24"/>
          <w:lang w:eastAsia="pt-BR"/>
        </w:rPr>
      </w:pPr>
      <w:r w:rsidRPr="00813DDC">
        <w:rPr>
          <w:rFonts w:eastAsia="Times New Roman" w:cs="Arial"/>
          <w:i/>
          <w:szCs w:val="24"/>
          <w:lang w:eastAsia="pt-BR"/>
        </w:rPr>
        <w:t>Qt = Vazão tratada (L/s);</w:t>
      </w:r>
    </w:p>
    <w:p w:rsidR="00813DDC" w:rsidRPr="00813DDC" w:rsidRDefault="00813DDC" w:rsidP="0066661F">
      <w:pPr>
        <w:numPr>
          <w:ilvl w:val="0"/>
          <w:numId w:val="27"/>
        </w:numPr>
        <w:jc w:val="both"/>
        <w:rPr>
          <w:rFonts w:eastAsia="Times New Roman" w:cs="Arial"/>
          <w:i/>
          <w:szCs w:val="24"/>
          <w:lang w:eastAsia="pt-BR"/>
        </w:rPr>
      </w:pPr>
      <w:r w:rsidRPr="00813DDC">
        <w:rPr>
          <w:rFonts w:eastAsia="Times New Roman" w:cs="Arial"/>
          <w:i/>
          <w:szCs w:val="24"/>
          <w:lang w:eastAsia="pt-BR"/>
        </w:rPr>
        <w:t>CapETE = Capacidade da ETE (L/s).</w:t>
      </w:r>
    </w:p>
    <w:p w:rsidR="00813DDC" w:rsidRPr="00813DDC" w:rsidRDefault="00813DDC" w:rsidP="00813DDC">
      <w:pPr>
        <w:ind w:firstLine="708"/>
        <w:jc w:val="both"/>
      </w:pPr>
      <w:r w:rsidRPr="00813DDC">
        <w:lastRenderedPageBreak/>
        <w:t>A periodicidade de medição ou aferição do parâmetro é mensal, portanto deve-se realizar uma média anual, que é igual a: (mês1 + mês2 + mês3 + mês4 + mês5 + mês6 + mês7 + mês8 + mês9 + mês10 + mês11 + mês12) / 12.</w:t>
      </w:r>
    </w:p>
    <w:p w:rsidR="00813DDC" w:rsidRPr="00813DDC" w:rsidRDefault="00813DDC" w:rsidP="00BC01B1">
      <w:pPr>
        <w:pStyle w:val="Ttulo3"/>
      </w:pPr>
      <w:bookmarkStart w:id="2109" w:name="_Toc499019052"/>
      <w:bookmarkStart w:id="2110" w:name="_Toc499106785"/>
      <w:bookmarkStart w:id="2111" w:name="_Toc499107105"/>
      <w:bookmarkStart w:id="2112" w:name="_Toc499107925"/>
      <w:bookmarkStart w:id="2113" w:name="_Toc499108762"/>
      <w:bookmarkStart w:id="2114" w:name="_Toc499109587"/>
      <w:bookmarkStart w:id="2115" w:name="_Toc499109753"/>
      <w:bookmarkStart w:id="2116" w:name="_Toc499709959"/>
      <w:bookmarkStart w:id="2117" w:name="_Toc509935682"/>
      <w:r w:rsidRPr="00813DDC">
        <w:t>Indicador para o objetivo 2</w:t>
      </w:r>
      <w:bookmarkEnd w:id="2094"/>
      <w:bookmarkEnd w:id="2095"/>
      <w:bookmarkEnd w:id="2096"/>
      <w:bookmarkEnd w:id="2109"/>
      <w:bookmarkEnd w:id="2110"/>
      <w:bookmarkEnd w:id="2111"/>
      <w:bookmarkEnd w:id="2112"/>
      <w:bookmarkEnd w:id="2113"/>
      <w:bookmarkEnd w:id="2114"/>
      <w:bookmarkEnd w:id="2115"/>
      <w:bookmarkEnd w:id="2116"/>
      <w:bookmarkEnd w:id="2117"/>
    </w:p>
    <w:p w:rsidR="00813DDC" w:rsidRPr="00813DDC" w:rsidRDefault="00813DDC" w:rsidP="00BC01B1">
      <w:pPr>
        <w:pStyle w:val="Ttulo4"/>
      </w:pPr>
      <w:bookmarkStart w:id="2118" w:name="_Toc453769358"/>
      <w:bookmarkStart w:id="2119" w:name="_Toc453771225"/>
      <w:bookmarkStart w:id="2120" w:name="_Toc453833773"/>
      <w:bookmarkStart w:id="2121" w:name="_Toc499019053"/>
      <w:bookmarkStart w:id="2122" w:name="_Toc499106786"/>
      <w:bookmarkStart w:id="2123" w:name="_Toc499107106"/>
      <w:bookmarkStart w:id="2124" w:name="_Toc499107926"/>
      <w:bookmarkStart w:id="2125" w:name="_Toc499108763"/>
      <w:bookmarkStart w:id="2126" w:name="_Toc499109588"/>
      <w:bookmarkStart w:id="2127" w:name="_Toc499109754"/>
      <w:bookmarkStart w:id="2128" w:name="_Toc499709960"/>
      <w:bookmarkStart w:id="2129" w:name="_Toc509935683"/>
      <w:r w:rsidRPr="00813DDC">
        <w:t>Indicador da regularização e fiscalização das atividades de limpa fossa</w:t>
      </w:r>
      <w:bookmarkEnd w:id="2118"/>
      <w:bookmarkEnd w:id="2119"/>
      <w:bookmarkEnd w:id="2120"/>
      <w:bookmarkEnd w:id="2121"/>
      <w:bookmarkEnd w:id="2122"/>
      <w:bookmarkEnd w:id="2123"/>
      <w:bookmarkEnd w:id="2124"/>
      <w:bookmarkEnd w:id="2125"/>
      <w:bookmarkEnd w:id="2126"/>
      <w:bookmarkEnd w:id="2127"/>
      <w:bookmarkEnd w:id="2128"/>
      <w:bookmarkEnd w:id="2129"/>
    </w:p>
    <w:p w:rsidR="00813DDC" w:rsidRPr="00813DDC" w:rsidRDefault="001B481B" w:rsidP="00813DDC">
      <w:pPr>
        <w:jc w:val="center"/>
        <w:rPr>
          <w:rFonts w:ascii="Cambria Math" w:hAnsi="Cambria Math"/>
          <w:i/>
          <w:sz w:val="22"/>
        </w:rPr>
      </w:pPr>
      <m:oMathPara>
        <m:oMath>
          <m:f>
            <m:fPr>
              <m:ctrlPr>
                <w:rPr>
                  <w:rFonts w:ascii="Cambria Math" w:hAnsi="Cambria Math"/>
                  <w:i/>
                  <w:sz w:val="22"/>
                </w:rPr>
              </m:ctrlPr>
            </m:fPr>
            <m:num>
              <m:r>
                <w:rPr>
                  <w:rFonts w:ascii="Cambria Math" w:hAnsi="Cambria Math"/>
                  <w:sz w:val="22"/>
                </w:rPr>
                <m:t>Irff =Número de fossas regularizadas e fiscalizadas</m:t>
              </m:r>
            </m:num>
            <m:den>
              <m:r>
                <w:rPr>
                  <w:rFonts w:ascii="Cambria Math" w:hAnsi="Cambria Math"/>
                  <w:sz w:val="22"/>
                </w:rPr>
                <m:t>Número de fossas existentes</m:t>
              </m:r>
            </m:den>
          </m:f>
        </m:oMath>
      </m:oMathPara>
    </w:p>
    <w:p w:rsidR="00813DDC" w:rsidRPr="00813DDC" w:rsidRDefault="00813DDC" w:rsidP="00813DDC">
      <w:pPr>
        <w:ind w:firstLine="709"/>
        <w:jc w:val="both"/>
      </w:pPr>
    </w:p>
    <w:p w:rsidR="00813DDC" w:rsidRPr="00813DDC" w:rsidRDefault="00813DDC" w:rsidP="00813DDC">
      <w:pPr>
        <w:ind w:firstLine="709"/>
        <w:jc w:val="both"/>
      </w:pPr>
      <w:r w:rsidRPr="00813DDC">
        <w:t>Este Indicador mostra a porcentagem de fossas regularizadas e fiscalizadas no município. Ressalva-se que para a correta mensuração desse indicador deve ser realizado o registro de todas as fossas instaladas no município.</w:t>
      </w:r>
    </w:p>
    <w:p w:rsidR="00813DDC" w:rsidRPr="00813DDC" w:rsidRDefault="00813DDC" w:rsidP="00BC01B1">
      <w:pPr>
        <w:pStyle w:val="Ttulo3"/>
      </w:pPr>
      <w:bookmarkStart w:id="2130" w:name="_Toc453769360"/>
      <w:bookmarkStart w:id="2131" w:name="_Toc453771227"/>
      <w:bookmarkStart w:id="2132" w:name="_Toc453833775"/>
      <w:bookmarkStart w:id="2133" w:name="_Toc499019054"/>
      <w:bookmarkStart w:id="2134" w:name="_Toc499106787"/>
      <w:bookmarkStart w:id="2135" w:name="_Toc499107107"/>
      <w:bookmarkStart w:id="2136" w:name="_Toc499107927"/>
      <w:bookmarkStart w:id="2137" w:name="_Toc499108764"/>
      <w:bookmarkStart w:id="2138" w:name="_Toc499109589"/>
      <w:bookmarkStart w:id="2139" w:name="_Toc499109755"/>
      <w:bookmarkStart w:id="2140" w:name="_Toc499709961"/>
      <w:bookmarkStart w:id="2141" w:name="_Toc509935684"/>
      <w:r w:rsidRPr="00813DDC">
        <w:t>Indicadores para o objetivo 3</w:t>
      </w:r>
      <w:bookmarkEnd w:id="2130"/>
      <w:bookmarkEnd w:id="2131"/>
      <w:bookmarkEnd w:id="2132"/>
      <w:bookmarkEnd w:id="2133"/>
      <w:bookmarkEnd w:id="2134"/>
      <w:bookmarkEnd w:id="2135"/>
      <w:bookmarkEnd w:id="2136"/>
      <w:bookmarkEnd w:id="2137"/>
      <w:bookmarkEnd w:id="2138"/>
      <w:bookmarkEnd w:id="2139"/>
      <w:bookmarkEnd w:id="2140"/>
      <w:bookmarkEnd w:id="2141"/>
    </w:p>
    <w:p w:rsidR="00813DDC" w:rsidRPr="00813DDC" w:rsidRDefault="00813DDC" w:rsidP="00BC01B1">
      <w:pPr>
        <w:pStyle w:val="Ttulo4"/>
      </w:pPr>
      <w:bookmarkStart w:id="2142" w:name="_Toc453769361"/>
      <w:bookmarkStart w:id="2143" w:name="_Toc453771228"/>
      <w:bookmarkStart w:id="2144" w:name="_Toc453833776"/>
      <w:bookmarkStart w:id="2145" w:name="_Toc499019055"/>
      <w:bookmarkStart w:id="2146" w:name="_Toc499106788"/>
      <w:bookmarkStart w:id="2147" w:name="_Toc499107108"/>
      <w:bookmarkStart w:id="2148" w:name="_Toc499107928"/>
      <w:bookmarkStart w:id="2149" w:name="_Toc499108765"/>
      <w:bookmarkStart w:id="2150" w:name="_Toc499109590"/>
      <w:bookmarkStart w:id="2151" w:name="_Toc499109756"/>
      <w:bookmarkStart w:id="2152" w:name="_Toc499709962"/>
      <w:bookmarkStart w:id="2153" w:name="_Toc509935685"/>
      <w:r w:rsidRPr="00813DDC">
        <w:t>Índice de atendimento às ações propostas para o SES</w:t>
      </w:r>
      <w:bookmarkEnd w:id="2142"/>
      <w:bookmarkEnd w:id="2143"/>
      <w:bookmarkEnd w:id="2144"/>
      <w:bookmarkEnd w:id="2145"/>
      <w:bookmarkEnd w:id="2146"/>
      <w:bookmarkEnd w:id="2147"/>
      <w:bookmarkEnd w:id="2148"/>
      <w:bookmarkEnd w:id="2149"/>
      <w:bookmarkEnd w:id="2150"/>
      <w:bookmarkEnd w:id="2151"/>
      <w:bookmarkEnd w:id="2152"/>
      <w:bookmarkEnd w:id="2153"/>
    </w:p>
    <w:p w:rsidR="00813DDC" w:rsidRPr="00813DDC" w:rsidRDefault="001B481B" w:rsidP="00813DDC">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IA</m:t>
              </m:r>
            </m:e>
            <m:sub>
              <m:r>
                <w:rPr>
                  <w:rFonts w:ascii="Cambria Math" w:eastAsia="Times New Roman" w:hAnsi="Cambria Math" w:cs="Arial"/>
                  <w:sz w:val="22"/>
                  <w:lang w:eastAsia="pt-BR"/>
                </w:rPr>
                <m:t>SES</m:t>
              </m:r>
            </m:sub>
          </m:sSub>
          <m:r>
            <w:rPr>
              <w:rFonts w:ascii="Cambria Math" w:eastAsia="Times New Roman" w:hAnsi="Cambria Math" w:cs="Arial"/>
              <w:sz w:val="22"/>
              <w:lang w:eastAsia="pt-BR"/>
            </w:rPr>
            <m:t xml:space="preserve">= </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Aimp</m:t>
                  </m:r>
                </m:e>
                <m:sub>
                  <m:r>
                    <w:rPr>
                      <w:rFonts w:ascii="Cambria Math" w:eastAsia="Times New Roman" w:hAnsi="Cambria Math" w:cs="Arial"/>
                      <w:sz w:val="22"/>
                      <w:lang w:eastAsia="pt-BR"/>
                    </w:rPr>
                    <m:t>SES</m:t>
                  </m:r>
                </m:sub>
              </m:sSub>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Asug</m:t>
                  </m:r>
                </m:e>
                <m:sub>
                  <m:r>
                    <w:rPr>
                      <w:rFonts w:ascii="Cambria Math" w:eastAsia="Times New Roman" w:hAnsi="Cambria Math" w:cs="Arial"/>
                      <w:sz w:val="22"/>
                      <w:lang w:eastAsia="pt-BR"/>
                    </w:rPr>
                    <m:t>SES</m:t>
                  </m:r>
                </m:sub>
              </m:sSub>
            </m:den>
          </m:f>
          <m:r>
            <w:rPr>
              <w:rFonts w:ascii="Cambria Math" w:eastAsia="Times New Roman" w:hAnsi="Cambria Math" w:cs="Arial"/>
              <w:sz w:val="22"/>
              <w:lang w:eastAsia="pt-BR"/>
            </w:rPr>
            <m:t xml:space="preserve"> x 100</m:t>
          </m:r>
        </m:oMath>
      </m:oMathPara>
    </w:p>
    <w:p w:rsidR="00813DDC" w:rsidRPr="00813DDC" w:rsidRDefault="00813DDC" w:rsidP="00813DDC">
      <w:r w:rsidRPr="00813DDC">
        <w:tab/>
        <w:t>Em que:</w:t>
      </w:r>
    </w:p>
    <w:p w:rsidR="00813DDC" w:rsidRPr="00813DDC" w:rsidRDefault="00813DDC" w:rsidP="0066661F">
      <w:pPr>
        <w:numPr>
          <w:ilvl w:val="0"/>
          <w:numId w:val="27"/>
        </w:numPr>
        <w:jc w:val="both"/>
        <w:rPr>
          <w:rFonts w:cs="Arial"/>
          <w:i/>
          <w:szCs w:val="24"/>
        </w:rPr>
      </w:pPr>
      <w:r w:rsidRPr="00813DDC">
        <w:rPr>
          <w:rFonts w:cs="Arial"/>
          <w:i/>
          <w:szCs w:val="24"/>
        </w:rPr>
        <w:t>IA</w:t>
      </w:r>
      <w:r w:rsidRPr="00813DDC">
        <w:rPr>
          <w:rFonts w:cs="Arial"/>
          <w:i/>
          <w:szCs w:val="24"/>
          <w:vertAlign w:val="subscript"/>
        </w:rPr>
        <w:t>SES</w:t>
      </w:r>
      <w:r w:rsidRPr="00813DDC">
        <w:rPr>
          <w:rFonts w:cs="Arial"/>
          <w:i/>
          <w:szCs w:val="24"/>
        </w:rPr>
        <w:t>: Índice de ações implantadas relacionadas ao SES.</w:t>
      </w:r>
    </w:p>
    <w:p w:rsidR="00813DDC" w:rsidRPr="00813DDC" w:rsidRDefault="00813DDC" w:rsidP="0066661F">
      <w:pPr>
        <w:numPr>
          <w:ilvl w:val="0"/>
          <w:numId w:val="27"/>
        </w:numPr>
        <w:jc w:val="both"/>
        <w:rPr>
          <w:rFonts w:cs="Arial"/>
          <w:i/>
          <w:szCs w:val="24"/>
        </w:rPr>
      </w:pPr>
      <w:r w:rsidRPr="00813DDC">
        <w:rPr>
          <w:rFonts w:cs="Arial"/>
          <w:i/>
          <w:szCs w:val="24"/>
        </w:rPr>
        <w:t>Aimp</w:t>
      </w:r>
      <w:r w:rsidRPr="00813DDC">
        <w:rPr>
          <w:rFonts w:cs="Arial"/>
          <w:i/>
          <w:szCs w:val="24"/>
          <w:vertAlign w:val="subscript"/>
        </w:rPr>
        <w:t>SES</w:t>
      </w:r>
      <w:r w:rsidRPr="00813DDC">
        <w:rPr>
          <w:rFonts w:cs="Arial"/>
          <w:i/>
          <w:szCs w:val="24"/>
        </w:rPr>
        <w:t>: Total de ações implantadas.</w:t>
      </w:r>
    </w:p>
    <w:p w:rsidR="00813DDC" w:rsidRPr="00813DDC" w:rsidRDefault="00813DDC" w:rsidP="0066661F">
      <w:pPr>
        <w:numPr>
          <w:ilvl w:val="0"/>
          <w:numId w:val="27"/>
        </w:numPr>
        <w:jc w:val="both"/>
        <w:rPr>
          <w:rFonts w:cs="Arial"/>
          <w:i/>
          <w:szCs w:val="24"/>
        </w:rPr>
      </w:pPr>
      <w:r w:rsidRPr="00813DDC">
        <w:rPr>
          <w:rFonts w:cs="Arial"/>
          <w:i/>
          <w:szCs w:val="24"/>
        </w:rPr>
        <w:t>Asug</w:t>
      </w:r>
      <w:r w:rsidRPr="00813DDC">
        <w:rPr>
          <w:rFonts w:cs="Arial"/>
          <w:i/>
          <w:szCs w:val="24"/>
          <w:vertAlign w:val="subscript"/>
        </w:rPr>
        <w:t>SES</w:t>
      </w:r>
      <w:r w:rsidRPr="00813DDC">
        <w:rPr>
          <w:rFonts w:cs="Arial"/>
          <w:i/>
          <w:szCs w:val="24"/>
        </w:rPr>
        <w:t>: Total de ações sugeridas.</w:t>
      </w:r>
    </w:p>
    <w:p w:rsidR="00813DDC" w:rsidRPr="00813DDC" w:rsidRDefault="00813DDC" w:rsidP="00813DDC">
      <w:pPr>
        <w:contextualSpacing/>
        <w:jc w:val="both"/>
        <w:rPr>
          <w:rFonts w:eastAsia="Times New Roman"/>
          <w:szCs w:val="20"/>
        </w:rPr>
      </w:pPr>
      <w:r w:rsidRPr="00813DDC">
        <w:rPr>
          <w:rFonts w:eastAsia="Times New Roman"/>
          <w:szCs w:val="20"/>
        </w:rPr>
        <w:tab/>
        <w:t>Este indicador representa a porcentagem de ações propostas para o SES que foram atendidas. Dessa maneira, torna-se possível o monitoramento das atividades realizadas para o setor.</w:t>
      </w:r>
    </w:p>
    <w:p w:rsidR="00813DDC" w:rsidRPr="00813DDC" w:rsidRDefault="00813DDC" w:rsidP="00BC01B1">
      <w:pPr>
        <w:pStyle w:val="Ttulo4"/>
      </w:pPr>
      <w:bookmarkStart w:id="2154" w:name="_Toc453769362"/>
      <w:bookmarkStart w:id="2155" w:name="_Toc453771229"/>
      <w:bookmarkStart w:id="2156" w:name="_Toc453833777"/>
      <w:bookmarkStart w:id="2157" w:name="_Toc499019056"/>
      <w:bookmarkStart w:id="2158" w:name="_Toc499106789"/>
      <w:bookmarkStart w:id="2159" w:name="_Toc499107109"/>
      <w:bookmarkStart w:id="2160" w:name="_Toc499107929"/>
      <w:bookmarkStart w:id="2161" w:name="_Toc499108766"/>
      <w:bookmarkStart w:id="2162" w:name="_Toc499109591"/>
      <w:bookmarkStart w:id="2163" w:name="_Toc499109757"/>
      <w:bookmarkStart w:id="2164" w:name="_Toc499709963"/>
      <w:bookmarkStart w:id="2165" w:name="_Toc509935686"/>
      <w:r w:rsidRPr="00813DDC">
        <w:t>Tarifa média de esgoto</w:t>
      </w:r>
      <w:bookmarkEnd w:id="2154"/>
      <w:bookmarkEnd w:id="2155"/>
      <w:bookmarkEnd w:id="2156"/>
      <w:r w:rsidRPr="00813DDC">
        <w:t>s</w:t>
      </w:r>
      <w:bookmarkEnd w:id="2157"/>
      <w:bookmarkEnd w:id="2158"/>
      <w:bookmarkEnd w:id="2159"/>
      <w:bookmarkEnd w:id="2160"/>
      <w:bookmarkEnd w:id="2161"/>
      <w:bookmarkEnd w:id="2162"/>
      <w:bookmarkEnd w:id="2163"/>
      <w:bookmarkEnd w:id="2164"/>
      <w:bookmarkEnd w:id="2165"/>
    </w:p>
    <w:p w:rsidR="00813DDC" w:rsidRPr="00813DDC" w:rsidRDefault="00813DDC" w:rsidP="00813DDC">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 xml:space="preserve">IN006= </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FN003</m:t>
              </m:r>
            </m:num>
            <m:den>
              <m:r>
                <w:rPr>
                  <w:rFonts w:ascii="Cambria Math" w:eastAsia="Times New Roman" w:hAnsi="Cambria Math" w:cs="Arial"/>
                  <w:sz w:val="22"/>
                  <w:lang w:eastAsia="pt-BR"/>
                </w:rPr>
                <m:t>(ES007-ES013)</m:t>
              </m:r>
            </m:den>
          </m:f>
          <m:r>
            <w:rPr>
              <w:rFonts w:ascii="Cambria Math" w:eastAsia="Times New Roman" w:hAnsi="Cambria Math" w:cs="Arial"/>
              <w:sz w:val="22"/>
              <w:lang w:eastAsia="pt-BR"/>
            </w:rPr>
            <m:t xml:space="preserve"> x 1000</m:t>
          </m:r>
        </m:oMath>
      </m:oMathPara>
    </w:p>
    <w:p w:rsidR="00813DDC" w:rsidRPr="00813DDC" w:rsidRDefault="00813DDC" w:rsidP="00813DDC">
      <w:pPr>
        <w:ind w:firstLine="708"/>
        <w:rPr>
          <w:szCs w:val="24"/>
        </w:rPr>
      </w:pPr>
      <w:r w:rsidRPr="00813DDC">
        <w:rPr>
          <w:szCs w:val="24"/>
        </w:rPr>
        <w:t>Em que:</w:t>
      </w:r>
    </w:p>
    <w:p w:rsidR="00813DDC" w:rsidRPr="00813DDC" w:rsidRDefault="00813DDC" w:rsidP="0066661F">
      <w:pPr>
        <w:numPr>
          <w:ilvl w:val="0"/>
          <w:numId w:val="27"/>
        </w:numPr>
        <w:jc w:val="both"/>
        <w:rPr>
          <w:i/>
          <w:szCs w:val="24"/>
        </w:rPr>
      </w:pPr>
      <w:r w:rsidRPr="00813DDC">
        <w:rPr>
          <w:i/>
          <w:szCs w:val="24"/>
        </w:rPr>
        <w:t>IN006 = Tarifa média de esgotos (R$/m³)</w:t>
      </w:r>
    </w:p>
    <w:p w:rsidR="00813DDC" w:rsidRPr="00813DDC" w:rsidRDefault="00813DDC" w:rsidP="0066661F">
      <w:pPr>
        <w:numPr>
          <w:ilvl w:val="0"/>
          <w:numId w:val="27"/>
        </w:numPr>
        <w:jc w:val="both"/>
        <w:rPr>
          <w:i/>
          <w:szCs w:val="24"/>
        </w:rPr>
      </w:pPr>
      <w:r w:rsidRPr="00813DDC">
        <w:rPr>
          <w:i/>
          <w:szCs w:val="24"/>
        </w:rPr>
        <w:t>FN003 = Receita operacional direta de esgoto (R$/ano).</w:t>
      </w:r>
    </w:p>
    <w:p w:rsidR="00813DDC" w:rsidRPr="00813DDC" w:rsidRDefault="00813DDC" w:rsidP="0066661F">
      <w:pPr>
        <w:numPr>
          <w:ilvl w:val="0"/>
          <w:numId w:val="27"/>
        </w:numPr>
        <w:jc w:val="both"/>
        <w:rPr>
          <w:i/>
          <w:szCs w:val="24"/>
        </w:rPr>
      </w:pPr>
      <w:r w:rsidRPr="00813DDC">
        <w:rPr>
          <w:i/>
          <w:szCs w:val="24"/>
        </w:rPr>
        <w:t>ES007 = Volume de esgotos faturado (1.000 m³/ano).</w:t>
      </w:r>
    </w:p>
    <w:p w:rsidR="00813DDC" w:rsidRPr="00813DDC" w:rsidRDefault="00813DDC" w:rsidP="0066661F">
      <w:pPr>
        <w:numPr>
          <w:ilvl w:val="0"/>
          <w:numId w:val="27"/>
        </w:numPr>
        <w:jc w:val="both"/>
        <w:rPr>
          <w:i/>
          <w:szCs w:val="24"/>
        </w:rPr>
      </w:pPr>
      <w:r w:rsidRPr="00813DDC">
        <w:rPr>
          <w:i/>
          <w:szCs w:val="24"/>
        </w:rPr>
        <w:t>ES013 = Volume de esgotos bruto importado (1.000 m³/ano).</w:t>
      </w:r>
    </w:p>
    <w:p w:rsidR="00813DDC" w:rsidRPr="00813DDC" w:rsidRDefault="00813DDC" w:rsidP="00813DDC">
      <w:pPr>
        <w:widowControl w:val="0"/>
        <w:ind w:firstLine="708"/>
        <w:jc w:val="both"/>
      </w:pPr>
      <w:r w:rsidRPr="00813DDC">
        <w:lastRenderedPageBreak/>
        <w:t>Ressalta-se que a periodicidade de medição ou aferição do parâmetro é mensal, portanto deve-se realizar um somatório anual para cada parâmetro: somatório Anual = (mês1 + mês2 + mês3 + mês4 + mês5 + mês6 + mês7 + mês8 + mês9 + mês10 + mês11 + mês12)</w:t>
      </w:r>
    </w:p>
    <w:p w:rsidR="00813DDC" w:rsidRPr="00813DDC" w:rsidRDefault="00813DDC" w:rsidP="00813DDC">
      <w:pPr>
        <w:ind w:firstLine="709"/>
        <w:contextualSpacing/>
        <w:jc w:val="both"/>
      </w:pPr>
      <w:r w:rsidRPr="00813DDC">
        <w:t>O indicador auxiliará no monitoramento do alcance do objetivo de “implementar uma gestão eficiente”, com a cobrança de uma tarifa justa, conforme definições do órgão regulador.</w:t>
      </w:r>
    </w:p>
    <w:p w:rsidR="00813DDC" w:rsidRPr="00813DDC" w:rsidRDefault="00813DDC" w:rsidP="00BC01B1">
      <w:pPr>
        <w:pStyle w:val="Ttulo4"/>
      </w:pPr>
      <w:bookmarkStart w:id="2166" w:name="_Toc453769363"/>
      <w:bookmarkStart w:id="2167" w:name="_Toc453771230"/>
      <w:bookmarkStart w:id="2168" w:name="_Toc453833778"/>
      <w:bookmarkStart w:id="2169" w:name="_Toc499019057"/>
      <w:bookmarkStart w:id="2170" w:name="_Toc499106790"/>
      <w:bookmarkStart w:id="2171" w:name="_Toc499107110"/>
      <w:bookmarkStart w:id="2172" w:name="_Toc499107930"/>
      <w:bookmarkStart w:id="2173" w:name="_Toc499108767"/>
      <w:bookmarkStart w:id="2174" w:name="_Toc499109592"/>
      <w:bookmarkStart w:id="2175" w:name="_Toc499109758"/>
      <w:bookmarkStart w:id="2176" w:name="_Toc499709964"/>
      <w:bookmarkStart w:id="2177" w:name="_Toc509935687"/>
      <w:r w:rsidRPr="00813DDC">
        <w:t>Duração média dos reparos de extravasamentos de esgotos</w:t>
      </w:r>
      <w:bookmarkEnd w:id="2166"/>
      <w:bookmarkEnd w:id="2167"/>
      <w:bookmarkEnd w:id="2168"/>
      <w:bookmarkEnd w:id="2169"/>
      <w:bookmarkEnd w:id="2170"/>
      <w:bookmarkEnd w:id="2171"/>
      <w:bookmarkEnd w:id="2172"/>
      <w:bookmarkEnd w:id="2173"/>
      <w:bookmarkEnd w:id="2174"/>
      <w:bookmarkEnd w:id="2175"/>
      <w:bookmarkEnd w:id="2176"/>
      <w:bookmarkEnd w:id="2177"/>
    </w:p>
    <w:p w:rsidR="00813DDC" w:rsidRPr="00813DDC" w:rsidRDefault="00813DDC" w:rsidP="00813DDC">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IN077=</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QD012</m:t>
              </m:r>
            </m:num>
            <m:den>
              <m:r>
                <w:rPr>
                  <w:rFonts w:ascii="Cambria Math" w:eastAsia="Times New Roman" w:hAnsi="Cambria Math" w:cs="Arial"/>
                  <w:sz w:val="22"/>
                  <w:lang w:eastAsia="pt-BR"/>
                </w:rPr>
                <m:t>QD011</m:t>
              </m:r>
            </m:den>
          </m:f>
        </m:oMath>
      </m:oMathPara>
    </w:p>
    <w:p w:rsidR="00813DDC" w:rsidRPr="00813DDC" w:rsidRDefault="00813DDC" w:rsidP="00813DDC">
      <w:pPr>
        <w:spacing w:before="120" w:after="120"/>
        <w:ind w:firstLine="709"/>
        <w:contextualSpacing/>
        <w:jc w:val="both"/>
        <w:rPr>
          <w:rFonts w:cs="Arial"/>
          <w:szCs w:val="24"/>
        </w:rPr>
      </w:pPr>
      <w:r w:rsidRPr="00813DDC">
        <w:rPr>
          <w:rFonts w:cs="Arial"/>
          <w:szCs w:val="24"/>
        </w:rPr>
        <w:t>Em que:</w:t>
      </w:r>
    </w:p>
    <w:p w:rsidR="00813DDC" w:rsidRPr="00813DDC" w:rsidRDefault="00813DDC" w:rsidP="0066661F">
      <w:pPr>
        <w:numPr>
          <w:ilvl w:val="0"/>
          <w:numId w:val="27"/>
        </w:numPr>
        <w:jc w:val="both"/>
        <w:rPr>
          <w:rFonts w:cs="Arial"/>
          <w:i/>
          <w:szCs w:val="24"/>
        </w:rPr>
      </w:pPr>
      <w:r w:rsidRPr="00813DDC">
        <w:rPr>
          <w:rFonts w:cs="Arial"/>
          <w:i/>
          <w:szCs w:val="24"/>
        </w:rPr>
        <w:t xml:space="preserve">IN077 = </w:t>
      </w:r>
      <w:r w:rsidRPr="00813DDC">
        <w:rPr>
          <w:i/>
          <w:szCs w:val="24"/>
        </w:rPr>
        <w:t>Duração média dos reparos de extravasamentos de esgotos (hora/extravasamento).</w:t>
      </w:r>
    </w:p>
    <w:p w:rsidR="00813DDC" w:rsidRPr="00813DDC" w:rsidRDefault="00813DDC" w:rsidP="0066661F">
      <w:pPr>
        <w:numPr>
          <w:ilvl w:val="0"/>
          <w:numId w:val="27"/>
        </w:numPr>
        <w:jc w:val="both"/>
        <w:rPr>
          <w:rFonts w:cs="Arial"/>
          <w:i/>
          <w:szCs w:val="24"/>
        </w:rPr>
      </w:pPr>
      <w:r w:rsidRPr="00813DDC">
        <w:rPr>
          <w:rFonts w:cs="Arial"/>
          <w:i/>
          <w:szCs w:val="24"/>
        </w:rPr>
        <w:t>QD011 = Quantidade de extravasamentos de esgotos registrados no ano (nº de extravasamentos).</w:t>
      </w:r>
    </w:p>
    <w:p w:rsidR="00813DDC" w:rsidRPr="00813DDC" w:rsidRDefault="00813DDC" w:rsidP="0066661F">
      <w:pPr>
        <w:numPr>
          <w:ilvl w:val="0"/>
          <w:numId w:val="27"/>
        </w:numPr>
        <w:jc w:val="both"/>
        <w:rPr>
          <w:rFonts w:cs="Arial"/>
          <w:i/>
          <w:szCs w:val="24"/>
        </w:rPr>
      </w:pPr>
      <w:r w:rsidRPr="00813DDC">
        <w:rPr>
          <w:rFonts w:cs="Arial"/>
          <w:i/>
          <w:szCs w:val="24"/>
        </w:rPr>
        <w:t>QD012 = Duração dos extravasamentos registrados na rede coletora de esgotos no ano (hora).</w:t>
      </w:r>
    </w:p>
    <w:p w:rsidR="00813DDC" w:rsidRPr="00813DDC" w:rsidRDefault="00813DDC" w:rsidP="00813DDC">
      <w:pPr>
        <w:spacing w:before="120" w:after="120"/>
        <w:ind w:firstLine="708"/>
        <w:contextualSpacing/>
        <w:jc w:val="both"/>
        <w:rPr>
          <w:rFonts w:cs="Arial"/>
          <w:szCs w:val="24"/>
        </w:rPr>
      </w:pPr>
      <w:r w:rsidRPr="00813DDC">
        <w:rPr>
          <w:rFonts w:cs="Arial"/>
          <w:szCs w:val="24"/>
        </w:rPr>
        <w:t>Este indicador, que registra o tempo gasto, em média, para consertar extravasamentos de esgoto, auxiliará no monitoramento do alcance do objetivo “atendimento de forma ininterrupta”. O presente PMSB objetiva uma maior eficiência nos serviços de saneamento básico, portanto o ideal é que esse indicador seja o mais próximo possível de 0 (zero).</w:t>
      </w:r>
    </w:p>
    <w:p w:rsidR="00813DDC" w:rsidRPr="00813DDC" w:rsidRDefault="00813DDC" w:rsidP="00BC01B1">
      <w:pPr>
        <w:pStyle w:val="Ttulo3"/>
      </w:pPr>
      <w:bookmarkStart w:id="2178" w:name="_Toc453769364"/>
      <w:bookmarkStart w:id="2179" w:name="_Toc453771231"/>
      <w:bookmarkStart w:id="2180" w:name="_Toc453833779"/>
      <w:bookmarkStart w:id="2181" w:name="_Toc499019058"/>
      <w:bookmarkStart w:id="2182" w:name="_Toc499106791"/>
      <w:bookmarkStart w:id="2183" w:name="_Toc499107111"/>
      <w:bookmarkStart w:id="2184" w:name="_Toc499107931"/>
      <w:bookmarkStart w:id="2185" w:name="_Toc499108768"/>
      <w:bookmarkStart w:id="2186" w:name="_Toc499109593"/>
      <w:bookmarkStart w:id="2187" w:name="_Toc499109759"/>
      <w:bookmarkStart w:id="2188" w:name="_Toc499709965"/>
      <w:bookmarkStart w:id="2189" w:name="_Toc509935688"/>
      <w:r w:rsidRPr="00813DDC">
        <w:t>Indicadores para o objetivo 4</w:t>
      </w:r>
      <w:bookmarkEnd w:id="2178"/>
      <w:bookmarkEnd w:id="2179"/>
      <w:bookmarkEnd w:id="2180"/>
      <w:bookmarkEnd w:id="2181"/>
      <w:bookmarkEnd w:id="2182"/>
      <w:bookmarkEnd w:id="2183"/>
      <w:bookmarkEnd w:id="2184"/>
      <w:bookmarkEnd w:id="2185"/>
      <w:bookmarkEnd w:id="2186"/>
      <w:bookmarkEnd w:id="2187"/>
      <w:bookmarkEnd w:id="2188"/>
      <w:bookmarkEnd w:id="2189"/>
    </w:p>
    <w:p w:rsidR="00813DDC" w:rsidRPr="00813DDC" w:rsidRDefault="00813DDC" w:rsidP="00BC01B1">
      <w:pPr>
        <w:pStyle w:val="Ttulo4"/>
      </w:pPr>
      <w:bookmarkStart w:id="2190" w:name="_Toc453769365"/>
      <w:bookmarkStart w:id="2191" w:name="_Toc453771232"/>
      <w:bookmarkStart w:id="2192" w:name="_Toc453833780"/>
      <w:bookmarkStart w:id="2193" w:name="_Toc499019059"/>
      <w:bookmarkStart w:id="2194" w:name="_Toc499106792"/>
      <w:bookmarkStart w:id="2195" w:name="_Toc499107112"/>
      <w:bookmarkStart w:id="2196" w:name="_Toc499107932"/>
      <w:bookmarkStart w:id="2197" w:name="_Toc499108769"/>
      <w:bookmarkStart w:id="2198" w:name="_Toc499109594"/>
      <w:bookmarkStart w:id="2199" w:name="_Toc499109760"/>
      <w:bookmarkStart w:id="2200" w:name="_Toc499709966"/>
      <w:bookmarkStart w:id="2201" w:name="_Toc509935689"/>
      <w:r w:rsidRPr="00813DDC">
        <w:t>Indicador de eficiência de remoção de matéria orgânica</w:t>
      </w:r>
      <w:bookmarkEnd w:id="2190"/>
      <w:bookmarkEnd w:id="2191"/>
      <w:bookmarkEnd w:id="2192"/>
      <w:bookmarkEnd w:id="2193"/>
      <w:bookmarkEnd w:id="2194"/>
      <w:bookmarkEnd w:id="2195"/>
      <w:bookmarkEnd w:id="2196"/>
      <w:bookmarkEnd w:id="2197"/>
      <w:bookmarkEnd w:id="2198"/>
      <w:bookmarkEnd w:id="2199"/>
      <w:bookmarkEnd w:id="2200"/>
      <w:bookmarkEnd w:id="2201"/>
    </w:p>
    <w:p w:rsidR="00813DDC" w:rsidRPr="00813DDC" w:rsidRDefault="00813DDC" w:rsidP="00813DDC">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E=</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(DBOb-DBOt)</m:t>
              </m:r>
            </m:num>
            <m:den>
              <m:r>
                <w:rPr>
                  <w:rFonts w:ascii="Cambria Math" w:eastAsia="Times New Roman" w:hAnsi="Cambria Math" w:cs="Arial"/>
                  <w:sz w:val="22"/>
                  <w:lang w:eastAsia="pt-BR"/>
                </w:rPr>
                <m:t>DBOb</m:t>
              </m:r>
            </m:den>
          </m:f>
          <m:r>
            <w:rPr>
              <w:rFonts w:ascii="Cambria Math" w:eastAsia="Times New Roman" w:hAnsi="Cambria Math" w:cs="Arial"/>
              <w:sz w:val="22"/>
              <w:lang w:eastAsia="pt-BR"/>
            </w:rPr>
            <m:t xml:space="preserve"> x 100</m:t>
          </m:r>
        </m:oMath>
      </m:oMathPara>
    </w:p>
    <w:p w:rsidR="00813DDC" w:rsidRPr="00813DDC" w:rsidRDefault="00813DDC" w:rsidP="00813DDC">
      <w:pPr>
        <w:jc w:val="center"/>
        <w:rPr>
          <w:szCs w:val="24"/>
        </w:rPr>
      </w:pPr>
    </w:p>
    <w:p w:rsidR="00813DDC" w:rsidRPr="00813DDC" w:rsidRDefault="00813DDC" w:rsidP="00813DDC">
      <w:pPr>
        <w:spacing w:before="120" w:after="120"/>
        <w:ind w:firstLine="709"/>
        <w:contextualSpacing/>
        <w:jc w:val="both"/>
        <w:rPr>
          <w:lang w:eastAsia="pt-BR"/>
        </w:rPr>
      </w:pPr>
      <w:r w:rsidRPr="00813DDC">
        <w:rPr>
          <w:rFonts w:cs="Arial"/>
          <w:szCs w:val="24"/>
        </w:rPr>
        <w:t>Em que</w:t>
      </w:r>
      <w:r w:rsidRPr="00813DDC">
        <w:rPr>
          <w:lang w:eastAsia="pt-BR"/>
        </w:rPr>
        <w:t>:</w:t>
      </w:r>
    </w:p>
    <w:p w:rsidR="00813DDC" w:rsidRPr="00813DDC" w:rsidRDefault="00813DDC" w:rsidP="0066661F">
      <w:pPr>
        <w:numPr>
          <w:ilvl w:val="0"/>
          <w:numId w:val="27"/>
        </w:numPr>
        <w:jc w:val="both"/>
        <w:rPr>
          <w:rFonts w:cs="Arial"/>
          <w:i/>
          <w:szCs w:val="24"/>
        </w:rPr>
      </w:pPr>
      <w:r w:rsidRPr="00813DDC">
        <w:rPr>
          <w:rFonts w:cs="Arial"/>
          <w:i/>
          <w:szCs w:val="24"/>
        </w:rPr>
        <w:t>E = Eficiência na remoção de matéria orgânica (%).</w:t>
      </w:r>
    </w:p>
    <w:p w:rsidR="00813DDC" w:rsidRPr="00813DDC" w:rsidRDefault="00813DDC" w:rsidP="0066661F">
      <w:pPr>
        <w:numPr>
          <w:ilvl w:val="0"/>
          <w:numId w:val="27"/>
        </w:numPr>
        <w:jc w:val="both"/>
        <w:rPr>
          <w:rFonts w:cs="Arial"/>
          <w:i/>
          <w:szCs w:val="24"/>
        </w:rPr>
      </w:pPr>
      <w:r w:rsidRPr="00813DDC">
        <w:rPr>
          <w:i/>
          <w:lang w:eastAsia="pt-BR"/>
        </w:rPr>
        <w:t>DBO</w:t>
      </w:r>
      <w:r w:rsidRPr="00813DDC">
        <w:rPr>
          <w:i/>
          <w:vertAlign w:val="subscript"/>
          <w:lang w:eastAsia="pt-BR"/>
        </w:rPr>
        <w:t>b</w:t>
      </w:r>
      <w:r w:rsidRPr="00813DDC">
        <w:rPr>
          <w:i/>
          <w:lang w:eastAsia="pt-BR"/>
        </w:rPr>
        <w:t xml:space="preserve"> = </w:t>
      </w:r>
      <w:r w:rsidRPr="00813DDC">
        <w:rPr>
          <w:rFonts w:cs="Arial"/>
          <w:i/>
          <w:szCs w:val="24"/>
        </w:rPr>
        <w:t>Demanda Bioquímica de Oxigênio do esgoto bruto.</w:t>
      </w:r>
    </w:p>
    <w:p w:rsidR="00813DDC" w:rsidRPr="00813DDC" w:rsidRDefault="00813DDC" w:rsidP="0066661F">
      <w:pPr>
        <w:numPr>
          <w:ilvl w:val="0"/>
          <w:numId w:val="27"/>
        </w:numPr>
        <w:jc w:val="both"/>
        <w:rPr>
          <w:rFonts w:cs="Arial"/>
          <w:i/>
          <w:szCs w:val="24"/>
        </w:rPr>
      </w:pPr>
      <w:r w:rsidRPr="00813DDC">
        <w:rPr>
          <w:rFonts w:cs="Arial"/>
          <w:i/>
          <w:szCs w:val="24"/>
        </w:rPr>
        <w:t>DBO</w:t>
      </w:r>
      <w:r w:rsidRPr="00813DDC">
        <w:rPr>
          <w:rFonts w:cs="Arial"/>
          <w:i/>
          <w:szCs w:val="24"/>
          <w:vertAlign w:val="subscript"/>
        </w:rPr>
        <w:t xml:space="preserve">t  </w:t>
      </w:r>
      <w:r w:rsidRPr="00813DDC">
        <w:rPr>
          <w:rFonts w:cs="Arial"/>
          <w:i/>
          <w:szCs w:val="24"/>
        </w:rPr>
        <w:t>= Demanda Bioquímica de Oxigênio do esgoto tratado.</w:t>
      </w:r>
    </w:p>
    <w:p w:rsidR="00813DDC" w:rsidRPr="00813DDC" w:rsidRDefault="00813DDC" w:rsidP="00813DDC">
      <w:pPr>
        <w:spacing w:before="120" w:after="120"/>
        <w:ind w:firstLine="709"/>
        <w:contextualSpacing/>
        <w:jc w:val="both"/>
        <w:rPr>
          <w:rFonts w:cs="Arial"/>
          <w:szCs w:val="24"/>
        </w:rPr>
      </w:pPr>
      <w:r w:rsidRPr="00813DDC">
        <w:rPr>
          <w:rFonts w:cs="Arial"/>
          <w:szCs w:val="24"/>
        </w:rPr>
        <w:lastRenderedPageBreak/>
        <w:t>Este Indicador determina o nível de eficiência da ETE, segundo a Resolução CONAMA nº 430/11, que dispõe sobre as condições e padrões de lançamento de efluentes. Para atendimento à legislação, a eficiência de remoção mínima de DBO</w:t>
      </w:r>
      <w:r w:rsidRPr="00813DDC">
        <w:rPr>
          <w:rFonts w:cs="Arial"/>
          <w:szCs w:val="24"/>
          <w:vertAlign w:val="subscript"/>
        </w:rPr>
        <w:t>5,20</w:t>
      </w:r>
      <w:r w:rsidRPr="00813DDC">
        <w:rPr>
          <w:rFonts w:cs="Arial"/>
          <w:szCs w:val="24"/>
        </w:rPr>
        <w:t xml:space="preserve"> deve ser de 60 %, ou o efluente deve apresentar a concentração máxima de 120 mg/L, ou ainda, mediante estudo de autodepuração do corpo hídrico, comprovar o atendimento às metas do enquadramento do corpo receptor.</w:t>
      </w:r>
    </w:p>
    <w:p w:rsidR="00813DDC" w:rsidRPr="00813DDC" w:rsidRDefault="00813DDC" w:rsidP="00BC01B1">
      <w:pPr>
        <w:pStyle w:val="Ttulo4"/>
      </w:pPr>
      <w:bookmarkStart w:id="2202" w:name="_Toc453769366"/>
      <w:bookmarkStart w:id="2203" w:name="_Toc453771233"/>
      <w:bookmarkStart w:id="2204" w:name="_Toc453833781"/>
      <w:bookmarkStart w:id="2205" w:name="_Toc499019060"/>
      <w:bookmarkStart w:id="2206" w:name="_Toc499106793"/>
      <w:bookmarkStart w:id="2207" w:name="_Toc499107113"/>
      <w:bookmarkStart w:id="2208" w:name="_Toc499107933"/>
      <w:bookmarkStart w:id="2209" w:name="_Toc499108770"/>
      <w:bookmarkStart w:id="2210" w:name="_Toc499109595"/>
      <w:bookmarkStart w:id="2211" w:name="_Toc499109761"/>
      <w:bookmarkStart w:id="2212" w:name="_Toc499709967"/>
      <w:bookmarkStart w:id="2213" w:name="_Toc509935690"/>
      <w:r w:rsidRPr="00813DDC">
        <w:t>Indicador da qualidade do corpo receptor</w:t>
      </w:r>
      <w:bookmarkEnd w:id="2202"/>
      <w:bookmarkEnd w:id="2203"/>
      <w:bookmarkEnd w:id="2204"/>
      <w:bookmarkEnd w:id="2205"/>
      <w:bookmarkEnd w:id="2206"/>
      <w:bookmarkEnd w:id="2207"/>
      <w:bookmarkEnd w:id="2208"/>
      <w:bookmarkEnd w:id="2209"/>
      <w:bookmarkEnd w:id="2210"/>
      <w:bookmarkEnd w:id="2211"/>
      <w:bookmarkEnd w:id="2212"/>
      <w:bookmarkEnd w:id="2213"/>
    </w:p>
    <w:p w:rsidR="00813DDC" w:rsidRPr="00813DDC" w:rsidRDefault="00813DDC" w:rsidP="00813DDC">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Q=</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OD jusante</m:t>
              </m:r>
            </m:num>
            <m:den>
              <m:r>
                <w:rPr>
                  <w:rFonts w:ascii="Cambria Math" w:eastAsia="Times New Roman" w:hAnsi="Cambria Math" w:cs="Arial"/>
                  <w:sz w:val="22"/>
                  <w:lang w:eastAsia="pt-BR"/>
                </w:rPr>
                <m:t>OD montante</m:t>
              </m:r>
            </m:den>
          </m:f>
        </m:oMath>
      </m:oMathPara>
    </w:p>
    <w:p w:rsidR="00813DDC" w:rsidRPr="00813DDC" w:rsidRDefault="00813DDC" w:rsidP="00813DDC">
      <w:pPr>
        <w:jc w:val="center"/>
        <w:rPr>
          <w:szCs w:val="24"/>
        </w:rPr>
      </w:pPr>
    </w:p>
    <w:p w:rsidR="00813DDC" w:rsidRPr="00813DDC" w:rsidRDefault="00813DDC" w:rsidP="00813DDC">
      <w:pPr>
        <w:spacing w:before="120" w:after="120"/>
        <w:ind w:firstLine="709"/>
        <w:contextualSpacing/>
        <w:jc w:val="both"/>
        <w:rPr>
          <w:rFonts w:cs="Arial"/>
          <w:szCs w:val="24"/>
        </w:rPr>
      </w:pPr>
      <w:r w:rsidRPr="00813DDC">
        <w:rPr>
          <w:rFonts w:cs="Arial"/>
          <w:szCs w:val="24"/>
        </w:rPr>
        <w:t>Em que:</w:t>
      </w:r>
    </w:p>
    <w:p w:rsidR="00813DDC" w:rsidRPr="00813DDC" w:rsidRDefault="00813DDC" w:rsidP="0066661F">
      <w:pPr>
        <w:numPr>
          <w:ilvl w:val="0"/>
          <w:numId w:val="27"/>
        </w:numPr>
        <w:jc w:val="both"/>
        <w:rPr>
          <w:rFonts w:cs="Arial"/>
          <w:i/>
          <w:szCs w:val="24"/>
        </w:rPr>
      </w:pPr>
      <w:r w:rsidRPr="00813DDC">
        <w:rPr>
          <w:rFonts w:cs="Arial"/>
          <w:i/>
          <w:szCs w:val="24"/>
        </w:rPr>
        <w:t>Q = Qualidade do corpo receptor (mg/L);</w:t>
      </w:r>
    </w:p>
    <w:p w:rsidR="00813DDC" w:rsidRPr="00813DDC" w:rsidRDefault="00813DDC" w:rsidP="0066661F">
      <w:pPr>
        <w:numPr>
          <w:ilvl w:val="0"/>
          <w:numId w:val="27"/>
        </w:numPr>
        <w:jc w:val="both"/>
        <w:rPr>
          <w:rFonts w:cs="Arial"/>
          <w:i/>
          <w:szCs w:val="24"/>
        </w:rPr>
      </w:pPr>
      <w:r w:rsidRPr="00813DDC">
        <w:rPr>
          <w:rFonts w:cs="Arial"/>
          <w:i/>
          <w:szCs w:val="24"/>
        </w:rPr>
        <w:t>OD jusante = Teor de oxigênio dissolvido (mg/L) a jusante do ponto de lançamento da ETE;</w:t>
      </w:r>
    </w:p>
    <w:p w:rsidR="00813DDC" w:rsidRPr="00813DDC" w:rsidRDefault="00813DDC" w:rsidP="0066661F">
      <w:pPr>
        <w:numPr>
          <w:ilvl w:val="0"/>
          <w:numId w:val="27"/>
        </w:numPr>
        <w:jc w:val="both"/>
        <w:rPr>
          <w:rFonts w:cs="Arial"/>
          <w:i/>
          <w:szCs w:val="24"/>
        </w:rPr>
      </w:pPr>
      <w:r w:rsidRPr="00813DDC">
        <w:rPr>
          <w:rFonts w:cs="Arial"/>
          <w:i/>
          <w:szCs w:val="24"/>
        </w:rPr>
        <w:t>OD montante = Teor de oxigênio dissolvido (mg/L) a montante do ponto de lançamento da ETE.</w:t>
      </w:r>
    </w:p>
    <w:p w:rsidR="00813DDC" w:rsidRPr="00813DDC" w:rsidRDefault="00813DDC" w:rsidP="00813DDC">
      <w:pPr>
        <w:spacing w:before="120" w:after="120"/>
        <w:ind w:firstLine="709"/>
        <w:contextualSpacing/>
        <w:jc w:val="both"/>
        <w:rPr>
          <w:rFonts w:cs="Arial"/>
          <w:szCs w:val="24"/>
        </w:rPr>
      </w:pPr>
      <w:r w:rsidRPr="00813DDC">
        <w:rPr>
          <w:rFonts w:cs="Arial"/>
          <w:szCs w:val="24"/>
        </w:rPr>
        <w:t xml:space="preserve">O Indicador da qualidade do corpo receptor determina o impacto causado a ele devido ao lançamento de esgotos, sendo que o valor 1 (um) corresponde à situação ideal, pois indica a </w:t>
      </w:r>
      <w:r w:rsidRPr="00813DDC">
        <w:rPr>
          <w:rFonts w:cs="Arial"/>
          <w:i/>
          <w:szCs w:val="24"/>
        </w:rPr>
        <w:t>não alteração</w:t>
      </w:r>
      <w:r w:rsidRPr="00813DDC">
        <w:rPr>
          <w:rFonts w:cs="Arial"/>
          <w:szCs w:val="24"/>
        </w:rPr>
        <w:t xml:space="preserve"> da qualidade da água do curso d’água quanto à concentração de matéria orgânica, após o lançamento.</w:t>
      </w:r>
    </w:p>
    <w:p w:rsidR="00813DDC" w:rsidRPr="00813DDC" w:rsidRDefault="00813DDC" w:rsidP="00BC01B1">
      <w:pPr>
        <w:pStyle w:val="Ttulo4"/>
      </w:pPr>
      <w:bookmarkStart w:id="2214" w:name="_Toc453769367"/>
      <w:bookmarkStart w:id="2215" w:name="_Toc453771234"/>
      <w:bookmarkStart w:id="2216" w:name="_Toc453833782"/>
      <w:bookmarkStart w:id="2217" w:name="_Toc499019061"/>
      <w:bookmarkStart w:id="2218" w:name="_Toc499106794"/>
      <w:bookmarkStart w:id="2219" w:name="_Toc499107114"/>
      <w:bookmarkStart w:id="2220" w:name="_Toc499107934"/>
      <w:bookmarkStart w:id="2221" w:name="_Toc499108771"/>
      <w:bookmarkStart w:id="2222" w:name="_Toc499109596"/>
      <w:bookmarkStart w:id="2223" w:name="_Toc499109762"/>
      <w:bookmarkStart w:id="2224" w:name="_Toc499709968"/>
      <w:bookmarkStart w:id="2225" w:name="_Toc509935691"/>
      <w:r w:rsidRPr="00813DDC">
        <w:t>Índice de ETEs com manuais de operações adequados</w:t>
      </w:r>
      <w:bookmarkEnd w:id="2214"/>
      <w:bookmarkEnd w:id="2215"/>
      <w:bookmarkEnd w:id="2216"/>
      <w:bookmarkEnd w:id="2217"/>
      <w:bookmarkEnd w:id="2218"/>
      <w:bookmarkEnd w:id="2219"/>
      <w:bookmarkEnd w:id="2220"/>
      <w:bookmarkEnd w:id="2221"/>
      <w:bookmarkEnd w:id="2222"/>
      <w:bookmarkEnd w:id="2223"/>
      <w:bookmarkEnd w:id="2224"/>
      <w:bookmarkEnd w:id="2225"/>
    </w:p>
    <w:p w:rsidR="00813DDC" w:rsidRPr="00813DDC" w:rsidRDefault="00813DDC" w:rsidP="00813DDC">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Imoa=</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n° de ETEs com manuais de operação adequados</m:t>
              </m:r>
            </m:num>
            <m:den>
              <m:r>
                <w:rPr>
                  <w:rFonts w:ascii="Cambria Math" w:eastAsia="Times New Roman" w:hAnsi="Cambria Math" w:cs="Arial"/>
                  <w:sz w:val="22"/>
                  <w:lang w:eastAsia="pt-BR"/>
                </w:rPr>
                <m:t>n° total de ETEs</m:t>
              </m:r>
            </m:den>
          </m:f>
        </m:oMath>
      </m:oMathPara>
    </w:p>
    <w:p w:rsidR="00813DDC" w:rsidRPr="00813DDC" w:rsidRDefault="00813DDC" w:rsidP="00813DDC">
      <w:pPr>
        <w:spacing w:before="120" w:after="120"/>
        <w:contextualSpacing/>
        <w:jc w:val="both"/>
        <w:rPr>
          <w:rFonts w:eastAsia="Times New Roman" w:cs="Arial"/>
          <w:sz w:val="22"/>
          <w:lang w:eastAsia="pt-BR"/>
        </w:rPr>
      </w:pPr>
      <w:r w:rsidRPr="00813DDC">
        <w:rPr>
          <w:rFonts w:eastAsia="Times New Roman" w:cs="Arial"/>
          <w:sz w:val="22"/>
          <w:lang w:eastAsia="pt-BR"/>
        </w:rPr>
        <w:t xml:space="preserve"> </w:t>
      </w:r>
    </w:p>
    <w:p w:rsidR="00813DDC" w:rsidRPr="00813DDC" w:rsidRDefault="00813DDC" w:rsidP="00813DDC">
      <w:pPr>
        <w:spacing w:before="120" w:after="120"/>
        <w:ind w:firstLine="708"/>
        <w:contextualSpacing/>
        <w:jc w:val="both"/>
        <w:rPr>
          <w:rFonts w:cs="Arial"/>
          <w:szCs w:val="24"/>
        </w:rPr>
      </w:pPr>
      <w:r w:rsidRPr="00813DDC">
        <w:rPr>
          <w:rFonts w:cs="Arial"/>
          <w:szCs w:val="24"/>
        </w:rPr>
        <w:t>Este indicador determina se as ETEs têm manuais de operação adequados e estima-se que estão sendo utilizados. O ideal é que todas as ETEs tenham manuais, logo, o melhor valor para o indicador é 100 %.</w:t>
      </w:r>
    </w:p>
    <w:p w:rsidR="00813DDC" w:rsidRPr="00813DDC" w:rsidRDefault="00813DDC" w:rsidP="00BC01B1">
      <w:pPr>
        <w:pStyle w:val="Ttulo4"/>
      </w:pPr>
      <w:bookmarkStart w:id="2226" w:name="_Toc453769368"/>
      <w:bookmarkStart w:id="2227" w:name="_Toc453771235"/>
      <w:bookmarkStart w:id="2228" w:name="_Toc453833783"/>
      <w:bookmarkStart w:id="2229" w:name="_Toc499019062"/>
      <w:bookmarkStart w:id="2230" w:name="_Toc499106795"/>
      <w:bookmarkStart w:id="2231" w:name="_Toc499107115"/>
      <w:bookmarkStart w:id="2232" w:name="_Toc499107935"/>
      <w:bookmarkStart w:id="2233" w:name="_Toc499108772"/>
      <w:bookmarkStart w:id="2234" w:name="_Toc499109597"/>
      <w:bookmarkStart w:id="2235" w:name="_Toc499109763"/>
      <w:bookmarkStart w:id="2236" w:name="_Toc499709969"/>
      <w:bookmarkStart w:id="2237" w:name="_Toc509935692"/>
      <w:r w:rsidRPr="00813DDC">
        <w:t>Índice de destinação adequada dos lodos gerados na ETE</w:t>
      </w:r>
      <w:bookmarkEnd w:id="2226"/>
      <w:bookmarkEnd w:id="2227"/>
      <w:bookmarkEnd w:id="2228"/>
      <w:bookmarkEnd w:id="2229"/>
      <w:bookmarkEnd w:id="2230"/>
      <w:bookmarkEnd w:id="2231"/>
      <w:bookmarkEnd w:id="2232"/>
      <w:bookmarkEnd w:id="2233"/>
      <w:bookmarkEnd w:id="2234"/>
      <w:bookmarkEnd w:id="2235"/>
      <w:bookmarkEnd w:id="2236"/>
      <w:bookmarkEnd w:id="2237"/>
    </w:p>
    <w:p w:rsidR="00813DDC" w:rsidRPr="00813DDC" w:rsidRDefault="00813DDC" w:rsidP="00813DDC">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 xml:space="preserve">Idlg= </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Volume de lodos tratados</m:t>
              </m:r>
            </m:num>
            <m:den>
              <m:r>
                <w:rPr>
                  <w:rFonts w:ascii="Cambria Math" w:eastAsia="Times New Roman" w:hAnsi="Cambria Math" w:cs="Arial"/>
                  <w:sz w:val="22"/>
                  <w:lang w:eastAsia="pt-BR"/>
                </w:rPr>
                <m:t>Volume de lodos gerados</m:t>
              </m:r>
            </m:den>
          </m:f>
          <m:r>
            <w:rPr>
              <w:rFonts w:ascii="Cambria Math" w:eastAsia="Times New Roman" w:hAnsi="Cambria Math" w:cs="Arial"/>
              <w:sz w:val="22"/>
              <w:lang w:eastAsia="pt-BR"/>
            </w:rPr>
            <m:t xml:space="preserve"> x 100</m:t>
          </m:r>
        </m:oMath>
      </m:oMathPara>
    </w:p>
    <w:p w:rsidR="00810C89" w:rsidRDefault="00810C89" w:rsidP="00813DDC">
      <w:pPr>
        <w:spacing w:before="120" w:after="120"/>
        <w:ind w:firstLine="709"/>
        <w:contextualSpacing/>
        <w:jc w:val="both"/>
        <w:rPr>
          <w:lang w:eastAsia="pt-BR"/>
        </w:rPr>
      </w:pPr>
    </w:p>
    <w:p w:rsidR="00813DDC" w:rsidRPr="00813DDC" w:rsidRDefault="00813DDC" w:rsidP="00813DDC">
      <w:pPr>
        <w:spacing w:before="120" w:after="120"/>
        <w:ind w:firstLine="709"/>
        <w:contextualSpacing/>
        <w:jc w:val="both"/>
        <w:rPr>
          <w:lang w:eastAsia="pt-BR"/>
        </w:rPr>
      </w:pPr>
      <w:r w:rsidRPr="00813DDC">
        <w:rPr>
          <w:lang w:eastAsia="pt-BR"/>
        </w:rPr>
        <w:lastRenderedPageBreak/>
        <w:t>Em que:</w:t>
      </w:r>
    </w:p>
    <w:p w:rsidR="00813DDC" w:rsidRPr="00813DDC" w:rsidRDefault="00813DDC" w:rsidP="0066661F">
      <w:pPr>
        <w:numPr>
          <w:ilvl w:val="0"/>
          <w:numId w:val="27"/>
        </w:numPr>
        <w:jc w:val="both"/>
        <w:rPr>
          <w:i/>
          <w:lang w:eastAsia="pt-BR"/>
        </w:rPr>
      </w:pPr>
      <w:r w:rsidRPr="00813DDC">
        <w:rPr>
          <w:i/>
          <w:lang w:eastAsia="pt-BR"/>
        </w:rPr>
        <w:t>Idlg = Índice da destinação adequada dos lodos gerados na ETE (%).</w:t>
      </w:r>
    </w:p>
    <w:p w:rsidR="00813DDC" w:rsidRPr="00813DDC" w:rsidRDefault="00813DDC" w:rsidP="0066661F">
      <w:pPr>
        <w:numPr>
          <w:ilvl w:val="0"/>
          <w:numId w:val="27"/>
        </w:numPr>
        <w:jc w:val="both"/>
        <w:rPr>
          <w:i/>
          <w:lang w:eastAsia="pt-BR"/>
        </w:rPr>
      </w:pPr>
      <w:r w:rsidRPr="00813DDC">
        <w:rPr>
          <w:i/>
          <w:lang w:eastAsia="pt-BR"/>
        </w:rPr>
        <w:t>Volume de lodos tratados (m³/ano).</w:t>
      </w:r>
    </w:p>
    <w:p w:rsidR="00813DDC" w:rsidRPr="00813DDC" w:rsidRDefault="00813DDC" w:rsidP="0066661F">
      <w:pPr>
        <w:numPr>
          <w:ilvl w:val="0"/>
          <w:numId w:val="27"/>
        </w:numPr>
        <w:jc w:val="both"/>
        <w:rPr>
          <w:i/>
          <w:lang w:eastAsia="pt-BR"/>
        </w:rPr>
      </w:pPr>
      <w:r w:rsidRPr="00813DDC">
        <w:rPr>
          <w:i/>
          <w:lang w:eastAsia="pt-BR"/>
        </w:rPr>
        <w:t>Volume de lodos gerados (m³/ano).</w:t>
      </w:r>
    </w:p>
    <w:p w:rsidR="00813DDC" w:rsidRPr="00813DDC" w:rsidRDefault="00813DDC" w:rsidP="00813DDC">
      <w:pPr>
        <w:ind w:firstLine="708"/>
        <w:jc w:val="both"/>
        <w:rPr>
          <w:rFonts w:cs="Arial"/>
          <w:szCs w:val="24"/>
        </w:rPr>
      </w:pPr>
      <w:r w:rsidRPr="00813DDC">
        <w:rPr>
          <w:lang w:eastAsia="pt-BR"/>
        </w:rPr>
        <w:t xml:space="preserve">Ressalta-se que a periodicidade de medição ou aferição do parâmetro é mensal, portanto deve-se realizar um somatório anual para cada parâmetro: somatório Anual = (mês1 + mês2 + mês3 + mês4 + mês5 + mês6 + mês7 + mês8 + mês9 + mês10 + mês11 + mês12). </w:t>
      </w:r>
      <w:r w:rsidRPr="00813DDC">
        <w:rPr>
          <w:rFonts w:cs="Arial"/>
          <w:szCs w:val="24"/>
        </w:rPr>
        <w:t>A situação ideal é quando o indicador tiver valor igual a 100 %, o que indica que todo lodo gerado é tratado.</w:t>
      </w:r>
    </w:p>
    <w:p w:rsidR="00813DDC" w:rsidRPr="00813DDC" w:rsidRDefault="00813DDC" w:rsidP="00BC01B1">
      <w:pPr>
        <w:pStyle w:val="Ttulo4"/>
      </w:pPr>
      <w:bookmarkStart w:id="2238" w:name="_Toc453769369"/>
      <w:bookmarkStart w:id="2239" w:name="_Toc453771236"/>
      <w:bookmarkStart w:id="2240" w:name="_Toc453833784"/>
      <w:bookmarkStart w:id="2241" w:name="_Toc499019063"/>
      <w:bookmarkStart w:id="2242" w:name="_Toc499106796"/>
      <w:bookmarkStart w:id="2243" w:name="_Toc499107116"/>
      <w:bookmarkStart w:id="2244" w:name="_Toc499107936"/>
      <w:bookmarkStart w:id="2245" w:name="_Toc499108773"/>
      <w:bookmarkStart w:id="2246" w:name="_Toc499109598"/>
      <w:bookmarkStart w:id="2247" w:name="_Toc499109764"/>
      <w:bookmarkStart w:id="2248" w:name="_Toc499709970"/>
      <w:bookmarkStart w:id="2249" w:name="_Toc509935693"/>
      <w:r w:rsidRPr="00813DDC">
        <w:t>Índice de regulamentação ambiental do setor</w:t>
      </w:r>
      <w:bookmarkEnd w:id="2238"/>
      <w:bookmarkEnd w:id="2239"/>
      <w:bookmarkEnd w:id="2240"/>
      <w:bookmarkEnd w:id="2241"/>
      <w:bookmarkEnd w:id="2242"/>
      <w:bookmarkEnd w:id="2243"/>
      <w:bookmarkEnd w:id="2244"/>
      <w:bookmarkEnd w:id="2245"/>
      <w:bookmarkEnd w:id="2246"/>
      <w:bookmarkEnd w:id="2247"/>
      <w:bookmarkEnd w:id="2248"/>
      <w:bookmarkEnd w:id="2249"/>
    </w:p>
    <w:p w:rsidR="00813DDC" w:rsidRPr="00813DDC" w:rsidRDefault="001B481B" w:rsidP="00813DDC">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ra</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L</m:t>
                  </m:r>
                </m:e>
                <m:sub>
                  <m:r>
                    <w:rPr>
                      <w:rFonts w:ascii="Cambria Math" w:eastAsia="Times New Roman" w:hAnsi="Cambria Math" w:cs="Arial"/>
                      <w:sz w:val="22"/>
                      <w:lang w:eastAsia="pt-BR"/>
                    </w:rPr>
                    <m:t>val</m:t>
                  </m:r>
                </m:sub>
              </m:sSub>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L</m:t>
                  </m:r>
                </m:e>
                <m:sub>
                  <m:r>
                    <w:rPr>
                      <w:rFonts w:ascii="Cambria Math" w:eastAsia="Times New Roman" w:hAnsi="Cambria Math" w:cs="Arial"/>
                      <w:sz w:val="22"/>
                      <w:lang w:eastAsia="pt-BR"/>
                    </w:rPr>
                    <m:t>exig</m:t>
                  </m:r>
                </m:sub>
              </m:sSub>
            </m:den>
          </m:f>
          <m:r>
            <w:rPr>
              <w:rFonts w:ascii="Cambria Math" w:eastAsia="Times New Roman" w:hAnsi="Cambria Math" w:cs="Arial"/>
              <w:sz w:val="22"/>
              <w:lang w:eastAsia="pt-BR"/>
            </w:rPr>
            <m:t xml:space="preserve"> ×100</m:t>
          </m:r>
        </m:oMath>
      </m:oMathPara>
    </w:p>
    <w:p w:rsidR="00813DDC" w:rsidRPr="00813DDC" w:rsidRDefault="00813DDC" w:rsidP="00813DDC">
      <w:pPr>
        <w:spacing w:before="120" w:after="120"/>
        <w:ind w:firstLine="709"/>
        <w:contextualSpacing/>
        <w:jc w:val="both"/>
        <w:rPr>
          <w:rFonts w:cs="Arial"/>
          <w:szCs w:val="24"/>
        </w:rPr>
      </w:pPr>
    </w:p>
    <w:p w:rsidR="00813DDC" w:rsidRPr="00813DDC" w:rsidRDefault="00813DDC" w:rsidP="00813DDC">
      <w:pPr>
        <w:spacing w:before="120" w:after="120"/>
        <w:ind w:firstLine="709"/>
        <w:contextualSpacing/>
        <w:jc w:val="both"/>
        <w:rPr>
          <w:rFonts w:cs="Arial"/>
          <w:szCs w:val="24"/>
        </w:rPr>
      </w:pPr>
      <w:r w:rsidRPr="00813DDC">
        <w:rPr>
          <w:rFonts w:cs="Arial"/>
          <w:szCs w:val="24"/>
        </w:rPr>
        <w:t>Em que:</w:t>
      </w:r>
    </w:p>
    <w:p w:rsidR="00813DDC" w:rsidRPr="00813DDC" w:rsidRDefault="00813DDC" w:rsidP="0066661F">
      <w:pPr>
        <w:numPr>
          <w:ilvl w:val="0"/>
          <w:numId w:val="27"/>
        </w:numPr>
        <w:jc w:val="both"/>
        <w:rPr>
          <w:rFonts w:cs="Arial"/>
          <w:i/>
          <w:szCs w:val="24"/>
        </w:rPr>
      </w:pPr>
      <w:r w:rsidRPr="00813DDC">
        <w:rPr>
          <w:rFonts w:cs="Arial"/>
          <w:i/>
          <w:szCs w:val="24"/>
        </w:rPr>
        <w:t>I</w:t>
      </w:r>
      <w:r w:rsidRPr="00813DDC">
        <w:rPr>
          <w:rFonts w:cs="Arial"/>
          <w:i/>
          <w:szCs w:val="24"/>
          <w:vertAlign w:val="subscript"/>
        </w:rPr>
        <w:t>ra</w:t>
      </w:r>
      <w:r w:rsidRPr="00813DDC">
        <w:rPr>
          <w:rFonts w:cs="Arial"/>
          <w:i/>
          <w:szCs w:val="24"/>
        </w:rPr>
        <w:t xml:space="preserve"> = Índice de regulamentação ambiental do setor.</w:t>
      </w:r>
    </w:p>
    <w:p w:rsidR="00813DDC" w:rsidRPr="00813DDC" w:rsidRDefault="00813DDC" w:rsidP="0066661F">
      <w:pPr>
        <w:numPr>
          <w:ilvl w:val="0"/>
          <w:numId w:val="27"/>
        </w:numPr>
        <w:jc w:val="both"/>
        <w:rPr>
          <w:rFonts w:cs="Arial"/>
          <w:i/>
          <w:szCs w:val="24"/>
        </w:rPr>
      </w:pPr>
      <w:r w:rsidRPr="00813DDC">
        <w:rPr>
          <w:rFonts w:cs="Arial"/>
          <w:i/>
          <w:szCs w:val="24"/>
        </w:rPr>
        <w:t>L</w:t>
      </w:r>
      <w:r w:rsidRPr="00813DDC">
        <w:rPr>
          <w:rFonts w:cs="Arial"/>
          <w:i/>
          <w:szCs w:val="24"/>
          <w:vertAlign w:val="subscript"/>
        </w:rPr>
        <w:t>val</w:t>
      </w:r>
      <w:r w:rsidRPr="00813DDC">
        <w:rPr>
          <w:rFonts w:cs="Arial"/>
          <w:i/>
          <w:szCs w:val="24"/>
        </w:rPr>
        <w:t xml:space="preserve"> = número de licenças ambientais válidas.</w:t>
      </w:r>
    </w:p>
    <w:p w:rsidR="00813DDC" w:rsidRPr="00813DDC" w:rsidRDefault="00813DDC" w:rsidP="0066661F">
      <w:pPr>
        <w:numPr>
          <w:ilvl w:val="0"/>
          <w:numId w:val="27"/>
        </w:numPr>
        <w:jc w:val="both"/>
        <w:rPr>
          <w:rFonts w:cs="Arial"/>
          <w:i/>
          <w:szCs w:val="24"/>
        </w:rPr>
      </w:pPr>
      <w:r w:rsidRPr="00813DDC">
        <w:rPr>
          <w:rFonts w:cs="Arial"/>
          <w:i/>
          <w:szCs w:val="24"/>
        </w:rPr>
        <w:t>L</w:t>
      </w:r>
      <w:r w:rsidRPr="00813DDC">
        <w:rPr>
          <w:rFonts w:cs="Arial"/>
          <w:i/>
          <w:szCs w:val="24"/>
          <w:vertAlign w:val="subscript"/>
        </w:rPr>
        <w:t>exig</w:t>
      </w:r>
      <w:r w:rsidRPr="00813DDC">
        <w:rPr>
          <w:rFonts w:cs="Arial"/>
          <w:i/>
          <w:szCs w:val="24"/>
        </w:rPr>
        <w:t xml:space="preserve"> = número de licenças ambientais exigidas no âmbito do SES.</w:t>
      </w:r>
    </w:p>
    <w:p w:rsidR="00813DDC" w:rsidRPr="00813DDC" w:rsidRDefault="00813DDC" w:rsidP="00813DDC">
      <w:pPr>
        <w:spacing w:before="120" w:after="120"/>
        <w:ind w:firstLine="709"/>
        <w:contextualSpacing/>
        <w:jc w:val="both"/>
        <w:rPr>
          <w:rFonts w:cs="Arial"/>
          <w:szCs w:val="24"/>
        </w:rPr>
      </w:pPr>
      <w:r w:rsidRPr="00813DDC">
        <w:rPr>
          <w:rFonts w:cs="Arial"/>
          <w:szCs w:val="24"/>
        </w:rPr>
        <w:t>Este Indicador mostra a porcentagem de licenças ambientais que estão regulares junto ao IGAM e demais órgãos competentes, no âmbito do SES. Possibilita avaliar se o SES encontra-se em conformidade com a legislação ambiental a ele aplicável (nos âmbitos municipal, estadual e federal). A situação ideal é quando o indicador tiver valor igual a 100 %.</w:t>
      </w:r>
    </w:p>
    <w:p w:rsidR="00813DDC" w:rsidRPr="00813DDC" w:rsidRDefault="00813DDC" w:rsidP="00BC01B1">
      <w:pPr>
        <w:pStyle w:val="Ttulo3"/>
      </w:pPr>
      <w:bookmarkStart w:id="2250" w:name="_Toc453769370"/>
      <w:bookmarkStart w:id="2251" w:name="_Toc453771237"/>
      <w:bookmarkStart w:id="2252" w:name="_Toc453833785"/>
      <w:bookmarkStart w:id="2253" w:name="_Toc499019064"/>
      <w:bookmarkStart w:id="2254" w:name="_Toc499106797"/>
      <w:bookmarkStart w:id="2255" w:name="_Toc499107117"/>
      <w:bookmarkStart w:id="2256" w:name="_Toc499107937"/>
      <w:bookmarkStart w:id="2257" w:name="_Toc499108774"/>
      <w:bookmarkStart w:id="2258" w:name="_Toc499109599"/>
      <w:bookmarkStart w:id="2259" w:name="_Toc499109765"/>
      <w:bookmarkStart w:id="2260" w:name="_Toc499709971"/>
      <w:bookmarkStart w:id="2261" w:name="_Toc509935694"/>
      <w:r w:rsidRPr="00813DDC">
        <w:t>Indicadores para o objetivo 5</w:t>
      </w:r>
      <w:bookmarkEnd w:id="2250"/>
      <w:bookmarkEnd w:id="2251"/>
      <w:bookmarkEnd w:id="2252"/>
      <w:bookmarkEnd w:id="2253"/>
      <w:bookmarkEnd w:id="2254"/>
      <w:bookmarkEnd w:id="2255"/>
      <w:bookmarkEnd w:id="2256"/>
      <w:bookmarkEnd w:id="2257"/>
      <w:bookmarkEnd w:id="2258"/>
      <w:bookmarkEnd w:id="2259"/>
      <w:bookmarkEnd w:id="2260"/>
      <w:bookmarkEnd w:id="2261"/>
    </w:p>
    <w:p w:rsidR="00813DDC" w:rsidRPr="00813DDC" w:rsidRDefault="00813DDC" w:rsidP="00BC01B1">
      <w:pPr>
        <w:pStyle w:val="Ttulo4"/>
      </w:pPr>
      <w:bookmarkStart w:id="2262" w:name="_Toc453769371"/>
      <w:bookmarkStart w:id="2263" w:name="_Toc453771238"/>
      <w:bookmarkStart w:id="2264" w:name="_Toc453833786"/>
      <w:bookmarkStart w:id="2265" w:name="_Toc499019065"/>
      <w:bookmarkStart w:id="2266" w:name="_Toc499106798"/>
      <w:bookmarkStart w:id="2267" w:name="_Toc499107118"/>
      <w:bookmarkStart w:id="2268" w:name="_Toc499107938"/>
      <w:bookmarkStart w:id="2269" w:name="_Toc499108775"/>
      <w:bookmarkStart w:id="2270" w:name="_Toc499109600"/>
      <w:bookmarkStart w:id="2271" w:name="_Toc499109766"/>
      <w:bookmarkStart w:id="2272" w:name="_Toc499709972"/>
      <w:bookmarkStart w:id="2273" w:name="_Toc509935695"/>
      <w:r w:rsidRPr="00813DDC">
        <w:t>Índice de respostas satisfatórias à pesquisa de satisfação</w:t>
      </w:r>
      <w:bookmarkEnd w:id="2262"/>
      <w:bookmarkEnd w:id="2263"/>
      <w:bookmarkEnd w:id="2264"/>
      <w:bookmarkEnd w:id="2265"/>
      <w:bookmarkEnd w:id="2266"/>
      <w:bookmarkEnd w:id="2267"/>
      <w:bookmarkEnd w:id="2268"/>
      <w:bookmarkEnd w:id="2269"/>
      <w:bookmarkEnd w:id="2270"/>
      <w:bookmarkEnd w:id="2271"/>
      <w:bookmarkEnd w:id="2272"/>
      <w:bookmarkEnd w:id="2273"/>
    </w:p>
    <w:p w:rsidR="00813DDC" w:rsidRPr="00813DDC" w:rsidRDefault="00813DDC" w:rsidP="00813DDC">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IRS=</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n° de respostas satisfatórias</m:t>
              </m:r>
            </m:num>
            <m:den>
              <m:r>
                <w:rPr>
                  <w:rFonts w:ascii="Cambria Math" w:eastAsia="Times New Roman" w:hAnsi="Cambria Math" w:cs="Arial"/>
                  <w:sz w:val="22"/>
                  <w:lang w:eastAsia="pt-BR"/>
                </w:rPr>
                <m:t xml:space="preserve"> n° total de respostas</m:t>
              </m:r>
            </m:den>
          </m:f>
          <m:r>
            <w:rPr>
              <w:rFonts w:ascii="Cambria Math" w:eastAsia="Times New Roman" w:hAnsi="Cambria Math" w:cs="Arial"/>
              <w:sz w:val="22"/>
              <w:lang w:eastAsia="pt-BR"/>
            </w:rPr>
            <m:t xml:space="preserve"> x 100</m:t>
          </m:r>
        </m:oMath>
      </m:oMathPara>
    </w:p>
    <w:p w:rsidR="00813DDC" w:rsidRPr="00813DDC" w:rsidRDefault="00813DDC" w:rsidP="00813DDC">
      <w:pPr>
        <w:spacing w:before="120" w:after="120"/>
        <w:ind w:firstLine="709"/>
        <w:contextualSpacing/>
        <w:jc w:val="both"/>
        <w:rPr>
          <w:rFonts w:cs="Arial"/>
          <w:szCs w:val="24"/>
        </w:rPr>
      </w:pPr>
      <w:r w:rsidRPr="00813DDC">
        <w:rPr>
          <w:rFonts w:cs="Arial"/>
          <w:szCs w:val="24"/>
        </w:rPr>
        <w:t>Em que:</w:t>
      </w:r>
    </w:p>
    <w:p w:rsidR="00813DDC" w:rsidRPr="00813DDC" w:rsidRDefault="00813DDC" w:rsidP="0066661F">
      <w:pPr>
        <w:numPr>
          <w:ilvl w:val="0"/>
          <w:numId w:val="27"/>
        </w:numPr>
        <w:jc w:val="both"/>
        <w:rPr>
          <w:rFonts w:cs="Arial"/>
          <w:i/>
          <w:szCs w:val="24"/>
        </w:rPr>
      </w:pPr>
      <w:r w:rsidRPr="00813DDC">
        <w:rPr>
          <w:rFonts w:cs="Arial"/>
          <w:i/>
          <w:szCs w:val="24"/>
        </w:rPr>
        <w:t>IRS = Índice de respostas satisfatórias à pesquisa de satisfação (%).</w:t>
      </w:r>
    </w:p>
    <w:p w:rsidR="00813DDC" w:rsidRPr="00813DDC" w:rsidRDefault="00813DDC" w:rsidP="0066661F">
      <w:pPr>
        <w:numPr>
          <w:ilvl w:val="0"/>
          <w:numId w:val="27"/>
        </w:numPr>
        <w:jc w:val="both"/>
        <w:rPr>
          <w:rFonts w:cs="Arial"/>
          <w:i/>
          <w:szCs w:val="24"/>
        </w:rPr>
      </w:pPr>
      <w:r w:rsidRPr="00813DDC">
        <w:rPr>
          <w:rFonts w:cs="Arial"/>
          <w:i/>
          <w:szCs w:val="24"/>
        </w:rPr>
        <w:t>N° de respostas satisfatórias (unid.).</w:t>
      </w:r>
    </w:p>
    <w:p w:rsidR="00813DDC" w:rsidRPr="00813DDC" w:rsidRDefault="00813DDC" w:rsidP="0066661F">
      <w:pPr>
        <w:numPr>
          <w:ilvl w:val="0"/>
          <w:numId w:val="27"/>
        </w:numPr>
        <w:jc w:val="both"/>
        <w:rPr>
          <w:rFonts w:cs="Arial"/>
          <w:i/>
          <w:szCs w:val="24"/>
        </w:rPr>
      </w:pPr>
      <w:r w:rsidRPr="00813DDC">
        <w:rPr>
          <w:rFonts w:cs="Arial"/>
          <w:i/>
          <w:szCs w:val="24"/>
        </w:rPr>
        <w:t>N° total de respostas (unid.).</w:t>
      </w:r>
    </w:p>
    <w:p w:rsidR="00813DDC" w:rsidRPr="00813DDC" w:rsidRDefault="00813DDC" w:rsidP="00813DDC">
      <w:pPr>
        <w:spacing w:before="120" w:after="120"/>
        <w:ind w:firstLine="709"/>
        <w:contextualSpacing/>
        <w:jc w:val="both"/>
        <w:rPr>
          <w:rFonts w:cs="Arial"/>
          <w:szCs w:val="24"/>
        </w:rPr>
      </w:pPr>
      <w:r w:rsidRPr="00813DDC">
        <w:rPr>
          <w:rFonts w:cs="Arial"/>
          <w:szCs w:val="24"/>
        </w:rPr>
        <w:lastRenderedPageBreak/>
        <w:t>Este indicador fornece dados quantitativos acerca da percepção da população em relação aos setores do saneamento básico e da prestação de serviços, e auxiliará no monitoramento do alcance do objetivo de “garantir canais de comunicação com a sociedade e mobilização social”, bem como possibilitar a realização de pesquisas e questionários presenciais e/ou virtuais por meio de plataformas eletrônicas.</w:t>
      </w:r>
    </w:p>
    <w:p w:rsidR="00813DDC" w:rsidRPr="00813DDC" w:rsidRDefault="00813DDC" w:rsidP="00BC01B1">
      <w:pPr>
        <w:pStyle w:val="Ttulo4"/>
      </w:pPr>
      <w:bookmarkStart w:id="2274" w:name="_Toc453769372"/>
      <w:bookmarkStart w:id="2275" w:name="_Toc453771239"/>
      <w:bookmarkStart w:id="2276" w:name="_Toc453833787"/>
      <w:bookmarkStart w:id="2277" w:name="_Toc499019066"/>
      <w:bookmarkStart w:id="2278" w:name="_Toc499106799"/>
      <w:bookmarkStart w:id="2279" w:name="_Toc499107119"/>
      <w:bookmarkStart w:id="2280" w:name="_Toc499107939"/>
      <w:bookmarkStart w:id="2281" w:name="_Toc499108776"/>
      <w:bookmarkStart w:id="2282" w:name="_Toc499109601"/>
      <w:bookmarkStart w:id="2283" w:name="_Toc499109767"/>
      <w:bookmarkStart w:id="2284" w:name="_Toc499709973"/>
      <w:bookmarkStart w:id="2285" w:name="_Toc509935696"/>
      <w:r w:rsidRPr="00813DDC">
        <w:t>Evolução do número de eventos oficiais realizados por ano no município, que envolvam temas de saneamento básico</w:t>
      </w:r>
      <w:bookmarkEnd w:id="2274"/>
      <w:bookmarkEnd w:id="2275"/>
      <w:bookmarkEnd w:id="2276"/>
      <w:bookmarkEnd w:id="2277"/>
      <w:bookmarkEnd w:id="2278"/>
      <w:bookmarkEnd w:id="2279"/>
      <w:bookmarkEnd w:id="2280"/>
      <w:bookmarkEnd w:id="2281"/>
      <w:bookmarkEnd w:id="2282"/>
      <w:bookmarkEnd w:id="2283"/>
      <w:bookmarkEnd w:id="2284"/>
      <w:bookmarkEnd w:id="2285"/>
    </w:p>
    <w:p w:rsidR="00813DDC" w:rsidRPr="00813DDC" w:rsidRDefault="00813DDC" w:rsidP="00813DDC">
      <w:pPr>
        <w:spacing w:before="120" w:after="120"/>
        <w:ind w:firstLine="709"/>
        <w:contextualSpacing/>
        <w:jc w:val="both"/>
        <w:rPr>
          <w:rFonts w:cs="Arial"/>
          <w:szCs w:val="24"/>
        </w:rPr>
      </w:pPr>
      <w:r w:rsidRPr="00813DDC">
        <w:rPr>
          <w:rFonts w:cs="Arial"/>
          <w:szCs w:val="24"/>
        </w:rPr>
        <w:t>Este indicador fornece dados quantitativos acerca das atividades relacionadas com a promoção de Educação Ambiental realizadas pelos diferentes agentes sociais. Essas atividades devem envolver temas como esgotamento sanitário, água, conservação dos recursos naturais visando à sensibilização e conscientização ambiental da população do município de Córrego Novo, bem como ampliar a percepção da mesma em relação aos setores do Saneamento Básico e à prestação de serviços. O indicador auxiliará ainda no monitoramento do alcance do objetivo de “garantir canais de comunicação com a sociedade e promover ações continuadas em educação ambiental”.</w:t>
      </w:r>
    </w:p>
    <w:p w:rsidR="00813DDC" w:rsidRPr="00813DDC" w:rsidRDefault="00813DDC" w:rsidP="00BC01B1">
      <w:pPr>
        <w:pStyle w:val="SHS-Ttulo02"/>
      </w:pPr>
      <w:bookmarkStart w:id="2286" w:name="_Toc499019067"/>
      <w:bookmarkStart w:id="2287" w:name="_Toc499106800"/>
      <w:bookmarkStart w:id="2288" w:name="_Toc499107120"/>
      <w:bookmarkStart w:id="2289" w:name="_Toc499107940"/>
      <w:bookmarkStart w:id="2290" w:name="_Toc499108777"/>
      <w:bookmarkStart w:id="2291" w:name="_Toc499109602"/>
      <w:bookmarkStart w:id="2292" w:name="_Toc499109768"/>
      <w:bookmarkStart w:id="2293" w:name="_Toc499709974"/>
      <w:bookmarkStart w:id="2294" w:name="_Toc509935697"/>
      <w:r w:rsidRPr="00813DDC">
        <w:t xml:space="preserve">Sistema de Drenagem </w:t>
      </w:r>
      <w:bookmarkEnd w:id="1730"/>
      <w:r w:rsidRPr="00813DDC">
        <w:t>Urbana e Manejo de Águas Pluviais</w:t>
      </w:r>
      <w:bookmarkEnd w:id="1731"/>
      <w:bookmarkEnd w:id="1732"/>
      <w:bookmarkEnd w:id="1733"/>
      <w:bookmarkEnd w:id="2286"/>
      <w:bookmarkEnd w:id="2287"/>
      <w:bookmarkEnd w:id="2288"/>
      <w:bookmarkEnd w:id="2289"/>
      <w:bookmarkEnd w:id="2290"/>
      <w:bookmarkEnd w:id="2291"/>
      <w:bookmarkEnd w:id="2292"/>
      <w:bookmarkEnd w:id="2293"/>
      <w:bookmarkEnd w:id="2294"/>
    </w:p>
    <w:p w:rsidR="00813DDC" w:rsidRPr="00813DDC" w:rsidRDefault="00813DDC" w:rsidP="00813DDC">
      <w:pPr>
        <w:spacing w:before="120" w:after="120"/>
        <w:ind w:firstLine="709"/>
        <w:contextualSpacing/>
        <w:jc w:val="both"/>
        <w:rPr>
          <w:rFonts w:cs="Arial"/>
          <w:szCs w:val="24"/>
          <w:lang w:eastAsia="pt-BR"/>
        </w:rPr>
      </w:pPr>
      <w:r w:rsidRPr="00813DDC">
        <w:rPr>
          <w:rFonts w:cs="Arial"/>
          <w:szCs w:val="24"/>
          <w:lang w:eastAsia="pt-BR"/>
        </w:rPr>
        <w:t>Para cada objetivo foram adotados um ou mais indicadores que servirão para avaliar se as metas estabelecidas estão sendo atingidas. A evolução do PMSB será avaliada através do comportamento dos indicadores estabelecidos para acompanhar cada objetivo adotado.</w:t>
      </w:r>
    </w:p>
    <w:p w:rsidR="00813DDC" w:rsidRPr="00813DDC" w:rsidRDefault="00813DDC" w:rsidP="0066661F">
      <w:pPr>
        <w:numPr>
          <w:ilvl w:val="0"/>
          <w:numId w:val="101"/>
        </w:numPr>
        <w:spacing w:line="336" w:lineRule="auto"/>
        <w:ind w:left="2127" w:hanging="1560"/>
        <w:contextualSpacing/>
        <w:jc w:val="both"/>
        <w:rPr>
          <w:rFonts w:eastAsia="Times New Roman"/>
          <w:color w:val="000000"/>
          <w:szCs w:val="24"/>
        </w:rPr>
      </w:pPr>
      <w:r w:rsidRPr="00813DDC">
        <w:rPr>
          <w:rFonts w:eastAsia="Times New Roman"/>
          <w:color w:val="000000"/>
          <w:szCs w:val="24"/>
        </w:rPr>
        <w:t>Manter o município livre de inundações e diminuir a frequência de alagamentos causados por insuficiências e deficiências nas galerias e obras de drenagem.</w:t>
      </w:r>
    </w:p>
    <w:p w:rsidR="00813DDC" w:rsidRPr="00813DDC" w:rsidRDefault="00813DDC" w:rsidP="0066661F">
      <w:pPr>
        <w:numPr>
          <w:ilvl w:val="0"/>
          <w:numId w:val="98"/>
        </w:numPr>
        <w:ind w:left="2410"/>
        <w:contextualSpacing/>
        <w:jc w:val="both"/>
        <w:rPr>
          <w:rFonts w:eastAsia="Times New Roman"/>
          <w:szCs w:val="24"/>
        </w:rPr>
      </w:pPr>
      <w:r w:rsidRPr="00813DDC">
        <w:rPr>
          <w:rFonts w:eastAsia="Times New Roman"/>
          <w:szCs w:val="24"/>
        </w:rPr>
        <w:t>Indicadores</w:t>
      </w:r>
    </w:p>
    <w:p w:rsidR="00813DDC" w:rsidRPr="00813DDC" w:rsidRDefault="00813DDC" w:rsidP="0066661F">
      <w:pPr>
        <w:numPr>
          <w:ilvl w:val="0"/>
          <w:numId w:val="97"/>
        </w:numPr>
        <w:contextualSpacing/>
        <w:jc w:val="both"/>
        <w:rPr>
          <w:rFonts w:eastAsia="Times New Roman"/>
          <w:szCs w:val="24"/>
        </w:rPr>
      </w:pPr>
      <w:r w:rsidRPr="00813DDC">
        <w:rPr>
          <w:rFonts w:eastAsia="Times New Roman"/>
          <w:i/>
          <w:szCs w:val="24"/>
        </w:rPr>
        <w:t>I</w:t>
      </w:r>
      <w:r w:rsidRPr="00813DDC">
        <w:rPr>
          <w:rFonts w:eastAsia="Times New Roman"/>
          <w:i/>
          <w:szCs w:val="24"/>
          <w:vertAlign w:val="subscript"/>
        </w:rPr>
        <w:t>PA</w:t>
      </w:r>
      <w:r w:rsidRPr="00813DDC">
        <w:rPr>
          <w:rFonts w:eastAsia="Times New Roman"/>
          <w:szCs w:val="24"/>
        </w:rPr>
        <w:t xml:space="preserve"> - Índice de pontos atingidos por alagamentos.</w:t>
      </w:r>
    </w:p>
    <w:p w:rsidR="00813DDC" w:rsidRPr="00813DDC" w:rsidRDefault="00813DDC" w:rsidP="0066661F">
      <w:pPr>
        <w:numPr>
          <w:ilvl w:val="0"/>
          <w:numId w:val="97"/>
        </w:numPr>
        <w:contextualSpacing/>
        <w:jc w:val="both"/>
        <w:rPr>
          <w:rFonts w:eastAsia="Times New Roman"/>
          <w:szCs w:val="24"/>
        </w:rPr>
      </w:pPr>
      <w:r w:rsidRPr="00813DDC">
        <w:rPr>
          <w:rFonts w:eastAsia="Times New Roman"/>
          <w:i/>
          <w:szCs w:val="24"/>
        </w:rPr>
        <w:t>IN021</w:t>
      </w:r>
      <w:r w:rsidRPr="00813DDC">
        <w:rPr>
          <w:rFonts w:eastAsia="Times New Roman"/>
          <w:szCs w:val="24"/>
        </w:rPr>
        <w:t xml:space="preserve"> - Taxa de Cobertura do Sistema de Macrodrenagem na Área Urbana do Município.</w:t>
      </w:r>
    </w:p>
    <w:p w:rsidR="00813DDC" w:rsidRPr="00813DDC" w:rsidRDefault="00813DDC" w:rsidP="0066661F">
      <w:pPr>
        <w:numPr>
          <w:ilvl w:val="0"/>
          <w:numId w:val="97"/>
        </w:numPr>
        <w:contextualSpacing/>
        <w:jc w:val="both"/>
        <w:rPr>
          <w:rFonts w:eastAsia="Times New Roman"/>
          <w:szCs w:val="24"/>
        </w:rPr>
      </w:pPr>
      <w:r w:rsidRPr="00813DDC">
        <w:rPr>
          <w:rFonts w:eastAsia="Times New Roman"/>
          <w:i/>
          <w:szCs w:val="24"/>
        </w:rPr>
        <w:t>IN040</w:t>
      </w:r>
      <w:r w:rsidRPr="00813DDC">
        <w:rPr>
          <w:rFonts w:eastAsia="Times New Roman"/>
          <w:szCs w:val="24"/>
        </w:rPr>
        <w:t xml:space="preserve"> - </w:t>
      </w:r>
      <w:r w:rsidRPr="00813DDC">
        <w:rPr>
          <w:rFonts w:eastAsia="Times New Roman"/>
          <w:szCs w:val="20"/>
        </w:rPr>
        <w:t>Parcela de Domicílios em Situação de Risco de Inundação.</w:t>
      </w:r>
    </w:p>
    <w:p w:rsidR="00813DDC" w:rsidRPr="00813DDC" w:rsidRDefault="00813DDC" w:rsidP="0066661F">
      <w:pPr>
        <w:numPr>
          <w:ilvl w:val="0"/>
          <w:numId w:val="97"/>
        </w:numPr>
        <w:contextualSpacing/>
        <w:jc w:val="both"/>
        <w:rPr>
          <w:rFonts w:eastAsia="Times New Roman"/>
          <w:szCs w:val="24"/>
        </w:rPr>
      </w:pPr>
      <w:r w:rsidRPr="00813DDC">
        <w:rPr>
          <w:rFonts w:eastAsia="Times New Roman"/>
          <w:i/>
          <w:szCs w:val="24"/>
        </w:rPr>
        <w:lastRenderedPageBreak/>
        <w:t>IN041</w:t>
      </w:r>
      <w:r w:rsidRPr="00813DDC">
        <w:rPr>
          <w:rFonts w:eastAsia="Times New Roman"/>
          <w:i/>
          <w:szCs w:val="24"/>
          <w:vertAlign w:val="subscript"/>
        </w:rPr>
        <w:t>i -</w:t>
      </w:r>
      <w:r w:rsidRPr="00813DDC">
        <w:rPr>
          <w:rFonts w:eastAsia="Times New Roman"/>
          <w:szCs w:val="24"/>
        </w:rPr>
        <w:t xml:space="preserve"> Parcela da População Impactada por inundações.</w:t>
      </w:r>
    </w:p>
    <w:p w:rsidR="00813DDC" w:rsidRPr="00813DDC" w:rsidRDefault="00813DDC" w:rsidP="0066661F">
      <w:pPr>
        <w:numPr>
          <w:ilvl w:val="0"/>
          <w:numId w:val="101"/>
        </w:numPr>
        <w:spacing w:line="336" w:lineRule="auto"/>
        <w:ind w:left="2127" w:hanging="1560"/>
        <w:contextualSpacing/>
        <w:jc w:val="both"/>
        <w:rPr>
          <w:rFonts w:eastAsia="Times New Roman"/>
          <w:color w:val="000000"/>
          <w:szCs w:val="24"/>
        </w:rPr>
      </w:pPr>
      <w:r w:rsidRPr="00813DDC">
        <w:rPr>
          <w:rFonts w:eastAsia="Times New Roman"/>
          <w:color w:val="000000"/>
          <w:szCs w:val="24"/>
        </w:rPr>
        <w:t>Desestimular a ocupação de áreas susceptíveis a processos erosivos e promover a desocupação em áreas de risco.</w:t>
      </w:r>
    </w:p>
    <w:p w:rsidR="00813DDC" w:rsidRPr="00813DDC" w:rsidRDefault="00813DDC" w:rsidP="0066661F">
      <w:pPr>
        <w:numPr>
          <w:ilvl w:val="0"/>
          <w:numId w:val="98"/>
        </w:numPr>
        <w:spacing w:line="336" w:lineRule="auto"/>
        <w:ind w:left="2410"/>
        <w:contextualSpacing/>
        <w:jc w:val="both"/>
        <w:rPr>
          <w:rFonts w:eastAsia="Times New Roman"/>
          <w:szCs w:val="24"/>
        </w:rPr>
      </w:pPr>
      <w:r w:rsidRPr="00813DDC">
        <w:rPr>
          <w:rFonts w:eastAsia="Times New Roman"/>
          <w:szCs w:val="24"/>
        </w:rPr>
        <w:t>Indicadores</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i/>
          <w:color w:val="000000"/>
          <w:szCs w:val="24"/>
        </w:rPr>
        <w:t>IN041</w:t>
      </w:r>
      <w:r w:rsidRPr="00813DDC">
        <w:rPr>
          <w:rFonts w:eastAsia="Times New Roman"/>
          <w:i/>
          <w:color w:val="000000"/>
          <w:szCs w:val="24"/>
          <w:vertAlign w:val="subscript"/>
        </w:rPr>
        <w:t>e</w:t>
      </w:r>
      <w:r w:rsidRPr="00813DDC">
        <w:rPr>
          <w:rFonts w:eastAsia="Times New Roman"/>
          <w:color w:val="000000"/>
          <w:szCs w:val="24"/>
          <w:vertAlign w:val="subscript"/>
        </w:rPr>
        <w:t xml:space="preserve"> </w:t>
      </w:r>
      <w:r w:rsidRPr="00813DDC">
        <w:rPr>
          <w:rFonts w:eastAsia="Times New Roman"/>
          <w:color w:val="000000"/>
          <w:szCs w:val="24"/>
        </w:rPr>
        <w:t>- Parcela da População Impactada por Escorregamento.</w:t>
      </w:r>
    </w:p>
    <w:p w:rsidR="00813DDC" w:rsidRPr="00813DDC" w:rsidRDefault="00813DDC" w:rsidP="0066661F">
      <w:pPr>
        <w:numPr>
          <w:ilvl w:val="0"/>
          <w:numId w:val="101"/>
        </w:numPr>
        <w:spacing w:line="336" w:lineRule="auto"/>
        <w:ind w:left="2127" w:hanging="1560"/>
        <w:contextualSpacing/>
        <w:jc w:val="both"/>
        <w:rPr>
          <w:rFonts w:eastAsia="Times New Roman"/>
          <w:color w:val="000000"/>
          <w:szCs w:val="24"/>
        </w:rPr>
      </w:pPr>
      <w:r w:rsidRPr="00813DDC">
        <w:rPr>
          <w:rFonts w:eastAsia="Times New Roman"/>
          <w:color w:val="000000"/>
          <w:szCs w:val="24"/>
        </w:rPr>
        <w:t>Planejar o uso e ocupação da bacia de forma adequada e promover a recuperação e revitalização de APPs e áreas verdes.</w:t>
      </w:r>
    </w:p>
    <w:p w:rsidR="00813DDC" w:rsidRPr="00813DDC" w:rsidRDefault="00813DDC" w:rsidP="0066661F">
      <w:pPr>
        <w:numPr>
          <w:ilvl w:val="0"/>
          <w:numId w:val="98"/>
        </w:numPr>
        <w:spacing w:line="336" w:lineRule="auto"/>
        <w:ind w:left="2410"/>
        <w:contextualSpacing/>
        <w:jc w:val="both"/>
        <w:rPr>
          <w:rFonts w:eastAsia="Times New Roman"/>
          <w:szCs w:val="24"/>
        </w:rPr>
      </w:pPr>
      <w:r w:rsidRPr="00813DDC">
        <w:rPr>
          <w:rFonts w:eastAsia="Times New Roman"/>
          <w:szCs w:val="24"/>
        </w:rPr>
        <w:t>Indicadores</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s="Arial"/>
          <w:i/>
          <w:szCs w:val="24"/>
        </w:rPr>
        <w:t>APPpres</w:t>
      </w:r>
      <w:r w:rsidRPr="00813DDC">
        <w:rPr>
          <w:rFonts w:eastAsia="Times New Roman"/>
          <w:color w:val="000000"/>
          <w:szCs w:val="24"/>
        </w:rPr>
        <w:t xml:space="preserve"> - Percentual de APPs de margens de cursos d’água e nascentes preservadas. </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s="Arial"/>
          <w:i/>
          <w:szCs w:val="24"/>
        </w:rPr>
        <w:t>I</w:t>
      </w:r>
      <w:r w:rsidRPr="00813DDC">
        <w:rPr>
          <w:rFonts w:eastAsia="Times New Roman" w:cs="Arial"/>
          <w:i/>
          <w:szCs w:val="24"/>
          <w:vertAlign w:val="subscript"/>
        </w:rPr>
        <w:t>AImp</w:t>
      </w:r>
      <w:r w:rsidRPr="00813DDC">
        <w:rPr>
          <w:rFonts w:eastAsia="Times New Roman"/>
          <w:color w:val="000000"/>
          <w:szCs w:val="24"/>
        </w:rPr>
        <w:t xml:space="preserve"> - Percentual de áreas impermeabilizadas.</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s="Arial"/>
          <w:i/>
          <w:szCs w:val="24"/>
        </w:rPr>
        <w:t>IAVh</w:t>
      </w:r>
      <w:r w:rsidRPr="00813DDC">
        <w:rPr>
          <w:rFonts w:eastAsia="Times New Roman"/>
          <w:color w:val="000000"/>
          <w:szCs w:val="24"/>
        </w:rPr>
        <w:t xml:space="preserve"> - Índice de áreas verdes por habitantes</w:t>
      </w:r>
    </w:p>
    <w:p w:rsidR="00813DDC" w:rsidRPr="00813DDC" w:rsidRDefault="00813DDC" w:rsidP="0066661F">
      <w:pPr>
        <w:numPr>
          <w:ilvl w:val="0"/>
          <w:numId w:val="101"/>
        </w:numPr>
        <w:spacing w:line="336" w:lineRule="auto"/>
        <w:ind w:left="2127" w:hanging="1560"/>
        <w:contextualSpacing/>
        <w:jc w:val="both"/>
        <w:rPr>
          <w:rFonts w:eastAsia="Times New Roman"/>
          <w:color w:val="000000"/>
          <w:szCs w:val="24"/>
        </w:rPr>
      </w:pPr>
      <w:r w:rsidRPr="00813DDC">
        <w:rPr>
          <w:rFonts w:eastAsia="Times New Roman"/>
          <w:szCs w:val="24"/>
        </w:rPr>
        <w:t>Implementar para o SDU uma gestão eficiente no que concerne aos aspectos administrativos, operacionais, financeiros, de planejamento estratégico e de sustentabilidade</w:t>
      </w:r>
      <w:r w:rsidRPr="00813DDC">
        <w:rPr>
          <w:rFonts w:eastAsia="Times New Roman"/>
          <w:color w:val="000000"/>
          <w:szCs w:val="24"/>
        </w:rPr>
        <w:t>.</w:t>
      </w:r>
    </w:p>
    <w:p w:rsidR="00813DDC" w:rsidRPr="00813DDC" w:rsidRDefault="00813DDC" w:rsidP="0066661F">
      <w:pPr>
        <w:numPr>
          <w:ilvl w:val="0"/>
          <w:numId w:val="98"/>
        </w:numPr>
        <w:spacing w:line="336" w:lineRule="auto"/>
        <w:ind w:left="2410"/>
        <w:contextualSpacing/>
        <w:jc w:val="both"/>
        <w:rPr>
          <w:rFonts w:eastAsia="Times New Roman"/>
          <w:szCs w:val="24"/>
        </w:rPr>
      </w:pPr>
      <w:r w:rsidRPr="00813DDC">
        <w:rPr>
          <w:rFonts w:eastAsia="Times New Roman"/>
          <w:szCs w:val="24"/>
        </w:rPr>
        <w:t>Indicadores</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s="Arial"/>
          <w:i/>
          <w:szCs w:val="24"/>
        </w:rPr>
        <w:t>IA</w:t>
      </w:r>
      <w:r w:rsidRPr="00813DDC">
        <w:rPr>
          <w:rFonts w:eastAsia="Times New Roman" w:cs="Arial"/>
          <w:i/>
          <w:szCs w:val="24"/>
          <w:vertAlign w:val="subscript"/>
        </w:rPr>
        <w:t>SDU</w:t>
      </w:r>
      <w:r w:rsidRPr="00813DDC">
        <w:rPr>
          <w:rFonts w:eastAsia="Times New Roman"/>
          <w:color w:val="000000"/>
          <w:szCs w:val="24"/>
        </w:rPr>
        <w:t xml:space="preserve"> - Índice de atendimento às ações propostas para o SDU.</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s="Arial"/>
          <w:i/>
          <w:szCs w:val="24"/>
        </w:rPr>
        <w:t>I</w:t>
      </w:r>
      <w:r w:rsidRPr="00813DDC">
        <w:rPr>
          <w:rFonts w:eastAsia="Times New Roman" w:cs="Arial"/>
          <w:i/>
          <w:szCs w:val="24"/>
          <w:vertAlign w:val="subscript"/>
        </w:rPr>
        <w:t>cdren</w:t>
      </w:r>
      <w:r w:rsidRPr="00813DDC">
        <w:rPr>
          <w:rFonts w:eastAsia="Times New Roman"/>
          <w:color w:val="000000"/>
          <w:szCs w:val="24"/>
        </w:rPr>
        <w:t xml:space="preserve"> - Índice de cadastro do sistema de drenagem urbana</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s="Arial"/>
          <w:i/>
          <w:szCs w:val="24"/>
        </w:rPr>
        <w:t>D</w:t>
      </w:r>
      <w:r w:rsidRPr="00813DDC">
        <w:rPr>
          <w:rFonts w:eastAsia="Times New Roman" w:cs="Arial"/>
          <w:i/>
          <w:szCs w:val="24"/>
          <w:vertAlign w:val="subscript"/>
        </w:rPr>
        <w:t>média</w:t>
      </w:r>
      <w:r w:rsidRPr="00813DDC">
        <w:rPr>
          <w:rFonts w:eastAsia="Times New Roman"/>
          <w:color w:val="000000"/>
          <w:szCs w:val="24"/>
        </w:rPr>
        <w:t xml:space="preserve"> - Duração média dos reparos na rede de microdrenagem, desde a solicitação do usuário.</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s="Arial"/>
          <w:i/>
          <w:szCs w:val="24"/>
        </w:rPr>
        <w:t>I</w:t>
      </w:r>
      <w:r w:rsidRPr="00813DDC">
        <w:rPr>
          <w:rFonts w:eastAsia="Times New Roman" w:cs="Arial"/>
          <w:i/>
          <w:szCs w:val="24"/>
          <w:vertAlign w:val="subscript"/>
        </w:rPr>
        <w:t>MP</w:t>
      </w:r>
      <w:r w:rsidRPr="00813DDC">
        <w:rPr>
          <w:rFonts w:eastAsia="Times New Roman"/>
          <w:color w:val="000000"/>
          <w:szCs w:val="24"/>
        </w:rPr>
        <w:t xml:space="preserve"> - Índice de Monitoramento Pluviométrico.</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s="Arial"/>
          <w:i/>
          <w:szCs w:val="24"/>
        </w:rPr>
        <w:t>I</w:t>
      </w:r>
      <w:r w:rsidRPr="00813DDC">
        <w:rPr>
          <w:rFonts w:eastAsia="Times New Roman" w:cs="Arial"/>
          <w:i/>
          <w:szCs w:val="24"/>
          <w:vertAlign w:val="subscript"/>
        </w:rPr>
        <w:t>MF</w:t>
      </w:r>
      <w:r w:rsidRPr="00813DDC">
        <w:rPr>
          <w:rFonts w:eastAsia="Times New Roman"/>
          <w:color w:val="000000"/>
          <w:szCs w:val="24"/>
        </w:rPr>
        <w:t xml:space="preserve"> - Índice de Monitoramento Fluviométrico.</w:t>
      </w:r>
    </w:p>
    <w:p w:rsidR="00813DDC" w:rsidRPr="00813DDC" w:rsidRDefault="00813DDC" w:rsidP="0066661F">
      <w:pPr>
        <w:numPr>
          <w:ilvl w:val="0"/>
          <w:numId w:val="101"/>
        </w:numPr>
        <w:spacing w:line="336" w:lineRule="auto"/>
        <w:ind w:left="2127" w:hanging="1560"/>
        <w:contextualSpacing/>
        <w:jc w:val="both"/>
        <w:rPr>
          <w:rFonts w:eastAsia="Times New Roman"/>
          <w:color w:val="000000"/>
          <w:szCs w:val="24"/>
        </w:rPr>
      </w:pPr>
      <w:r w:rsidRPr="00813DDC">
        <w:rPr>
          <w:rFonts w:eastAsia="Times New Roman"/>
          <w:color w:val="000000"/>
          <w:szCs w:val="24"/>
        </w:rPr>
        <w:t>Alcançar o pleno atendimento à legislação ambiental aplicável em todos os subprocessos integrantes do Sistema de Drenagem Urbana.</w:t>
      </w:r>
    </w:p>
    <w:p w:rsidR="00813DDC" w:rsidRPr="00813DDC" w:rsidRDefault="00813DDC" w:rsidP="0066661F">
      <w:pPr>
        <w:numPr>
          <w:ilvl w:val="0"/>
          <w:numId w:val="98"/>
        </w:numPr>
        <w:spacing w:line="336" w:lineRule="auto"/>
        <w:ind w:left="2410"/>
        <w:contextualSpacing/>
        <w:jc w:val="both"/>
        <w:rPr>
          <w:rFonts w:eastAsia="Times New Roman"/>
          <w:szCs w:val="24"/>
        </w:rPr>
      </w:pPr>
      <w:r w:rsidRPr="00813DDC">
        <w:rPr>
          <w:rFonts w:eastAsia="Times New Roman"/>
          <w:szCs w:val="24"/>
        </w:rPr>
        <w:t>Indicador</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szCs w:val="24"/>
        </w:rPr>
        <w:t xml:space="preserve"> </w:t>
      </w:r>
      <w:r w:rsidRPr="00813DDC">
        <w:rPr>
          <w:rFonts w:eastAsia="Times New Roman" w:cs="Arial"/>
          <w:i/>
          <w:szCs w:val="24"/>
        </w:rPr>
        <w:t>I</w:t>
      </w:r>
      <w:r w:rsidRPr="00813DDC">
        <w:rPr>
          <w:rFonts w:eastAsia="Times New Roman" w:cs="Arial"/>
          <w:i/>
          <w:szCs w:val="24"/>
          <w:vertAlign w:val="subscript"/>
        </w:rPr>
        <w:t>ra</w:t>
      </w:r>
      <w:r w:rsidRPr="00813DDC">
        <w:rPr>
          <w:rFonts w:eastAsia="Times New Roman"/>
          <w:szCs w:val="24"/>
        </w:rPr>
        <w:t xml:space="preserve"> - Nível de regulamentação ambiental do setor.</w:t>
      </w:r>
    </w:p>
    <w:p w:rsidR="00813DDC" w:rsidRPr="00813DDC" w:rsidRDefault="00813DDC" w:rsidP="0066661F">
      <w:pPr>
        <w:numPr>
          <w:ilvl w:val="0"/>
          <w:numId w:val="101"/>
        </w:numPr>
        <w:spacing w:line="336" w:lineRule="auto"/>
        <w:ind w:left="2127" w:hanging="1560"/>
        <w:contextualSpacing/>
        <w:jc w:val="both"/>
        <w:rPr>
          <w:rFonts w:eastAsia="Times New Roman"/>
          <w:color w:val="000000"/>
          <w:szCs w:val="24"/>
        </w:rPr>
      </w:pPr>
      <w:r w:rsidRPr="00813DDC">
        <w:rPr>
          <w:rFonts w:eastAsia="Times New Roman"/>
          <w:bCs/>
          <w:color w:val="000000"/>
          <w:szCs w:val="24"/>
        </w:rPr>
        <w:t>Garantir a mobilização social e canais de comunicação com a sociedade, além de promover ações continuadas em educação ambiental.</w:t>
      </w:r>
    </w:p>
    <w:p w:rsidR="00813DDC" w:rsidRPr="00813DDC" w:rsidRDefault="00813DDC" w:rsidP="0066661F">
      <w:pPr>
        <w:numPr>
          <w:ilvl w:val="0"/>
          <w:numId w:val="98"/>
        </w:numPr>
        <w:spacing w:line="336" w:lineRule="auto"/>
        <w:ind w:left="2410"/>
        <w:contextualSpacing/>
        <w:jc w:val="both"/>
        <w:rPr>
          <w:rFonts w:eastAsia="Times New Roman"/>
          <w:szCs w:val="24"/>
        </w:rPr>
      </w:pPr>
      <w:r w:rsidRPr="00813DDC">
        <w:rPr>
          <w:rFonts w:eastAsia="Times New Roman"/>
          <w:szCs w:val="24"/>
        </w:rPr>
        <w:lastRenderedPageBreak/>
        <w:t>Indicadores</w:t>
      </w:r>
    </w:p>
    <w:p w:rsidR="00813DDC" w:rsidRPr="00813DDC" w:rsidRDefault="00813DDC" w:rsidP="0066661F">
      <w:pPr>
        <w:numPr>
          <w:ilvl w:val="0"/>
          <w:numId w:val="97"/>
        </w:numPr>
        <w:contextualSpacing/>
        <w:jc w:val="both"/>
        <w:rPr>
          <w:rFonts w:eastAsia="Times New Roman"/>
          <w:szCs w:val="24"/>
        </w:rPr>
      </w:pPr>
      <w:r w:rsidRPr="00813DDC">
        <w:rPr>
          <w:rFonts w:eastAsia="Times New Roman" w:cs="Arial"/>
          <w:i/>
          <w:szCs w:val="24"/>
          <w:lang w:eastAsia="pt-BR"/>
        </w:rPr>
        <w:t>IRS</w:t>
      </w:r>
      <w:r w:rsidRPr="00813DDC">
        <w:rPr>
          <w:rFonts w:eastAsia="Times New Roman"/>
          <w:szCs w:val="24"/>
        </w:rPr>
        <w:t xml:space="preserve"> - Índice de respostas satisfatórias a reclamações. </w:t>
      </w:r>
    </w:p>
    <w:p w:rsidR="00813DDC" w:rsidRPr="00813DDC" w:rsidRDefault="00813DDC" w:rsidP="0066661F">
      <w:pPr>
        <w:numPr>
          <w:ilvl w:val="0"/>
          <w:numId w:val="97"/>
        </w:numPr>
        <w:contextualSpacing/>
        <w:jc w:val="both"/>
        <w:rPr>
          <w:rFonts w:eastAsia="Times New Roman"/>
          <w:szCs w:val="24"/>
        </w:rPr>
      </w:pPr>
      <w:r w:rsidRPr="00813DDC">
        <w:rPr>
          <w:rFonts w:eastAsia="Times New Roman"/>
          <w:szCs w:val="24"/>
        </w:rPr>
        <w:t xml:space="preserve">Número de eventos realizados anualmente a respeito da drenagem urbana e proteção dos mananciais. </w:t>
      </w:r>
    </w:p>
    <w:p w:rsidR="00813DDC" w:rsidRPr="00813DDC" w:rsidRDefault="00813DDC" w:rsidP="00813DDC">
      <w:pPr>
        <w:spacing w:before="120" w:after="120"/>
        <w:ind w:firstLine="709"/>
        <w:contextualSpacing/>
        <w:jc w:val="both"/>
        <w:rPr>
          <w:rFonts w:cs="Arial"/>
          <w:szCs w:val="24"/>
        </w:rPr>
      </w:pPr>
      <w:r w:rsidRPr="00813DDC">
        <w:rPr>
          <w:rFonts w:cs="Arial"/>
          <w:szCs w:val="24"/>
        </w:rPr>
        <w:t xml:space="preserve">A seguir, apresenta-se a descrição dos indicadores, bem como as equações para a obtenção dos mesmos. Os formulários com orientações para a coleta de dados e parâmetros que compõem os indicadores encontram-se no </w:t>
      </w:r>
      <w:r w:rsidR="00B119E3">
        <w:rPr>
          <w:rFonts w:cs="Arial"/>
          <w:szCs w:val="24"/>
        </w:rPr>
        <w:fldChar w:fldCharType="begin"/>
      </w:r>
      <w:r w:rsidR="00B119E3">
        <w:rPr>
          <w:rFonts w:cs="Arial"/>
          <w:szCs w:val="24"/>
        </w:rPr>
        <w:instrText xml:space="preserve"> REF _Ref505841902 \h </w:instrText>
      </w:r>
      <w:r w:rsidR="00B119E3">
        <w:rPr>
          <w:rFonts w:cs="Arial"/>
          <w:szCs w:val="24"/>
        </w:rPr>
      </w:r>
      <w:r w:rsidR="00B119E3">
        <w:rPr>
          <w:rFonts w:cs="Arial"/>
          <w:szCs w:val="24"/>
        </w:rPr>
        <w:fldChar w:fldCharType="separate"/>
      </w:r>
      <w:r w:rsidR="001B481B">
        <w:t xml:space="preserve">Anexo </w:t>
      </w:r>
      <w:r w:rsidR="001B481B">
        <w:rPr>
          <w:noProof/>
        </w:rPr>
        <w:t>6</w:t>
      </w:r>
      <w:r w:rsidR="00B119E3">
        <w:rPr>
          <w:rFonts w:cs="Arial"/>
          <w:szCs w:val="24"/>
        </w:rPr>
        <w:fldChar w:fldCharType="end"/>
      </w:r>
      <w:r w:rsidRPr="00813DDC">
        <w:rPr>
          <w:rFonts w:cs="Arial"/>
          <w:szCs w:val="24"/>
        </w:rPr>
        <w:t>.</w:t>
      </w:r>
    </w:p>
    <w:p w:rsidR="00813DDC" w:rsidRPr="00813DDC" w:rsidRDefault="00813DDC" w:rsidP="00BC01B1">
      <w:pPr>
        <w:pStyle w:val="Ttulo3"/>
      </w:pPr>
      <w:bookmarkStart w:id="2295" w:name="_Toc453769374"/>
      <w:bookmarkStart w:id="2296" w:name="_Toc453771241"/>
      <w:bookmarkStart w:id="2297" w:name="_Toc453833789"/>
      <w:bookmarkStart w:id="2298" w:name="_Toc499019068"/>
      <w:bookmarkStart w:id="2299" w:name="_Toc499106801"/>
      <w:bookmarkStart w:id="2300" w:name="_Toc499107121"/>
      <w:bookmarkStart w:id="2301" w:name="_Toc499107941"/>
      <w:bookmarkStart w:id="2302" w:name="_Toc499108778"/>
      <w:bookmarkStart w:id="2303" w:name="_Toc499109603"/>
      <w:bookmarkStart w:id="2304" w:name="_Toc499109769"/>
      <w:bookmarkStart w:id="2305" w:name="_Toc499709975"/>
      <w:bookmarkStart w:id="2306" w:name="_Toc509935698"/>
      <w:r w:rsidRPr="00813DDC">
        <w:t>Indicadores para o objetivo 1</w:t>
      </w:r>
      <w:bookmarkEnd w:id="2295"/>
      <w:bookmarkEnd w:id="2296"/>
      <w:bookmarkEnd w:id="2297"/>
      <w:bookmarkEnd w:id="2298"/>
      <w:bookmarkEnd w:id="2299"/>
      <w:bookmarkEnd w:id="2300"/>
      <w:bookmarkEnd w:id="2301"/>
      <w:bookmarkEnd w:id="2302"/>
      <w:bookmarkEnd w:id="2303"/>
      <w:bookmarkEnd w:id="2304"/>
      <w:bookmarkEnd w:id="2305"/>
      <w:bookmarkEnd w:id="2306"/>
    </w:p>
    <w:p w:rsidR="00813DDC" w:rsidRPr="00813DDC" w:rsidRDefault="00813DDC" w:rsidP="00BC01B1">
      <w:pPr>
        <w:pStyle w:val="Ttulo4"/>
      </w:pPr>
      <w:bookmarkStart w:id="2307" w:name="_Toc453769379"/>
      <w:bookmarkStart w:id="2308" w:name="_Toc453771246"/>
      <w:bookmarkStart w:id="2309" w:name="_Toc453833794"/>
      <w:bookmarkStart w:id="2310" w:name="_Toc499019069"/>
      <w:bookmarkStart w:id="2311" w:name="_Toc499106802"/>
      <w:bookmarkStart w:id="2312" w:name="_Toc499107122"/>
      <w:bookmarkStart w:id="2313" w:name="_Toc499107942"/>
      <w:bookmarkStart w:id="2314" w:name="_Toc499108779"/>
      <w:bookmarkStart w:id="2315" w:name="_Toc499109604"/>
      <w:bookmarkStart w:id="2316" w:name="_Toc499109770"/>
      <w:bookmarkStart w:id="2317" w:name="_Toc499709976"/>
      <w:bookmarkStart w:id="2318" w:name="_Toc509935699"/>
      <w:r w:rsidRPr="00813DDC">
        <w:t>Índice de pontos atingidos por alagamentos por ano</w:t>
      </w:r>
      <w:bookmarkEnd w:id="2307"/>
      <w:bookmarkEnd w:id="2308"/>
      <w:bookmarkEnd w:id="2309"/>
      <w:bookmarkEnd w:id="2310"/>
      <w:bookmarkEnd w:id="2311"/>
      <w:bookmarkEnd w:id="2312"/>
      <w:bookmarkEnd w:id="2313"/>
      <w:bookmarkEnd w:id="2314"/>
      <w:bookmarkEnd w:id="2315"/>
      <w:bookmarkEnd w:id="2316"/>
      <w:bookmarkEnd w:id="2317"/>
      <w:bookmarkEnd w:id="2318"/>
    </w:p>
    <w:p w:rsidR="00813DDC" w:rsidRPr="00813DDC" w:rsidRDefault="001B481B" w:rsidP="00813DDC">
      <w:pPr>
        <w:suppressAutoHyphens/>
        <w:spacing w:line="240" w:lineRule="auto"/>
        <w:ind w:left="360"/>
        <w:contextualSpacing/>
        <w:jc w:val="center"/>
        <w:rPr>
          <w:rFonts w:eastAsia="Times New Roman" w:cs="Arial"/>
          <w:sz w:val="22"/>
          <w:szCs w:val="20"/>
          <w:lang w:eastAsia="ar-SA"/>
        </w:rPr>
      </w:pPr>
      <m:oMathPara>
        <m:oMath>
          <m:sSub>
            <m:sSubPr>
              <m:ctrlPr>
                <w:rPr>
                  <w:rFonts w:ascii="Cambria Math" w:eastAsia="Times New Roman" w:hAnsi="Cambria Math"/>
                  <w:sz w:val="22"/>
                  <w:szCs w:val="20"/>
                  <w:lang w:eastAsia="ar-SA"/>
                </w:rPr>
              </m:ctrlPr>
            </m:sSubPr>
            <m:e>
              <m:r>
                <m:rPr>
                  <m:sty m:val="p"/>
                </m:rPr>
                <w:rPr>
                  <w:rFonts w:ascii="Cambria Math" w:eastAsia="Times New Roman" w:hAnsi="Cambria Math"/>
                  <w:sz w:val="22"/>
                  <w:szCs w:val="20"/>
                  <w:lang w:eastAsia="ar-SA"/>
                </w:rPr>
                <m:t>I</m:t>
              </m:r>
            </m:e>
            <m:sub>
              <m:r>
                <m:rPr>
                  <m:sty m:val="p"/>
                </m:rPr>
                <w:rPr>
                  <w:rFonts w:ascii="Cambria Math" w:eastAsia="Times New Roman" w:hAnsi="Cambria Math"/>
                  <w:sz w:val="22"/>
                  <w:szCs w:val="20"/>
                  <w:lang w:eastAsia="ar-SA"/>
                </w:rPr>
                <m:t>PA</m:t>
              </m:r>
            </m:sub>
          </m:sSub>
          <m:r>
            <m:rPr>
              <m:sty m:val="p"/>
            </m:rPr>
            <w:rPr>
              <w:rFonts w:ascii="Cambria Math" w:eastAsia="Times New Roman" w:hAnsi="Cambria Math"/>
              <w:sz w:val="22"/>
              <w:szCs w:val="20"/>
              <w:lang w:eastAsia="ar-SA"/>
            </w:rPr>
            <m:t>=</m:t>
          </m:r>
          <m:f>
            <m:fPr>
              <m:ctrlPr>
                <w:rPr>
                  <w:rFonts w:ascii="Cambria Math" w:eastAsia="Times New Roman" w:hAnsi="Cambria Math"/>
                  <w:sz w:val="22"/>
                  <w:szCs w:val="20"/>
                  <w:lang w:eastAsia="ar-SA"/>
                </w:rPr>
              </m:ctrlPr>
            </m:fPr>
            <m:num>
              <m:sSub>
                <m:sSubPr>
                  <m:ctrlPr>
                    <w:rPr>
                      <w:rFonts w:ascii="Cambria Math" w:eastAsia="Times New Roman" w:hAnsi="Cambria Math"/>
                      <w:sz w:val="22"/>
                      <w:szCs w:val="20"/>
                      <w:lang w:eastAsia="ar-SA"/>
                    </w:rPr>
                  </m:ctrlPr>
                </m:sSubPr>
                <m:e>
                  <m:r>
                    <m:rPr>
                      <m:sty m:val="p"/>
                    </m:rPr>
                    <w:rPr>
                      <w:rFonts w:ascii="Cambria Math" w:eastAsia="Times New Roman" w:hAnsi="Cambria Math"/>
                      <w:sz w:val="22"/>
                      <w:szCs w:val="20"/>
                      <w:lang w:eastAsia="ar-SA"/>
                    </w:rPr>
                    <m:t>N</m:t>
                  </m:r>
                </m:e>
                <m:sub>
                  <m:r>
                    <m:rPr>
                      <m:sty m:val="p"/>
                    </m:rPr>
                    <w:rPr>
                      <w:rFonts w:ascii="Cambria Math" w:eastAsia="Times New Roman" w:hAnsi="Cambria Math"/>
                      <w:sz w:val="22"/>
                      <w:szCs w:val="20"/>
                      <w:lang w:eastAsia="ar-SA"/>
                    </w:rPr>
                    <m:t>PA</m:t>
                  </m:r>
                </m:sub>
              </m:sSub>
            </m:num>
            <m:den>
              <m:r>
                <m:rPr>
                  <m:sty m:val="p"/>
                </m:rPr>
                <w:rPr>
                  <w:rFonts w:ascii="Cambria Math" w:eastAsia="Times New Roman" w:hAnsi="Cambria Math"/>
                  <w:sz w:val="22"/>
                  <w:szCs w:val="20"/>
                  <w:lang w:eastAsia="ar-SA"/>
                </w:rPr>
                <m:t>P</m:t>
              </m:r>
            </m:den>
          </m:f>
        </m:oMath>
      </m:oMathPara>
    </w:p>
    <w:p w:rsidR="00813DDC" w:rsidRPr="00813DDC" w:rsidRDefault="00813DDC" w:rsidP="00813DDC">
      <w:pPr>
        <w:suppressAutoHyphens/>
        <w:spacing w:before="120" w:after="120"/>
        <w:contextualSpacing/>
        <w:rPr>
          <w:rFonts w:eastAsia="Times New Roman" w:cs="Arial"/>
          <w:color w:val="000000"/>
          <w:szCs w:val="20"/>
          <w:lang w:eastAsia="ar-SA"/>
        </w:rPr>
      </w:pPr>
      <w:r w:rsidRPr="00813DDC">
        <w:rPr>
          <w:rFonts w:eastAsia="Times New Roman" w:cs="Arial"/>
          <w:color w:val="000000"/>
          <w:szCs w:val="20"/>
          <w:lang w:eastAsia="ar-SA"/>
        </w:rPr>
        <w:tab/>
        <w:t>Em que:</w:t>
      </w:r>
    </w:p>
    <w:p w:rsidR="00813DDC" w:rsidRPr="00813DDC" w:rsidRDefault="00813DDC" w:rsidP="0066661F">
      <w:pPr>
        <w:numPr>
          <w:ilvl w:val="0"/>
          <w:numId w:val="27"/>
        </w:numPr>
        <w:jc w:val="both"/>
        <w:rPr>
          <w:rFonts w:cs="Arial"/>
          <w:i/>
          <w:szCs w:val="24"/>
        </w:rPr>
      </w:pPr>
      <w:r w:rsidRPr="00813DDC">
        <w:rPr>
          <w:rFonts w:cs="Arial"/>
          <w:i/>
          <w:szCs w:val="24"/>
        </w:rPr>
        <w:t>I</w:t>
      </w:r>
      <w:r w:rsidRPr="00813DDC">
        <w:rPr>
          <w:rFonts w:cs="Arial"/>
          <w:i/>
          <w:szCs w:val="24"/>
          <w:vertAlign w:val="subscript"/>
        </w:rPr>
        <w:t>PA</w:t>
      </w:r>
      <w:r w:rsidRPr="00813DDC">
        <w:rPr>
          <w:rFonts w:cs="Arial"/>
          <w:i/>
          <w:szCs w:val="24"/>
        </w:rPr>
        <w:t>: Índice de pontos atingidos por alagamentos durante o ano.</w:t>
      </w:r>
    </w:p>
    <w:p w:rsidR="00813DDC" w:rsidRPr="00813DDC" w:rsidRDefault="00813DDC" w:rsidP="0066661F">
      <w:pPr>
        <w:numPr>
          <w:ilvl w:val="0"/>
          <w:numId w:val="27"/>
        </w:numPr>
        <w:jc w:val="both"/>
        <w:rPr>
          <w:rFonts w:cs="Arial"/>
          <w:i/>
          <w:szCs w:val="24"/>
        </w:rPr>
      </w:pPr>
      <w:r w:rsidRPr="00813DDC">
        <w:rPr>
          <w:rFonts w:cs="Arial"/>
          <w:i/>
          <w:szCs w:val="24"/>
        </w:rPr>
        <w:t>N</w:t>
      </w:r>
      <w:r w:rsidRPr="00813DDC">
        <w:rPr>
          <w:rFonts w:cs="Arial"/>
          <w:i/>
          <w:szCs w:val="24"/>
          <w:vertAlign w:val="subscript"/>
        </w:rPr>
        <w:t>PA</w:t>
      </w:r>
      <w:r w:rsidRPr="00813DDC">
        <w:rPr>
          <w:rFonts w:cs="Arial"/>
          <w:i/>
          <w:szCs w:val="24"/>
        </w:rPr>
        <w:t>: Número de pontos atingidos por alagamentos.</w:t>
      </w:r>
    </w:p>
    <w:p w:rsidR="00813DDC" w:rsidRPr="00813DDC" w:rsidRDefault="00813DDC" w:rsidP="0066661F">
      <w:pPr>
        <w:numPr>
          <w:ilvl w:val="0"/>
          <w:numId w:val="27"/>
        </w:numPr>
        <w:jc w:val="both"/>
        <w:rPr>
          <w:rFonts w:cs="Arial"/>
          <w:i/>
          <w:szCs w:val="24"/>
        </w:rPr>
      </w:pPr>
      <w:r w:rsidRPr="00813DDC">
        <w:rPr>
          <w:rFonts w:cs="Arial"/>
          <w:i/>
          <w:szCs w:val="24"/>
        </w:rPr>
        <w:t>P: Período de tempo (ano).</w:t>
      </w:r>
    </w:p>
    <w:p w:rsidR="00813DDC" w:rsidRPr="00813DDC" w:rsidRDefault="00813DDC" w:rsidP="00813DDC">
      <w:pPr>
        <w:spacing w:before="120" w:after="120"/>
        <w:ind w:firstLine="709"/>
        <w:contextualSpacing/>
        <w:jc w:val="both"/>
        <w:rPr>
          <w:rFonts w:eastAsia="Times New Roman" w:cs="Arial"/>
          <w:szCs w:val="24"/>
          <w:lang w:eastAsia="pt-BR"/>
        </w:rPr>
      </w:pPr>
      <w:r w:rsidRPr="00813DDC">
        <w:rPr>
          <w:rFonts w:eastAsia="Times New Roman" w:cs="Arial"/>
          <w:szCs w:val="24"/>
          <w:lang w:eastAsia="pt-BR"/>
        </w:rPr>
        <w:t>O valor ideal para este indicador é 0 (zero), mostrando a inexistência de pontos atingidos por alagamentos devido a problemas ou inexistência da rede de drenagem.</w:t>
      </w:r>
    </w:p>
    <w:p w:rsidR="00813DDC" w:rsidRPr="00813DDC" w:rsidRDefault="00813DDC" w:rsidP="00BC01B1">
      <w:pPr>
        <w:pStyle w:val="Ttulo4"/>
      </w:pPr>
      <w:bookmarkStart w:id="2319" w:name="_Toc499019070"/>
      <w:bookmarkStart w:id="2320" w:name="_Toc499106803"/>
      <w:bookmarkStart w:id="2321" w:name="_Toc499107123"/>
      <w:bookmarkStart w:id="2322" w:name="_Toc499107943"/>
      <w:bookmarkStart w:id="2323" w:name="_Toc499108780"/>
      <w:bookmarkStart w:id="2324" w:name="_Toc499109605"/>
      <w:bookmarkStart w:id="2325" w:name="_Toc499109771"/>
      <w:bookmarkStart w:id="2326" w:name="_Toc499709977"/>
      <w:bookmarkStart w:id="2327" w:name="_Toc509935700"/>
      <w:r w:rsidRPr="00813DDC">
        <w:t>Taxa de Cobertura do Sistema de Macrodrenagem na Área Urbana do Município</w:t>
      </w:r>
      <w:bookmarkEnd w:id="2319"/>
      <w:bookmarkEnd w:id="2320"/>
      <w:bookmarkEnd w:id="2321"/>
      <w:bookmarkEnd w:id="2322"/>
      <w:bookmarkEnd w:id="2323"/>
      <w:bookmarkEnd w:id="2324"/>
      <w:bookmarkEnd w:id="2325"/>
      <w:bookmarkEnd w:id="2326"/>
      <w:bookmarkEnd w:id="2327"/>
    </w:p>
    <w:p w:rsidR="00813DDC" w:rsidRPr="00813DDC" w:rsidRDefault="00813DDC" w:rsidP="00813DDC">
      <w:pPr>
        <w:spacing w:line="240" w:lineRule="auto"/>
        <w:ind w:left="-51"/>
        <w:jc w:val="center"/>
        <w:rPr>
          <w:rFonts w:cs="Arial"/>
          <w:sz w:val="22"/>
        </w:rPr>
      </w:pPr>
      <m:oMathPara>
        <m:oMath>
          <m:r>
            <m:rPr>
              <m:sty m:val="p"/>
            </m:rPr>
            <w:rPr>
              <w:rFonts w:ascii="Cambria Math" w:eastAsia="Times New Roman" w:hAnsi="Cambria Math"/>
              <w:sz w:val="22"/>
              <w:lang w:eastAsia="ar-SA"/>
            </w:rPr>
            <m:t>IN021=</m:t>
          </m:r>
          <m:f>
            <m:fPr>
              <m:ctrlPr>
                <w:rPr>
                  <w:rFonts w:ascii="Cambria Math" w:eastAsia="Times New Roman" w:hAnsi="Cambria Math"/>
                  <w:sz w:val="22"/>
                  <w:lang w:eastAsia="ar-SA"/>
                </w:rPr>
              </m:ctrlPr>
            </m:fPr>
            <m:num>
              <m:r>
                <m:rPr>
                  <m:sty m:val="p"/>
                </m:rPr>
                <w:rPr>
                  <w:rFonts w:ascii="Cambria Math" w:eastAsia="Times New Roman" w:hAnsi="Cambria Math"/>
                  <w:sz w:val="22"/>
                  <w:lang w:eastAsia="ar-SA"/>
                </w:rPr>
                <m:t>IE024</m:t>
              </m:r>
            </m:num>
            <m:den>
              <m:r>
                <m:rPr>
                  <m:sty m:val="p"/>
                </m:rPr>
                <w:rPr>
                  <w:rFonts w:ascii="Cambria Math" w:eastAsia="Times New Roman" w:hAnsi="Cambria Math"/>
                  <w:sz w:val="22"/>
                  <w:lang w:eastAsia="ar-SA"/>
                </w:rPr>
                <m:t>IE017</m:t>
              </m:r>
            </m:den>
          </m:f>
          <m:r>
            <w:rPr>
              <w:rFonts w:ascii="Cambria Math" w:eastAsia="Times New Roman" w:hAnsi="Cambria Math"/>
              <w:sz w:val="22"/>
              <w:lang w:eastAsia="ar-SA"/>
            </w:rPr>
            <m:t xml:space="preserve"> x 100</m:t>
          </m:r>
        </m:oMath>
      </m:oMathPara>
    </w:p>
    <w:p w:rsidR="00813DDC" w:rsidRPr="00813DDC" w:rsidRDefault="00813DDC" w:rsidP="00813DDC">
      <w:pPr>
        <w:spacing w:before="120" w:after="120"/>
        <w:ind w:firstLine="709"/>
        <w:contextualSpacing/>
        <w:jc w:val="both"/>
        <w:rPr>
          <w:rFonts w:eastAsia="Times New Roman" w:cs="Arial"/>
          <w:szCs w:val="24"/>
          <w:lang w:eastAsia="pt-BR"/>
        </w:rPr>
      </w:pPr>
    </w:p>
    <w:p w:rsidR="00813DDC" w:rsidRPr="00813DDC" w:rsidRDefault="00813DDC" w:rsidP="00813DDC">
      <w:pPr>
        <w:spacing w:before="120" w:after="120"/>
        <w:ind w:firstLine="709"/>
        <w:contextualSpacing/>
        <w:jc w:val="both"/>
        <w:rPr>
          <w:rFonts w:eastAsia="Times New Roman" w:cs="Arial"/>
          <w:szCs w:val="24"/>
          <w:lang w:eastAsia="pt-BR"/>
        </w:rPr>
      </w:pPr>
      <w:r w:rsidRPr="00813DDC">
        <w:rPr>
          <w:rFonts w:eastAsia="Times New Roman" w:cs="Arial"/>
          <w:szCs w:val="24"/>
          <w:lang w:eastAsia="pt-BR"/>
        </w:rPr>
        <w:t>Em que:</w:t>
      </w:r>
    </w:p>
    <w:p w:rsidR="00813DDC" w:rsidRPr="00813DDC" w:rsidRDefault="00813DDC" w:rsidP="0066661F">
      <w:pPr>
        <w:numPr>
          <w:ilvl w:val="0"/>
          <w:numId w:val="27"/>
        </w:numPr>
        <w:jc w:val="both"/>
        <w:rPr>
          <w:rFonts w:cs="Arial"/>
          <w:i/>
          <w:szCs w:val="24"/>
        </w:rPr>
      </w:pPr>
      <w:r w:rsidRPr="00813DDC">
        <w:rPr>
          <w:rFonts w:cs="Arial"/>
          <w:i/>
          <w:szCs w:val="24"/>
        </w:rPr>
        <w:t>IN021: Taxa de Cobertura do Sistema de Macrodrenagem na Área Urbana do Município.</w:t>
      </w:r>
    </w:p>
    <w:p w:rsidR="00813DDC" w:rsidRPr="00813DDC" w:rsidRDefault="00813DDC" w:rsidP="0066661F">
      <w:pPr>
        <w:numPr>
          <w:ilvl w:val="0"/>
          <w:numId w:val="27"/>
        </w:numPr>
        <w:jc w:val="both"/>
        <w:rPr>
          <w:rFonts w:cs="Arial"/>
          <w:i/>
          <w:szCs w:val="24"/>
        </w:rPr>
      </w:pPr>
      <w:r w:rsidRPr="00813DDC">
        <w:rPr>
          <w:rFonts w:cs="Arial"/>
          <w:i/>
          <w:szCs w:val="24"/>
        </w:rPr>
        <w:t xml:space="preserve">IE017: Extensão total de vias públicas urbanas do município (km). </w:t>
      </w:r>
    </w:p>
    <w:p w:rsidR="00813DDC" w:rsidRPr="00813DDC" w:rsidRDefault="00813DDC" w:rsidP="00813DDC">
      <w:pPr>
        <w:spacing w:line="240" w:lineRule="auto"/>
        <w:ind w:left="1429"/>
        <w:jc w:val="both"/>
        <w:rPr>
          <w:rFonts w:cs="Arial"/>
          <w:color w:val="333333"/>
          <w:sz w:val="20"/>
        </w:rPr>
      </w:pPr>
      <w:r w:rsidRPr="00813DDC">
        <w:rPr>
          <w:rFonts w:cs="Arial"/>
          <w:color w:val="333333"/>
          <w:sz w:val="20"/>
        </w:rPr>
        <w:t>“São consideradas vias terrestres urbanas as ruas, as avenidas, os</w:t>
      </w:r>
      <w:r w:rsidRPr="00813DDC">
        <w:rPr>
          <w:rFonts w:cs="Arial"/>
          <w:color w:val="333333"/>
          <w:sz w:val="20"/>
        </w:rPr>
        <w:br/>
        <w:t>logradouros, os caminhos, as passagens, as estradas e as rodovias, que têm seu uso regulamentado pelo órgão ou entidade com circunscrição sobre elas, de</w:t>
      </w:r>
      <w:r w:rsidRPr="00813DDC">
        <w:rPr>
          <w:rFonts w:cs="Arial"/>
          <w:color w:val="333333"/>
          <w:sz w:val="20"/>
        </w:rPr>
        <w:br/>
        <w:t>acordo com as peculiaridades locais e as circunstâncias especiais”.</w:t>
      </w:r>
    </w:p>
    <w:p w:rsidR="00813DDC" w:rsidRPr="00813DDC" w:rsidRDefault="00813DDC" w:rsidP="00813DDC">
      <w:pPr>
        <w:spacing w:line="240" w:lineRule="auto"/>
        <w:ind w:left="1429"/>
        <w:jc w:val="both"/>
        <w:rPr>
          <w:rFonts w:cs="Arial"/>
          <w:i/>
          <w:sz w:val="22"/>
          <w:szCs w:val="24"/>
        </w:rPr>
      </w:pPr>
    </w:p>
    <w:p w:rsidR="00813DDC" w:rsidRPr="00813DDC" w:rsidRDefault="00813DDC" w:rsidP="0066661F">
      <w:pPr>
        <w:numPr>
          <w:ilvl w:val="0"/>
          <w:numId w:val="27"/>
        </w:numPr>
        <w:jc w:val="both"/>
        <w:rPr>
          <w:rFonts w:cs="Arial"/>
          <w:i/>
          <w:szCs w:val="24"/>
        </w:rPr>
      </w:pPr>
      <w:r w:rsidRPr="00813DDC">
        <w:rPr>
          <w:rFonts w:cs="Arial"/>
          <w:i/>
          <w:szCs w:val="24"/>
        </w:rPr>
        <w:t>IE024: Extensão total de vias públicas urbanas com redes ou canais de águas pluviais subterrâneos (km).</w:t>
      </w:r>
    </w:p>
    <w:p w:rsidR="00813DDC" w:rsidRPr="00813DDC" w:rsidRDefault="00813DDC" w:rsidP="00813DDC">
      <w:pPr>
        <w:spacing w:line="240" w:lineRule="auto"/>
        <w:ind w:left="1429"/>
        <w:jc w:val="both"/>
        <w:rPr>
          <w:color w:val="333333"/>
          <w:sz w:val="20"/>
        </w:rPr>
      </w:pPr>
      <w:r w:rsidRPr="00813DDC">
        <w:rPr>
          <w:color w:val="333333"/>
          <w:sz w:val="20"/>
        </w:rPr>
        <w:lastRenderedPageBreak/>
        <w:t>“</w:t>
      </w:r>
      <w:r w:rsidRPr="00813DDC">
        <w:rPr>
          <w:rFonts w:cs="Arial"/>
          <w:color w:val="333333"/>
          <w:sz w:val="20"/>
        </w:rPr>
        <w:t>Comprimento total das vias públicas terrestres que possuem redes ou canais de águas pluviais subterrâneos na área urbana total do município. Os canais</w:t>
      </w:r>
      <w:r w:rsidRPr="00813DDC">
        <w:rPr>
          <w:rFonts w:cs="Arial"/>
          <w:color w:val="333333"/>
          <w:sz w:val="20"/>
        </w:rPr>
        <w:br/>
        <w:t>fechados construídos para o escoamento das águas de chuva, conhecidos como canais de águas pluviais subterrâneos, fazem parte das redes coletoras e</w:t>
      </w:r>
      <w:r w:rsidRPr="00813DDC">
        <w:rPr>
          <w:rFonts w:cs="Arial"/>
          <w:color w:val="333333"/>
          <w:sz w:val="20"/>
        </w:rPr>
        <w:br/>
        <w:t>destinam-se ao transporte das águas captadas pelas bocas coletoras até os pontos de lançamento. A rede coletora subsuperficial destinada a captar e a</w:t>
      </w:r>
      <w:r w:rsidRPr="00813DDC">
        <w:rPr>
          <w:rFonts w:cs="Arial"/>
          <w:color w:val="333333"/>
          <w:sz w:val="20"/>
        </w:rPr>
        <w:br/>
        <w:t>transportar águas de chuva pode ou não ser utilizada para transportar também o esgoto sanitário”.</w:t>
      </w:r>
    </w:p>
    <w:p w:rsidR="00810C89" w:rsidRDefault="00810C89" w:rsidP="00810C89">
      <w:pPr>
        <w:ind w:firstLine="708"/>
        <w:jc w:val="both"/>
        <w:rPr>
          <w:rFonts w:cs="Arial"/>
          <w:szCs w:val="24"/>
        </w:rPr>
      </w:pPr>
    </w:p>
    <w:p w:rsidR="00813DDC" w:rsidRPr="00813DDC" w:rsidRDefault="00813DDC" w:rsidP="00810C89">
      <w:pPr>
        <w:ind w:firstLine="708"/>
        <w:jc w:val="both"/>
        <w:rPr>
          <w:rFonts w:cs="Arial"/>
          <w:szCs w:val="24"/>
        </w:rPr>
      </w:pPr>
      <w:r w:rsidRPr="00813DDC">
        <w:rPr>
          <w:rFonts w:cs="Arial"/>
          <w:szCs w:val="24"/>
        </w:rPr>
        <w:t>O valor ideal para este indicador é 100 %, e indicando a existência de rede de drenagem em todas as vias públicas urbanas do município.</w:t>
      </w:r>
    </w:p>
    <w:p w:rsidR="00813DDC" w:rsidRPr="00813DDC" w:rsidRDefault="00813DDC" w:rsidP="00BC01B1">
      <w:pPr>
        <w:pStyle w:val="Ttulo4"/>
      </w:pPr>
      <w:r w:rsidRPr="00813DDC">
        <w:t xml:space="preserve"> </w:t>
      </w:r>
      <w:bookmarkStart w:id="2328" w:name="_Toc499019071"/>
      <w:bookmarkStart w:id="2329" w:name="_Toc499106804"/>
      <w:bookmarkStart w:id="2330" w:name="_Toc499107124"/>
      <w:bookmarkStart w:id="2331" w:name="_Toc499107944"/>
      <w:bookmarkStart w:id="2332" w:name="_Toc499108781"/>
      <w:bookmarkStart w:id="2333" w:name="_Toc499109606"/>
      <w:bookmarkStart w:id="2334" w:name="_Toc499109772"/>
      <w:bookmarkStart w:id="2335" w:name="_Toc499709978"/>
      <w:bookmarkStart w:id="2336" w:name="_Toc509935701"/>
      <w:r w:rsidRPr="00813DDC">
        <w:t>Parcela de Domicílios em Situação de Risco de Inundação</w:t>
      </w:r>
      <w:bookmarkEnd w:id="2328"/>
      <w:bookmarkEnd w:id="2329"/>
      <w:bookmarkEnd w:id="2330"/>
      <w:bookmarkEnd w:id="2331"/>
      <w:bookmarkEnd w:id="2332"/>
      <w:bookmarkEnd w:id="2333"/>
      <w:bookmarkEnd w:id="2334"/>
      <w:bookmarkEnd w:id="2335"/>
      <w:bookmarkEnd w:id="2336"/>
    </w:p>
    <w:p w:rsidR="00813DDC" w:rsidRPr="00813DDC" w:rsidRDefault="00813DDC" w:rsidP="00813DDC">
      <w:pPr>
        <w:spacing w:line="240" w:lineRule="auto"/>
        <w:ind w:left="-51"/>
        <w:jc w:val="center"/>
        <w:rPr>
          <w:rFonts w:cs="Arial"/>
          <w:sz w:val="22"/>
        </w:rPr>
      </w:pPr>
      <m:oMathPara>
        <m:oMath>
          <m:r>
            <m:rPr>
              <m:sty m:val="p"/>
            </m:rPr>
            <w:rPr>
              <w:rFonts w:ascii="Cambria Math" w:hAnsi="Cambria Math" w:cs="Arial"/>
              <w:sz w:val="22"/>
            </w:rPr>
            <m:t>IN040=</m:t>
          </m:r>
          <m:f>
            <m:fPr>
              <m:ctrlPr>
                <w:rPr>
                  <w:rFonts w:ascii="Cambria Math" w:hAnsi="Cambria Math" w:cs="Arial"/>
                  <w:sz w:val="22"/>
                </w:rPr>
              </m:ctrlPr>
            </m:fPr>
            <m:num>
              <m:r>
                <m:rPr>
                  <m:sty m:val="p"/>
                </m:rPr>
                <w:rPr>
                  <w:rFonts w:ascii="Cambria Math" w:hAnsi="Cambria Math" w:cs="Arial"/>
                  <w:sz w:val="22"/>
                </w:rPr>
                <m:t>RI013</m:t>
              </m:r>
            </m:num>
            <m:den>
              <m:r>
                <m:rPr>
                  <m:sty m:val="p"/>
                </m:rPr>
                <w:rPr>
                  <w:rFonts w:ascii="Cambria Math" w:hAnsi="Cambria Math" w:cs="Arial"/>
                  <w:sz w:val="22"/>
                </w:rPr>
                <m:t>GE008</m:t>
              </m:r>
            </m:den>
          </m:f>
          <m:r>
            <w:rPr>
              <w:rFonts w:ascii="Cambria Math" w:hAnsi="Cambria Math" w:cs="Arial"/>
              <w:sz w:val="22"/>
            </w:rPr>
            <m:t>x100</m:t>
          </m:r>
        </m:oMath>
      </m:oMathPara>
    </w:p>
    <w:p w:rsidR="00813DDC" w:rsidRPr="00813DDC" w:rsidRDefault="00813DDC" w:rsidP="00813DDC">
      <w:pPr>
        <w:jc w:val="both"/>
        <w:rPr>
          <w:rFonts w:cs="Arial"/>
          <w:szCs w:val="24"/>
        </w:rPr>
      </w:pPr>
    </w:p>
    <w:p w:rsidR="00813DDC" w:rsidRPr="00813DDC" w:rsidRDefault="00813DDC" w:rsidP="00813DDC">
      <w:pPr>
        <w:jc w:val="both"/>
        <w:rPr>
          <w:rFonts w:cs="Arial"/>
          <w:szCs w:val="24"/>
        </w:rPr>
      </w:pPr>
      <w:r w:rsidRPr="00813DDC">
        <w:rPr>
          <w:rFonts w:cs="Arial"/>
          <w:szCs w:val="24"/>
        </w:rPr>
        <w:tab/>
        <w:t>Em que:</w:t>
      </w:r>
    </w:p>
    <w:p w:rsidR="00813DDC" w:rsidRPr="00813DDC" w:rsidRDefault="00813DDC" w:rsidP="0066661F">
      <w:pPr>
        <w:numPr>
          <w:ilvl w:val="0"/>
          <w:numId w:val="27"/>
        </w:numPr>
        <w:jc w:val="both"/>
        <w:rPr>
          <w:rFonts w:cs="Arial"/>
          <w:i/>
          <w:szCs w:val="24"/>
        </w:rPr>
      </w:pPr>
      <w:r w:rsidRPr="00813DDC">
        <w:rPr>
          <w:rFonts w:cs="Arial"/>
          <w:i/>
          <w:szCs w:val="24"/>
        </w:rPr>
        <w:t>IN040: Parcela de Domicílios em Situação de Risco de Inundação.</w:t>
      </w:r>
    </w:p>
    <w:p w:rsidR="00813DDC" w:rsidRPr="00813DDC" w:rsidRDefault="00813DDC" w:rsidP="0066661F">
      <w:pPr>
        <w:numPr>
          <w:ilvl w:val="0"/>
          <w:numId w:val="27"/>
        </w:numPr>
        <w:jc w:val="both"/>
        <w:rPr>
          <w:rFonts w:cs="Arial"/>
          <w:i/>
          <w:szCs w:val="24"/>
        </w:rPr>
      </w:pPr>
      <w:r w:rsidRPr="00813DDC">
        <w:rPr>
          <w:rFonts w:cs="Arial"/>
          <w:i/>
          <w:szCs w:val="24"/>
        </w:rPr>
        <w:t>RI013: Quantidade de domicílios sujeitos a risco de inundação.</w:t>
      </w:r>
    </w:p>
    <w:p w:rsidR="00813DDC" w:rsidRPr="00813DDC" w:rsidRDefault="00813DDC" w:rsidP="00813DDC">
      <w:pPr>
        <w:spacing w:line="240" w:lineRule="auto"/>
        <w:ind w:left="1429"/>
        <w:jc w:val="both"/>
        <w:rPr>
          <w:color w:val="333333"/>
          <w:sz w:val="20"/>
        </w:rPr>
      </w:pPr>
      <w:r w:rsidRPr="00813DDC">
        <w:rPr>
          <w:color w:val="333333"/>
          <w:sz w:val="20"/>
        </w:rPr>
        <w:t>“I</w:t>
      </w:r>
      <w:r w:rsidRPr="00813DDC">
        <w:rPr>
          <w:rFonts w:cs="Arial"/>
          <w:color w:val="333333"/>
          <w:sz w:val="20"/>
        </w:rPr>
        <w:t>nformar a quantidade cadastrada ou estimada de domicílios urbanos existentes no município, até o último dia do ano de referência, que se encontram</w:t>
      </w:r>
      <w:r w:rsidRPr="00813DDC">
        <w:rPr>
          <w:rFonts w:cs="Arial"/>
          <w:color w:val="333333"/>
          <w:sz w:val="20"/>
        </w:rPr>
        <w:br/>
        <w:t>suscetíveis a riscos de inundação, tendo ou não sido atingidos por eventos hidrológicos impactantes. Entende-se por “domicílio” o local de moradia</w:t>
      </w:r>
      <w:r w:rsidRPr="00813DDC">
        <w:rPr>
          <w:rFonts w:cs="Arial"/>
          <w:color w:val="333333"/>
          <w:sz w:val="20"/>
        </w:rPr>
        <w:br/>
        <w:t>estruturalmente separado e independente, constituído por um ou mais cômodos”.</w:t>
      </w:r>
    </w:p>
    <w:p w:rsidR="00813DDC" w:rsidRPr="00813DDC" w:rsidRDefault="00813DDC" w:rsidP="0066661F">
      <w:pPr>
        <w:numPr>
          <w:ilvl w:val="0"/>
          <w:numId w:val="27"/>
        </w:numPr>
        <w:jc w:val="both"/>
        <w:rPr>
          <w:rFonts w:cs="Arial"/>
          <w:i/>
          <w:szCs w:val="24"/>
        </w:rPr>
      </w:pPr>
      <w:r w:rsidRPr="00813DDC">
        <w:rPr>
          <w:rFonts w:cs="Arial"/>
          <w:i/>
          <w:szCs w:val="24"/>
        </w:rPr>
        <w:t>GE008: Quantidade total de domicílios urbanos existentes no município.</w:t>
      </w:r>
    </w:p>
    <w:p w:rsidR="00813DDC" w:rsidRPr="00813DDC" w:rsidRDefault="00813DDC" w:rsidP="00813DDC">
      <w:pPr>
        <w:spacing w:line="240" w:lineRule="auto"/>
        <w:ind w:left="1429"/>
        <w:jc w:val="both"/>
        <w:rPr>
          <w:rFonts w:cs="Arial"/>
          <w:color w:val="333333"/>
          <w:sz w:val="22"/>
        </w:rPr>
      </w:pPr>
      <w:r w:rsidRPr="00813DDC">
        <w:rPr>
          <w:rFonts w:cs="Arial"/>
          <w:color w:val="333333"/>
          <w:sz w:val="22"/>
        </w:rPr>
        <w:t>“Quantidade cadastrada ou estimada de domicílios existentes no município no ano de referência. Segundo o IBGE, domicílio é o local de moradia</w:t>
      </w:r>
      <w:r w:rsidRPr="00813DDC">
        <w:rPr>
          <w:rFonts w:cs="Arial"/>
          <w:color w:val="333333"/>
          <w:sz w:val="22"/>
        </w:rPr>
        <w:br/>
        <w:t>estruturalmente separado e independente, constituído por um ou mais cômodos. A separação fica caracterizada quando o local de moradia é limitado por</w:t>
      </w:r>
      <w:r w:rsidRPr="00813DDC">
        <w:rPr>
          <w:rFonts w:cs="Arial"/>
          <w:color w:val="333333"/>
          <w:sz w:val="22"/>
        </w:rPr>
        <w:br/>
        <w:t>paredes, muros, cercas etc, coberto por um teto, permitindo que os moradores se isolem, arcando com parte ou todas as suas despesas de alimentação ou</w:t>
      </w:r>
      <w:r w:rsidRPr="00813DDC">
        <w:rPr>
          <w:rFonts w:cs="Arial"/>
          <w:color w:val="333333"/>
          <w:sz w:val="22"/>
        </w:rPr>
        <w:br/>
        <w:t>moradia”.</w:t>
      </w:r>
    </w:p>
    <w:p w:rsidR="00813DDC" w:rsidRPr="00813DDC" w:rsidRDefault="00813DDC" w:rsidP="00813DDC">
      <w:pPr>
        <w:spacing w:line="240" w:lineRule="auto"/>
        <w:jc w:val="both"/>
        <w:rPr>
          <w:rFonts w:cs="Arial"/>
          <w:color w:val="333333"/>
          <w:sz w:val="22"/>
        </w:rPr>
      </w:pPr>
    </w:p>
    <w:p w:rsidR="00813DDC" w:rsidRPr="00813DDC" w:rsidRDefault="00813DDC" w:rsidP="00810C89">
      <w:pPr>
        <w:ind w:firstLine="708"/>
        <w:jc w:val="both"/>
        <w:rPr>
          <w:rFonts w:cs="Arial"/>
          <w:szCs w:val="24"/>
        </w:rPr>
      </w:pPr>
      <w:r w:rsidRPr="00813DDC">
        <w:rPr>
          <w:rFonts w:cs="Arial"/>
          <w:szCs w:val="24"/>
        </w:rPr>
        <w:t xml:space="preserve">O valor ideal para este indicador é 0 %, indicando a inexistência de domicílios em risco de inundação. </w:t>
      </w:r>
    </w:p>
    <w:p w:rsidR="00813DDC" w:rsidRPr="00813DDC" w:rsidRDefault="00813DDC" w:rsidP="00BC01B1">
      <w:pPr>
        <w:pStyle w:val="Ttulo4"/>
      </w:pPr>
      <w:bookmarkStart w:id="2337" w:name="_Toc499019072"/>
      <w:bookmarkStart w:id="2338" w:name="_Toc499106805"/>
      <w:bookmarkStart w:id="2339" w:name="_Toc499107125"/>
      <w:bookmarkStart w:id="2340" w:name="_Toc499107945"/>
      <w:bookmarkStart w:id="2341" w:name="_Toc499108782"/>
      <w:bookmarkStart w:id="2342" w:name="_Toc499109607"/>
      <w:bookmarkStart w:id="2343" w:name="_Toc499109773"/>
      <w:bookmarkStart w:id="2344" w:name="_Toc499709979"/>
      <w:bookmarkStart w:id="2345" w:name="_Toc509935702"/>
      <w:r w:rsidRPr="00813DDC">
        <w:t>Parcela da População Impactada por inundações</w:t>
      </w:r>
      <w:r w:rsidRPr="00813DDC">
        <w:rPr>
          <w:vertAlign w:val="superscript"/>
        </w:rPr>
        <w:footnoteReference w:id="5"/>
      </w:r>
      <w:r w:rsidRPr="00813DDC">
        <w:t>.</w:t>
      </w:r>
      <w:bookmarkEnd w:id="2337"/>
      <w:bookmarkEnd w:id="2338"/>
      <w:bookmarkEnd w:id="2339"/>
      <w:bookmarkEnd w:id="2340"/>
      <w:bookmarkEnd w:id="2341"/>
      <w:bookmarkEnd w:id="2342"/>
      <w:bookmarkEnd w:id="2343"/>
      <w:bookmarkEnd w:id="2344"/>
      <w:bookmarkEnd w:id="2345"/>
    </w:p>
    <w:p w:rsidR="00813DDC" w:rsidRPr="00813DDC" w:rsidRDefault="00813DDC" w:rsidP="00813DDC">
      <w:pPr>
        <w:spacing w:line="240" w:lineRule="auto"/>
        <w:ind w:left="-51"/>
        <w:jc w:val="center"/>
        <w:rPr>
          <w:rFonts w:cs="Arial"/>
          <w:sz w:val="22"/>
        </w:rPr>
      </w:pPr>
      <m:oMathPara>
        <m:oMath>
          <m:r>
            <m:rPr>
              <m:sty m:val="p"/>
            </m:rPr>
            <w:rPr>
              <w:rFonts w:ascii="Cambria Math" w:hAnsi="Cambria Math" w:cs="Arial"/>
              <w:sz w:val="22"/>
            </w:rPr>
            <m:t>IN041i=</m:t>
          </m:r>
          <m:f>
            <m:fPr>
              <m:ctrlPr>
                <w:rPr>
                  <w:rFonts w:ascii="Cambria Math" w:hAnsi="Cambria Math" w:cs="Arial"/>
                  <w:sz w:val="22"/>
                </w:rPr>
              </m:ctrlPr>
            </m:fPr>
            <m:num>
              <m:r>
                <m:rPr>
                  <m:sty m:val="p"/>
                </m:rPr>
                <w:rPr>
                  <w:rFonts w:ascii="Cambria Math" w:hAnsi="Cambria Math" w:cs="Arial"/>
                  <w:sz w:val="22"/>
                </w:rPr>
                <m:t>RI029i+RI067i</m:t>
              </m:r>
            </m:num>
            <m:den>
              <m:r>
                <m:rPr>
                  <m:sty m:val="p"/>
                </m:rPr>
                <w:rPr>
                  <w:rFonts w:ascii="Cambria Math" w:hAnsi="Cambria Math" w:cs="Arial"/>
                  <w:sz w:val="22"/>
                </w:rPr>
                <m:t>GE006</m:t>
              </m:r>
            </m:den>
          </m:f>
          <m:r>
            <w:rPr>
              <w:rFonts w:ascii="Cambria Math" w:hAnsi="Cambria Math" w:cs="Arial"/>
              <w:sz w:val="22"/>
            </w:rPr>
            <m:t>x100</m:t>
          </m:r>
        </m:oMath>
      </m:oMathPara>
    </w:p>
    <w:p w:rsidR="00813DDC" w:rsidRDefault="00813DDC" w:rsidP="00813DDC">
      <w:pPr>
        <w:rPr>
          <w:lang w:eastAsia="pt-BR"/>
        </w:rPr>
      </w:pPr>
    </w:p>
    <w:p w:rsidR="00810C89" w:rsidRPr="00813DDC" w:rsidRDefault="00810C89" w:rsidP="00813DDC">
      <w:pPr>
        <w:rPr>
          <w:lang w:eastAsia="pt-BR"/>
        </w:rPr>
      </w:pPr>
    </w:p>
    <w:p w:rsidR="00813DDC" w:rsidRPr="00813DDC" w:rsidRDefault="00813DDC" w:rsidP="00813DDC">
      <w:pPr>
        <w:ind w:firstLine="708"/>
        <w:rPr>
          <w:lang w:eastAsia="pt-BR"/>
        </w:rPr>
      </w:pPr>
      <w:r w:rsidRPr="00813DDC">
        <w:rPr>
          <w:lang w:eastAsia="pt-BR"/>
        </w:rPr>
        <w:lastRenderedPageBreak/>
        <w:t>Em que:</w:t>
      </w:r>
    </w:p>
    <w:p w:rsidR="00813DDC" w:rsidRPr="00813DDC" w:rsidRDefault="00813DDC" w:rsidP="0066661F">
      <w:pPr>
        <w:numPr>
          <w:ilvl w:val="0"/>
          <w:numId w:val="27"/>
        </w:numPr>
        <w:jc w:val="both"/>
        <w:rPr>
          <w:rFonts w:cs="Arial"/>
          <w:i/>
          <w:szCs w:val="24"/>
        </w:rPr>
      </w:pPr>
      <w:r w:rsidRPr="00813DDC">
        <w:rPr>
          <w:rFonts w:cs="Arial"/>
          <w:i/>
          <w:szCs w:val="24"/>
        </w:rPr>
        <w:t>IN041</w:t>
      </w:r>
      <w:r w:rsidRPr="00813DDC">
        <w:rPr>
          <w:rFonts w:cs="Arial"/>
          <w:i/>
          <w:szCs w:val="24"/>
          <w:vertAlign w:val="subscript"/>
        </w:rPr>
        <w:t>i</w:t>
      </w:r>
      <w:r w:rsidRPr="00813DDC">
        <w:rPr>
          <w:rFonts w:cs="Arial"/>
          <w:i/>
          <w:szCs w:val="24"/>
        </w:rPr>
        <w:t>: Parcela da População Impactada por inundações.</w:t>
      </w:r>
    </w:p>
    <w:p w:rsidR="00813DDC" w:rsidRPr="00813DDC" w:rsidRDefault="00813DDC" w:rsidP="0066661F">
      <w:pPr>
        <w:numPr>
          <w:ilvl w:val="0"/>
          <w:numId w:val="27"/>
        </w:numPr>
        <w:jc w:val="both"/>
        <w:rPr>
          <w:rFonts w:cs="Arial"/>
          <w:i/>
          <w:szCs w:val="24"/>
        </w:rPr>
      </w:pPr>
      <w:r w:rsidRPr="00813DDC">
        <w:rPr>
          <w:rFonts w:cs="Arial"/>
          <w:i/>
          <w:szCs w:val="24"/>
        </w:rPr>
        <w:t>RI029</w:t>
      </w:r>
      <w:r w:rsidRPr="00813DDC">
        <w:rPr>
          <w:rFonts w:cs="Arial"/>
          <w:i/>
          <w:szCs w:val="24"/>
          <w:vertAlign w:val="subscript"/>
        </w:rPr>
        <w:t>i</w:t>
      </w:r>
      <w:r w:rsidRPr="00813DDC">
        <w:rPr>
          <w:rFonts w:cs="Arial"/>
          <w:i/>
          <w:szCs w:val="24"/>
        </w:rPr>
        <w:t xml:space="preserve">: Número de pessoas desabrigadas ou desalojadas na área urbana do município devido a inundações no ano de referência, </w:t>
      </w:r>
      <w:r w:rsidRPr="00813DDC">
        <w:rPr>
          <w:rFonts w:cs="Arial"/>
          <w:b/>
          <w:i/>
          <w:szCs w:val="24"/>
        </w:rPr>
        <w:t>registrado</w:t>
      </w:r>
      <w:r w:rsidRPr="00813DDC">
        <w:rPr>
          <w:rFonts w:cs="Arial"/>
          <w:i/>
          <w:szCs w:val="24"/>
        </w:rPr>
        <w:t xml:space="preserve"> no sistema eletrônico da Secretaria Nacional de Proteção e Defesa Civil (Fonte: S2ID).</w:t>
      </w:r>
    </w:p>
    <w:p w:rsidR="00813DDC" w:rsidRPr="00813DDC" w:rsidRDefault="00813DDC" w:rsidP="0066661F">
      <w:pPr>
        <w:numPr>
          <w:ilvl w:val="0"/>
          <w:numId w:val="27"/>
        </w:numPr>
        <w:jc w:val="both"/>
        <w:rPr>
          <w:rFonts w:cs="Arial"/>
          <w:i/>
          <w:szCs w:val="24"/>
        </w:rPr>
      </w:pPr>
      <w:r w:rsidRPr="00813DDC">
        <w:rPr>
          <w:rFonts w:cs="Arial"/>
          <w:i/>
          <w:szCs w:val="24"/>
        </w:rPr>
        <w:t>RI067</w:t>
      </w:r>
      <w:r w:rsidRPr="00813DDC">
        <w:rPr>
          <w:rFonts w:cs="Arial"/>
          <w:i/>
          <w:szCs w:val="24"/>
          <w:vertAlign w:val="subscript"/>
        </w:rPr>
        <w:t>i</w:t>
      </w:r>
      <w:r w:rsidRPr="00813DDC">
        <w:rPr>
          <w:rFonts w:cs="Arial"/>
          <w:i/>
          <w:szCs w:val="24"/>
        </w:rPr>
        <w:t>:</w:t>
      </w:r>
      <w:r w:rsidRPr="00813DDC">
        <w:t xml:space="preserve"> </w:t>
      </w:r>
      <w:r w:rsidRPr="00813DDC">
        <w:rPr>
          <w:rFonts w:cs="Arial"/>
          <w:i/>
          <w:szCs w:val="24"/>
        </w:rPr>
        <w:t xml:space="preserve">Número de pessoas desabrigadas ou desalojadas na área urbana do município devido a inundações no ano de referência, que </w:t>
      </w:r>
      <w:r w:rsidRPr="00813DDC">
        <w:rPr>
          <w:rFonts w:cs="Arial"/>
          <w:b/>
          <w:i/>
          <w:szCs w:val="24"/>
        </w:rPr>
        <w:t>não foi registrado</w:t>
      </w:r>
      <w:r w:rsidRPr="00813DDC">
        <w:rPr>
          <w:rFonts w:cs="Arial"/>
          <w:i/>
          <w:szCs w:val="24"/>
        </w:rPr>
        <w:t xml:space="preserve"> no sistema eletrônico (S2ID) da Secretaria Nacional de Proteção e Defesa Civil:</w:t>
      </w:r>
    </w:p>
    <w:p w:rsidR="00813DDC" w:rsidRPr="00813DDC" w:rsidRDefault="00813DDC" w:rsidP="0066661F">
      <w:pPr>
        <w:numPr>
          <w:ilvl w:val="0"/>
          <w:numId w:val="27"/>
        </w:numPr>
        <w:jc w:val="both"/>
        <w:rPr>
          <w:rFonts w:cs="Arial"/>
          <w:i/>
          <w:szCs w:val="24"/>
        </w:rPr>
      </w:pPr>
      <w:r w:rsidRPr="00813DDC">
        <w:rPr>
          <w:rFonts w:cs="Arial"/>
          <w:i/>
          <w:szCs w:val="24"/>
        </w:rPr>
        <w:t>GE006: População urbana residente no município (estimada conforme taxa de urbanização do último Censo).</w:t>
      </w:r>
    </w:p>
    <w:p w:rsidR="00813DDC" w:rsidRPr="00813DDC" w:rsidRDefault="00813DDC" w:rsidP="00813DDC">
      <w:pPr>
        <w:ind w:firstLine="708"/>
        <w:jc w:val="both"/>
        <w:rPr>
          <w:rFonts w:cs="Arial"/>
          <w:szCs w:val="24"/>
        </w:rPr>
      </w:pPr>
      <w:r w:rsidRPr="00813DDC">
        <w:rPr>
          <w:rFonts w:cs="Arial"/>
          <w:szCs w:val="24"/>
        </w:rPr>
        <w:t xml:space="preserve">O valor ideal para este indicador é 0 %, indicando a inexistência de populações impactadas por inundações no município. </w:t>
      </w:r>
    </w:p>
    <w:p w:rsidR="00813DDC" w:rsidRPr="00813DDC" w:rsidRDefault="00813DDC" w:rsidP="00BC01B1">
      <w:pPr>
        <w:pStyle w:val="Ttulo3"/>
      </w:pPr>
      <w:bookmarkStart w:id="2346" w:name="_Toc453769380"/>
      <w:bookmarkStart w:id="2347" w:name="_Toc453771247"/>
      <w:bookmarkStart w:id="2348" w:name="_Toc453833795"/>
      <w:bookmarkStart w:id="2349" w:name="_Toc499019073"/>
      <w:bookmarkStart w:id="2350" w:name="_Toc499106806"/>
      <w:bookmarkStart w:id="2351" w:name="_Toc499107126"/>
      <w:bookmarkStart w:id="2352" w:name="_Toc499107946"/>
      <w:bookmarkStart w:id="2353" w:name="_Toc499108783"/>
      <w:bookmarkStart w:id="2354" w:name="_Toc499109608"/>
      <w:bookmarkStart w:id="2355" w:name="_Toc499109774"/>
      <w:bookmarkStart w:id="2356" w:name="_Toc499709980"/>
      <w:bookmarkStart w:id="2357" w:name="_Toc509935703"/>
      <w:r w:rsidRPr="00813DDC">
        <w:t>Indicadores para o objetivo 2</w:t>
      </w:r>
      <w:bookmarkEnd w:id="2346"/>
      <w:bookmarkEnd w:id="2347"/>
      <w:bookmarkEnd w:id="2348"/>
      <w:bookmarkEnd w:id="2349"/>
      <w:bookmarkEnd w:id="2350"/>
      <w:bookmarkEnd w:id="2351"/>
      <w:bookmarkEnd w:id="2352"/>
      <w:bookmarkEnd w:id="2353"/>
      <w:bookmarkEnd w:id="2354"/>
      <w:bookmarkEnd w:id="2355"/>
      <w:bookmarkEnd w:id="2356"/>
      <w:bookmarkEnd w:id="2357"/>
    </w:p>
    <w:p w:rsidR="00813DDC" w:rsidRPr="00813DDC" w:rsidRDefault="00813DDC" w:rsidP="00BC01B1">
      <w:pPr>
        <w:pStyle w:val="Ttulo4"/>
      </w:pPr>
      <w:bookmarkStart w:id="2358" w:name="_Toc499019074"/>
      <w:bookmarkStart w:id="2359" w:name="_Toc499106807"/>
      <w:bookmarkStart w:id="2360" w:name="_Toc499107127"/>
      <w:bookmarkStart w:id="2361" w:name="_Toc499107947"/>
      <w:bookmarkStart w:id="2362" w:name="_Toc499108784"/>
      <w:bookmarkStart w:id="2363" w:name="_Toc499109609"/>
      <w:bookmarkStart w:id="2364" w:name="_Toc499109775"/>
      <w:bookmarkStart w:id="2365" w:name="_Toc499709981"/>
      <w:bookmarkStart w:id="2366" w:name="_Toc509935704"/>
      <w:r w:rsidRPr="00813DDC">
        <w:t>Parcela da População Impactada por Escorregamento</w:t>
      </w:r>
      <w:r w:rsidRPr="00813DDC">
        <w:rPr>
          <w:vertAlign w:val="superscript"/>
        </w:rPr>
        <w:footnoteReference w:id="6"/>
      </w:r>
      <w:bookmarkEnd w:id="2358"/>
      <w:bookmarkEnd w:id="2359"/>
      <w:bookmarkEnd w:id="2360"/>
      <w:bookmarkEnd w:id="2361"/>
      <w:bookmarkEnd w:id="2362"/>
      <w:bookmarkEnd w:id="2363"/>
      <w:bookmarkEnd w:id="2364"/>
      <w:bookmarkEnd w:id="2365"/>
      <w:bookmarkEnd w:id="2366"/>
    </w:p>
    <w:p w:rsidR="00813DDC" w:rsidRPr="00813DDC" w:rsidRDefault="00813DDC" w:rsidP="00813DDC">
      <w:pPr>
        <w:ind w:left="708"/>
        <w:jc w:val="center"/>
        <w:rPr>
          <w:lang w:eastAsia="pt-BR"/>
        </w:rPr>
      </w:pPr>
      <m:oMathPara>
        <m:oMath>
          <m:r>
            <w:rPr>
              <w:rFonts w:ascii="Cambria Math" w:eastAsia="Times New Roman" w:hAnsi="Cambria Math" w:cs="Arial"/>
              <w:sz w:val="22"/>
              <w:lang w:eastAsia="pt-BR"/>
            </w:rPr>
            <m:t>IN041e=</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RI029e+RI067e</m:t>
              </m:r>
            </m:num>
            <m:den>
              <m:r>
                <w:rPr>
                  <w:rFonts w:ascii="Cambria Math" w:eastAsia="Times New Roman" w:hAnsi="Cambria Math" w:cs="Arial"/>
                  <w:sz w:val="22"/>
                  <w:lang w:eastAsia="pt-BR"/>
                </w:rPr>
                <m:t>GE006</m:t>
              </m:r>
            </m:den>
          </m:f>
          <m:r>
            <w:rPr>
              <w:rFonts w:ascii="Cambria Math" w:eastAsia="Times New Roman" w:hAnsi="Cambria Math" w:cs="Arial"/>
              <w:sz w:val="22"/>
              <w:lang w:eastAsia="pt-BR"/>
            </w:rPr>
            <m:t>x 100</m:t>
          </m:r>
        </m:oMath>
      </m:oMathPara>
    </w:p>
    <w:p w:rsidR="00813DDC" w:rsidRPr="00813DDC" w:rsidRDefault="00813DDC" w:rsidP="00813DDC">
      <w:pPr>
        <w:ind w:left="708"/>
        <w:rPr>
          <w:lang w:eastAsia="pt-BR"/>
        </w:rPr>
      </w:pPr>
    </w:p>
    <w:p w:rsidR="00813DDC" w:rsidRPr="00813DDC" w:rsidRDefault="00813DDC" w:rsidP="00813DDC">
      <w:pPr>
        <w:ind w:left="708"/>
        <w:rPr>
          <w:lang w:eastAsia="pt-BR"/>
        </w:rPr>
      </w:pPr>
      <w:r w:rsidRPr="00813DDC">
        <w:rPr>
          <w:lang w:eastAsia="pt-BR"/>
        </w:rPr>
        <w:t>Em que:</w:t>
      </w:r>
    </w:p>
    <w:p w:rsidR="00813DDC" w:rsidRPr="00813DDC" w:rsidRDefault="00813DDC" w:rsidP="0066661F">
      <w:pPr>
        <w:numPr>
          <w:ilvl w:val="0"/>
          <w:numId w:val="27"/>
        </w:numPr>
        <w:jc w:val="both"/>
        <w:rPr>
          <w:rFonts w:cs="Arial"/>
          <w:i/>
          <w:szCs w:val="24"/>
        </w:rPr>
      </w:pPr>
      <w:r w:rsidRPr="00813DDC">
        <w:rPr>
          <w:rFonts w:cs="Arial"/>
          <w:i/>
          <w:szCs w:val="24"/>
        </w:rPr>
        <w:t>IN041</w:t>
      </w:r>
      <w:r w:rsidRPr="00813DDC">
        <w:rPr>
          <w:rFonts w:cs="Arial"/>
          <w:i/>
          <w:szCs w:val="24"/>
          <w:vertAlign w:val="subscript"/>
        </w:rPr>
        <w:t>e</w:t>
      </w:r>
      <w:r w:rsidRPr="00813DDC">
        <w:rPr>
          <w:rFonts w:cs="Arial"/>
          <w:i/>
          <w:szCs w:val="24"/>
        </w:rPr>
        <w:t>: Parcela da População Impactada por inundações.</w:t>
      </w:r>
    </w:p>
    <w:p w:rsidR="00813DDC" w:rsidRPr="00813DDC" w:rsidRDefault="00813DDC" w:rsidP="0066661F">
      <w:pPr>
        <w:numPr>
          <w:ilvl w:val="0"/>
          <w:numId w:val="27"/>
        </w:numPr>
        <w:jc w:val="both"/>
        <w:rPr>
          <w:rFonts w:cs="Arial"/>
          <w:i/>
          <w:szCs w:val="24"/>
        </w:rPr>
      </w:pPr>
      <w:r w:rsidRPr="00813DDC">
        <w:rPr>
          <w:rFonts w:cs="Arial"/>
          <w:i/>
          <w:szCs w:val="24"/>
        </w:rPr>
        <w:t>RI029</w:t>
      </w:r>
      <w:r w:rsidRPr="00813DDC">
        <w:rPr>
          <w:rFonts w:cs="Arial"/>
          <w:i/>
          <w:szCs w:val="24"/>
          <w:vertAlign w:val="subscript"/>
        </w:rPr>
        <w:t>e</w:t>
      </w:r>
      <w:r w:rsidRPr="00813DDC">
        <w:rPr>
          <w:rFonts w:cs="Arial"/>
          <w:i/>
          <w:szCs w:val="24"/>
        </w:rPr>
        <w:t>: Número de pessoas desabrigadas ou desalojadas na área urbana do município devido a escorregamentos no ano de referência, registrado no sistema eletrônico da Secretaria Nacional de Proteção e Defesa Civil (Fonte: S2ID):</w:t>
      </w:r>
    </w:p>
    <w:p w:rsidR="00813DDC" w:rsidRPr="00813DDC" w:rsidRDefault="00813DDC" w:rsidP="0066661F">
      <w:pPr>
        <w:numPr>
          <w:ilvl w:val="0"/>
          <w:numId w:val="27"/>
        </w:numPr>
        <w:jc w:val="both"/>
        <w:rPr>
          <w:i/>
          <w:lang w:eastAsia="pt-BR"/>
        </w:rPr>
      </w:pPr>
      <w:r w:rsidRPr="00813DDC">
        <w:rPr>
          <w:rFonts w:cs="Arial"/>
          <w:i/>
          <w:szCs w:val="24"/>
        </w:rPr>
        <w:t>RI067</w:t>
      </w:r>
      <w:r w:rsidRPr="00813DDC">
        <w:rPr>
          <w:rFonts w:cs="Arial"/>
          <w:i/>
          <w:szCs w:val="24"/>
          <w:vertAlign w:val="subscript"/>
        </w:rPr>
        <w:t>e</w:t>
      </w:r>
      <w:r w:rsidRPr="00813DDC">
        <w:rPr>
          <w:rFonts w:cs="Arial"/>
          <w:i/>
          <w:szCs w:val="24"/>
        </w:rPr>
        <w:t>: Número de pessoas desabrigadas ou desalojadas na área urbana do município devido a escorregamento no ano de referência, que não foi registrado no sistema eletrônico (S2ID) da Secretaria Nacional de Proteção</w:t>
      </w:r>
      <w:r w:rsidRPr="00813DDC">
        <w:rPr>
          <w:i/>
          <w:lang w:eastAsia="pt-BR"/>
        </w:rPr>
        <w:t xml:space="preserve"> e Defesa Civil.</w:t>
      </w:r>
    </w:p>
    <w:p w:rsidR="00813DDC" w:rsidRPr="00813DDC" w:rsidRDefault="00813DDC" w:rsidP="0066661F">
      <w:pPr>
        <w:numPr>
          <w:ilvl w:val="0"/>
          <w:numId w:val="27"/>
        </w:numPr>
        <w:jc w:val="both"/>
        <w:rPr>
          <w:rFonts w:cs="Arial"/>
          <w:i/>
          <w:szCs w:val="24"/>
        </w:rPr>
      </w:pPr>
      <w:r w:rsidRPr="00813DDC">
        <w:rPr>
          <w:rFonts w:cs="Arial"/>
          <w:i/>
          <w:szCs w:val="24"/>
        </w:rPr>
        <w:lastRenderedPageBreak/>
        <w:t>GE006: População urbana residente no município (estimada conforme taxa de urbanização do último Censo).</w:t>
      </w:r>
    </w:p>
    <w:p w:rsidR="00813DDC" w:rsidRPr="00813DDC" w:rsidRDefault="00813DDC" w:rsidP="00810C89">
      <w:pPr>
        <w:ind w:firstLine="708"/>
        <w:jc w:val="both"/>
        <w:rPr>
          <w:rFonts w:cs="Arial"/>
          <w:szCs w:val="24"/>
        </w:rPr>
      </w:pPr>
      <w:r w:rsidRPr="00813DDC">
        <w:rPr>
          <w:rFonts w:cs="Arial"/>
          <w:szCs w:val="24"/>
        </w:rPr>
        <w:t xml:space="preserve">O valor ideal para este indicador é 0 %, indicando a inexistência de populações impactadas por escorregamentos no município. </w:t>
      </w:r>
    </w:p>
    <w:p w:rsidR="00813DDC" w:rsidRPr="00813DDC" w:rsidRDefault="00813DDC" w:rsidP="00BC01B1">
      <w:pPr>
        <w:pStyle w:val="Ttulo3"/>
      </w:pPr>
      <w:bookmarkStart w:id="2367" w:name="_Toc453769383"/>
      <w:bookmarkStart w:id="2368" w:name="_Toc453771250"/>
      <w:bookmarkStart w:id="2369" w:name="_Toc453833798"/>
      <w:bookmarkStart w:id="2370" w:name="_Toc499019075"/>
      <w:bookmarkStart w:id="2371" w:name="_Toc499106808"/>
      <w:bookmarkStart w:id="2372" w:name="_Toc499107128"/>
      <w:bookmarkStart w:id="2373" w:name="_Toc499107948"/>
      <w:bookmarkStart w:id="2374" w:name="_Toc499108785"/>
      <w:bookmarkStart w:id="2375" w:name="_Toc499109610"/>
      <w:bookmarkStart w:id="2376" w:name="_Toc499109776"/>
      <w:bookmarkStart w:id="2377" w:name="_Toc499709982"/>
      <w:bookmarkStart w:id="2378" w:name="_Toc509935705"/>
      <w:r w:rsidRPr="00813DDC">
        <w:t>Indicadores para o objetivo 3</w:t>
      </w:r>
      <w:bookmarkEnd w:id="2367"/>
      <w:bookmarkEnd w:id="2368"/>
      <w:bookmarkEnd w:id="2369"/>
      <w:bookmarkEnd w:id="2370"/>
      <w:bookmarkEnd w:id="2371"/>
      <w:bookmarkEnd w:id="2372"/>
      <w:bookmarkEnd w:id="2373"/>
      <w:bookmarkEnd w:id="2374"/>
      <w:bookmarkEnd w:id="2375"/>
      <w:bookmarkEnd w:id="2376"/>
      <w:bookmarkEnd w:id="2377"/>
      <w:bookmarkEnd w:id="2378"/>
    </w:p>
    <w:p w:rsidR="00813DDC" w:rsidRPr="00813DDC" w:rsidRDefault="00813DDC" w:rsidP="00BC01B1">
      <w:pPr>
        <w:pStyle w:val="Ttulo4"/>
      </w:pPr>
      <w:bookmarkStart w:id="2379" w:name="_Toc453769384"/>
      <w:bookmarkStart w:id="2380" w:name="_Toc453771251"/>
      <w:bookmarkStart w:id="2381" w:name="_Toc453833799"/>
      <w:bookmarkStart w:id="2382" w:name="_Toc499019076"/>
      <w:bookmarkStart w:id="2383" w:name="_Toc499106809"/>
      <w:bookmarkStart w:id="2384" w:name="_Toc499107129"/>
      <w:bookmarkStart w:id="2385" w:name="_Toc499107949"/>
      <w:bookmarkStart w:id="2386" w:name="_Toc499108786"/>
      <w:bookmarkStart w:id="2387" w:name="_Toc499109611"/>
      <w:bookmarkStart w:id="2388" w:name="_Toc499109777"/>
      <w:bookmarkStart w:id="2389" w:name="_Toc499709983"/>
      <w:bookmarkStart w:id="2390" w:name="_Toc509935706"/>
      <w:r w:rsidRPr="00813DDC">
        <w:t>Percentual de APPs de margens de cursos d’água preservadas</w:t>
      </w:r>
      <w:bookmarkEnd w:id="2379"/>
      <w:bookmarkEnd w:id="2380"/>
      <w:bookmarkEnd w:id="2381"/>
      <w:bookmarkEnd w:id="2382"/>
      <w:bookmarkEnd w:id="2383"/>
      <w:bookmarkEnd w:id="2384"/>
      <w:bookmarkEnd w:id="2385"/>
      <w:bookmarkEnd w:id="2386"/>
      <w:bookmarkEnd w:id="2387"/>
      <w:bookmarkEnd w:id="2388"/>
      <w:bookmarkEnd w:id="2389"/>
      <w:bookmarkEnd w:id="2390"/>
    </w:p>
    <w:p w:rsidR="00813DDC" w:rsidRPr="00813DDC" w:rsidRDefault="00813DDC" w:rsidP="00813DDC">
      <w:pPr>
        <w:spacing w:before="120" w:after="200"/>
        <w:ind w:firstLine="709"/>
        <w:contextualSpacing/>
        <w:jc w:val="both"/>
        <w:rPr>
          <w:rFonts w:eastAsia="Times New Roman" w:cs="Arial"/>
          <w:szCs w:val="20"/>
          <w:lang w:eastAsia="pt-BR"/>
        </w:rPr>
      </w:pPr>
      <w:r w:rsidRPr="00813DDC">
        <w:rPr>
          <w:rFonts w:eastAsia="Times New Roman" w:cs="Arial"/>
          <w:szCs w:val="20"/>
          <w:lang w:eastAsia="pt-BR"/>
        </w:rPr>
        <w:t>Este indicador possui a finalidade de apresentar o percentual de preservação das faixas de APPs dos cursos d’água e de nascentes. Para tal, sugere-se que seja utilizada a Base Cartográfica do município (mais especificamente o tema Hidrografia) e que seja feita a delimitação das APPs conforme previsto no Novo Código Florestal. Por fim, deve-se sobrepor esta delimitação a imagens de satélites recentes. Dessa forma, serão obtidas, de maneira visual, as faixas de APPs que se encontram preservadas. Sugere-se que esse indicador seja aferido anualmente.</w:t>
      </w:r>
    </w:p>
    <w:p w:rsidR="00813DDC" w:rsidRPr="00813DDC" w:rsidRDefault="00813DDC" w:rsidP="00813DDC">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 xml:space="preserve">APPpres= </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Apres</m:t>
              </m:r>
            </m:num>
            <m:den>
              <m:r>
                <w:rPr>
                  <w:rFonts w:ascii="Cambria Math" w:eastAsia="Times New Roman" w:hAnsi="Cambria Math" w:cs="Arial"/>
                  <w:sz w:val="22"/>
                  <w:lang w:eastAsia="pt-BR"/>
                </w:rPr>
                <m:t>Apv</m:t>
              </m:r>
            </m:den>
          </m:f>
          <m:r>
            <w:rPr>
              <w:rFonts w:ascii="Cambria Math" w:eastAsia="Times New Roman" w:hAnsi="Cambria Math" w:cs="Arial"/>
              <w:sz w:val="22"/>
              <w:lang w:eastAsia="pt-BR"/>
            </w:rPr>
            <m:t xml:space="preserve"> x 100</m:t>
          </m:r>
        </m:oMath>
      </m:oMathPara>
    </w:p>
    <w:p w:rsidR="00813DDC" w:rsidRPr="00813DDC" w:rsidRDefault="00813DDC" w:rsidP="00813DDC">
      <w:pPr>
        <w:ind w:left="708" w:firstLine="1"/>
        <w:rPr>
          <w:rFonts w:eastAsia="Times New Roman" w:cs="Arial"/>
          <w:lang w:eastAsia="pt-BR"/>
        </w:rPr>
      </w:pPr>
      <w:r w:rsidRPr="00813DDC">
        <w:rPr>
          <w:lang w:eastAsia="pt-BR"/>
        </w:rPr>
        <w:t>Em</w:t>
      </w:r>
      <w:r w:rsidRPr="00813DDC">
        <w:rPr>
          <w:rFonts w:eastAsia="Times New Roman" w:cs="Arial"/>
          <w:lang w:eastAsia="pt-BR"/>
        </w:rPr>
        <w:t xml:space="preserve"> que:</w:t>
      </w:r>
    </w:p>
    <w:p w:rsidR="00813DDC" w:rsidRPr="00813DDC" w:rsidRDefault="00813DDC" w:rsidP="0066661F">
      <w:pPr>
        <w:numPr>
          <w:ilvl w:val="0"/>
          <w:numId w:val="27"/>
        </w:numPr>
        <w:jc w:val="both"/>
        <w:rPr>
          <w:rFonts w:cs="Arial"/>
          <w:i/>
          <w:szCs w:val="24"/>
        </w:rPr>
      </w:pPr>
      <w:r w:rsidRPr="00813DDC">
        <w:rPr>
          <w:rFonts w:cs="Arial"/>
          <w:i/>
          <w:szCs w:val="24"/>
        </w:rPr>
        <w:t>APPpres: Percentual de APPs preservadas (%).</w:t>
      </w:r>
    </w:p>
    <w:p w:rsidR="00813DDC" w:rsidRPr="00813DDC" w:rsidRDefault="00813DDC" w:rsidP="0066661F">
      <w:pPr>
        <w:numPr>
          <w:ilvl w:val="0"/>
          <w:numId w:val="27"/>
        </w:numPr>
        <w:jc w:val="both"/>
        <w:rPr>
          <w:rFonts w:cs="Arial"/>
          <w:i/>
          <w:szCs w:val="24"/>
        </w:rPr>
      </w:pPr>
      <w:r w:rsidRPr="00813DDC">
        <w:rPr>
          <w:rFonts w:cs="Arial"/>
          <w:i/>
          <w:szCs w:val="24"/>
        </w:rPr>
        <w:t>Apres: Áreas de APPs preservadas (km²).</w:t>
      </w:r>
    </w:p>
    <w:p w:rsidR="00813DDC" w:rsidRPr="00813DDC" w:rsidRDefault="00813DDC" w:rsidP="0066661F">
      <w:pPr>
        <w:numPr>
          <w:ilvl w:val="0"/>
          <w:numId w:val="27"/>
        </w:numPr>
        <w:jc w:val="both"/>
        <w:rPr>
          <w:rFonts w:cs="Arial"/>
          <w:i/>
          <w:szCs w:val="24"/>
        </w:rPr>
      </w:pPr>
      <w:r w:rsidRPr="00813DDC">
        <w:rPr>
          <w:rFonts w:cs="Arial"/>
          <w:i/>
          <w:szCs w:val="24"/>
        </w:rPr>
        <w:t>Apv: Áreas de APPs previstas de acordo com o Novo Código Florestal (km²).</w:t>
      </w:r>
    </w:p>
    <w:p w:rsidR="00813DDC" w:rsidRPr="00813DDC" w:rsidRDefault="00813DDC" w:rsidP="00813DDC">
      <w:pPr>
        <w:spacing w:before="120" w:after="120"/>
        <w:ind w:firstLine="709"/>
        <w:contextualSpacing/>
        <w:jc w:val="both"/>
        <w:rPr>
          <w:rFonts w:eastAsia="Times New Roman" w:cs="Arial"/>
          <w:szCs w:val="20"/>
          <w:lang w:eastAsia="pt-BR"/>
        </w:rPr>
      </w:pPr>
      <w:r w:rsidRPr="00813DDC">
        <w:rPr>
          <w:rFonts w:eastAsia="Times New Roman" w:cs="Arial"/>
          <w:szCs w:val="20"/>
          <w:lang w:eastAsia="pt-BR"/>
        </w:rPr>
        <w:t xml:space="preserve">Destaca-se que quanto menor o valor obtido de </w:t>
      </w:r>
      <w:r w:rsidRPr="00813DDC">
        <w:rPr>
          <w:rFonts w:eastAsia="Times New Roman" w:cs="Arial"/>
          <w:i/>
        </w:rPr>
        <w:t>APPpres</w:t>
      </w:r>
      <w:r w:rsidRPr="00813DDC">
        <w:rPr>
          <w:rFonts w:eastAsia="Times New Roman" w:cs="Arial"/>
          <w:i/>
          <w:vertAlign w:val="subscript"/>
        </w:rPr>
        <w:t xml:space="preserve">, </w:t>
      </w:r>
      <w:r w:rsidRPr="00813DDC">
        <w:rPr>
          <w:rFonts w:eastAsia="Times New Roman" w:cs="Arial"/>
          <w:szCs w:val="20"/>
          <w:lang w:eastAsia="pt-BR"/>
        </w:rPr>
        <w:t>maior será o grau de degradação. Dessa forma, o valor ótimo para esse índice é igual 100 %, indicando que as APPs se encontram completamente preservadas.</w:t>
      </w:r>
    </w:p>
    <w:p w:rsidR="00813DDC" w:rsidRPr="00813DDC" w:rsidRDefault="00813DDC" w:rsidP="00BC01B1">
      <w:pPr>
        <w:pStyle w:val="Ttulo4"/>
      </w:pPr>
      <w:bookmarkStart w:id="2391" w:name="_Toc453769385"/>
      <w:bookmarkStart w:id="2392" w:name="_Toc453771252"/>
      <w:bookmarkStart w:id="2393" w:name="_Toc453833800"/>
      <w:bookmarkStart w:id="2394" w:name="_Toc499019077"/>
      <w:bookmarkStart w:id="2395" w:name="_Toc499106810"/>
      <w:bookmarkStart w:id="2396" w:name="_Toc499107130"/>
      <w:bookmarkStart w:id="2397" w:name="_Toc499107950"/>
      <w:bookmarkStart w:id="2398" w:name="_Toc499108787"/>
      <w:bookmarkStart w:id="2399" w:name="_Toc499109612"/>
      <w:bookmarkStart w:id="2400" w:name="_Toc499109778"/>
      <w:bookmarkStart w:id="2401" w:name="_Toc499709984"/>
      <w:bookmarkStart w:id="2402" w:name="_Toc509935707"/>
      <w:r w:rsidRPr="00813DDC">
        <w:t>Percentual de áreas impermeabilizadas</w:t>
      </w:r>
      <w:bookmarkEnd w:id="2391"/>
      <w:bookmarkEnd w:id="2392"/>
      <w:bookmarkEnd w:id="2393"/>
      <w:bookmarkEnd w:id="2394"/>
      <w:bookmarkEnd w:id="2395"/>
      <w:bookmarkEnd w:id="2396"/>
      <w:bookmarkEnd w:id="2397"/>
      <w:bookmarkEnd w:id="2398"/>
      <w:bookmarkEnd w:id="2399"/>
      <w:bookmarkEnd w:id="2400"/>
      <w:bookmarkEnd w:id="2401"/>
      <w:bookmarkEnd w:id="2402"/>
    </w:p>
    <w:p w:rsidR="00813DDC" w:rsidRPr="00813DDC" w:rsidRDefault="00813DDC" w:rsidP="00813DDC">
      <w:pPr>
        <w:spacing w:before="120" w:after="120"/>
        <w:ind w:firstLine="709"/>
        <w:contextualSpacing/>
        <w:jc w:val="both"/>
        <w:rPr>
          <w:rFonts w:eastAsia="Times New Roman" w:cs="Arial"/>
          <w:szCs w:val="20"/>
          <w:lang w:eastAsia="pt-BR"/>
        </w:rPr>
      </w:pPr>
      <w:r w:rsidRPr="00813DDC">
        <w:rPr>
          <w:rFonts w:eastAsia="Times New Roman" w:cs="Arial"/>
          <w:szCs w:val="20"/>
          <w:lang w:eastAsia="pt-BR"/>
        </w:rPr>
        <w:t>As áreas impermeabilizadas impedem a infiltração das águas pluviais no solo, elevando o escoamento superficial. Como consequência, áreas altamente impermeabilizadas podem apresentar problemas no sistema de drenagem urbana.</w:t>
      </w:r>
    </w:p>
    <w:p w:rsidR="00813DDC" w:rsidRPr="00813DDC" w:rsidRDefault="001B481B" w:rsidP="00813DDC">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AImp</m:t>
              </m:r>
            </m:sub>
          </m:sSub>
          <m:r>
            <w:rPr>
              <w:rFonts w:ascii="Cambria Math" w:eastAsia="Times New Roman" w:hAnsi="Cambria Math" w:cs="Arial"/>
              <w:sz w:val="22"/>
              <w:lang w:eastAsia="pt-BR"/>
            </w:rPr>
            <m:t xml:space="preserve">=100 x </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A</m:t>
                  </m:r>
                </m:e>
                <m:sub>
                  <m:r>
                    <w:rPr>
                      <w:rFonts w:ascii="Cambria Math" w:eastAsia="Times New Roman" w:hAnsi="Cambria Math" w:cs="Arial"/>
                      <w:sz w:val="22"/>
                      <w:lang w:eastAsia="pt-BR"/>
                    </w:rPr>
                    <m:t>i</m:t>
                  </m:r>
                </m:sub>
              </m:sSub>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A</m:t>
                  </m:r>
                </m:e>
                <m:sub>
                  <m:r>
                    <w:rPr>
                      <w:rFonts w:ascii="Cambria Math" w:eastAsia="Times New Roman" w:hAnsi="Cambria Math" w:cs="Arial"/>
                      <w:sz w:val="22"/>
                      <w:lang w:eastAsia="pt-BR"/>
                    </w:rPr>
                    <m:t>t</m:t>
                  </m:r>
                </m:sub>
              </m:sSub>
            </m:den>
          </m:f>
        </m:oMath>
      </m:oMathPara>
    </w:p>
    <w:p w:rsidR="00810C89" w:rsidRDefault="00813DDC" w:rsidP="00813DDC">
      <w:pPr>
        <w:spacing w:before="120"/>
        <w:rPr>
          <w:rFonts w:eastAsia="Times New Roman" w:cs="Arial"/>
          <w:szCs w:val="20"/>
          <w:lang w:eastAsia="pt-BR"/>
        </w:rPr>
      </w:pPr>
      <w:r w:rsidRPr="00813DDC">
        <w:rPr>
          <w:rFonts w:eastAsia="Times New Roman" w:cs="Arial"/>
          <w:szCs w:val="20"/>
          <w:lang w:eastAsia="pt-BR"/>
        </w:rPr>
        <w:tab/>
      </w:r>
    </w:p>
    <w:p w:rsidR="00813DDC" w:rsidRPr="00813DDC" w:rsidRDefault="00813DDC" w:rsidP="00810C89">
      <w:pPr>
        <w:spacing w:before="120"/>
        <w:ind w:firstLine="709"/>
        <w:rPr>
          <w:rFonts w:eastAsia="Times New Roman" w:cs="Arial"/>
          <w:szCs w:val="20"/>
          <w:lang w:eastAsia="pt-BR"/>
        </w:rPr>
      </w:pPr>
      <w:r w:rsidRPr="00813DDC">
        <w:rPr>
          <w:rFonts w:eastAsia="Times New Roman" w:cs="Arial"/>
          <w:szCs w:val="20"/>
          <w:lang w:eastAsia="pt-BR"/>
        </w:rPr>
        <w:lastRenderedPageBreak/>
        <w:t>Em que:</w:t>
      </w:r>
    </w:p>
    <w:p w:rsidR="00813DDC" w:rsidRPr="00813DDC" w:rsidRDefault="00813DDC" w:rsidP="0066661F">
      <w:pPr>
        <w:numPr>
          <w:ilvl w:val="0"/>
          <w:numId w:val="27"/>
        </w:numPr>
        <w:jc w:val="both"/>
        <w:rPr>
          <w:rFonts w:cs="Arial"/>
          <w:i/>
          <w:szCs w:val="24"/>
        </w:rPr>
      </w:pPr>
      <w:r w:rsidRPr="00813DDC">
        <w:rPr>
          <w:rFonts w:cs="Arial"/>
          <w:i/>
          <w:szCs w:val="24"/>
        </w:rPr>
        <w:t>I</w:t>
      </w:r>
      <w:r w:rsidRPr="00813DDC">
        <w:rPr>
          <w:rFonts w:cs="Arial"/>
          <w:i/>
          <w:szCs w:val="24"/>
          <w:vertAlign w:val="subscript"/>
        </w:rPr>
        <w:t>AImp</w:t>
      </w:r>
      <w:r w:rsidRPr="00813DDC">
        <w:rPr>
          <w:rFonts w:cs="Arial"/>
          <w:i/>
          <w:szCs w:val="24"/>
        </w:rPr>
        <w:t>: Percentual de áreas impermeabilizadas (%).</w:t>
      </w:r>
    </w:p>
    <w:p w:rsidR="00813DDC" w:rsidRPr="00813DDC" w:rsidRDefault="00813DDC" w:rsidP="0066661F">
      <w:pPr>
        <w:numPr>
          <w:ilvl w:val="0"/>
          <w:numId w:val="27"/>
        </w:numPr>
        <w:jc w:val="both"/>
        <w:rPr>
          <w:rFonts w:cs="Arial"/>
          <w:i/>
          <w:szCs w:val="24"/>
        </w:rPr>
      </w:pPr>
      <w:r w:rsidRPr="00813DDC">
        <w:rPr>
          <w:rFonts w:cs="Arial"/>
          <w:i/>
          <w:szCs w:val="24"/>
        </w:rPr>
        <w:t>A</w:t>
      </w:r>
      <w:r w:rsidRPr="00813DDC">
        <w:rPr>
          <w:rFonts w:cs="Arial"/>
          <w:i/>
          <w:szCs w:val="24"/>
          <w:vertAlign w:val="subscript"/>
        </w:rPr>
        <w:t>i</w:t>
      </w:r>
      <w:r w:rsidRPr="00813DDC">
        <w:rPr>
          <w:rFonts w:cs="Arial"/>
          <w:i/>
          <w:szCs w:val="24"/>
        </w:rPr>
        <w:t>: Áreas impermeabilizadas (km²).</w:t>
      </w:r>
    </w:p>
    <w:p w:rsidR="00813DDC" w:rsidRPr="00813DDC" w:rsidRDefault="00813DDC" w:rsidP="0066661F">
      <w:pPr>
        <w:numPr>
          <w:ilvl w:val="0"/>
          <w:numId w:val="27"/>
        </w:numPr>
        <w:jc w:val="both"/>
        <w:rPr>
          <w:rFonts w:cs="Arial"/>
          <w:i/>
          <w:szCs w:val="24"/>
        </w:rPr>
      </w:pPr>
      <w:r w:rsidRPr="00813DDC">
        <w:rPr>
          <w:rFonts w:cs="Arial"/>
          <w:i/>
          <w:szCs w:val="24"/>
        </w:rPr>
        <w:t>A</w:t>
      </w:r>
      <w:r w:rsidRPr="00813DDC">
        <w:rPr>
          <w:rFonts w:cs="Arial"/>
          <w:i/>
          <w:szCs w:val="24"/>
          <w:vertAlign w:val="subscript"/>
        </w:rPr>
        <w:t>t</w:t>
      </w:r>
      <w:r w:rsidRPr="00813DDC">
        <w:rPr>
          <w:rFonts w:cs="Arial"/>
          <w:i/>
          <w:szCs w:val="24"/>
        </w:rPr>
        <w:t>: Área urbana total (km²).</w:t>
      </w:r>
    </w:p>
    <w:p w:rsidR="00813DDC" w:rsidRPr="00813DDC" w:rsidRDefault="00813DDC" w:rsidP="00813DDC">
      <w:pPr>
        <w:spacing w:before="120" w:after="120"/>
        <w:ind w:firstLine="709"/>
        <w:contextualSpacing/>
        <w:jc w:val="both"/>
        <w:rPr>
          <w:rFonts w:eastAsia="Times New Roman" w:cs="Arial"/>
          <w:szCs w:val="20"/>
          <w:lang w:eastAsia="pt-BR"/>
        </w:rPr>
      </w:pPr>
      <w:r w:rsidRPr="00813DDC">
        <w:rPr>
          <w:rFonts w:eastAsia="Times New Roman" w:cs="Arial"/>
          <w:szCs w:val="20"/>
          <w:lang w:eastAsia="pt-BR"/>
        </w:rPr>
        <w:t>Com o auxílio das imagens de satélite do município (GoogleEarth©), é possível delimitar as áreas com vegetação mais densa e as áreas impermeabilizadas presentes no perímetro urbano de Córrego Novo, possibilitando obter os parâmetros necessários para o cálculo dos índices apresentados.</w:t>
      </w:r>
    </w:p>
    <w:p w:rsidR="00813DDC" w:rsidRPr="00813DDC" w:rsidRDefault="00813DDC" w:rsidP="00813DDC">
      <w:pPr>
        <w:spacing w:before="120" w:after="120"/>
        <w:ind w:firstLine="709"/>
        <w:contextualSpacing/>
        <w:jc w:val="both"/>
        <w:rPr>
          <w:rFonts w:eastAsia="Times New Roman" w:cs="Arial"/>
          <w:szCs w:val="20"/>
          <w:lang w:eastAsia="pt-BR"/>
        </w:rPr>
      </w:pPr>
      <w:r w:rsidRPr="00813DDC">
        <w:rPr>
          <w:rFonts w:eastAsia="Times New Roman" w:cs="Arial"/>
          <w:szCs w:val="20"/>
          <w:lang w:eastAsia="pt-BR"/>
        </w:rPr>
        <w:t>Como este indicador mede a taxa de impermeabilização do solo do município, recomenda-se que o valor encontrado seja o menor possível, já que o percentual de 100 % representa um cenário de totalidade de áreas impermeabilizadas no município.</w:t>
      </w:r>
    </w:p>
    <w:p w:rsidR="00813DDC" w:rsidRPr="00813DDC" w:rsidRDefault="00813DDC" w:rsidP="00BC01B1">
      <w:pPr>
        <w:pStyle w:val="Ttulo4"/>
      </w:pPr>
      <w:bookmarkStart w:id="2403" w:name="_Toc499019078"/>
      <w:bookmarkStart w:id="2404" w:name="_Toc499106811"/>
      <w:bookmarkStart w:id="2405" w:name="_Toc499107131"/>
      <w:bookmarkStart w:id="2406" w:name="_Toc499107951"/>
      <w:bookmarkStart w:id="2407" w:name="_Toc499108788"/>
      <w:bookmarkStart w:id="2408" w:name="_Toc499109613"/>
      <w:bookmarkStart w:id="2409" w:name="_Toc499109779"/>
      <w:bookmarkStart w:id="2410" w:name="_Toc499709985"/>
      <w:bookmarkStart w:id="2411" w:name="_Toc509935708"/>
      <w:r w:rsidRPr="00813DDC">
        <w:t>Área verde por habitante</w:t>
      </w:r>
      <w:bookmarkEnd w:id="2403"/>
      <w:bookmarkEnd w:id="2404"/>
      <w:bookmarkEnd w:id="2405"/>
      <w:bookmarkEnd w:id="2406"/>
      <w:bookmarkEnd w:id="2407"/>
      <w:bookmarkEnd w:id="2408"/>
      <w:bookmarkEnd w:id="2409"/>
      <w:bookmarkEnd w:id="2410"/>
      <w:bookmarkEnd w:id="2411"/>
    </w:p>
    <w:p w:rsidR="00813DDC" w:rsidRPr="00813DDC" w:rsidRDefault="00813DDC" w:rsidP="00813DDC">
      <w:pPr>
        <w:spacing w:before="120"/>
        <w:ind w:firstLine="708"/>
        <w:rPr>
          <w:rFonts w:cs="Arial"/>
          <w:szCs w:val="24"/>
          <w:highlight w:val="yellow"/>
        </w:rPr>
      </w:pPr>
      <w:r w:rsidRPr="00813DDC">
        <w:rPr>
          <w:rFonts w:eastAsia="Times New Roman" w:cs="Arial"/>
          <w:szCs w:val="24"/>
          <w:lang w:eastAsia="pt-BR"/>
        </w:rPr>
        <w:t>Total de metros quadrados de área verde por habitante (medida anual). Áreas verdes públicas. Na qual a Organização Mundial de Saúde (OMS) recomenda um mínimo de 12 m² de área verde por habitante</w:t>
      </w:r>
      <w:r w:rsidRPr="00813DDC">
        <w:rPr>
          <w:rFonts w:cs="Arial"/>
          <w:szCs w:val="24"/>
        </w:rPr>
        <w:t>.</w:t>
      </w:r>
    </w:p>
    <w:p w:rsidR="00813DDC" w:rsidRPr="00813DDC" w:rsidRDefault="00813DDC" w:rsidP="00813DDC">
      <w:pPr>
        <w:spacing w:before="120" w:line="240" w:lineRule="auto"/>
        <w:jc w:val="center"/>
        <w:rPr>
          <w:rFonts w:cs="Arial"/>
          <w:sz w:val="22"/>
          <w:highlight w:val="yellow"/>
        </w:rPr>
      </w:pPr>
    </w:p>
    <w:p w:rsidR="00813DDC" w:rsidRPr="00813DDC" w:rsidRDefault="00813DDC" w:rsidP="00813DDC">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 xml:space="preserve">IAVh= </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AV</m:t>
              </m:r>
            </m:num>
            <m:den>
              <m:r>
                <w:rPr>
                  <w:rFonts w:ascii="Cambria Math" w:eastAsia="Times New Roman" w:hAnsi="Cambria Math" w:cs="Arial"/>
                  <w:sz w:val="22"/>
                  <w:lang w:eastAsia="pt-BR"/>
                </w:rPr>
                <m:t>Pop t</m:t>
              </m:r>
            </m:den>
          </m:f>
          <m:r>
            <w:rPr>
              <w:rFonts w:ascii="Cambria Math" w:eastAsia="Times New Roman" w:hAnsi="Cambria Math" w:cs="Arial"/>
              <w:sz w:val="22"/>
              <w:lang w:eastAsia="pt-BR"/>
            </w:rPr>
            <m:t xml:space="preserve"> </m:t>
          </m:r>
        </m:oMath>
      </m:oMathPara>
    </w:p>
    <w:p w:rsidR="00813DDC" w:rsidRPr="00813DDC" w:rsidRDefault="00813DDC" w:rsidP="00813DDC">
      <w:pPr>
        <w:ind w:firstLine="708"/>
      </w:pPr>
      <w:r w:rsidRPr="00813DDC">
        <w:t>Em que:</w:t>
      </w:r>
    </w:p>
    <w:p w:rsidR="00813DDC" w:rsidRPr="00813DDC" w:rsidRDefault="00813DDC" w:rsidP="0066661F">
      <w:pPr>
        <w:numPr>
          <w:ilvl w:val="0"/>
          <w:numId w:val="27"/>
        </w:numPr>
        <w:jc w:val="both"/>
        <w:rPr>
          <w:rFonts w:cs="Arial"/>
          <w:i/>
          <w:szCs w:val="24"/>
        </w:rPr>
      </w:pPr>
      <w:r w:rsidRPr="00813DDC">
        <w:rPr>
          <w:rFonts w:cs="Arial"/>
          <w:i/>
          <w:szCs w:val="24"/>
        </w:rPr>
        <w:t>IAVh: Índice de áreas verdes por habitantes.</w:t>
      </w:r>
    </w:p>
    <w:p w:rsidR="00813DDC" w:rsidRPr="00813DDC" w:rsidRDefault="00813DDC" w:rsidP="0066661F">
      <w:pPr>
        <w:numPr>
          <w:ilvl w:val="0"/>
          <w:numId w:val="27"/>
        </w:numPr>
        <w:jc w:val="both"/>
        <w:rPr>
          <w:rFonts w:cs="Arial"/>
          <w:i/>
          <w:szCs w:val="24"/>
        </w:rPr>
      </w:pPr>
      <w:r w:rsidRPr="00813DDC">
        <w:rPr>
          <w:rFonts w:cs="Arial"/>
          <w:i/>
          <w:szCs w:val="24"/>
        </w:rPr>
        <w:t>AV: Àreas verdes (m²).</w:t>
      </w:r>
    </w:p>
    <w:p w:rsidR="00813DDC" w:rsidRPr="00813DDC" w:rsidRDefault="00813DDC" w:rsidP="0066661F">
      <w:pPr>
        <w:numPr>
          <w:ilvl w:val="0"/>
          <w:numId w:val="27"/>
        </w:numPr>
        <w:jc w:val="both"/>
        <w:rPr>
          <w:rFonts w:cs="Arial"/>
          <w:i/>
          <w:szCs w:val="24"/>
        </w:rPr>
      </w:pPr>
      <w:r w:rsidRPr="00813DDC">
        <w:rPr>
          <w:rFonts w:cs="Arial"/>
          <w:i/>
          <w:szCs w:val="24"/>
        </w:rPr>
        <w:t>Pop t: População total.</w:t>
      </w:r>
    </w:p>
    <w:p w:rsidR="00813DDC" w:rsidRPr="00813DDC" w:rsidRDefault="00813DDC" w:rsidP="00813DDC">
      <w:pPr>
        <w:ind w:firstLine="708"/>
        <w:jc w:val="both"/>
        <w:rPr>
          <w:rFonts w:cs="Arial"/>
          <w:szCs w:val="24"/>
        </w:rPr>
      </w:pPr>
      <w:r w:rsidRPr="00813DDC">
        <w:rPr>
          <w:rFonts w:cs="Arial"/>
          <w:szCs w:val="24"/>
        </w:rPr>
        <w:t xml:space="preserve">O valor ideal para este indicador é acima de 12m²/habitante indicando a existência de áreas verdes adequadas e a preocupação da gestão quanto à criação/preservação de áreas verdes, que impactarão tanto na saúde da população quanto na infiltração e diminuição dos picos de deflúvios nos cursos hídricos, consequentemente, eventos de inundações. </w:t>
      </w:r>
    </w:p>
    <w:p w:rsidR="00813DDC" w:rsidRPr="00813DDC" w:rsidRDefault="00813DDC" w:rsidP="00BC01B1">
      <w:pPr>
        <w:pStyle w:val="Ttulo3"/>
      </w:pPr>
      <w:bookmarkStart w:id="2412" w:name="_Toc453769387"/>
      <w:bookmarkStart w:id="2413" w:name="_Toc453771254"/>
      <w:bookmarkStart w:id="2414" w:name="_Toc453833802"/>
      <w:bookmarkStart w:id="2415" w:name="_Toc499019079"/>
      <w:bookmarkStart w:id="2416" w:name="_Toc499106812"/>
      <w:bookmarkStart w:id="2417" w:name="_Toc499107132"/>
      <w:bookmarkStart w:id="2418" w:name="_Toc499107952"/>
      <w:bookmarkStart w:id="2419" w:name="_Toc499108789"/>
      <w:bookmarkStart w:id="2420" w:name="_Toc499109614"/>
      <w:bookmarkStart w:id="2421" w:name="_Toc499109780"/>
      <w:bookmarkStart w:id="2422" w:name="_Toc499709986"/>
      <w:bookmarkStart w:id="2423" w:name="_Toc509935709"/>
      <w:r w:rsidRPr="00813DDC">
        <w:t>Indicadores para o objetivo 4</w:t>
      </w:r>
      <w:bookmarkEnd w:id="2412"/>
      <w:bookmarkEnd w:id="2413"/>
      <w:bookmarkEnd w:id="2414"/>
      <w:bookmarkEnd w:id="2415"/>
      <w:bookmarkEnd w:id="2416"/>
      <w:bookmarkEnd w:id="2417"/>
      <w:bookmarkEnd w:id="2418"/>
      <w:bookmarkEnd w:id="2419"/>
      <w:bookmarkEnd w:id="2420"/>
      <w:bookmarkEnd w:id="2421"/>
      <w:bookmarkEnd w:id="2422"/>
      <w:bookmarkEnd w:id="2423"/>
    </w:p>
    <w:p w:rsidR="00813DDC" w:rsidRPr="00813DDC" w:rsidRDefault="00813DDC" w:rsidP="00BC01B1">
      <w:pPr>
        <w:pStyle w:val="Ttulo4"/>
      </w:pPr>
      <w:bookmarkStart w:id="2424" w:name="_Toc453769388"/>
      <w:bookmarkStart w:id="2425" w:name="_Toc453771255"/>
      <w:bookmarkStart w:id="2426" w:name="_Toc453833803"/>
      <w:bookmarkStart w:id="2427" w:name="_Toc499019080"/>
      <w:bookmarkStart w:id="2428" w:name="_Toc499106813"/>
      <w:bookmarkStart w:id="2429" w:name="_Toc499107133"/>
      <w:bookmarkStart w:id="2430" w:name="_Toc499107953"/>
      <w:bookmarkStart w:id="2431" w:name="_Toc499108790"/>
      <w:bookmarkStart w:id="2432" w:name="_Toc499109615"/>
      <w:bookmarkStart w:id="2433" w:name="_Toc499109781"/>
      <w:bookmarkStart w:id="2434" w:name="_Toc499709987"/>
      <w:bookmarkStart w:id="2435" w:name="_Toc509935710"/>
      <w:r w:rsidRPr="00813DDC">
        <w:t>Índice de atendimento às ações propostas para o SDU</w:t>
      </w:r>
      <w:bookmarkEnd w:id="2424"/>
      <w:bookmarkEnd w:id="2425"/>
      <w:bookmarkEnd w:id="2426"/>
      <w:bookmarkEnd w:id="2427"/>
      <w:bookmarkEnd w:id="2428"/>
      <w:bookmarkEnd w:id="2429"/>
      <w:bookmarkEnd w:id="2430"/>
      <w:bookmarkEnd w:id="2431"/>
      <w:bookmarkEnd w:id="2432"/>
      <w:bookmarkEnd w:id="2433"/>
      <w:bookmarkEnd w:id="2434"/>
      <w:bookmarkEnd w:id="2435"/>
    </w:p>
    <w:p w:rsidR="00813DDC" w:rsidRPr="00813DDC" w:rsidRDefault="001B481B" w:rsidP="00813DDC">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IA</m:t>
              </m:r>
            </m:e>
            <m:sub>
              <m:r>
                <w:rPr>
                  <w:rFonts w:ascii="Cambria Math" w:eastAsia="Times New Roman" w:hAnsi="Cambria Math" w:cs="Arial"/>
                  <w:sz w:val="22"/>
                  <w:lang w:eastAsia="pt-BR"/>
                </w:rPr>
                <m:t>SDU</m:t>
              </m:r>
            </m:sub>
          </m:sSub>
          <m:r>
            <w:rPr>
              <w:rFonts w:ascii="Cambria Math" w:eastAsia="Times New Roman" w:hAnsi="Cambria Math" w:cs="Arial"/>
              <w:sz w:val="22"/>
              <w:lang w:eastAsia="pt-BR"/>
            </w:rPr>
            <m:t xml:space="preserve">= </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Aimp</m:t>
                  </m:r>
                </m:e>
                <m:sub>
                  <m:r>
                    <w:rPr>
                      <w:rFonts w:ascii="Cambria Math" w:eastAsia="Times New Roman" w:hAnsi="Cambria Math" w:cs="Arial"/>
                      <w:sz w:val="22"/>
                      <w:lang w:eastAsia="pt-BR"/>
                    </w:rPr>
                    <m:t>SDU</m:t>
                  </m:r>
                </m:sub>
              </m:sSub>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Asug</m:t>
                  </m:r>
                </m:e>
                <m:sub>
                  <m:r>
                    <w:rPr>
                      <w:rFonts w:ascii="Cambria Math" w:eastAsia="Times New Roman" w:hAnsi="Cambria Math" w:cs="Arial"/>
                      <w:sz w:val="22"/>
                      <w:lang w:eastAsia="pt-BR"/>
                    </w:rPr>
                    <m:t>SDU</m:t>
                  </m:r>
                </m:sub>
              </m:sSub>
            </m:den>
          </m:f>
          <m:r>
            <w:rPr>
              <w:rFonts w:ascii="Cambria Math" w:eastAsia="Times New Roman" w:hAnsi="Cambria Math" w:cs="Arial"/>
              <w:sz w:val="22"/>
              <w:lang w:eastAsia="pt-BR"/>
            </w:rPr>
            <m:t xml:space="preserve"> x 100</m:t>
          </m:r>
        </m:oMath>
      </m:oMathPara>
    </w:p>
    <w:p w:rsidR="00813DDC" w:rsidRPr="00813DDC" w:rsidRDefault="00813DDC" w:rsidP="00813DDC">
      <w:pPr>
        <w:ind w:firstLine="708"/>
      </w:pPr>
      <w:r w:rsidRPr="00813DDC">
        <w:lastRenderedPageBreak/>
        <w:t>Em que:</w:t>
      </w:r>
    </w:p>
    <w:p w:rsidR="00813DDC" w:rsidRPr="00813DDC" w:rsidRDefault="00813DDC" w:rsidP="0066661F">
      <w:pPr>
        <w:numPr>
          <w:ilvl w:val="0"/>
          <w:numId w:val="27"/>
        </w:numPr>
        <w:jc w:val="both"/>
        <w:rPr>
          <w:rFonts w:cs="Arial"/>
          <w:i/>
          <w:szCs w:val="24"/>
        </w:rPr>
      </w:pPr>
      <w:r w:rsidRPr="00813DDC">
        <w:rPr>
          <w:rFonts w:cs="Arial"/>
          <w:i/>
          <w:szCs w:val="24"/>
        </w:rPr>
        <w:t>IA</w:t>
      </w:r>
      <w:r w:rsidRPr="00813DDC">
        <w:rPr>
          <w:rFonts w:cs="Arial"/>
          <w:i/>
          <w:szCs w:val="24"/>
          <w:vertAlign w:val="subscript"/>
        </w:rPr>
        <w:t>SDU</w:t>
      </w:r>
      <w:r w:rsidRPr="00813DDC">
        <w:rPr>
          <w:rFonts w:cs="Arial"/>
          <w:i/>
          <w:szCs w:val="24"/>
        </w:rPr>
        <w:t>: Índice de ações implantadas relacionadas ao SDU.</w:t>
      </w:r>
    </w:p>
    <w:p w:rsidR="00813DDC" w:rsidRPr="00813DDC" w:rsidRDefault="00813DDC" w:rsidP="0066661F">
      <w:pPr>
        <w:numPr>
          <w:ilvl w:val="0"/>
          <w:numId w:val="27"/>
        </w:numPr>
        <w:jc w:val="both"/>
        <w:rPr>
          <w:rFonts w:cs="Arial"/>
          <w:i/>
          <w:szCs w:val="24"/>
        </w:rPr>
      </w:pPr>
      <w:r w:rsidRPr="00813DDC">
        <w:rPr>
          <w:rFonts w:cs="Arial"/>
          <w:i/>
          <w:szCs w:val="24"/>
        </w:rPr>
        <w:t>Aimp</w:t>
      </w:r>
      <w:r w:rsidRPr="00813DDC">
        <w:rPr>
          <w:rFonts w:cs="Arial"/>
          <w:i/>
          <w:szCs w:val="24"/>
          <w:vertAlign w:val="subscript"/>
        </w:rPr>
        <w:t>SDU</w:t>
      </w:r>
      <w:r w:rsidRPr="00813DDC">
        <w:rPr>
          <w:rFonts w:cs="Arial"/>
          <w:i/>
          <w:szCs w:val="24"/>
        </w:rPr>
        <w:t>: Total de ações implantadas.</w:t>
      </w:r>
    </w:p>
    <w:p w:rsidR="00813DDC" w:rsidRPr="00813DDC" w:rsidRDefault="00813DDC" w:rsidP="0066661F">
      <w:pPr>
        <w:numPr>
          <w:ilvl w:val="0"/>
          <w:numId w:val="27"/>
        </w:numPr>
        <w:jc w:val="both"/>
        <w:rPr>
          <w:rFonts w:cs="Arial"/>
          <w:i/>
          <w:szCs w:val="24"/>
        </w:rPr>
      </w:pPr>
      <w:r w:rsidRPr="00813DDC">
        <w:rPr>
          <w:rFonts w:cs="Arial"/>
          <w:i/>
          <w:szCs w:val="24"/>
        </w:rPr>
        <w:t>Asug</w:t>
      </w:r>
      <w:r w:rsidRPr="00813DDC">
        <w:rPr>
          <w:rFonts w:cs="Arial"/>
          <w:i/>
          <w:szCs w:val="24"/>
          <w:vertAlign w:val="subscript"/>
        </w:rPr>
        <w:t>SDU</w:t>
      </w:r>
      <w:r w:rsidRPr="00813DDC">
        <w:rPr>
          <w:rFonts w:cs="Arial"/>
          <w:i/>
          <w:szCs w:val="24"/>
        </w:rPr>
        <w:t>: Total de ações sugeridas.</w:t>
      </w:r>
    </w:p>
    <w:p w:rsidR="00813DDC" w:rsidRPr="00813DDC" w:rsidRDefault="00813DDC" w:rsidP="00813DDC">
      <w:pPr>
        <w:ind w:firstLine="708"/>
        <w:jc w:val="both"/>
      </w:pPr>
      <w:r w:rsidRPr="00813DDC">
        <w:t>Este indicador representa a porcentagem de ações propostas para o SDU que foram realizadas. Dessa maneira, torna-se possível o monitoramento das atividades para o setor.</w:t>
      </w:r>
    </w:p>
    <w:p w:rsidR="00813DDC" w:rsidRPr="00813DDC" w:rsidRDefault="00813DDC" w:rsidP="00BC01B1">
      <w:pPr>
        <w:pStyle w:val="Ttulo4"/>
      </w:pPr>
      <w:bookmarkStart w:id="2436" w:name="_Toc453769389"/>
      <w:bookmarkStart w:id="2437" w:name="_Toc453771256"/>
      <w:bookmarkStart w:id="2438" w:name="_Toc453833804"/>
      <w:bookmarkStart w:id="2439" w:name="_Toc499019081"/>
      <w:bookmarkStart w:id="2440" w:name="_Toc499106814"/>
      <w:bookmarkStart w:id="2441" w:name="_Toc499107134"/>
      <w:bookmarkStart w:id="2442" w:name="_Toc499107954"/>
      <w:bookmarkStart w:id="2443" w:name="_Toc499108791"/>
      <w:bookmarkStart w:id="2444" w:name="_Toc499109616"/>
      <w:bookmarkStart w:id="2445" w:name="_Toc499109782"/>
      <w:bookmarkStart w:id="2446" w:name="_Toc499709988"/>
      <w:bookmarkStart w:id="2447" w:name="_Toc509935711"/>
      <w:r w:rsidRPr="00813DDC">
        <w:t xml:space="preserve">Índice de </w:t>
      </w:r>
      <w:bookmarkEnd w:id="2436"/>
      <w:bookmarkEnd w:id="2437"/>
      <w:bookmarkEnd w:id="2438"/>
      <w:r w:rsidRPr="00813DDC">
        <w:t>cadastro do sistema de drenagem urbana</w:t>
      </w:r>
      <w:bookmarkEnd w:id="2439"/>
      <w:bookmarkEnd w:id="2440"/>
      <w:bookmarkEnd w:id="2441"/>
      <w:bookmarkEnd w:id="2442"/>
      <w:bookmarkEnd w:id="2443"/>
      <w:bookmarkEnd w:id="2444"/>
      <w:bookmarkEnd w:id="2445"/>
      <w:bookmarkEnd w:id="2446"/>
      <w:bookmarkEnd w:id="2447"/>
    </w:p>
    <w:p w:rsidR="00813DDC" w:rsidRPr="00813DDC" w:rsidRDefault="00813DDC" w:rsidP="00813DDC">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 xml:space="preserve">Icdren=100 x </m:t>
          </m:r>
          <m:f>
            <m:fPr>
              <m:ctrlPr>
                <w:rPr>
                  <w:rFonts w:ascii="Cambria Math" w:eastAsia="Times New Roman" w:hAnsi="Cambria Math" w:cs="Arial"/>
                  <w:i/>
                  <w:sz w:val="22"/>
                  <w:lang w:eastAsia="pt-BR"/>
                </w:rPr>
              </m:ctrlPr>
            </m:fPr>
            <m:num>
              <m:eqArr>
                <m:eqArrPr>
                  <m:ctrlPr>
                    <w:rPr>
                      <w:rFonts w:ascii="Cambria Math" w:eastAsia="Times New Roman" w:hAnsi="Cambria Math" w:cs="Arial"/>
                      <w:i/>
                      <w:sz w:val="22"/>
                      <w:lang w:eastAsia="pt-BR"/>
                    </w:rPr>
                  </m:ctrlPr>
                </m:eqArrPr>
                <m:e>
                  <m:r>
                    <w:rPr>
                      <w:rFonts w:ascii="Cambria Math" w:eastAsia="Times New Roman" w:hAnsi="Cambria Math" w:cs="Arial"/>
                      <w:sz w:val="22"/>
                      <w:lang w:eastAsia="pt-BR"/>
                    </w:rPr>
                    <m:t xml:space="preserve"> EVCsdu </m:t>
                  </m:r>
                </m:e>
              </m:eqArr>
            </m:num>
            <m:den>
              <m:r>
                <w:rPr>
                  <w:rFonts w:ascii="Cambria Math" w:eastAsia="Times New Roman" w:hAnsi="Cambria Math" w:cs="Arial"/>
                  <w:sz w:val="22"/>
                  <w:lang w:eastAsia="pt-BR"/>
                </w:rPr>
                <m:t xml:space="preserve"> </m:t>
              </m:r>
              <m:r>
                <w:rPr>
                  <w:rFonts w:ascii="Cambria Math" w:hAnsi="Cambria Math" w:cs="Arial"/>
                  <w:szCs w:val="24"/>
                </w:rPr>
                <m:t>EVsdu</m:t>
              </m:r>
            </m:den>
          </m:f>
        </m:oMath>
      </m:oMathPara>
    </w:p>
    <w:p w:rsidR="00813DDC" w:rsidRPr="00813DDC" w:rsidRDefault="00813DDC" w:rsidP="00813DDC">
      <w:pPr>
        <w:ind w:firstLine="708"/>
      </w:pPr>
      <w:r w:rsidRPr="00813DDC">
        <w:t>Em que:</w:t>
      </w:r>
    </w:p>
    <w:p w:rsidR="00813DDC" w:rsidRPr="00813DDC" w:rsidRDefault="00813DDC" w:rsidP="0066661F">
      <w:pPr>
        <w:numPr>
          <w:ilvl w:val="0"/>
          <w:numId w:val="27"/>
        </w:numPr>
        <w:jc w:val="both"/>
        <w:rPr>
          <w:rFonts w:cs="Arial"/>
          <w:i/>
          <w:szCs w:val="24"/>
        </w:rPr>
      </w:pPr>
      <w:r w:rsidRPr="00813DDC">
        <w:rPr>
          <w:rFonts w:cs="Arial"/>
          <w:i/>
          <w:szCs w:val="24"/>
        </w:rPr>
        <w:t>I</w:t>
      </w:r>
      <w:r w:rsidRPr="00813DDC">
        <w:rPr>
          <w:rFonts w:cs="Arial"/>
          <w:i/>
          <w:szCs w:val="24"/>
          <w:vertAlign w:val="subscript"/>
        </w:rPr>
        <w:t>cdren</w:t>
      </w:r>
      <w:r w:rsidRPr="00813DDC">
        <w:rPr>
          <w:rFonts w:cs="Arial"/>
          <w:i/>
          <w:szCs w:val="24"/>
        </w:rPr>
        <w:t>: Índice de cadastro do sistema de drenagem urbana (%).</w:t>
      </w:r>
    </w:p>
    <w:p w:rsidR="00813DDC" w:rsidRPr="00813DDC" w:rsidRDefault="00813DDC" w:rsidP="0066661F">
      <w:pPr>
        <w:numPr>
          <w:ilvl w:val="0"/>
          <w:numId w:val="27"/>
        </w:numPr>
        <w:jc w:val="both"/>
        <w:rPr>
          <w:rFonts w:cs="Arial"/>
          <w:i/>
          <w:szCs w:val="24"/>
        </w:rPr>
      </w:pPr>
      <w:r w:rsidRPr="00813DDC">
        <w:rPr>
          <w:rFonts w:cs="Arial"/>
          <w:i/>
          <w:szCs w:val="24"/>
        </w:rPr>
        <w:t>EVCsdu: Extensão de vias com cadastro do sistema de drenagem urbana (km).</w:t>
      </w:r>
    </w:p>
    <w:p w:rsidR="00813DDC" w:rsidRPr="00813DDC" w:rsidRDefault="00813DDC" w:rsidP="0066661F">
      <w:pPr>
        <w:numPr>
          <w:ilvl w:val="0"/>
          <w:numId w:val="27"/>
        </w:numPr>
        <w:jc w:val="both"/>
        <w:rPr>
          <w:rFonts w:cs="Arial"/>
          <w:i/>
          <w:szCs w:val="24"/>
        </w:rPr>
      </w:pPr>
      <w:r w:rsidRPr="00813DDC">
        <w:rPr>
          <w:rFonts w:cs="Arial"/>
          <w:i/>
          <w:szCs w:val="24"/>
        </w:rPr>
        <w:t>EVsdu: Extensão de vias com sistema de drenagem urbana (km).</w:t>
      </w:r>
    </w:p>
    <w:p w:rsidR="00813DDC" w:rsidRPr="00813DDC" w:rsidRDefault="00813DDC" w:rsidP="00813DDC">
      <w:pPr>
        <w:spacing w:before="120" w:after="120"/>
        <w:ind w:firstLine="709"/>
        <w:contextualSpacing/>
        <w:jc w:val="both"/>
        <w:rPr>
          <w:rFonts w:eastAsia="Times New Roman" w:cs="Arial"/>
          <w:szCs w:val="24"/>
          <w:lang w:eastAsia="pt-BR"/>
        </w:rPr>
      </w:pPr>
      <w:r w:rsidRPr="00813DDC">
        <w:rPr>
          <w:rFonts w:cs="Arial"/>
          <w:szCs w:val="24"/>
        </w:rPr>
        <w:t>Para uma gestão eficiente e implantação de novos dispositivos de drenagem urbana é necessário conhecer o sistema existente. O cadastro do sistema de drenagem urbana apresentará as informações necessárias sobre o sistema</w:t>
      </w:r>
      <w:r w:rsidRPr="00813DDC">
        <w:rPr>
          <w:rFonts w:eastAsia="Times New Roman" w:cs="Arial"/>
          <w:szCs w:val="24"/>
          <w:lang w:eastAsia="pt-BR"/>
        </w:rPr>
        <w:t>.</w:t>
      </w:r>
    </w:p>
    <w:p w:rsidR="00813DDC" w:rsidRPr="00813DDC" w:rsidRDefault="00813DDC" w:rsidP="00BC01B1">
      <w:pPr>
        <w:pStyle w:val="Ttulo4"/>
      </w:pPr>
      <w:bookmarkStart w:id="2448" w:name="_Toc453769390"/>
      <w:bookmarkStart w:id="2449" w:name="_Toc453771257"/>
      <w:bookmarkStart w:id="2450" w:name="_Toc453833805"/>
      <w:bookmarkStart w:id="2451" w:name="_Toc499019082"/>
      <w:bookmarkStart w:id="2452" w:name="_Toc499106815"/>
      <w:bookmarkStart w:id="2453" w:name="_Toc499107135"/>
      <w:bookmarkStart w:id="2454" w:name="_Toc499107955"/>
      <w:bookmarkStart w:id="2455" w:name="_Toc499108792"/>
      <w:bookmarkStart w:id="2456" w:name="_Toc499109617"/>
      <w:bookmarkStart w:id="2457" w:name="_Toc499109783"/>
      <w:bookmarkStart w:id="2458" w:name="_Toc499709989"/>
      <w:bookmarkStart w:id="2459" w:name="_Toc509935712"/>
      <w:r w:rsidRPr="00813DDC">
        <w:t>Duração média dos reparos na rede de microdrenagem desde a solicitação do usuário</w:t>
      </w:r>
      <w:bookmarkEnd w:id="2448"/>
      <w:bookmarkEnd w:id="2449"/>
      <w:bookmarkEnd w:id="2450"/>
      <w:bookmarkEnd w:id="2451"/>
      <w:bookmarkEnd w:id="2452"/>
      <w:bookmarkEnd w:id="2453"/>
      <w:bookmarkEnd w:id="2454"/>
      <w:bookmarkEnd w:id="2455"/>
      <w:bookmarkEnd w:id="2456"/>
      <w:bookmarkEnd w:id="2457"/>
      <w:bookmarkEnd w:id="2458"/>
      <w:bookmarkEnd w:id="2459"/>
    </w:p>
    <w:p w:rsidR="00813DDC" w:rsidRPr="00813DDC" w:rsidRDefault="00813DDC" w:rsidP="00813DDC">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Dmédia=</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Drep</m:t>
              </m:r>
            </m:num>
            <m:den>
              <m:r>
                <w:rPr>
                  <w:rFonts w:ascii="Cambria Math" w:eastAsia="Times New Roman" w:hAnsi="Cambria Math" w:cs="Arial"/>
                  <w:sz w:val="22"/>
                  <w:lang w:eastAsia="pt-BR"/>
                </w:rPr>
                <m:t>Qrep</m:t>
              </m:r>
            </m:den>
          </m:f>
        </m:oMath>
      </m:oMathPara>
    </w:p>
    <w:p w:rsidR="00813DDC" w:rsidRPr="00813DDC" w:rsidRDefault="00813DDC" w:rsidP="00813DDC">
      <w:pPr>
        <w:spacing w:before="120" w:after="120"/>
        <w:ind w:firstLine="709"/>
        <w:contextualSpacing/>
        <w:jc w:val="both"/>
        <w:rPr>
          <w:rFonts w:cs="Arial"/>
          <w:szCs w:val="24"/>
        </w:rPr>
      </w:pPr>
      <w:r w:rsidRPr="00813DDC">
        <w:rPr>
          <w:rFonts w:cs="Arial"/>
          <w:szCs w:val="24"/>
        </w:rPr>
        <w:t>Em que:</w:t>
      </w:r>
    </w:p>
    <w:p w:rsidR="00813DDC" w:rsidRPr="00813DDC" w:rsidRDefault="00813DDC" w:rsidP="0066661F">
      <w:pPr>
        <w:numPr>
          <w:ilvl w:val="0"/>
          <w:numId w:val="27"/>
        </w:numPr>
        <w:jc w:val="both"/>
        <w:rPr>
          <w:rFonts w:cs="Arial"/>
          <w:i/>
          <w:szCs w:val="24"/>
        </w:rPr>
      </w:pPr>
      <w:r w:rsidRPr="00813DDC">
        <w:rPr>
          <w:rFonts w:cs="Arial"/>
          <w:i/>
          <w:szCs w:val="24"/>
        </w:rPr>
        <w:t>Dmédia: Duração média dos reparos.</w:t>
      </w:r>
    </w:p>
    <w:p w:rsidR="00813DDC" w:rsidRPr="00813DDC" w:rsidRDefault="00813DDC" w:rsidP="0066661F">
      <w:pPr>
        <w:numPr>
          <w:ilvl w:val="0"/>
          <w:numId w:val="27"/>
        </w:numPr>
        <w:jc w:val="both"/>
        <w:rPr>
          <w:rFonts w:cs="Arial"/>
          <w:i/>
          <w:szCs w:val="24"/>
        </w:rPr>
      </w:pPr>
      <w:r w:rsidRPr="00813DDC">
        <w:rPr>
          <w:rFonts w:cs="Arial"/>
          <w:i/>
          <w:szCs w:val="24"/>
        </w:rPr>
        <w:t>Qrep = Quantidade de solicitações de reparos registrados no ano (nº de extravasamentos).</w:t>
      </w:r>
    </w:p>
    <w:p w:rsidR="00813DDC" w:rsidRPr="00813DDC" w:rsidRDefault="00813DDC" w:rsidP="0066661F">
      <w:pPr>
        <w:numPr>
          <w:ilvl w:val="0"/>
          <w:numId w:val="27"/>
        </w:numPr>
        <w:jc w:val="both"/>
        <w:rPr>
          <w:rFonts w:cs="Arial"/>
          <w:i/>
          <w:szCs w:val="24"/>
        </w:rPr>
      </w:pPr>
      <w:r w:rsidRPr="00813DDC">
        <w:rPr>
          <w:rFonts w:cs="Arial"/>
          <w:i/>
          <w:szCs w:val="24"/>
        </w:rPr>
        <w:t>Drep = Duração dos reparos registrados na rede coletora de microdrenagem (hora).</w:t>
      </w:r>
    </w:p>
    <w:p w:rsidR="00813DDC" w:rsidRPr="00813DDC" w:rsidRDefault="00813DDC" w:rsidP="00813DDC">
      <w:pPr>
        <w:spacing w:before="120" w:after="120"/>
        <w:ind w:firstLine="709"/>
        <w:contextualSpacing/>
        <w:jc w:val="both"/>
        <w:rPr>
          <w:rFonts w:cs="Arial"/>
          <w:szCs w:val="24"/>
        </w:rPr>
      </w:pPr>
      <w:r w:rsidRPr="00813DDC">
        <w:rPr>
          <w:rFonts w:cs="Arial"/>
          <w:szCs w:val="24"/>
        </w:rPr>
        <w:t>Para este indicador recomenda-se que o valor de Dmédia seja o mais baixo possível.</w:t>
      </w:r>
    </w:p>
    <w:p w:rsidR="00813DDC" w:rsidRPr="00813DDC" w:rsidRDefault="00813DDC" w:rsidP="00813DDC">
      <w:pPr>
        <w:spacing w:before="120" w:after="120"/>
        <w:ind w:firstLine="709"/>
        <w:contextualSpacing/>
        <w:jc w:val="both"/>
        <w:rPr>
          <w:rFonts w:cs="Arial"/>
          <w:szCs w:val="24"/>
        </w:rPr>
      </w:pPr>
    </w:p>
    <w:p w:rsidR="00813DDC" w:rsidRPr="00813DDC" w:rsidRDefault="00813DDC" w:rsidP="00BC01B1">
      <w:pPr>
        <w:pStyle w:val="Ttulo4"/>
      </w:pPr>
      <w:bookmarkStart w:id="2460" w:name="_Toc453769391"/>
      <w:bookmarkStart w:id="2461" w:name="_Toc453771258"/>
      <w:bookmarkStart w:id="2462" w:name="_Toc453833806"/>
      <w:bookmarkStart w:id="2463" w:name="_Toc499019083"/>
      <w:bookmarkStart w:id="2464" w:name="_Toc499106816"/>
      <w:bookmarkStart w:id="2465" w:name="_Toc499107136"/>
      <w:bookmarkStart w:id="2466" w:name="_Toc499107956"/>
      <w:bookmarkStart w:id="2467" w:name="_Toc499108793"/>
      <w:bookmarkStart w:id="2468" w:name="_Toc499109618"/>
      <w:bookmarkStart w:id="2469" w:name="_Toc499109784"/>
      <w:bookmarkStart w:id="2470" w:name="_Toc499709990"/>
      <w:bookmarkStart w:id="2471" w:name="_Toc509935713"/>
      <w:r w:rsidRPr="00813DDC">
        <w:lastRenderedPageBreak/>
        <w:t>Índice de Monitoramento Pluviométrico</w:t>
      </w:r>
      <w:bookmarkEnd w:id="2460"/>
      <w:bookmarkEnd w:id="2461"/>
      <w:bookmarkEnd w:id="2462"/>
      <w:bookmarkEnd w:id="2463"/>
      <w:bookmarkEnd w:id="2464"/>
      <w:bookmarkEnd w:id="2465"/>
      <w:bookmarkEnd w:id="2466"/>
      <w:bookmarkEnd w:id="2467"/>
      <w:bookmarkEnd w:id="2468"/>
      <w:bookmarkEnd w:id="2469"/>
      <w:bookmarkEnd w:id="2470"/>
      <w:bookmarkEnd w:id="2471"/>
    </w:p>
    <w:p w:rsidR="00813DDC" w:rsidRPr="00813DDC" w:rsidRDefault="00813DDC" w:rsidP="00813DDC">
      <w:pPr>
        <w:spacing w:before="120" w:after="120"/>
        <w:ind w:firstLine="709"/>
        <w:contextualSpacing/>
        <w:jc w:val="both"/>
        <w:rPr>
          <w:rFonts w:cs="Arial"/>
        </w:rPr>
      </w:pPr>
      <w:r w:rsidRPr="00813DDC">
        <w:rPr>
          <w:rFonts w:cs="Arial"/>
        </w:rPr>
        <w:t xml:space="preserve">O monitoramento de dados pluviais é essencial para entender perfeitamente o funcionamento do sistema de drenagem urbana e manejo de águas pluviais. Esses dados também dão suporte às simulações hidráulicas e hidrológicas dos dispositivos de drenagem, dando maior embasamento ao diagnóstico e permitindo a realização de cenários. </w:t>
      </w:r>
      <w:r w:rsidRPr="00813DDC">
        <w:rPr>
          <w:rFonts w:cs="Arial"/>
          <w:szCs w:val="24"/>
        </w:rPr>
        <w:t>Quanto maior o valor desse indicador, melhor a situação.</w:t>
      </w:r>
    </w:p>
    <w:p w:rsidR="00813DDC" w:rsidRPr="00813DDC" w:rsidRDefault="001B481B" w:rsidP="00813DDC">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MP</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N</m:t>
                  </m:r>
                </m:e>
                <m:sub>
                  <m:r>
                    <w:rPr>
                      <w:rFonts w:ascii="Cambria Math" w:eastAsia="Times New Roman" w:hAnsi="Cambria Math" w:cs="Arial"/>
                      <w:sz w:val="22"/>
                      <w:lang w:eastAsia="pt-BR"/>
                    </w:rPr>
                    <m:t>Pluv</m:t>
                  </m:r>
                </m:sub>
              </m:sSub>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A</m:t>
                  </m:r>
                </m:e>
                <m:sub>
                  <m:r>
                    <w:rPr>
                      <w:rFonts w:ascii="Cambria Math" w:eastAsia="Times New Roman" w:hAnsi="Cambria Math" w:cs="Arial"/>
                      <w:sz w:val="22"/>
                      <w:lang w:eastAsia="pt-BR"/>
                    </w:rPr>
                    <m:t>c</m:t>
                  </m:r>
                </m:sub>
              </m:sSub>
            </m:den>
          </m:f>
        </m:oMath>
      </m:oMathPara>
    </w:p>
    <w:p w:rsidR="00813DDC" w:rsidRPr="00813DDC" w:rsidRDefault="00813DDC" w:rsidP="00813DDC">
      <w:pPr>
        <w:spacing w:before="120" w:after="120"/>
        <w:ind w:firstLine="709"/>
        <w:contextualSpacing/>
        <w:jc w:val="both"/>
        <w:rPr>
          <w:rFonts w:cs="Arial"/>
        </w:rPr>
      </w:pPr>
      <w:r w:rsidRPr="00813DDC">
        <w:rPr>
          <w:rFonts w:cs="Arial"/>
        </w:rPr>
        <w:t>Em que:</w:t>
      </w:r>
      <w:r w:rsidRPr="00813DDC">
        <w:rPr>
          <w:rFonts w:cs="Arial"/>
        </w:rPr>
        <w:tab/>
      </w:r>
    </w:p>
    <w:p w:rsidR="00813DDC" w:rsidRPr="00813DDC" w:rsidRDefault="00813DDC" w:rsidP="0066661F">
      <w:pPr>
        <w:numPr>
          <w:ilvl w:val="0"/>
          <w:numId w:val="27"/>
        </w:numPr>
        <w:jc w:val="both"/>
        <w:rPr>
          <w:rFonts w:cs="Arial"/>
          <w:i/>
          <w:szCs w:val="24"/>
        </w:rPr>
      </w:pPr>
      <w:r w:rsidRPr="00813DDC">
        <w:rPr>
          <w:rFonts w:cs="Arial"/>
          <w:i/>
          <w:szCs w:val="24"/>
        </w:rPr>
        <w:t>I</w:t>
      </w:r>
      <w:r w:rsidRPr="00813DDC">
        <w:rPr>
          <w:rFonts w:cs="Arial"/>
          <w:i/>
          <w:szCs w:val="24"/>
          <w:vertAlign w:val="subscript"/>
        </w:rPr>
        <w:t>MP</w:t>
      </w:r>
      <w:r w:rsidRPr="00813DDC">
        <w:rPr>
          <w:rFonts w:cs="Arial"/>
          <w:i/>
          <w:szCs w:val="24"/>
        </w:rPr>
        <w:t>: Índice de monitoramento pluviométrico (unidades/km²).</w:t>
      </w:r>
    </w:p>
    <w:p w:rsidR="00813DDC" w:rsidRPr="00813DDC" w:rsidRDefault="00813DDC" w:rsidP="0066661F">
      <w:pPr>
        <w:numPr>
          <w:ilvl w:val="0"/>
          <w:numId w:val="27"/>
        </w:numPr>
        <w:jc w:val="both"/>
        <w:rPr>
          <w:rFonts w:cs="Arial"/>
          <w:i/>
          <w:szCs w:val="24"/>
        </w:rPr>
      </w:pPr>
      <w:r w:rsidRPr="00813DDC">
        <w:rPr>
          <w:rFonts w:cs="Arial"/>
          <w:i/>
          <w:szCs w:val="24"/>
        </w:rPr>
        <w:t>N</w:t>
      </w:r>
      <w:r w:rsidRPr="00813DDC">
        <w:rPr>
          <w:rFonts w:cs="Arial"/>
          <w:i/>
          <w:szCs w:val="24"/>
          <w:vertAlign w:val="subscript"/>
        </w:rPr>
        <w:t>Pluv</w:t>
      </w:r>
      <w:r w:rsidRPr="00813DDC">
        <w:rPr>
          <w:rFonts w:cs="Arial"/>
          <w:i/>
          <w:szCs w:val="24"/>
        </w:rPr>
        <w:t>: Número de estações pluviométricas (unidades).</w:t>
      </w:r>
    </w:p>
    <w:p w:rsidR="00813DDC" w:rsidRPr="00813DDC" w:rsidRDefault="00813DDC" w:rsidP="0066661F">
      <w:pPr>
        <w:numPr>
          <w:ilvl w:val="0"/>
          <w:numId w:val="27"/>
        </w:numPr>
        <w:jc w:val="both"/>
        <w:rPr>
          <w:rFonts w:cs="Arial"/>
          <w:i/>
          <w:szCs w:val="24"/>
        </w:rPr>
      </w:pPr>
      <w:r w:rsidRPr="00813DDC">
        <w:rPr>
          <w:rFonts w:cs="Arial"/>
          <w:i/>
          <w:szCs w:val="24"/>
        </w:rPr>
        <w:t>A</w:t>
      </w:r>
      <w:r w:rsidRPr="00813DDC">
        <w:rPr>
          <w:rFonts w:cs="Arial"/>
          <w:i/>
          <w:szCs w:val="24"/>
          <w:vertAlign w:val="subscript"/>
        </w:rPr>
        <w:t>C</w:t>
      </w:r>
      <w:r w:rsidRPr="00813DDC">
        <w:rPr>
          <w:rFonts w:cs="Arial"/>
          <w:i/>
          <w:szCs w:val="24"/>
        </w:rPr>
        <w:t>: Área da bacia de contribuição (km²).</w:t>
      </w:r>
    </w:p>
    <w:p w:rsidR="00813DDC" w:rsidRPr="00813DDC" w:rsidRDefault="00813DDC" w:rsidP="00BC01B1">
      <w:pPr>
        <w:pStyle w:val="Ttulo4"/>
      </w:pPr>
      <w:bookmarkStart w:id="2472" w:name="_Toc453769392"/>
      <w:bookmarkStart w:id="2473" w:name="_Toc453771259"/>
      <w:bookmarkStart w:id="2474" w:name="_Toc453833807"/>
      <w:bookmarkStart w:id="2475" w:name="_Toc499019084"/>
      <w:bookmarkStart w:id="2476" w:name="_Toc499106817"/>
      <w:bookmarkStart w:id="2477" w:name="_Toc499107137"/>
      <w:bookmarkStart w:id="2478" w:name="_Toc499107957"/>
      <w:bookmarkStart w:id="2479" w:name="_Toc499108794"/>
      <w:bookmarkStart w:id="2480" w:name="_Toc499109619"/>
      <w:bookmarkStart w:id="2481" w:name="_Toc499109785"/>
      <w:bookmarkStart w:id="2482" w:name="_Toc499709991"/>
      <w:bookmarkStart w:id="2483" w:name="_Toc509935714"/>
      <w:r w:rsidRPr="00813DDC">
        <w:t>Índice de Monitoramento Fluviométrico</w:t>
      </w:r>
      <w:bookmarkEnd w:id="2472"/>
      <w:bookmarkEnd w:id="2473"/>
      <w:bookmarkEnd w:id="2474"/>
      <w:bookmarkEnd w:id="2475"/>
      <w:bookmarkEnd w:id="2476"/>
      <w:bookmarkEnd w:id="2477"/>
      <w:bookmarkEnd w:id="2478"/>
      <w:bookmarkEnd w:id="2479"/>
      <w:bookmarkEnd w:id="2480"/>
      <w:bookmarkEnd w:id="2481"/>
      <w:bookmarkEnd w:id="2482"/>
      <w:bookmarkEnd w:id="2483"/>
    </w:p>
    <w:p w:rsidR="00813DDC" w:rsidRPr="00813DDC" w:rsidRDefault="00813DDC" w:rsidP="00813DDC">
      <w:pPr>
        <w:spacing w:before="120" w:after="120"/>
        <w:ind w:firstLine="709"/>
        <w:contextualSpacing/>
        <w:jc w:val="both"/>
        <w:rPr>
          <w:rFonts w:cs="Arial"/>
        </w:rPr>
      </w:pPr>
      <w:r w:rsidRPr="00813DDC">
        <w:rPr>
          <w:rFonts w:cs="Arial"/>
        </w:rPr>
        <w:t>O monitoramento fluviométrico também é importante para elaboração de sistemas de alerta, permitindo a retirada antecipada da população que ocupa as áreas de risco. Dessa forma, é importante que o monitoramento seja realizado, periodicamente, nos pontos mais críticos dos cursos d’água de Córrego Novo, mais precisamente, em pontos de estrangulamento de canais, como pontes e barramentos. Quanto maior o valor desse indicador, melhor a situação.</w:t>
      </w:r>
    </w:p>
    <w:p w:rsidR="00813DDC" w:rsidRPr="00813DDC" w:rsidRDefault="001B481B" w:rsidP="00813DDC">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MF</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N</m:t>
                  </m:r>
                </m:e>
                <m:sub>
                  <m:r>
                    <w:rPr>
                      <w:rFonts w:ascii="Cambria Math" w:eastAsia="Times New Roman" w:hAnsi="Cambria Math" w:cs="Arial"/>
                      <w:sz w:val="22"/>
                      <w:lang w:eastAsia="pt-BR"/>
                    </w:rPr>
                    <m:t>Fluv</m:t>
                  </m:r>
                </m:sub>
              </m:sSub>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A</m:t>
                  </m:r>
                </m:e>
                <m:sub>
                  <m:r>
                    <w:rPr>
                      <w:rFonts w:ascii="Cambria Math" w:eastAsia="Times New Roman" w:hAnsi="Cambria Math" w:cs="Arial"/>
                      <w:sz w:val="22"/>
                      <w:lang w:eastAsia="pt-BR"/>
                    </w:rPr>
                    <m:t>c</m:t>
                  </m:r>
                </m:sub>
              </m:sSub>
            </m:den>
          </m:f>
        </m:oMath>
      </m:oMathPara>
    </w:p>
    <w:p w:rsidR="00813DDC" w:rsidRPr="00813DDC" w:rsidRDefault="00813DDC" w:rsidP="00813DDC">
      <w:pPr>
        <w:spacing w:before="120" w:after="120"/>
        <w:ind w:firstLine="709"/>
        <w:contextualSpacing/>
        <w:jc w:val="both"/>
        <w:rPr>
          <w:rFonts w:cs="Arial"/>
        </w:rPr>
      </w:pPr>
      <w:r w:rsidRPr="00813DDC">
        <w:rPr>
          <w:rFonts w:cs="Arial"/>
          <w:szCs w:val="24"/>
        </w:rPr>
        <w:t>Em que</w:t>
      </w:r>
      <w:r w:rsidRPr="00813DDC">
        <w:rPr>
          <w:rFonts w:cs="Arial"/>
        </w:rPr>
        <w:t>:</w:t>
      </w:r>
      <w:r w:rsidRPr="00813DDC">
        <w:rPr>
          <w:rFonts w:cs="Arial"/>
        </w:rPr>
        <w:tab/>
      </w:r>
    </w:p>
    <w:p w:rsidR="00813DDC" w:rsidRPr="00813DDC" w:rsidRDefault="00813DDC" w:rsidP="0066661F">
      <w:pPr>
        <w:numPr>
          <w:ilvl w:val="0"/>
          <w:numId w:val="27"/>
        </w:numPr>
        <w:jc w:val="both"/>
        <w:rPr>
          <w:rFonts w:cs="Arial"/>
          <w:i/>
          <w:szCs w:val="24"/>
        </w:rPr>
      </w:pPr>
      <w:r w:rsidRPr="00813DDC">
        <w:rPr>
          <w:rFonts w:cs="Arial"/>
          <w:i/>
          <w:szCs w:val="24"/>
        </w:rPr>
        <w:t>I</w:t>
      </w:r>
      <w:r w:rsidRPr="00813DDC">
        <w:rPr>
          <w:rFonts w:cs="Arial"/>
          <w:i/>
          <w:szCs w:val="24"/>
          <w:vertAlign w:val="subscript"/>
        </w:rPr>
        <w:t>MF</w:t>
      </w:r>
      <w:r w:rsidRPr="00813DDC">
        <w:rPr>
          <w:rFonts w:cs="Arial"/>
          <w:i/>
          <w:szCs w:val="24"/>
        </w:rPr>
        <w:t>: Índice de monitoramento fluviométrico (unidades/km²).</w:t>
      </w:r>
    </w:p>
    <w:p w:rsidR="00813DDC" w:rsidRPr="00813DDC" w:rsidRDefault="00813DDC" w:rsidP="0066661F">
      <w:pPr>
        <w:numPr>
          <w:ilvl w:val="0"/>
          <w:numId w:val="27"/>
        </w:numPr>
        <w:jc w:val="both"/>
        <w:rPr>
          <w:rFonts w:cs="Arial"/>
          <w:i/>
          <w:szCs w:val="24"/>
        </w:rPr>
      </w:pPr>
      <w:r w:rsidRPr="00813DDC">
        <w:rPr>
          <w:rFonts w:cs="Arial"/>
          <w:i/>
          <w:szCs w:val="24"/>
        </w:rPr>
        <w:t>N</w:t>
      </w:r>
      <w:r w:rsidRPr="00813DDC">
        <w:rPr>
          <w:rFonts w:cs="Arial"/>
          <w:i/>
          <w:szCs w:val="24"/>
          <w:vertAlign w:val="subscript"/>
        </w:rPr>
        <w:t>Fluv</w:t>
      </w:r>
      <w:r w:rsidRPr="00813DDC">
        <w:rPr>
          <w:rFonts w:cs="Arial"/>
          <w:i/>
          <w:szCs w:val="24"/>
        </w:rPr>
        <w:t>: Número de estações fluviométricas (unidades).</w:t>
      </w:r>
    </w:p>
    <w:p w:rsidR="00813DDC" w:rsidRPr="00813DDC" w:rsidRDefault="00813DDC" w:rsidP="0066661F">
      <w:pPr>
        <w:numPr>
          <w:ilvl w:val="0"/>
          <w:numId w:val="27"/>
        </w:numPr>
        <w:jc w:val="both"/>
        <w:rPr>
          <w:rFonts w:cs="Arial"/>
          <w:i/>
          <w:szCs w:val="24"/>
        </w:rPr>
      </w:pPr>
      <w:r w:rsidRPr="00813DDC">
        <w:rPr>
          <w:rFonts w:cs="Arial"/>
          <w:i/>
          <w:szCs w:val="24"/>
        </w:rPr>
        <w:t>A</w:t>
      </w:r>
      <w:r w:rsidRPr="00813DDC">
        <w:rPr>
          <w:rFonts w:cs="Arial"/>
          <w:i/>
          <w:szCs w:val="24"/>
          <w:vertAlign w:val="subscript"/>
        </w:rPr>
        <w:t>C</w:t>
      </w:r>
      <w:r w:rsidRPr="00813DDC">
        <w:rPr>
          <w:rFonts w:cs="Arial"/>
          <w:i/>
          <w:szCs w:val="24"/>
        </w:rPr>
        <w:t>: Área da bacia de contribuição (km²).</w:t>
      </w:r>
    </w:p>
    <w:p w:rsidR="00813DDC" w:rsidRPr="00813DDC" w:rsidRDefault="00813DDC" w:rsidP="00BC01B1">
      <w:pPr>
        <w:pStyle w:val="Ttulo3"/>
      </w:pPr>
      <w:bookmarkStart w:id="2484" w:name="_Toc453769393"/>
      <w:bookmarkStart w:id="2485" w:name="_Toc453771260"/>
      <w:bookmarkStart w:id="2486" w:name="_Toc453833808"/>
      <w:bookmarkStart w:id="2487" w:name="_Toc499019085"/>
      <w:bookmarkStart w:id="2488" w:name="_Toc499106818"/>
      <w:bookmarkStart w:id="2489" w:name="_Toc499107138"/>
      <w:bookmarkStart w:id="2490" w:name="_Toc499107958"/>
      <w:bookmarkStart w:id="2491" w:name="_Toc499108795"/>
      <w:bookmarkStart w:id="2492" w:name="_Toc499109620"/>
      <w:bookmarkStart w:id="2493" w:name="_Toc499109786"/>
      <w:bookmarkStart w:id="2494" w:name="_Toc499709992"/>
      <w:bookmarkStart w:id="2495" w:name="_Toc509935715"/>
      <w:r w:rsidRPr="00813DDC">
        <w:t>Indicador para o objetivo 5</w:t>
      </w:r>
      <w:bookmarkEnd w:id="2484"/>
      <w:bookmarkEnd w:id="2485"/>
      <w:bookmarkEnd w:id="2486"/>
      <w:bookmarkEnd w:id="2487"/>
      <w:bookmarkEnd w:id="2488"/>
      <w:bookmarkEnd w:id="2489"/>
      <w:bookmarkEnd w:id="2490"/>
      <w:bookmarkEnd w:id="2491"/>
      <w:bookmarkEnd w:id="2492"/>
      <w:bookmarkEnd w:id="2493"/>
      <w:bookmarkEnd w:id="2494"/>
      <w:bookmarkEnd w:id="2495"/>
    </w:p>
    <w:p w:rsidR="00813DDC" w:rsidRPr="00813DDC" w:rsidRDefault="00813DDC" w:rsidP="00BC01B1">
      <w:pPr>
        <w:pStyle w:val="Ttulo4"/>
      </w:pPr>
      <w:bookmarkStart w:id="2496" w:name="_Toc499019086"/>
      <w:bookmarkStart w:id="2497" w:name="_Toc499106819"/>
      <w:bookmarkStart w:id="2498" w:name="_Toc499107139"/>
      <w:bookmarkStart w:id="2499" w:name="_Toc499107959"/>
      <w:bookmarkStart w:id="2500" w:name="_Toc499108796"/>
      <w:bookmarkStart w:id="2501" w:name="_Toc499109621"/>
      <w:bookmarkStart w:id="2502" w:name="_Toc499109787"/>
      <w:bookmarkStart w:id="2503" w:name="_Toc499709993"/>
      <w:bookmarkStart w:id="2504" w:name="_Toc509935716"/>
      <w:bookmarkStart w:id="2505" w:name="_Toc453769394"/>
      <w:bookmarkStart w:id="2506" w:name="_Toc453771261"/>
      <w:bookmarkStart w:id="2507" w:name="_Toc453833809"/>
      <w:r w:rsidRPr="00813DDC">
        <w:t>Nível de regulamentação ambiental do setor</w:t>
      </w:r>
      <w:bookmarkEnd w:id="2496"/>
      <w:bookmarkEnd w:id="2497"/>
      <w:bookmarkEnd w:id="2498"/>
      <w:bookmarkEnd w:id="2499"/>
      <w:bookmarkEnd w:id="2500"/>
      <w:bookmarkEnd w:id="2501"/>
      <w:bookmarkEnd w:id="2502"/>
      <w:bookmarkEnd w:id="2503"/>
      <w:bookmarkEnd w:id="2504"/>
      <w:r w:rsidRPr="00813DDC">
        <w:t xml:space="preserve"> </w:t>
      </w:r>
      <w:bookmarkEnd w:id="2505"/>
      <w:bookmarkEnd w:id="2506"/>
      <w:bookmarkEnd w:id="2507"/>
    </w:p>
    <w:p w:rsidR="00813DDC" w:rsidRPr="00813DDC" w:rsidRDefault="001B481B" w:rsidP="00813DDC">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ra</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L</m:t>
                  </m:r>
                </m:e>
                <m:sub>
                  <m:r>
                    <w:rPr>
                      <w:rFonts w:ascii="Cambria Math" w:eastAsia="Times New Roman" w:hAnsi="Cambria Math" w:cs="Arial"/>
                      <w:sz w:val="22"/>
                      <w:lang w:eastAsia="pt-BR"/>
                    </w:rPr>
                    <m:t>val</m:t>
                  </m:r>
                </m:sub>
              </m:sSub>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L</m:t>
                  </m:r>
                </m:e>
                <m:sub>
                  <m:r>
                    <w:rPr>
                      <w:rFonts w:ascii="Cambria Math" w:eastAsia="Times New Roman" w:hAnsi="Cambria Math" w:cs="Arial"/>
                      <w:sz w:val="22"/>
                      <w:lang w:eastAsia="pt-BR"/>
                    </w:rPr>
                    <m:t>exig</m:t>
                  </m:r>
                </m:sub>
              </m:sSub>
            </m:den>
          </m:f>
          <m:r>
            <w:rPr>
              <w:rFonts w:ascii="Cambria Math" w:eastAsia="Times New Roman" w:hAnsi="Cambria Math" w:cs="Arial"/>
              <w:sz w:val="22"/>
              <w:lang w:eastAsia="pt-BR"/>
            </w:rPr>
            <m:t xml:space="preserve"> ×100</m:t>
          </m:r>
        </m:oMath>
      </m:oMathPara>
    </w:p>
    <w:p w:rsidR="00813DDC" w:rsidRPr="00813DDC" w:rsidRDefault="00813DDC" w:rsidP="00813DDC">
      <w:pPr>
        <w:spacing w:before="120" w:after="120"/>
        <w:ind w:firstLine="709"/>
        <w:contextualSpacing/>
        <w:jc w:val="both"/>
        <w:rPr>
          <w:rFonts w:cs="Arial"/>
        </w:rPr>
      </w:pPr>
      <w:r w:rsidRPr="00813DDC">
        <w:rPr>
          <w:rFonts w:cs="Arial"/>
          <w:szCs w:val="24"/>
        </w:rPr>
        <w:t>Em que</w:t>
      </w:r>
      <w:r w:rsidRPr="00813DDC">
        <w:rPr>
          <w:rFonts w:cs="Arial"/>
        </w:rPr>
        <w:t>:</w:t>
      </w:r>
    </w:p>
    <w:p w:rsidR="00813DDC" w:rsidRPr="00813DDC" w:rsidRDefault="00813DDC" w:rsidP="0066661F">
      <w:pPr>
        <w:numPr>
          <w:ilvl w:val="0"/>
          <w:numId w:val="27"/>
        </w:numPr>
        <w:jc w:val="both"/>
        <w:rPr>
          <w:rFonts w:cs="Arial"/>
          <w:i/>
          <w:szCs w:val="24"/>
        </w:rPr>
      </w:pPr>
      <w:r w:rsidRPr="00813DDC">
        <w:rPr>
          <w:rFonts w:cs="Arial"/>
          <w:i/>
          <w:szCs w:val="24"/>
        </w:rPr>
        <w:t>I</w:t>
      </w:r>
      <w:r w:rsidRPr="00813DDC">
        <w:rPr>
          <w:rFonts w:cs="Arial"/>
          <w:i/>
          <w:szCs w:val="24"/>
          <w:vertAlign w:val="subscript"/>
        </w:rPr>
        <w:t>ra</w:t>
      </w:r>
      <w:r w:rsidRPr="00813DDC">
        <w:rPr>
          <w:rFonts w:cs="Arial"/>
          <w:i/>
          <w:szCs w:val="24"/>
        </w:rPr>
        <w:t xml:space="preserve"> = Índice de regulamentação ambiental do setor (%).</w:t>
      </w:r>
    </w:p>
    <w:p w:rsidR="00813DDC" w:rsidRPr="00813DDC" w:rsidRDefault="00813DDC" w:rsidP="0066661F">
      <w:pPr>
        <w:numPr>
          <w:ilvl w:val="0"/>
          <w:numId w:val="27"/>
        </w:numPr>
        <w:jc w:val="both"/>
        <w:rPr>
          <w:rFonts w:cs="Arial"/>
          <w:i/>
          <w:szCs w:val="24"/>
        </w:rPr>
      </w:pPr>
      <w:r w:rsidRPr="00813DDC">
        <w:rPr>
          <w:rFonts w:cs="Arial"/>
          <w:i/>
          <w:szCs w:val="24"/>
        </w:rPr>
        <w:lastRenderedPageBreak/>
        <w:t>L</w:t>
      </w:r>
      <w:r w:rsidRPr="00813DDC">
        <w:rPr>
          <w:rFonts w:cs="Arial"/>
          <w:i/>
          <w:szCs w:val="24"/>
          <w:vertAlign w:val="subscript"/>
        </w:rPr>
        <w:t>val</w:t>
      </w:r>
      <w:r w:rsidRPr="00813DDC">
        <w:rPr>
          <w:rFonts w:cs="Arial"/>
          <w:i/>
          <w:szCs w:val="24"/>
        </w:rPr>
        <w:t xml:space="preserve"> = número de licenças ambientais e outorgas válidas.</w:t>
      </w:r>
    </w:p>
    <w:p w:rsidR="00813DDC" w:rsidRPr="00813DDC" w:rsidRDefault="00813DDC" w:rsidP="0066661F">
      <w:pPr>
        <w:numPr>
          <w:ilvl w:val="0"/>
          <w:numId w:val="27"/>
        </w:numPr>
        <w:jc w:val="both"/>
        <w:rPr>
          <w:rFonts w:cs="Arial"/>
          <w:i/>
          <w:szCs w:val="24"/>
        </w:rPr>
      </w:pPr>
      <w:r w:rsidRPr="00813DDC">
        <w:rPr>
          <w:rFonts w:cs="Arial"/>
          <w:i/>
          <w:szCs w:val="24"/>
        </w:rPr>
        <w:t>L</w:t>
      </w:r>
      <w:r w:rsidRPr="00813DDC">
        <w:rPr>
          <w:rFonts w:cs="Arial"/>
          <w:i/>
          <w:szCs w:val="24"/>
          <w:vertAlign w:val="subscript"/>
        </w:rPr>
        <w:t>exig</w:t>
      </w:r>
      <w:r w:rsidRPr="00813DDC">
        <w:rPr>
          <w:rFonts w:cs="Arial"/>
          <w:i/>
          <w:szCs w:val="24"/>
        </w:rPr>
        <w:t xml:space="preserve"> = número de licenças ambientais e outorgas exigidas no âmbito do SDU.</w:t>
      </w:r>
    </w:p>
    <w:p w:rsidR="00813DDC" w:rsidRPr="00813DDC" w:rsidRDefault="00813DDC" w:rsidP="00813DDC">
      <w:pPr>
        <w:spacing w:before="120" w:after="120"/>
        <w:ind w:firstLine="709"/>
        <w:contextualSpacing/>
        <w:jc w:val="both"/>
        <w:rPr>
          <w:rFonts w:cs="Arial"/>
        </w:rPr>
      </w:pPr>
      <w:r w:rsidRPr="00813DDC">
        <w:rPr>
          <w:rFonts w:cs="Arial"/>
        </w:rPr>
        <w:t>Este indicador representa o quanto o setor atende à legislação ambiental básica aplicável às suas atividades. O valor ideal desse indicador é 100 %, que mostra que todas as estruturas de drenagem do município estão licenciadas/outorgadas.</w:t>
      </w:r>
    </w:p>
    <w:p w:rsidR="00813DDC" w:rsidRPr="00813DDC" w:rsidRDefault="00813DDC" w:rsidP="00BC01B1">
      <w:pPr>
        <w:pStyle w:val="Ttulo3"/>
      </w:pPr>
      <w:bookmarkStart w:id="2508" w:name="_Toc453769395"/>
      <w:bookmarkStart w:id="2509" w:name="_Toc453771262"/>
      <w:bookmarkStart w:id="2510" w:name="_Toc453833810"/>
      <w:bookmarkStart w:id="2511" w:name="_Toc499019087"/>
      <w:bookmarkStart w:id="2512" w:name="_Toc499106820"/>
      <w:bookmarkStart w:id="2513" w:name="_Toc499107140"/>
      <w:bookmarkStart w:id="2514" w:name="_Toc499107960"/>
      <w:bookmarkStart w:id="2515" w:name="_Toc499108797"/>
      <w:bookmarkStart w:id="2516" w:name="_Toc499109622"/>
      <w:bookmarkStart w:id="2517" w:name="_Toc499109788"/>
      <w:bookmarkStart w:id="2518" w:name="_Toc499709994"/>
      <w:bookmarkStart w:id="2519" w:name="_Toc509935717"/>
      <w:r w:rsidRPr="00813DDC">
        <w:t>Indicadores para o objetivo 6</w:t>
      </w:r>
      <w:bookmarkEnd w:id="2508"/>
      <w:bookmarkEnd w:id="2509"/>
      <w:bookmarkEnd w:id="2510"/>
      <w:bookmarkEnd w:id="2511"/>
      <w:bookmarkEnd w:id="2512"/>
      <w:bookmarkEnd w:id="2513"/>
      <w:bookmarkEnd w:id="2514"/>
      <w:bookmarkEnd w:id="2515"/>
      <w:bookmarkEnd w:id="2516"/>
      <w:bookmarkEnd w:id="2517"/>
      <w:bookmarkEnd w:id="2518"/>
      <w:bookmarkEnd w:id="2519"/>
    </w:p>
    <w:p w:rsidR="00813DDC" w:rsidRPr="00813DDC" w:rsidRDefault="00813DDC" w:rsidP="00BC01B1">
      <w:pPr>
        <w:pStyle w:val="Ttulo4"/>
      </w:pPr>
      <w:bookmarkStart w:id="2520" w:name="_Toc453769396"/>
      <w:bookmarkStart w:id="2521" w:name="_Toc453771263"/>
      <w:bookmarkStart w:id="2522" w:name="_Toc453833811"/>
      <w:bookmarkStart w:id="2523" w:name="_Toc499019088"/>
      <w:bookmarkStart w:id="2524" w:name="_Toc499106821"/>
      <w:bookmarkStart w:id="2525" w:name="_Toc499107141"/>
      <w:bookmarkStart w:id="2526" w:name="_Toc499107961"/>
      <w:bookmarkStart w:id="2527" w:name="_Toc499108798"/>
      <w:bookmarkStart w:id="2528" w:name="_Toc499109623"/>
      <w:bookmarkStart w:id="2529" w:name="_Toc499109789"/>
      <w:bookmarkStart w:id="2530" w:name="_Toc499709995"/>
      <w:bookmarkStart w:id="2531" w:name="_Toc509935718"/>
      <w:r w:rsidRPr="00813DDC">
        <w:t>Índice de respostas satisfatórias a reclamações</w:t>
      </w:r>
      <w:bookmarkEnd w:id="2520"/>
      <w:bookmarkEnd w:id="2521"/>
      <w:bookmarkEnd w:id="2522"/>
      <w:bookmarkEnd w:id="2523"/>
      <w:bookmarkEnd w:id="2524"/>
      <w:bookmarkEnd w:id="2525"/>
      <w:bookmarkEnd w:id="2526"/>
      <w:bookmarkEnd w:id="2527"/>
      <w:bookmarkEnd w:id="2528"/>
      <w:bookmarkEnd w:id="2529"/>
      <w:bookmarkEnd w:id="2530"/>
      <w:bookmarkEnd w:id="2531"/>
    </w:p>
    <w:p w:rsidR="00813DDC" w:rsidRPr="00813DDC" w:rsidRDefault="00813DDC" w:rsidP="00813DDC">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IRS=</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Nr</m:t>
              </m:r>
            </m:num>
            <m:den>
              <m:r>
                <w:rPr>
                  <w:rFonts w:ascii="Cambria Math" w:eastAsia="Times New Roman" w:hAnsi="Cambria Math" w:cs="Arial"/>
                  <w:sz w:val="22"/>
                  <w:lang w:eastAsia="pt-BR"/>
                </w:rPr>
                <m:t xml:space="preserve"> Nt</m:t>
              </m:r>
            </m:den>
          </m:f>
          <m:r>
            <w:rPr>
              <w:rFonts w:ascii="Cambria Math" w:eastAsia="Times New Roman" w:hAnsi="Cambria Math" w:cs="Arial"/>
              <w:sz w:val="22"/>
              <w:lang w:eastAsia="pt-BR"/>
            </w:rPr>
            <m:t xml:space="preserve"> x 100</m:t>
          </m:r>
        </m:oMath>
      </m:oMathPara>
    </w:p>
    <w:p w:rsidR="00813DDC" w:rsidRPr="00813DDC" w:rsidRDefault="00813DDC" w:rsidP="00813DDC">
      <w:pPr>
        <w:spacing w:before="120" w:after="120"/>
        <w:ind w:firstLine="709"/>
        <w:contextualSpacing/>
        <w:jc w:val="both"/>
        <w:rPr>
          <w:rFonts w:cs="Arial"/>
        </w:rPr>
      </w:pPr>
      <w:r w:rsidRPr="00813DDC">
        <w:rPr>
          <w:rFonts w:cs="Arial"/>
        </w:rPr>
        <w:t>Em que:</w:t>
      </w:r>
    </w:p>
    <w:p w:rsidR="00813DDC" w:rsidRPr="00813DDC" w:rsidRDefault="00813DDC" w:rsidP="0066661F">
      <w:pPr>
        <w:numPr>
          <w:ilvl w:val="0"/>
          <w:numId w:val="27"/>
        </w:numPr>
        <w:contextualSpacing/>
        <w:jc w:val="both"/>
        <w:rPr>
          <w:rFonts w:cs="Arial"/>
          <w:i/>
          <w:szCs w:val="24"/>
        </w:rPr>
      </w:pPr>
      <w:r w:rsidRPr="00813DDC">
        <w:rPr>
          <w:rFonts w:cs="Arial"/>
          <w:i/>
          <w:szCs w:val="24"/>
          <w:lang w:eastAsia="pt-BR"/>
        </w:rPr>
        <w:t xml:space="preserve">IRS = </w:t>
      </w:r>
      <w:r w:rsidRPr="00813DDC">
        <w:rPr>
          <w:rFonts w:cs="Arial"/>
          <w:i/>
          <w:szCs w:val="24"/>
        </w:rPr>
        <w:t xml:space="preserve">Índice de respostas satisfatórias a pesquisa de satisfação </w:t>
      </w:r>
      <w:r w:rsidRPr="00813DDC">
        <w:rPr>
          <w:rFonts w:cs="Arial"/>
          <w:i/>
          <w:szCs w:val="24"/>
          <w:lang w:eastAsia="pt-BR"/>
        </w:rPr>
        <w:t>(%).</w:t>
      </w:r>
    </w:p>
    <w:p w:rsidR="00813DDC" w:rsidRPr="00813DDC" w:rsidRDefault="00813DDC" w:rsidP="0066661F">
      <w:pPr>
        <w:numPr>
          <w:ilvl w:val="0"/>
          <w:numId w:val="27"/>
        </w:numPr>
        <w:jc w:val="both"/>
        <w:rPr>
          <w:rFonts w:cs="Arial"/>
          <w:i/>
          <w:szCs w:val="24"/>
        </w:rPr>
      </w:pPr>
      <w:r w:rsidRPr="00813DDC">
        <w:rPr>
          <w:rFonts w:cs="Arial"/>
          <w:i/>
          <w:szCs w:val="24"/>
        </w:rPr>
        <w:t>Nr = Número de reclamações satisfatoriamente respondidas (unid.).</w:t>
      </w:r>
    </w:p>
    <w:p w:rsidR="00813DDC" w:rsidRPr="00813DDC" w:rsidRDefault="00813DDC" w:rsidP="0066661F">
      <w:pPr>
        <w:numPr>
          <w:ilvl w:val="0"/>
          <w:numId w:val="27"/>
        </w:numPr>
        <w:jc w:val="both"/>
        <w:rPr>
          <w:rFonts w:cs="Arial"/>
          <w:i/>
          <w:szCs w:val="24"/>
        </w:rPr>
      </w:pPr>
      <w:r w:rsidRPr="00813DDC">
        <w:rPr>
          <w:rFonts w:cs="Arial"/>
          <w:i/>
          <w:szCs w:val="24"/>
        </w:rPr>
        <w:t>Nt = Número total de reclamações realizadas nos canais de comunicação com a sociedade (unid.).</w:t>
      </w:r>
    </w:p>
    <w:p w:rsidR="00813DDC" w:rsidRPr="00813DDC" w:rsidRDefault="00813DDC" w:rsidP="00813DDC">
      <w:pPr>
        <w:spacing w:before="120" w:after="120"/>
        <w:ind w:firstLine="709"/>
        <w:contextualSpacing/>
        <w:jc w:val="both"/>
        <w:rPr>
          <w:rFonts w:cs="Arial"/>
        </w:rPr>
      </w:pPr>
      <w:r w:rsidRPr="00813DDC">
        <w:rPr>
          <w:rFonts w:cs="Arial"/>
        </w:rPr>
        <w:t>Este indicador fornece dados quantitativos acerca da percepção da população em relação os setores do Saneamento Básico e da prestação de serviços, e auxiliará no monitoramento do alcance do objetivo de “garantir a mobilização social e canais de comunicação com a sociedade, além de promover ações continuadas em educação ambiental”, bem como possibilitar a realização de pesquisas e questionários presenciais e/ou virtuais por meio de plataformas eletrônicas e sites. O valor ideal desse indicador é 100 %, ou seja, todas as respostas às pesquisas de satisfação mostram que o entrevistado está satisfeito.</w:t>
      </w:r>
    </w:p>
    <w:p w:rsidR="00813DDC" w:rsidRPr="00813DDC" w:rsidRDefault="00813DDC" w:rsidP="00BC01B1">
      <w:pPr>
        <w:pStyle w:val="Ttulo4"/>
      </w:pPr>
      <w:bookmarkStart w:id="2532" w:name="_Toc453769397"/>
      <w:bookmarkStart w:id="2533" w:name="_Toc453771264"/>
      <w:bookmarkStart w:id="2534" w:name="_Toc453833812"/>
      <w:bookmarkStart w:id="2535" w:name="_Toc499019089"/>
      <w:bookmarkStart w:id="2536" w:name="_Toc499106822"/>
      <w:bookmarkStart w:id="2537" w:name="_Toc499107142"/>
      <w:bookmarkStart w:id="2538" w:name="_Toc499107962"/>
      <w:bookmarkStart w:id="2539" w:name="_Toc499108799"/>
      <w:bookmarkStart w:id="2540" w:name="_Toc499109624"/>
      <w:bookmarkStart w:id="2541" w:name="_Toc499109790"/>
      <w:bookmarkStart w:id="2542" w:name="_Toc499709996"/>
      <w:bookmarkStart w:id="2543" w:name="_Toc509935719"/>
      <w:r w:rsidRPr="00813DDC">
        <w:t>Número de eventos realizados anualmente a respeito da drenagem urbana e proteção dos mananciais</w:t>
      </w:r>
      <w:bookmarkEnd w:id="2532"/>
      <w:bookmarkEnd w:id="2533"/>
      <w:bookmarkEnd w:id="2534"/>
      <w:bookmarkEnd w:id="2535"/>
      <w:bookmarkEnd w:id="2536"/>
      <w:bookmarkEnd w:id="2537"/>
      <w:bookmarkEnd w:id="2538"/>
      <w:bookmarkEnd w:id="2539"/>
      <w:bookmarkEnd w:id="2540"/>
      <w:bookmarkEnd w:id="2541"/>
      <w:bookmarkEnd w:id="2542"/>
      <w:bookmarkEnd w:id="2543"/>
    </w:p>
    <w:p w:rsidR="00813DDC" w:rsidRPr="00813DDC" w:rsidRDefault="00813DDC" w:rsidP="00813DDC">
      <w:pPr>
        <w:spacing w:before="120" w:after="120"/>
        <w:ind w:firstLine="708"/>
        <w:contextualSpacing/>
        <w:jc w:val="both"/>
        <w:rPr>
          <w:rFonts w:cs="Arial"/>
          <w:szCs w:val="24"/>
        </w:rPr>
      </w:pPr>
      <w:r w:rsidRPr="00813DDC">
        <w:rPr>
          <w:rFonts w:cs="Arial"/>
          <w:szCs w:val="24"/>
        </w:rPr>
        <w:t xml:space="preserve">Este indicador fornece dados quantitativos acerca das atividades relacionadas à promoção de Educação Ambiental, realizadas pelos diferentes agentes sociais. Essas atividades devem envolver temas de Saneamento Básico visando à sensibilização e conscientização ambiental da população do município de Córrego Novo, bem como, ampliar a percepção da mesma em relação aos setores do Saneamento Básico e à prestação de serviços. O indicador ainda auxiliará no monitoramento do alcance do </w:t>
      </w:r>
      <w:r w:rsidRPr="00813DDC">
        <w:rPr>
          <w:rFonts w:cs="Arial"/>
          <w:szCs w:val="24"/>
        </w:rPr>
        <w:lastRenderedPageBreak/>
        <w:t>objetivo de “promover ações para avaliação da percepção dos usuários e para promoção de educação ambiental”. Quanto maior o valor, melhor a situação.</w:t>
      </w:r>
    </w:p>
    <w:p w:rsidR="00813DDC" w:rsidRPr="00813DDC" w:rsidRDefault="00813DDC" w:rsidP="00BC01B1">
      <w:pPr>
        <w:pStyle w:val="SHS-Ttulo02"/>
      </w:pPr>
      <w:bookmarkStart w:id="2544" w:name="_Toc499019090"/>
      <w:bookmarkStart w:id="2545" w:name="_Toc499106823"/>
      <w:bookmarkStart w:id="2546" w:name="_Toc499107143"/>
      <w:bookmarkStart w:id="2547" w:name="_Toc499107963"/>
      <w:bookmarkStart w:id="2548" w:name="_Toc499108800"/>
      <w:bookmarkStart w:id="2549" w:name="_Toc499109625"/>
      <w:bookmarkStart w:id="2550" w:name="_Toc499109791"/>
      <w:bookmarkStart w:id="2551" w:name="_Toc499709997"/>
      <w:bookmarkStart w:id="2552" w:name="_Toc509935720"/>
      <w:r w:rsidRPr="00813DDC">
        <w:t>Sistema de Limpeza Urbana e Manejo de Resíduos Sólidos</w:t>
      </w:r>
      <w:bookmarkEnd w:id="1734"/>
      <w:bookmarkEnd w:id="1735"/>
      <w:bookmarkEnd w:id="1736"/>
      <w:bookmarkEnd w:id="1737"/>
      <w:bookmarkEnd w:id="1738"/>
      <w:bookmarkEnd w:id="1739"/>
      <w:bookmarkEnd w:id="2544"/>
      <w:bookmarkEnd w:id="2545"/>
      <w:bookmarkEnd w:id="2546"/>
      <w:bookmarkEnd w:id="2547"/>
      <w:bookmarkEnd w:id="2548"/>
      <w:bookmarkEnd w:id="2549"/>
      <w:bookmarkEnd w:id="2550"/>
      <w:bookmarkEnd w:id="2551"/>
      <w:bookmarkEnd w:id="2552"/>
    </w:p>
    <w:p w:rsidR="00813DDC" w:rsidRPr="00813DDC" w:rsidRDefault="00813DDC" w:rsidP="00813DDC">
      <w:pPr>
        <w:spacing w:before="120" w:after="120"/>
        <w:ind w:firstLine="709"/>
        <w:contextualSpacing/>
        <w:jc w:val="both"/>
        <w:rPr>
          <w:rFonts w:cs="Arial"/>
          <w:szCs w:val="24"/>
          <w:lang w:eastAsia="pt-BR"/>
        </w:rPr>
      </w:pPr>
      <w:r w:rsidRPr="00813DDC">
        <w:rPr>
          <w:rFonts w:cs="Arial"/>
          <w:szCs w:val="24"/>
          <w:lang w:eastAsia="pt-BR"/>
        </w:rPr>
        <w:t>Para cada objetivo foram adotados um ou mais indicadores que permitirão avaliar se as metas estabelecidas para o alcance dos mesmos estão sendo atingidas. A evolução do PMSB será avaliada através do comportamento dos indicadores estabelecidos para acompanhar cada objetivo adotado.</w:t>
      </w:r>
    </w:p>
    <w:p w:rsidR="00813DDC" w:rsidRPr="00813DDC" w:rsidRDefault="00813DDC" w:rsidP="0066661F">
      <w:pPr>
        <w:numPr>
          <w:ilvl w:val="0"/>
          <w:numId w:val="103"/>
        </w:numPr>
        <w:spacing w:line="336" w:lineRule="auto"/>
        <w:ind w:left="2127" w:hanging="1560"/>
        <w:contextualSpacing/>
        <w:jc w:val="both"/>
        <w:rPr>
          <w:rFonts w:eastAsia="Times New Roman"/>
          <w:color w:val="000000"/>
          <w:szCs w:val="24"/>
        </w:rPr>
      </w:pPr>
      <w:r w:rsidRPr="00813DDC">
        <w:rPr>
          <w:rFonts w:eastAsia="Times New Roman"/>
          <w:color w:val="000000"/>
          <w:szCs w:val="24"/>
        </w:rPr>
        <w:t>Atender com coleta convencional e seletiva a 100 % do município, de forma ininterrupta.</w:t>
      </w:r>
    </w:p>
    <w:p w:rsidR="00813DDC" w:rsidRPr="00813DDC" w:rsidRDefault="00813DDC" w:rsidP="0066661F">
      <w:pPr>
        <w:numPr>
          <w:ilvl w:val="0"/>
          <w:numId w:val="98"/>
        </w:numPr>
        <w:spacing w:line="336" w:lineRule="auto"/>
        <w:ind w:left="2410"/>
        <w:contextualSpacing/>
        <w:jc w:val="both"/>
        <w:rPr>
          <w:rFonts w:eastAsia="Times New Roman"/>
          <w:szCs w:val="24"/>
        </w:rPr>
      </w:pPr>
      <w:r w:rsidRPr="00813DDC">
        <w:rPr>
          <w:rFonts w:eastAsia="Times New Roman"/>
          <w:szCs w:val="24"/>
        </w:rPr>
        <w:t>Indicadores</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Índice de atendimento às ações propostas para o SLU e manejo de resíduos sólidos.</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Porcentagem de cobertura do serviço de coleta seletiva no município.</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Porcentagem de cobertura dos serviços de coleta regular de RDO (Resíduos Sólidos Domiciliares) em toda área do município (urbana e rural).</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Porcentagem de cobertura dos serviços de varrição, poda, capina, roçagem e raspagem na área total do município (urbana + rural).</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Porcentagem de cobertura de coleta de resíduos orgânicos no município (área urbana e rural).</w:t>
      </w:r>
    </w:p>
    <w:p w:rsidR="00813DDC" w:rsidRPr="00813DDC" w:rsidRDefault="00813DDC" w:rsidP="0066661F">
      <w:pPr>
        <w:numPr>
          <w:ilvl w:val="0"/>
          <w:numId w:val="103"/>
        </w:numPr>
        <w:spacing w:line="336" w:lineRule="auto"/>
        <w:ind w:left="2127" w:hanging="1560"/>
        <w:contextualSpacing/>
        <w:jc w:val="both"/>
        <w:rPr>
          <w:rFonts w:eastAsia="Times New Roman"/>
          <w:color w:val="000000"/>
          <w:szCs w:val="24"/>
        </w:rPr>
      </w:pPr>
      <w:r w:rsidRPr="00813DDC">
        <w:rPr>
          <w:rFonts w:eastAsia="Times New Roman"/>
          <w:color w:val="000000"/>
          <w:szCs w:val="24"/>
        </w:rPr>
        <w:t>Ampliar e otimizar a cobertura dos serviços de limpeza urbana.</w:t>
      </w:r>
    </w:p>
    <w:p w:rsidR="00813DDC" w:rsidRPr="00813DDC" w:rsidRDefault="00813DDC" w:rsidP="0066661F">
      <w:pPr>
        <w:numPr>
          <w:ilvl w:val="0"/>
          <w:numId w:val="98"/>
        </w:numPr>
        <w:spacing w:line="336" w:lineRule="auto"/>
        <w:ind w:left="2410"/>
        <w:contextualSpacing/>
        <w:jc w:val="both"/>
        <w:rPr>
          <w:rFonts w:eastAsia="Times New Roman"/>
          <w:szCs w:val="24"/>
        </w:rPr>
      </w:pPr>
      <w:r w:rsidRPr="00813DDC">
        <w:rPr>
          <w:rFonts w:eastAsia="Times New Roman"/>
          <w:szCs w:val="24"/>
        </w:rPr>
        <w:t>Indicadores</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Extensão varrida anualmente por extensão total de vias.</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Índice da área atendida com serviços de capina e roçagem.</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Índice de prestação de serviços de poda e corte da arborização.</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Porcentagem do total de resíduos de poda e capina, roçagem e raspagem que é enviada para a compostagem.</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Volume de resíduos dispostos no aterro (em metros cúbicos).</w:t>
      </w:r>
    </w:p>
    <w:p w:rsidR="00813DDC" w:rsidRPr="00813DDC" w:rsidRDefault="00813DDC" w:rsidP="0066661F">
      <w:pPr>
        <w:numPr>
          <w:ilvl w:val="0"/>
          <w:numId w:val="103"/>
        </w:numPr>
        <w:spacing w:line="336" w:lineRule="auto"/>
        <w:ind w:left="2127" w:hanging="1560"/>
        <w:contextualSpacing/>
        <w:jc w:val="both"/>
        <w:rPr>
          <w:rFonts w:eastAsia="Times New Roman"/>
          <w:color w:val="000000"/>
          <w:szCs w:val="24"/>
        </w:rPr>
      </w:pPr>
      <w:r w:rsidRPr="00813DDC">
        <w:rPr>
          <w:rFonts w:eastAsia="Times New Roman"/>
          <w:color w:val="000000"/>
          <w:szCs w:val="24"/>
        </w:rPr>
        <w:lastRenderedPageBreak/>
        <w:t>Reduzir o envio de resíduos recicláveis e passíveis de compostagem ao local de disposição final (aterro sanitário).</w:t>
      </w:r>
    </w:p>
    <w:p w:rsidR="00813DDC" w:rsidRPr="00813DDC" w:rsidRDefault="00813DDC" w:rsidP="0066661F">
      <w:pPr>
        <w:numPr>
          <w:ilvl w:val="0"/>
          <w:numId w:val="98"/>
        </w:numPr>
        <w:spacing w:line="336" w:lineRule="auto"/>
        <w:ind w:left="2410"/>
        <w:contextualSpacing/>
        <w:jc w:val="both"/>
        <w:rPr>
          <w:rFonts w:eastAsia="Times New Roman"/>
          <w:szCs w:val="24"/>
        </w:rPr>
      </w:pPr>
      <w:r w:rsidRPr="00813DDC">
        <w:rPr>
          <w:rFonts w:eastAsia="Times New Roman"/>
          <w:szCs w:val="24"/>
        </w:rPr>
        <w:t>Indicadores</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Porcentagem do total de resíduos recicláveis que é disposta em aterro sanitário.</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Porcentagem de resíduos compostáveis presentes entre os resíduos sólidos dispostos em aterro sanitário.</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Índice de comercialização de materiais recicláveis.</w:t>
      </w:r>
    </w:p>
    <w:p w:rsidR="00813DDC" w:rsidRPr="00813DDC" w:rsidRDefault="00813DDC" w:rsidP="0066661F">
      <w:pPr>
        <w:numPr>
          <w:ilvl w:val="0"/>
          <w:numId w:val="103"/>
        </w:numPr>
        <w:spacing w:line="336" w:lineRule="auto"/>
        <w:ind w:left="2127" w:hanging="1560"/>
        <w:contextualSpacing/>
        <w:jc w:val="both"/>
        <w:rPr>
          <w:rFonts w:eastAsia="Times New Roman"/>
          <w:color w:val="000000"/>
          <w:szCs w:val="24"/>
        </w:rPr>
      </w:pPr>
      <w:r w:rsidRPr="00813DDC">
        <w:rPr>
          <w:rFonts w:eastAsia="Times New Roman"/>
          <w:color w:val="000000"/>
          <w:szCs w:val="24"/>
        </w:rPr>
        <w:t>Implementar manejo de resíduos sólidos urbanos.</w:t>
      </w:r>
    </w:p>
    <w:p w:rsidR="00813DDC" w:rsidRPr="00813DDC" w:rsidRDefault="00813DDC" w:rsidP="0066661F">
      <w:pPr>
        <w:numPr>
          <w:ilvl w:val="0"/>
          <w:numId w:val="98"/>
        </w:numPr>
        <w:spacing w:line="336" w:lineRule="auto"/>
        <w:ind w:left="2410"/>
        <w:contextualSpacing/>
        <w:jc w:val="both"/>
        <w:rPr>
          <w:rFonts w:eastAsia="Times New Roman"/>
          <w:szCs w:val="24"/>
        </w:rPr>
      </w:pPr>
      <w:r w:rsidRPr="00813DDC">
        <w:rPr>
          <w:rFonts w:eastAsia="Times New Roman"/>
          <w:szCs w:val="24"/>
        </w:rPr>
        <w:t>Indicadores</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Autossuficiência financeira da prefeitura com o manejo de resíduos sólidos urbanos.</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Custo unitário médio do serviço de manejo de resíduos sólidos urbanos.</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Porcentagem de grandes geradores que utilizam o serviço de coleta convencional de resíduos.</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Existência de mapa atualizado da rota de movimentação de resíduos sólidos urbanos.</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Existência de mecanismos econômicos para remuneração e cobrança dos serviços prestados e incentivo econômico à reciclagem.</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Existência de Plano de Resíduos de Construção Civil e periodicidade de revisão.</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Existência e funcionamento adequado da logística reversa para os resíduos especiais.</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Pontos de disposição irregular de resíduos de construção civil.</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Massa de RCC per capita em relação à população urbana (kg/hab.dia).</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Percentual de Resíduos da Construção Civil (RCC) coletado de forma regular.</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lastRenderedPageBreak/>
        <w:t>Índice de resposta às informações de resíduos sólidos do SNIS (%).</w:t>
      </w:r>
    </w:p>
    <w:p w:rsidR="00813DDC" w:rsidRPr="00813DDC" w:rsidRDefault="00813DDC" w:rsidP="0066661F">
      <w:pPr>
        <w:numPr>
          <w:ilvl w:val="0"/>
          <w:numId w:val="103"/>
        </w:numPr>
        <w:spacing w:line="336" w:lineRule="auto"/>
        <w:ind w:left="2127" w:hanging="1560"/>
        <w:contextualSpacing/>
        <w:jc w:val="both"/>
        <w:rPr>
          <w:rFonts w:eastAsia="Times New Roman"/>
          <w:color w:val="000000"/>
          <w:szCs w:val="24"/>
        </w:rPr>
      </w:pPr>
      <w:r w:rsidRPr="00813DDC">
        <w:rPr>
          <w:rFonts w:eastAsia="Times New Roman"/>
          <w:color w:val="000000"/>
          <w:szCs w:val="24"/>
        </w:rPr>
        <w:t>Regulamentar procedimentos de Gestão Integrada de Resíduos Sólidos, a partir de legislação específica.</w:t>
      </w:r>
    </w:p>
    <w:p w:rsidR="00813DDC" w:rsidRPr="00813DDC" w:rsidRDefault="00813DDC" w:rsidP="0066661F">
      <w:pPr>
        <w:numPr>
          <w:ilvl w:val="0"/>
          <w:numId w:val="98"/>
        </w:numPr>
        <w:spacing w:line="336" w:lineRule="auto"/>
        <w:ind w:left="2410"/>
        <w:contextualSpacing/>
        <w:jc w:val="both"/>
        <w:rPr>
          <w:rFonts w:eastAsia="Times New Roman"/>
          <w:szCs w:val="24"/>
        </w:rPr>
      </w:pPr>
      <w:r w:rsidRPr="00813DDC">
        <w:rPr>
          <w:rFonts w:eastAsia="Times New Roman"/>
          <w:szCs w:val="24"/>
        </w:rPr>
        <w:t>Indicador</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Número de instrumentos legais relacionados ao sistema de limpeza urbana e manejo de resíduos sólidos publicadas no município.</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Taxa de regularização ambiental.</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Porcentagem de geradores com entrega do Plano de Gerenciamento de Resíduos Sólidos (PGRS) em dia.</w:t>
      </w:r>
    </w:p>
    <w:p w:rsidR="00813DDC" w:rsidRPr="00813DDC" w:rsidRDefault="00813DDC" w:rsidP="0066661F">
      <w:pPr>
        <w:numPr>
          <w:ilvl w:val="0"/>
          <w:numId w:val="103"/>
        </w:numPr>
        <w:spacing w:line="336" w:lineRule="auto"/>
        <w:ind w:left="2127" w:hanging="1560"/>
        <w:contextualSpacing/>
        <w:jc w:val="both"/>
        <w:rPr>
          <w:rFonts w:eastAsia="Times New Roman"/>
          <w:color w:val="000000"/>
          <w:szCs w:val="24"/>
        </w:rPr>
      </w:pPr>
      <w:r w:rsidRPr="00813DDC">
        <w:rPr>
          <w:rFonts w:eastAsia="Times New Roman"/>
          <w:color w:val="000000"/>
          <w:szCs w:val="24"/>
        </w:rPr>
        <w:t>Atender à legislação ambiental aplicável ao gerenciamento de resíduos sólidos.</w:t>
      </w:r>
    </w:p>
    <w:p w:rsidR="00813DDC" w:rsidRPr="00813DDC" w:rsidRDefault="00813DDC" w:rsidP="0066661F">
      <w:pPr>
        <w:numPr>
          <w:ilvl w:val="0"/>
          <w:numId w:val="98"/>
        </w:numPr>
        <w:spacing w:line="336" w:lineRule="auto"/>
        <w:ind w:left="2410"/>
        <w:contextualSpacing/>
        <w:jc w:val="both"/>
        <w:rPr>
          <w:rFonts w:eastAsia="Times New Roman"/>
          <w:szCs w:val="24"/>
        </w:rPr>
      </w:pPr>
      <w:r w:rsidRPr="00813DDC">
        <w:rPr>
          <w:rFonts w:eastAsia="Times New Roman"/>
          <w:szCs w:val="24"/>
        </w:rPr>
        <w:t>Indicador</w:t>
      </w:r>
    </w:p>
    <w:p w:rsidR="00813DDC" w:rsidRPr="00813DDC" w:rsidRDefault="00813DDC" w:rsidP="0066661F">
      <w:pPr>
        <w:numPr>
          <w:ilvl w:val="0"/>
          <w:numId w:val="97"/>
        </w:numPr>
        <w:contextualSpacing/>
        <w:jc w:val="both"/>
        <w:rPr>
          <w:rFonts w:eastAsia="Times New Roman"/>
          <w:szCs w:val="24"/>
        </w:rPr>
      </w:pPr>
      <w:r w:rsidRPr="00813DDC">
        <w:rPr>
          <w:rFonts w:eastAsia="Times New Roman"/>
          <w:color w:val="000000"/>
          <w:szCs w:val="24"/>
        </w:rPr>
        <w:t>Quantidade de empreendimentos licenciados.</w:t>
      </w:r>
    </w:p>
    <w:p w:rsidR="00813DDC" w:rsidRPr="00813DDC" w:rsidRDefault="00813DDC" w:rsidP="0066661F">
      <w:pPr>
        <w:numPr>
          <w:ilvl w:val="0"/>
          <w:numId w:val="103"/>
        </w:numPr>
        <w:spacing w:line="336" w:lineRule="auto"/>
        <w:ind w:left="2127" w:hanging="1560"/>
        <w:contextualSpacing/>
        <w:jc w:val="both"/>
        <w:rPr>
          <w:rFonts w:eastAsia="Times New Roman"/>
          <w:color w:val="000000"/>
          <w:szCs w:val="24"/>
        </w:rPr>
      </w:pPr>
      <w:r w:rsidRPr="00813DDC">
        <w:rPr>
          <w:rFonts w:eastAsia="Times New Roman"/>
          <w:color w:val="000000"/>
          <w:szCs w:val="24"/>
        </w:rPr>
        <w:t>Garantir a mobilização social e canais de comunicação com a sociedade, além de promover ações para a avaliação periódica da percepção dos usuários e para a promoção de educação ambiental.</w:t>
      </w:r>
    </w:p>
    <w:p w:rsidR="00813DDC" w:rsidRPr="00813DDC" w:rsidRDefault="00813DDC" w:rsidP="0066661F">
      <w:pPr>
        <w:numPr>
          <w:ilvl w:val="0"/>
          <w:numId w:val="98"/>
        </w:numPr>
        <w:spacing w:line="336" w:lineRule="auto"/>
        <w:ind w:left="2410"/>
        <w:contextualSpacing/>
        <w:jc w:val="both"/>
        <w:rPr>
          <w:rFonts w:eastAsia="Times New Roman"/>
          <w:szCs w:val="24"/>
        </w:rPr>
      </w:pPr>
      <w:r w:rsidRPr="00813DDC">
        <w:rPr>
          <w:rFonts w:eastAsia="Times New Roman"/>
          <w:szCs w:val="24"/>
        </w:rPr>
        <w:t>Indicadores</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Número de eventos oficiais realizados no município por ano, voltados à conscientização da população sobre os resíduos sólidos.</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Existência de informações atualizadas, sistematizadas e disponibilizadas para a população.</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Participação da população através de canais específicos para gestão dos RSU.</w:t>
      </w:r>
    </w:p>
    <w:p w:rsidR="00813DDC" w:rsidRPr="00813DDC" w:rsidRDefault="00813DDC" w:rsidP="0066661F">
      <w:pPr>
        <w:numPr>
          <w:ilvl w:val="0"/>
          <w:numId w:val="97"/>
        </w:numPr>
        <w:contextualSpacing/>
        <w:jc w:val="both"/>
        <w:rPr>
          <w:rFonts w:eastAsia="Times New Roman"/>
          <w:color w:val="000000"/>
          <w:szCs w:val="24"/>
        </w:rPr>
      </w:pPr>
      <w:r w:rsidRPr="00813DDC">
        <w:rPr>
          <w:rFonts w:eastAsia="Times New Roman"/>
          <w:color w:val="000000"/>
          <w:szCs w:val="24"/>
        </w:rPr>
        <w:t>Índice de respostas satisfatórias a reclamações.</w:t>
      </w:r>
    </w:p>
    <w:p w:rsidR="00813DDC" w:rsidRPr="00813DDC" w:rsidRDefault="00813DDC" w:rsidP="00813DDC">
      <w:pPr>
        <w:ind w:firstLine="709"/>
        <w:contextualSpacing/>
        <w:jc w:val="both"/>
        <w:rPr>
          <w:rFonts w:cs="Arial"/>
          <w:szCs w:val="24"/>
        </w:rPr>
      </w:pPr>
      <w:r w:rsidRPr="00813DDC">
        <w:rPr>
          <w:rFonts w:cs="Arial"/>
        </w:rPr>
        <w:t xml:space="preserve">A seguir estão apresentados os indicadores adotados para cada objetivo estabelecido para o sistema de limpeza urbana e manejo de resíduos sólidos do município de </w:t>
      </w:r>
      <w:r w:rsidRPr="00813DDC">
        <w:rPr>
          <w:rFonts w:cs="Arial"/>
          <w:szCs w:val="24"/>
        </w:rPr>
        <w:t>Córrego Novo</w:t>
      </w:r>
      <w:r w:rsidRPr="00813DDC">
        <w:rPr>
          <w:rFonts w:cs="Arial"/>
        </w:rPr>
        <w:t>, além dos parâmetros que os integram.</w:t>
      </w:r>
      <w:r w:rsidRPr="00813DDC">
        <w:rPr>
          <w:rFonts w:cs="Arial"/>
          <w:szCs w:val="24"/>
        </w:rPr>
        <w:t xml:space="preserve"> Os formulários com </w:t>
      </w:r>
      <w:r w:rsidRPr="00813DDC">
        <w:rPr>
          <w:rFonts w:cs="Arial"/>
          <w:szCs w:val="24"/>
        </w:rPr>
        <w:lastRenderedPageBreak/>
        <w:t xml:space="preserve">orientações para a coleta de dados e parâmetros que compõem os indicadores encontram-se no </w:t>
      </w:r>
      <w:r w:rsidR="00B119E3">
        <w:rPr>
          <w:rFonts w:cs="Arial"/>
          <w:szCs w:val="24"/>
        </w:rPr>
        <w:fldChar w:fldCharType="begin"/>
      </w:r>
      <w:r w:rsidR="00B119E3">
        <w:rPr>
          <w:rFonts w:cs="Arial"/>
          <w:szCs w:val="24"/>
        </w:rPr>
        <w:instrText xml:space="preserve"> REF _Ref505841904 \h </w:instrText>
      </w:r>
      <w:r w:rsidR="00B119E3">
        <w:rPr>
          <w:rFonts w:cs="Arial"/>
          <w:szCs w:val="24"/>
        </w:rPr>
      </w:r>
      <w:r w:rsidR="00B119E3">
        <w:rPr>
          <w:rFonts w:cs="Arial"/>
          <w:szCs w:val="24"/>
        </w:rPr>
        <w:fldChar w:fldCharType="separate"/>
      </w:r>
      <w:r w:rsidR="001B481B">
        <w:t xml:space="preserve">Anexo </w:t>
      </w:r>
      <w:r w:rsidR="001B481B">
        <w:rPr>
          <w:noProof/>
        </w:rPr>
        <w:t>7</w:t>
      </w:r>
      <w:r w:rsidR="00B119E3">
        <w:rPr>
          <w:rFonts w:cs="Arial"/>
          <w:szCs w:val="24"/>
        </w:rPr>
        <w:fldChar w:fldCharType="end"/>
      </w:r>
      <w:r w:rsidRPr="00813DDC">
        <w:rPr>
          <w:rFonts w:cs="Arial"/>
          <w:szCs w:val="24"/>
        </w:rPr>
        <w:t>.</w:t>
      </w:r>
    </w:p>
    <w:p w:rsidR="00813DDC" w:rsidRPr="00813DDC" w:rsidRDefault="00813DDC" w:rsidP="00BC01B1">
      <w:pPr>
        <w:pStyle w:val="Ttulo3"/>
      </w:pPr>
      <w:bookmarkStart w:id="2553" w:name="_Toc453769399"/>
      <w:bookmarkStart w:id="2554" w:name="_Toc453771266"/>
      <w:bookmarkStart w:id="2555" w:name="_Toc453833814"/>
      <w:bookmarkStart w:id="2556" w:name="_Toc499019091"/>
      <w:bookmarkStart w:id="2557" w:name="_Toc499106824"/>
      <w:bookmarkStart w:id="2558" w:name="_Toc499107144"/>
      <w:bookmarkStart w:id="2559" w:name="_Toc499107964"/>
      <w:bookmarkStart w:id="2560" w:name="_Toc499108801"/>
      <w:bookmarkStart w:id="2561" w:name="_Toc499109626"/>
      <w:bookmarkStart w:id="2562" w:name="_Toc499109792"/>
      <w:bookmarkStart w:id="2563" w:name="_Toc499709998"/>
      <w:bookmarkStart w:id="2564" w:name="_Toc509935721"/>
      <w:r w:rsidRPr="00813DDC">
        <w:t>Indicadores para o objetivo 1</w:t>
      </w:r>
      <w:bookmarkEnd w:id="2553"/>
      <w:bookmarkEnd w:id="2554"/>
      <w:bookmarkEnd w:id="2555"/>
      <w:bookmarkEnd w:id="2556"/>
      <w:bookmarkEnd w:id="2557"/>
      <w:bookmarkEnd w:id="2558"/>
      <w:bookmarkEnd w:id="2559"/>
      <w:bookmarkEnd w:id="2560"/>
      <w:bookmarkEnd w:id="2561"/>
      <w:bookmarkEnd w:id="2562"/>
      <w:bookmarkEnd w:id="2563"/>
      <w:bookmarkEnd w:id="2564"/>
    </w:p>
    <w:p w:rsidR="00813DDC" w:rsidRPr="00813DDC" w:rsidRDefault="00813DDC" w:rsidP="00BC01B1">
      <w:pPr>
        <w:pStyle w:val="Ttulo4"/>
      </w:pPr>
      <w:bookmarkStart w:id="2565" w:name="_Toc453769400"/>
      <w:bookmarkStart w:id="2566" w:name="_Toc453771267"/>
      <w:bookmarkStart w:id="2567" w:name="_Toc453833815"/>
      <w:bookmarkStart w:id="2568" w:name="_Toc499019092"/>
      <w:bookmarkStart w:id="2569" w:name="_Toc499106825"/>
      <w:bookmarkStart w:id="2570" w:name="_Toc499107145"/>
      <w:bookmarkStart w:id="2571" w:name="_Toc499107965"/>
      <w:bookmarkStart w:id="2572" w:name="_Toc499108802"/>
      <w:bookmarkStart w:id="2573" w:name="_Toc499109627"/>
      <w:bookmarkStart w:id="2574" w:name="_Toc499109793"/>
      <w:bookmarkStart w:id="2575" w:name="_Toc499709999"/>
      <w:bookmarkStart w:id="2576" w:name="_Toc509935722"/>
      <w:r w:rsidRPr="00813DDC">
        <w:t>Índice de atendimento às ações propostas para o SLU/MRS</w:t>
      </w:r>
      <w:bookmarkEnd w:id="2565"/>
      <w:bookmarkEnd w:id="2566"/>
      <w:bookmarkEnd w:id="2567"/>
      <w:bookmarkEnd w:id="2568"/>
      <w:bookmarkEnd w:id="2569"/>
      <w:bookmarkEnd w:id="2570"/>
      <w:bookmarkEnd w:id="2571"/>
      <w:bookmarkEnd w:id="2572"/>
      <w:bookmarkEnd w:id="2573"/>
      <w:bookmarkEnd w:id="2574"/>
      <w:bookmarkEnd w:id="2575"/>
      <w:bookmarkEnd w:id="2576"/>
    </w:p>
    <w:p w:rsidR="00813DDC" w:rsidRPr="00813DDC" w:rsidRDefault="001B481B" w:rsidP="00813DDC">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IA</m:t>
              </m:r>
            </m:e>
            <m:sub>
              <m:r>
                <w:rPr>
                  <w:rFonts w:ascii="Cambria Math" w:eastAsia="Times New Roman" w:hAnsi="Cambria Math" w:cs="Arial"/>
                  <w:sz w:val="22"/>
                  <w:lang w:eastAsia="pt-BR"/>
                </w:rPr>
                <m:t>SLU</m:t>
              </m:r>
            </m:sub>
          </m:sSub>
          <m:r>
            <w:rPr>
              <w:rFonts w:ascii="Cambria Math" w:eastAsia="Times New Roman" w:hAnsi="Cambria Math" w:cs="Arial"/>
              <w:sz w:val="22"/>
              <w:lang w:eastAsia="pt-BR"/>
            </w:rPr>
            <m:t xml:space="preserve">= </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Aimp</m:t>
                  </m:r>
                </m:e>
                <m:sub>
                  <m:r>
                    <w:rPr>
                      <w:rFonts w:ascii="Cambria Math" w:eastAsia="Times New Roman" w:hAnsi="Cambria Math" w:cs="Arial"/>
                      <w:sz w:val="22"/>
                      <w:lang w:eastAsia="pt-BR"/>
                    </w:rPr>
                    <m:t>SLU</m:t>
                  </m:r>
                </m:sub>
              </m:sSub>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Asug</m:t>
                  </m:r>
                </m:e>
                <m:sub>
                  <m:r>
                    <w:rPr>
                      <w:rFonts w:ascii="Cambria Math" w:eastAsia="Times New Roman" w:hAnsi="Cambria Math" w:cs="Arial"/>
                      <w:sz w:val="22"/>
                      <w:lang w:eastAsia="pt-BR"/>
                    </w:rPr>
                    <m:t>SLU</m:t>
                  </m:r>
                </m:sub>
              </m:sSub>
            </m:den>
          </m:f>
          <m:r>
            <w:rPr>
              <w:rFonts w:ascii="Cambria Math" w:eastAsia="Times New Roman" w:hAnsi="Cambria Math" w:cs="Arial"/>
              <w:sz w:val="22"/>
              <w:lang w:eastAsia="pt-BR"/>
            </w:rPr>
            <m:t xml:space="preserve"> x 100</m:t>
          </m:r>
        </m:oMath>
      </m:oMathPara>
    </w:p>
    <w:p w:rsidR="00813DDC" w:rsidRPr="00813DDC" w:rsidRDefault="00813DDC" w:rsidP="00813DDC">
      <w:pPr>
        <w:ind w:firstLine="709"/>
        <w:contextualSpacing/>
        <w:jc w:val="both"/>
      </w:pPr>
      <w:r w:rsidRPr="00813DDC">
        <w:t>Em que:</w:t>
      </w:r>
    </w:p>
    <w:p w:rsidR="00813DDC" w:rsidRPr="00813DDC" w:rsidRDefault="00813DDC" w:rsidP="0066661F">
      <w:pPr>
        <w:numPr>
          <w:ilvl w:val="0"/>
          <w:numId w:val="27"/>
        </w:numPr>
        <w:ind w:hanging="357"/>
        <w:jc w:val="both"/>
        <w:rPr>
          <w:rFonts w:cs="Arial"/>
          <w:i/>
          <w:szCs w:val="24"/>
        </w:rPr>
      </w:pPr>
      <w:r w:rsidRPr="00813DDC">
        <w:rPr>
          <w:rFonts w:cs="Arial"/>
          <w:i/>
          <w:szCs w:val="24"/>
        </w:rPr>
        <w:t>IA</w:t>
      </w:r>
      <w:r w:rsidRPr="00813DDC">
        <w:rPr>
          <w:rFonts w:cs="Arial"/>
          <w:i/>
          <w:szCs w:val="24"/>
          <w:vertAlign w:val="subscript"/>
        </w:rPr>
        <w:t>SLU</w:t>
      </w:r>
      <w:r w:rsidRPr="00813DDC">
        <w:rPr>
          <w:rFonts w:cs="Arial"/>
          <w:i/>
          <w:szCs w:val="24"/>
        </w:rPr>
        <w:t>: Índice de ações implantadas relacionadas ao SLU/MRS.</w:t>
      </w:r>
    </w:p>
    <w:p w:rsidR="00813DDC" w:rsidRPr="00813DDC" w:rsidRDefault="00813DDC" w:rsidP="0066661F">
      <w:pPr>
        <w:numPr>
          <w:ilvl w:val="0"/>
          <w:numId w:val="27"/>
        </w:numPr>
        <w:ind w:hanging="357"/>
        <w:jc w:val="both"/>
        <w:rPr>
          <w:rFonts w:cs="Arial"/>
          <w:i/>
          <w:szCs w:val="24"/>
        </w:rPr>
      </w:pPr>
      <w:r w:rsidRPr="00813DDC">
        <w:rPr>
          <w:rFonts w:cs="Arial"/>
          <w:i/>
          <w:szCs w:val="24"/>
        </w:rPr>
        <w:t>Aimp</w:t>
      </w:r>
      <w:r w:rsidRPr="00813DDC">
        <w:rPr>
          <w:rFonts w:cs="Arial"/>
          <w:i/>
          <w:szCs w:val="24"/>
          <w:vertAlign w:val="subscript"/>
        </w:rPr>
        <w:t>SLU</w:t>
      </w:r>
      <w:r w:rsidRPr="00813DDC">
        <w:rPr>
          <w:rFonts w:cs="Arial"/>
          <w:i/>
          <w:szCs w:val="24"/>
        </w:rPr>
        <w:t>: Total de ações implantadas.</w:t>
      </w:r>
    </w:p>
    <w:p w:rsidR="00813DDC" w:rsidRPr="00813DDC" w:rsidRDefault="00813DDC" w:rsidP="0066661F">
      <w:pPr>
        <w:numPr>
          <w:ilvl w:val="0"/>
          <w:numId w:val="27"/>
        </w:numPr>
        <w:ind w:hanging="357"/>
        <w:jc w:val="both"/>
        <w:rPr>
          <w:rFonts w:cs="Arial"/>
          <w:i/>
          <w:szCs w:val="24"/>
        </w:rPr>
      </w:pPr>
      <w:r w:rsidRPr="00813DDC">
        <w:rPr>
          <w:rFonts w:cs="Arial"/>
          <w:i/>
          <w:szCs w:val="24"/>
        </w:rPr>
        <w:t>Asug</w:t>
      </w:r>
      <w:r w:rsidRPr="00813DDC">
        <w:rPr>
          <w:rFonts w:cs="Arial"/>
          <w:i/>
          <w:szCs w:val="24"/>
          <w:vertAlign w:val="subscript"/>
        </w:rPr>
        <w:t>SLU</w:t>
      </w:r>
      <w:r w:rsidRPr="00813DDC">
        <w:rPr>
          <w:rFonts w:cs="Arial"/>
          <w:i/>
          <w:szCs w:val="24"/>
        </w:rPr>
        <w:t>: Total de ações sugeridas.</w:t>
      </w:r>
    </w:p>
    <w:p w:rsidR="00813DDC" w:rsidRPr="00813DDC" w:rsidRDefault="00813DDC" w:rsidP="00813DDC">
      <w:pPr>
        <w:ind w:firstLine="709"/>
        <w:contextualSpacing/>
        <w:jc w:val="both"/>
      </w:pPr>
      <w:r w:rsidRPr="00813DDC">
        <w:t>Este indicador representa a porcentagem de ações propostas para o SLU/MRS que foram realizadas. Dessa maneira, torna-se possível o monitoramento das atividades realizadas para o setor.</w:t>
      </w:r>
    </w:p>
    <w:p w:rsidR="00813DDC" w:rsidRPr="00813DDC" w:rsidRDefault="00813DDC" w:rsidP="00BC01B1">
      <w:pPr>
        <w:pStyle w:val="Ttulo4"/>
      </w:pPr>
      <w:bookmarkStart w:id="2577" w:name="_Toc453769401"/>
      <w:bookmarkStart w:id="2578" w:name="_Toc453771268"/>
      <w:bookmarkStart w:id="2579" w:name="_Toc453833816"/>
      <w:bookmarkStart w:id="2580" w:name="_Toc499019093"/>
      <w:bookmarkStart w:id="2581" w:name="_Toc499106826"/>
      <w:bookmarkStart w:id="2582" w:name="_Toc499107146"/>
      <w:bookmarkStart w:id="2583" w:name="_Toc499107966"/>
      <w:bookmarkStart w:id="2584" w:name="_Toc499108803"/>
      <w:bookmarkStart w:id="2585" w:name="_Toc499109628"/>
      <w:bookmarkStart w:id="2586" w:name="_Toc499109794"/>
      <w:bookmarkStart w:id="2587" w:name="_Toc499710000"/>
      <w:bookmarkStart w:id="2588" w:name="_Toc509935723"/>
      <w:r w:rsidRPr="00813DDC">
        <w:t>Porcentagem de cobertura do serviço de coleta seletiva no município</w:t>
      </w:r>
      <w:bookmarkEnd w:id="2577"/>
      <w:bookmarkEnd w:id="2578"/>
      <w:bookmarkEnd w:id="2579"/>
      <w:bookmarkEnd w:id="2580"/>
      <w:bookmarkEnd w:id="2581"/>
      <w:bookmarkEnd w:id="2582"/>
      <w:bookmarkEnd w:id="2583"/>
      <w:bookmarkEnd w:id="2584"/>
      <w:bookmarkEnd w:id="2585"/>
      <w:bookmarkEnd w:id="2586"/>
      <w:bookmarkEnd w:id="2587"/>
      <w:bookmarkEnd w:id="2588"/>
    </w:p>
    <w:p w:rsidR="00813DDC" w:rsidRPr="00813DDC" w:rsidRDefault="001B481B" w:rsidP="00813DDC">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CS</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m:t>
              </m:r>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Pop</m:t>
                  </m:r>
                </m:e>
                <m:sub>
                  <m:r>
                    <w:rPr>
                      <w:rFonts w:ascii="Cambria Math" w:eastAsia="Times New Roman" w:hAnsi="Cambria Math" w:cs="Arial"/>
                      <w:sz w:val="22"/>
                      <w:lang w:eastAsia="pt-BR"/>
                    </w:rPr>
                    <m:t>CSU</m:t>
                  </m:r>
                </m:sub>
              </m:sSub>
              <m:r>
                <w:rPr>
                  <w:rFonts w:ascii="Cambria Math" w:eastAsia="Times New Roman" w:hAnsi="Cambria Math" w:cs="Arial"/>
                  <w:sz w:val="22"/>
                  <w:lang w:eastAsia="pt-BR"/>
                </w:rPr>
                <m:t>+</m:t>
              </m:r>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Pop</m:t>
                  </m:r>
                </m:e>
                <m:sub>
                  <m:r>
                    <w:rPr>
                      <w:rFonts w:ascii="Cambria Math" w:eastAsia="Times New Roman" w:hAnsi="Cambria Math" w:cs="Arial"/>
                      <w:sz w:val="22"/>
                      <w:lang w:eastAsia="pt-BR"/>
                    </w:rPr>
                    <m:t>CSR</m:t>
                  </m:r>
                </m:sub>
              </m:sSub>
              <m:r>
                <w:rPr>
                  <w:rFonts w:ascii="Cambria Math" w:eastAsia="Times New Roman" w:hAnsi="Cambria Math" w:cs="Arial"/>
                  <w:sz w:val="22"/>
                  <w:lang w:eastAsia="pt-BR"/>
                </w:rPr>
                <m:t>)</m:t>
              </m:r>
              <m:r>
                <w:rPr>
                  <w:rFonts w:ascii="Cambria Math" w:eastAsia="Times New Roman" w:hAnsi="Cambria Math" w:cs="Arial" w:hint="eastAsia"/>
                  <w:sz w:val="22"/>
                  <w:lang w:eastAsia="pt-BR"/>
                </w:rPr>
                <m:t>×</m:t>
              </m:r>
              <m:r>
                <w:rPr>
                  <w:rFonts w:ascii="Cambria Math" w:eastAsia="Times New Roman" w:hAnsi="Cambria Math" w:cs="Arial"/>
                  <w:sz w:val="22"/>
                  <w:lang w:eastAsia="pt-BR"/>
                </w:rPr>
                <m:t>100</m:t>
              </m:r>
            </m:num>
            <m:den>
              <m:r>
                <w:rPr>
                  <w:rFonts w:ascii="Cambria Math" w:eastAsia="Times New Roman" w:hAnsi="Cambria Math" w:cs="Arial"/>
                  <w:sz w:val="22"/>
                  <w:lang w:eastAsia="pt-BR"/>
                </w:rPr>
                <m:t>POP_TOT</m:t>
              </m:r>
            </m:den>
          </m:f>
        </m:oMath>
      </m:oMathPara>
    </w:p>
    <w:p w:rsidR="00813DDC" w:rsidRPr="00813DDC" w:rsidRDefault="00813DDC" w:rsidP="00813DDC">
      <w:pPr>
        <w:jc w:val="center"/>
        <w:rPr>
          <w:rFonts w:ascii="Cambria Math" w:eastAsia="Times New Roman" w:hAnsi="Cambria Math" w:cs="Arial"/>
          <w:i/>
          <w:sz w:val="22"/>
          <w:lang w:eastAsia="pt-BR"/>
        </w:rPr>
      </w:pPr>
    </w:p>
    <w:p w:rsidR="00813DDC" w:rsidRPr="00813DDC" w:rsidRDefault="001B481B" w:rsidP="00813DDC">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CSU</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Pop</m:t>
                  </m:r>
                </m:e>
                <m:sub>
                  <m:r>
                    <w:rPr>
                      <w:rFonts w:ascii="Cambria Math" w:eastAsia="Times New Roman" w:hAnsi="Cambria Math" w:cs="Arial"/>
                      <w:sz w:val="22"/>
                      <w:lang w:eastAsia="pt-BR"/>
                    </w:rPr>
                    <m:t>CSU</m:t>
                  </m:r>
                </m:sub>
              </m:sSub>
              <m:r>
                <w:rPr>
                  <w:rFonts w:ascii="Cambria Math" w:eastAsia="Times New Roman" w:hAnsi="Cambria Math" w:cs="Arial" w:hint="eastAsia"/>
                  <w:sz w:val="22"/>
                  <w:lang w:eastAsia="pt-BR"/>
                </w:rPr>
                <m:t>×</m:t>
              </m:r>
              <m:r>
                <w:rPr>
                  <w:rFonts w:ascii="Cambria Math" w:eastAsia="Times New Roman" w:hAnsi="Cambria Math" w:cs="Arial"/>
                  <w:sz w:val="22"/>
                  <w:lang w:eastAsia="pt-BR"/>
                </w:rPr>
                <m:t>100</m:t>
              </m:r>
            </m:num>
            <m:den>
              <m:r>
                <w:rPr>
                  <w:rFonts w:ascii="Cambria Math" w:eastAsia="Times New Roman" w:hAnsi="Cambria Math" w:cs="Arial"/>
                  <w:sz w:val="22"/>
                  <w:lang w:eastAsia="pt-BR"/>
                </w:rPr>
                <m:t>POP_URB</m:t>
              </m:r>
            </m:den>
          </m:f>
        </m:oMath>
      </m:oMathPara>
    </w:p>
    <w:p w:rsidR="00813DDC" w:rsidRPr="00813DDC" w:rsidRDefault="00813DDC" w:rsidP="00813DDC">
      <w:pPr>
        <w:jc w:val="center"/>
        <w:rPr>
          <w:rFonts w:ascii="Cambria Math" w:eastAsia="Times New Roman" w:hAnsi="Cambria Math" w:cs="Arial"/>
          <w:i/>
          <w:sz w:val="22"/>
          <w:lang w:eastAsia="pt-BR"/>
        </w:rPr>
      </w:pPr>
    </w:p>
    <w:p w:rsidR="00813DDC" w:rsidRPr="00813DDC" w:rsidRDefault="001B481B" w:rsidP="00813DDC">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CSR</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Pop</m:t>
                  </m:r>
                </m:e>
                <m:sub>
                  <m:r>
                    <w:rPr>
                      <w:rFonts w:ascii="Cambria Math" w:eastAsia="Times New Roman" w:hAnsi="Cambria Math" w:cs="Arial"/>
                      <w:sz w:val="22"/>
                      <w:lang w:eastAsia="pt-BR"/>
                    </w:rPr>
                    <m:t>CSR</m:t>
                  </m:r>
                </m:sub>
              </m:sSub>
              <m:r>
                <w:rPr>
                  <w:rFonts w:ascii="Cambria Math" w:eastAsia="Times New Roman" w:hAnsi="Cambria Math" w:cs="Arial" w:hint="eastAsia"/>
                  <w:sz w:val="22"/>
                  <w:lang w:eastAsia="pt-BR"/>
                </w:rPr>
                <m:t>×</m:t>
              </m:r>
              <m:r>
                <w:rPr>
                  <w:rFonts w:ascii="Cambria Math" w:eastAsia="Times New Roman" w:hAnsi="Cambria Math" w:cs="Arial"/>
                  <w:sz w:val="22"/>
                  <w:lang w:eastAsia="pt-BR"/>
                </w:rPr>
                <m:t>100</m:t>
              </m:r>
            </m:num>
            <m:den>
              <m:r>
                <w:rPr>
                  <w:rFonts w:ascii="Cambria Math" w:eastAsia="Times New Roman" w:hAnsi="Cambria Math" w:cs="Arial"/>
                  <w:sz w:val="22"/>
                  <w:lang w:eastAsia="pt-BR"/>
                </w:rPr>
                <m:t>(POP_TOT-POP_URB)</m:t>
              </m:r>
            </m:den>
          </m:f>
        </m:oMath>
      </m:oMathPara>
    </w:p>
    <w:p w:rsidR="00813DDC" w:rsidRPr="00813DDC" w:rsidRDefault="00813DDC" w:rsidP="00813DDC">
      <w:pPr>
        <w:ind w:firstLine="709"/>
        <w:contextualSpacing/>
        <w:jc w:val="both"/>
        <w:rPr>
          <w:rFonts w:eastAsia="Times New Roman" w:cs="Arial"/>
          <w:szCs w:val="20"/>
          <w:lang w:eastAsia="pt-BR"/>
        </w:rPr>
      </w:pPr>
      <w:r w:rsidRPr="00813DDC">
        <w:rPr>
          <w:rFonts w:eastAsia="Times New Roman" w:cs="Arial"/>
          <w:szCs w:val="20"/>
          <w:lang w:eastAsia="pt-BR"/>
        </w:rPr>
        <w:t>Em que:</w:t>
      </w:r>
    </w:p>
    <w:p w:rsidR="00813DDC" w:rsidRPr="00813DDC" w:rsidRDefault="00813DDC" w:rsidP="0066661F">
      <w:pPr>
        <w:numPr>
          <w:ilvl w:val="0"/>
          <w:numId w:val="27"/>
        </w:numPr>
        <w:ind w:hanging="357"/>
        <w:jc w:val="both"/>
        <w:rPr>
          <w:rFonts w:cs="Arial"/>
          <w:i/>
          <w:szCs w:val="24"/>
        </w:rPr>
      </w:pPr>
      <w:r w:rsidRPr="00813DDC">
        <w:rPr>
          <w:rFonts w:cs="Arial"/>
          <w:i/>
          <w:szCs w:val="24"/>
        </w:rPr>
        <w:t>I</w:t>
      </w:r>
      <w:r w:rsidRPr="00813DDC">
        <w:rPr>
          <w:rFonts w:cs="Arial"/>
          <w:i/>
          <w:szCs w:val="24"/>
          <w:vertAlign w:val="subscript"/>
        </w:rPr>
        <w:t>CS</w:t>
      </w:r>
      <w:r w:rsidRPr="00813DDC">
        <w:rPr>
          <w:rFonts w:cs="Arial"/>
          <w:i/>
          <w:szCs w:val="24"/>
        </w:rPr>
        <w:t xml:space="preserve"> = </w:t>
      </w:r>
      <w:r w:rsidRPr="00813DDC">
        <w:rPr>
          <w:rFonts w:cs="Arial"/>
          <w:i/>
          <w:szCs w:val="24"/>
        </w:rPr>
        <w:tab/>
        <w:t>Porcentagem de cobertura do serviço de coleta seletiva de RDO no município (%).</w:t>
      </w:r>
    </w:p>
    <w:p w:rsidR="00813DDC" w:rsidRPr="00813DDC" w:rsidRDefault="00813DDC" w:rsidP="0066661F">
      <w:pPr>
        <w:numPr>
          <w:ilvl w:val="0"/>
          <w:numId w:val="27"/>
        </w:numPr>
        <w:ind w:hanging="357"/>
        <w:jc w:val="both"/>
        <w:rPr>
          <w:rFonts w:cs="Arial"/>
          <w:i/>
          <w:szCs w:val="24"/>
        </w:rPr>
      </w:pPr>
      <w:r w:rsidRPr="00813DDC">
        <w:rPr>
          <w:rFonts w:cs="Arial"/>
          <w:i/>
          <w:szCs w:val="24"/>
        </w:rPr>
        <w:t>I</w:t>
      </w:r>
      <w:r w:rsidRPr="00813DDC">
        <w:rPr>
          <w:rFonts w:cs="Arial"/>
          <w:i/>
          <w:szCs w:val="24"/>
          <w:vertAlign w:val="subscript"/>
        </w:rPr>
        <w:t>CSU</w:t>
      </w:r>
      <w:r w:rsidRPr="00813DDC">
        <w:rPr>
          <w:rFonts w:cs="Arial"/>
          <w:i/>
          <w:szCs w:val="24"/>
        </w:rPr>
        <w:t xml:space="preserve"> = Porcentagem de cobertura do serviço de coleta seletiva de RDO na área urbana (%).</w:t>
      </w:r>
    </w:p>
    <w:p w:rsidR="00813DDC" w:rsidRPr="00813DDC" w:rsidRDefault="00813DDC" w:rsidP="0066661F">
      <w:pPr>
        <w:numPr>
          <w:ilvl w:val="0"/>
          <w:numId w:val="27"/>
        </w:numPr>
        <w:ind w:hanging="357"/>
        <w:jc w:val="both"/>
        <w:rPr>
          <w:rFonts w:cs="Arial"/>
          <w:i/>
          <w:szCs w:val="24"/>
        </w:rPr>
      </w:pPr>
      <w:r w:rsidRPr="00813DDC">
        <w:rPr>
          <w:rFonts w:cs="Arial"/>
          <w:i/>
          <w:szCs w:val="24"/>
        </w:rPr>
        <w:t>I</w:t>
      </w:r>
      <w:r w:rsidRPr="00813DDC">
        <w:rPr>
          <w:rFonts w:cs="Arial"/>
          <w:i/>
          <w:szCs w:val="24"/>
          <w:vertAlign w:val="subscript"/>
        </w:rPr>
        <w:t>CSR</w:t>
      </w:r>
      <w:r w:rsidRPr="00813DDC">
        <w:rPr>
          <w:rFonts w:cs="Arial"/>
          <w:i/>
          <w:szCs w:val="24"/>
        </w:rPr>
        <w:t xml:space="preserve"> = Porcentagem de cobertura do serviço de coleta seletiva de RDO na área rural (%).</w:t>
      </w:r>
    </w:p>
    <w:p w:rsidR="00813DDC" w:rsidRPr="00813DDC" w:rsidRDefault="00813DDC" w:rsidP="0066661F">
      <w:pPr>
        <w:numPr>
          <w:ilvl w:val="0"/>
          <w:numId w:val="27"/>
        </w:numPr>
        <w:ind w:hanging="357"/>
        <w:jc w:val="both"/>
        <w:rPr>
          <w:rFonts w:cs="Arial"/>
          <w:i/>
          <w:szCs w:val="24"/>
        </w:rPr>
      </w:pPr>
      <w:r w:rsidRPr="00813DDC">
        <w:rPr>
          <w:rFonts w:cs="Arial"/>
          <w:i/>
          <w:szCs w:val="24"/>
        </w:rPr>
        <w:t>Pop</w:t>
      </w:r>
      <w:r w:rsidRPr="00813DDC">
        <w:rPr>
          <w:rFonts w:cs="Arial"/>
          <w:i/>
          <w:szCs w:val="24"/>
          <w:vertAlign w:val="subscript"/>
        </w:rPr>
        <w:t>CSU</w:t>
      </w:r>
      <w:r w:rsidRPr="00813DDC">
        <w:rPr>
          <w:rFonts w:cs="Arial"/>
          <w:i/>
          <w:szCs w:val="24"/>
        </w:rPr>
        <w:t xml:space="preserve"> = População urbana atendida (declarada) pela coleta seletiva no município (habitante).</w:t>
      </w:r>
    </w:p>
    <w:p w:rsidR="00813DDC" w:rsidRPr="00813DDC" w:rsidRDefault="00813DDC" w:rsidP="0066661F">
      <w:pPr>
        <w:numPr>
          <w:ilvl w:val="0"/>
          <w:numId w:val="27"/>
        </w:numPr>
        <w:ind w:hanging="357"/>
        <w:jc w:val="both"/>
        <w:rPr>
          <w:rFonts w:cs="Arial"/>
          <w:i/>
          <w:szCs w:val="24"/>
        </w:rPr>
      </w:pPr>
      <w:r w:rsidRPr="00813DDC">
        <w:rPr>
          <w:rFonts w:cs="Arial"/>
          <w:i/>
          <w:szCs w:val="24"/>
        </w:rPr>
        <w:lastRenderedPageBreak/>
        <w:t>Pop</w:t>
      </w:r>
      <w:r w:rsidRPr="00813DDC">
        <w:rPr>
          <w:rFonts w:cs="Arial"/>
          <w:i/>
          <w:szCs w:val="24"/>
          <w:vertAlign w:val="subscript"/>
        </w:rPr>
        <w:t>CSR</w:t>
      </w:r>
      <w:r w:rsidRPr="00813DDC">
        <w:rPr>
          <w:rFonts w:cs="Arial"/>
          <w:i/>
          <w:szCs w:val="24"/>
        </w:rPr>
        <w:t xml:space="preserve"> = População rural atendida (declarada) pela coleta seletiva no município (habitante).</w:t>
      </w:r>
    </w:p>
    <w:p w:rsidR="00813DDC" w:rsidRPr="00813DDC" w:rsidRDefault="00813DDC" w:rsidP="0066661F">
      <w:pPr>
        <w:numPr>
          <w:ilvl w:val="0"/>
          <w:numId w:val="27"/>
        </w:numPr>
        <w:ind w:hanging="357"/>
        <w:jc w:val="both"/>
        <w:rPr>
          <w:rFonts w:cs="Arial"/>
          <w:i/>
          <w:szCs w:val="24"/>
        </w:rPr>
      </w:pPr>
      <w:r w:rsidRPr="00813DDC">
        <w:rPr>
          <w:rFonts w:cs="Arial"/>
          <w:i/>
          <w:szCs w:val="24"/>
        </w:rPr>
        <w:t>POP_TOT = População total (IBGE) (habitante).</w:t>
      </w:r>
    </w:p>
    <w:p w:rsidR="00813DDC" w:rsidRPr="00813DDC" w:rsidRDefault="00813DDC" w:rsidP="0066661F">
      <w:pPr>
        <w:numPr>
          <w:ilvl w:val="0"/>
          <w:numId w:val="27"/>
        </w:numPr>
        <w:ind w:hanging="357"/>
        <w:jc w:val="both"/>
        <w:rPr>
          <w:rFonts w:cs="Arial"/>
          <w:i/>
          <w:szCs w:val="24"/>
        </w:rPr>
      </w:pPr>
      <w:r w:rsidRPr="00813DDC">
        <w:rPr>
          <w:rFonts w:cs="Arial"/>
          <w:i/>
          <w:szCs w:val="24"/>
        </w:rPr>
        <w:t>POP_URB = População urbana (SNIS) (habitante).</w:t>
      </w:r>
    </w:p>
    <w:p w:rsidR="00813DDC" w:rsidRPr="00813DDC" w:rsidRDefault="00813DDC" w:rsidP="00813DDC">
      <w:pPr>
        <w:ind w:firstLine="709"/>
        <w:contextualSpacing/>
        <w:jc w:val="both"/>
        <w:rPr>
          <w:rFonts w:eastAsia="Times New Roman" w:cs="Arial"/>
          <w:szCs w:val="20"/>
          <w:lang w:eastAsia="pt-BR"/>
        </w:rPr>
      </w:pPr>
      <w:r w:rsidRPr="00813DDC">
        <w:rPr>
          <w:rFonts w:eastAsia="Times New Roman" w:cs="Arial"/>
          <w:szCs w:val="20"/>
          <w:lang w:eastAsia="pt-BR"/>
        </w:rPr>
        <w:t>Este indicador permitirá verificar qual é a percentagem da população total do município (urbana e rural) atendida pela coleta seletiva. Pode ser também dividido para as áreas urbana e rural, tendo em vista averiguar qual delas é mais deficitária em relação a esse serviço, com o intuito de direcionar as ações de melhoria.</w:t>
      </w:r>
    </w:p>
    <w:p w:rsidR="00813DDC" w:rsidRPr="00813DDC" w:rsidRDefault="00813DDC" w:rsidP="00BC01B1">
      <w:pPr>
        <w:pStyle w:val="Ttulo4"/>
      </w:pPr>
      <w:bookmarkStart w:id="2589" w:name="_Toc453769402"/>
      <w:bookmarkStart w:id="2590" w:name="_Toc453771269"/>
      <w:bookmarkStart w:id="2591" w:name="_Toc453833817"/>
      <w:bookmarkStart w:id="2592" w:name="_Toc499019094"/>
      <w:bookmarkStart w:id="2593" w:name="_Toc499106827"/>
      <w:bookmarkStart w:id="2594" w:name="_Toc499107147"/>
      <w:bookmarkStart w:id="2595" w:name="_Toc499107967"/>
      <w:bookmarkStart w:id="2596" w:name="_Toc499108804"/>
      <w:bookmarkStart w:id="2597" w:name="_Toc499109629"/>
      <w:bookmarkStart w:id="2598" w:name="_Toc499109795"/>
      <w:bookmarkStart w:id="2599" w:name="_Toc499710001"/>
      <w:bookmarkStart w:id="2600" w:name="_Toc509935724"/>
      <w:r w:rsidRPr="00813DDC">
        <w:t>Porcentagem de cobertura dos serviços de coleta regular de RDO (Resíduos Sólidos Domiciliares) em toda área do município (urbana e rural)</w:t>
      </w:r>
      <w:bookmarkEnd w:id="2589"/>
      <w:bookmarkEnd w:id="2590"/>
      <w:bookmarkEnd w:id="2591"/>
      <w:bookmarkEnd w:id="2592"/>
      <w:bookmarkEnd w:id="2593"/>
      <w:bookmarkEnd w:id="2594"/>
      <w:bookmarkEnd w:id="2595"/>
      <w:bookmarkEnd w:id="2596"/>
      <w:bookmarkEnd w:id="2597"/>
      <w:bookmarkEnd w:id="2598"/>
      <w:bookmarkEnd w:id="2599"/>
      <w:bookmarkEnd w:id="2600"/>
    </w:p>
    <w:p w:rsidR="00813DDC" w:rsidRPr="00813DDC" w:rsidRDefault="00813DDC" w:rsidP="00813DDC">
      <w:pPr>
        <w:jc w:val="center"/>
        <w:rPr>
          <w:rFonts w:ascii="Cambria Math" w:eastAsia="Times New Roman" w:hAnsi="Cambria Math" w:cs="Arial"/>
          <w:i/>
          <w:sz w:val="22"/>
          <w:lang w:val="en-US" w:eastAsia="pt-BR"/>
        </w:rPr>
      </w:pPr>
      <m:oMathPara>
        <m:oMath>
          <m:r>
            <w:rPr>
              <w:rFonts w:ascii="Cambria Math" w:eastAsia="Times New Roman" w:hAnsi="Cambria Math" w:cs="Arial"/>
              <w:sz w:val="22"/>
              <w:lang w:eastAsia="pt-BR"/>
            </w:rPr>
            <m:t>ICRT</m:t>
          </m:r>
          <m:r>
            <w:rPr>
              <w:rFonts w:ascii="Cambria Math" w:eastAsia="Times New Roman" w:hAnsi="Cambria Math" w:cs="Arial"/>
              <w:sz w:val="22"/>
              <w:lang w:val="en-US" w:eastAsia="pt-BR"/>
            </w:rPr>
            <m:t>=</m:t>
          </m:r>
          <m:f>
            <m:fPr>
              <m:ctrlPr>
                <w:rPr>
                  <w:rFonts w:ascii="Cambria Math" w:eastAsia="Times New Roman" w:hAnsi="Cambria Math" w:cs="Arial"/>
                  <w:i/>
                  <w:sz w:val="22"/>
                  <w:lang w:eastAsia="pt-BR"/>
                </w:rPr>
              </m:ctrlPr>
            </m:fPr>
            <m:num>
              <m:r>
                <w:rPr>
                  <w:rFonts w:ascii="Cambria Math" w:eastAsia="Times New Roman" w:hAnsi="Cambria Math" w:cs="Arial"/>
                  <w:sz w:val="22"/>
                  <w:lang w:val="en-US" w:eastAsia="pt-BR"/>
                </w:rPr>
                <m:t>(</m:t>
              </m:r>
              <m:r>
                <w:rPr>
                  <w:rFonts w:ascii="Cambria Math" w:eastAsia="Times New Roman" w:hAnsi="Cambria Math" w:cs="Arial"/>
                  <w:sz w:val="22"/>
                  <w:lang w:eastAsia="pt-BR"/>
                </w:rPr>
                <m:t>PopCRU</m:t>
              </m:r>
              <m:r>
                <w:rPr>
                  <w:rFonts w:ascii="Cambria Math" w:eastAsia="Times New Roman" w:hAnsi="Cambria Math" w:cs="Arial"/>
                  <w:sz w:val="22"/>
                  <w:lang w:val="en-US" w:eastAsia="pt-BR"/>
                </w:rPr>
                <m:t>+</m:t>
              </m:r>
              <m:r>
                <w:rPr>
                  <w:rFonts w:ascii="Cambria Math" w:eastAsia="Times New Roman" w:hAnsi="Cambria Math" w:cs="Arial"/>
                  <w:sz w:val="22"/>
                  <w:lang w:eastAsia="pt-BR"/>
                </w:rPr>
                <m:t>PopCRR</m:t>
              </m:r>
              <m:r>
                <w:rPr>
                  <w:rFonts w:ascii="Cambria Math" w:eastAsia="Times New Roman" w:hAnsi="Cambria Math" w:cs="Arial"/>
                  <w:sz w:val="22"/>
                  <w:lang w:val="en-US" w:eastAsia="pt-BR"/>
                </w:rPr>
                <m:t>)</m:t>
              </m:r>
            </m:num>
            <m:den>
              <m:r>
                <w:rPr>
                  <w:rFonts w:ascii="Cambria Math" w:eastAsia="Times New Roman" w:hAnsi="Cambria Math" w:cs="Arial"/>
                  <w:sz w:val="22"/>
                  <w:lang w:eastAsia="pt-BR"/>
                </w:rPr>
                <m:t>Pop</m:t>
              </m:r>
              <m:r>
                <w:rPr>
                  <w:rFonts w:ascii="Cambria Math" w:eastAsia="Times New Roman" w:hAnsi="Cambria Math" w:cs="Arial"/>
                  <w:sz w:val="22"/>
                  <w:lang w:val="en-US" w:eastAsia="pt-BR"/>
                </w:rPr>
                <m:t>_</m:t>
              </m:r>
              <m:r>
                <w:rPr>
                  <w:rFonts w:ascii="Cambria Math" w:eastAsia="Times New Roman" w:hAnsi="Cambria Math" w:cs="Arial"/>
                  <w:sz w:val="22"/>
                  <w:lang w:eastAsia="pt-BR"/>
                </w:rPr>
                <m:t>Urb</m:t>
              </m:r>
            </m:den>
          </m:f>
          <m:r>
            <w:rPr>
              <w:rFonts w:ascii="Cambria Math" w:eastAsia="Times New Roman" w:hAnsi="Cambria Math" w:cs="Arial"/>
              <w:sz w:val="22"/>
              <w:lang w:val="en-US" w:eastAsia="pt-BR"/>
            </w:rPr>
            <m:t xml:space="preserve"> </m:t>
          </m:r>
          <m:r>
            <w:rPr>
              <w:rFonts w:ascii="Cambria Math" w:eastAsia="Times New Roman" w:hAnsi="Cambria Math" w:cs="Arial"/>
              <w:sz w:val="22"/>
              <w:lang w:eastAsia="pt-BR"/>
            </w:rPr>
            <m:t>x</m:t>
          </m:r>
          <m:r>
            <w:rPr>
              <w:rFonts w:ascii="Cambria Math" w:eastAsia="Times New Roman" w:hAnsi="Cambria Math" w:cs="Arial"/>
              <w:sz w:val="22"/>
              <w:lang w:val="en-US" w:eastAsia="pt-BR"/>
            </w:rPr>
            <m:t xml:space="preserve"> 100</m:t>
          </m:r>
        </m:oMath>
      </m:oMathPara>
    </w:p>
    <w:p w:rsidR="00813DDC" w:rsidRPr="00813DDC" w:rsidRDefault="00813DDC" w:rsidP="00813DDC">
      <w:pPr>
        <w:rPr>
          <w:lang w:val="en-US" w:eastAsia="pt-BR"/>
        </w:rPr>
      </w:pPr>
    </w:p>
    <w:p w:rsidR="00813DDC" w:rsidRPr="00813DDC" w:rsidRDefault="00813DDC" w:rsidP="00813DDC">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ICRU=</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PopCRU</m:t>
              </m:r>
            </m:num>
            <m:den>
              <m:r>
                <w:rPr>
                  <w:rFonts w:ascii="Cambria Math" w:eastAsia="Times New Roman" w:hAnsi="Cambria Math" w:cs="Arial"/>
                  <w:sz w:val="22"/>
                  <w:lang w:eastAsia="pt-BR"/>
                </w:rPr>
                <m:t>Pop_Urb</m:t>
              </m:r>
            </m:den>
          </m:f>
          <m:r>
            <w:rPr>
              <w:rFonts w:ascii="Cambria Math" w:eastAsia="Times New Roman" w:hAnsi="Cambria Math" w:cs="Arial"/>
              <w:sz w:val="22"/>
              <w:lang w:eastAsia="pt-BR"/>
            </w:rPr>
            <m:t xml:space="preserve"> x 100</m:t>
          </m:r>
        </m:oMath>
      </m:oMathPara>
    </w:p>
    <w:p w:rsidR="00813DDC" w:rsidRPr="00813DDC" w:rsidRDefault="00813DDC" w:rsidP="00813DDC">
      <w:pPr>
        <w:jc w:val="center"/>
        <w:rPr>
          <w:rFonts w:ascii="Cambria Math" w:eastAsia="Times New Roman" w:hAnsi="Cambria Math" w:cs="Arial"/>
          <w:i/>
          <w:sz w:val="22"/>
          <w:lang w:eastAsia="pt-BR"/>
        </w:rPr>
      </w:pPr>
    </w:p>
    <w:p w:rsidR="00813DDC" w:rsidRPr="00813DDC" w:rsidRDefault="00813DDC" w:rsidP="00813DDC">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ICRR=</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PopCRR</m:t>
              </m:r>
            </m:num>
            <m:den>
              <m:r>
                <w:rPr>
                  <w:rFonts w:ascii="Cambria Math" w:eastAsia="Times New Roman" w:hAnsi="Cambria Math" w:cs="Arial"/>
                  <w:sz w:val="22"/>
                  <w:lang w:eastAsia="pt-BR"/>
                </w:rPr>
                <m:t>Pop_Tot-Pop_Urb</m:t>
              </m:r>
            </m:den>
          </m:f>
          <m:r>
            <w:rPr>
              <w:rFonts w:ascii="Cambria Math" w:eastAsia="Times New Roman" w:hAnsi="Cambria Math" w:cs="Arial"/>
              <w:sz w:val="22"/>
              <w:lang w:eastAsia="pt-BR"/>
            </w:rPr>
            <m:t xml:space="preserve"> x 100</m:t>
          </m:r>
        </m:oMath>
      </m:oMathPara>
    </w:p>
    <w:p w:rsidR="00813DDC" w:rsidRPr="00813DDC" w:rsidRDefault="00813DDC" w:rsidP="00813DDC">
      <w:pPr>
        <w:ind w:firstLine="709"/>
        <w:contextualSpacing/>
        <w:jc w:val="both"/>
      </w:pPr>
      <w:r w:rsidRPr="00813DDC">
        <w:t>Em que:</w:t>
      </w:r>
    </w:p>
    <w:p w:rsidR="00813DDC" w:rsidRPr="00813DDC" w:rsidRDefault="00813DDC" w:rsidP="0066661F">
      <w:pPr>
        <w:numPr>
          <w:ilvl w:val="0"/>
          <w:numId w:val="27"/>
        </w:numPr>
        <w:ind w:hanging="357"/>
        <w:jc w:val="both"/>
        <w:rPr>
          <w:i/>
        </w:rPr>
      </w:pPr>
      <w:r w:rsidRPr="00813DDC">
        <w:rPr>
          <w:i/>
        </w:rPr>
        <w:t>ICRU = Porcentagem de cobertura do serviço de coleta regular de RDO;</w:t>
      </w:r>
    </w:p>
    <w:p w:rsidR="00813DDC" w:rsidRPr="00813DDC" w:rsidRDefault="00813DDC" w:rsidP="0066661F">
      <w:pPr>
        <w:numPr>
          <w:ilvl w:val="0"/>
          <w:numId w:val="27"/>
        </w:numPr>
        <w:ind w:hanging="357"/>
        <w:jc w:val="both"/>
        <w:rPr>
          <w:i/>
        </w:rPr>
      </w:pPr>
      <w:r w:rsidRPr="00813DDC">
        <w:rPr>
          <w:i/>
        </w:rPr>
        <w:t>PopCRU = População urbana atendida (declarada) pela coleta regular no município (habitante).</w:t>
      </w:r>
    </w:p>
    <w:p w:rsidR="00813DDC" w:rsidRPr="00813DDC" w:rsidRDefault="00813DDC" w:rsidP="0066661F">
      <w:pPr>
        <w:numPr>
          <w:ilvl w:val="0"/>
          <w:numId w:val="27"/>
        </w:numPr>
        <w:ind w:hanging="357"/>
        <w:jc w:val="both"/>
        <w:rPr>
          <w:i/>
        </w:rPr>
      </w:pPr>
      <w:r w:rsidRPr="00813DDC">
        <w:rPr>
          <w:i/>
        </w:rPr>
        <w:t>PopCRR = População rural atendida (declarada) pela coleta regular no município (habitante).</w:t>
      </w:r>
    </w:p>
    <w:p w:rsidR="00813DDC" w:rsidRPr="00813DDC" w:rsidRDefault="00813DDC" w:rsidP="0066661F">
      <w:pPr>
        <w:numPr>
          <w:ilvl w:val="0"/>
          <w:numId w:val="27"/>
        </w:numPr>
        <w:ind w:hanging="357"/>
        <w:jc w:val="both"/>
        <w:rPr>
          <w:b/>
          <w:i/>
        </w:rPr>
      </w:pPr>
      <w:r w:rsidRPr="00813DDC">
        <w:rPr>
          <w:i/>
        </w:rPr>
        <w:t>Pop_Urb = População urbana (SNIS) (habitante).</w:t>
      </w:r>
    </w:p>
    <w:p w:rsidR="00813DDC" w:rsidRPr="00813DDC" w:rsidRDefault="00813DDC" w:rsidP="0066661F">
      <w:pPr>
        <w:numPr>
          <w:ilvl w:val="0"/>
          <w:numId w:val="27"/>
        </w:numPr>
        <w:ind w:hanging="357"/>
        <w:jc w:val="both"/>
        <w:rPr>
          <w:rFonts w:cs="Arial"/>
          <w:i/>
          <w:szCs w:val="24"/>
        </w:rPr>
      </w:pPr>
      <w:r w:rsidRPr="00813DDC">
        <w:rPr>
          <w:rFonts w:cs="Arial"/>
          <w:i/>
          <w:szCs w:val="24"/>
        </w:rPr>
        <w:t>Pop_Tot = População total (IBGE) (habitante).</w:t>
      </w:r>
    </w:p>
    <w:p w:rsidR="00813DDC" w:rsidRPr="00813DDC" w:rsidRDefault="00813DDC" w:rsidP="00813DDC">
      <w:pPr>
        <w:ind w:firstLine="709"/>
        <w:contextualSpacing/>
        <w:jc w:val="both"/>
        <w:rPr>
          <w:rFonts w:cs="Arial"/>
          <w:szCs w:val="24"/>
        </w:rPr>
      </w:pPr>
      <w:r w:rsidRPr="00813DDC">
        <w:rPr>
          <w:rFonts w:cs="Arial"/>
          <w:szCs w:val="24"/>
        </w:rPr>
        <w:t xml:space="preserve">Esses indicadores foram estabelecidos com o intuito de verificar a evolução da coleta regular de RDO nas áreas urbanas e rurais do município. Para que o cálculo seja possível, é necessário realizar um levantamento sobre a população atendida por esse serviço (rural e urbana). </w:t>
      </w:r>
    </w:p>
    <w:p w:rsidR="00813DDC" w:rsidRPr="00813DDC" w:rsidRDefault="00813DDC" w:rsidP="00813DDC">
      <w:pPr>
        <w:ind w:firstLine="851"/>
        <w:jc w:val="both"/>
        <w:rPr>
          <w:rFonts w:cs="Arial"/>
          <w:szCs w:val="24"/>
        </w:rPr>
      </w:pPr>
    </w:p>
    <w:p w:rsidR="00813DDC" w:rsidRPr="00813DDC" w:rsidRDefault="00813DDC" w:rsidP="00813DDC">
      <w:pPr>
        <w:ind w:firstLine="851"/>
        <w:jc w:val="both"/>
        <w:rPr>
          <w:rFonts w:cs="Arial"/>
          <w:szCs w:val="24"/>
        </w:rPr>
      </w:pPr>
    </w:p>
    <w:p w:rsidR="00813DDC" w:rsidRPr="00813DDC" w:rsidRDefault="00813DDC" w:rsidP="00BC01B1">
      <w:pPr>
        <w:pStyle w:val="Ttulo4"/>
      </w:pPr>
      <w:bookmarkStart w:id="2601" w:name="_Toc453769403"/>
      <w:bookmarkStart w:id="2602" w:name="_Toc453771270"/>
      <w:bookmarkStart w:id="2603" w:name="_Toc453833818"/>
      <w:bookmarkStart w:id="2604" w:name="_Toc499019095"/>
      <w:bookmarkStart w:id="2605" w:name="_Toc499106828"/>
      <w:bookmarkStart w:id="2606" w:name="_Toc499107148"/>
      <w:bookmarkStart w:id="2607" w:name="_Toc499107968"/>
      <w:bookmarkStart w:id="2608" w:name="_Toc499108805"/>
      <w:bookmarkStart w:id="2609" w:name="_Toc499109630"/>
      <w:bookmarkStart w:id="2610" w:name="_Toc499109796"/>
      <w:bookmarkStart w:id="2611" w:name="_Toc499710002"/>
      <w:bookmarkStart w:id="2612" w:name="_Toc509935725"/>
      <w:r w:rsidRPr="00813DDC">
        <w:lastRenderedPageBreak/>
        <w:t>Porcentagem de cobertura dos serviços de varrição, poda, capina, roçagem e raspagem na área total do município (urbana + rural)</w:t>
      </w:r>
      <w:bookmarkEnd w:id="2601"/>
      <w:bookmarkEnd w:id="2602"/>
      <w:bookmarkEnd w:id="2603"/>
      <w:bookmarkEnd w:id="2604"/>
      <w:bookmarkEnd w:id="2605"/>
      <w:bookmarkEnd w:id="2606"/>
      <w:bookmarkEnd w:id="2607"/>
      <w:bookmarkEnd w:id="2608"/>
      <w:bookmarkEnd w:id="2609"/>
      <w:bookmarkEnd w:id="2610"/>
      <w:bookmarkEnd w:id="2611"/>
      <w:bookmarkEnd w:id="2612"/>
    </w:p>
    <w:p w:rsidR="00813DDC" w:rsidRPr="00813DDC" w:rsidRDefault="00813DDC" w:rsidP="00813DDC">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IVPCR=</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(PopVPCRU+PopVPCRR)</m:t>
              </m:r>
              <m:r>
                <w:rPr>
                  <w:rFonts w:ascii="Cambria Math" w:eastAsia="Times New Roman" w:hAnsi="Cambria Math" w:cs="Arial" w:hint="eastAsia"/>
                  <w:sz w:val="22"/>
                  <w:lang w:eastAsia="pt-BR"/>
                </w:rPr>
                <m:t>×</m:t>
              </m:r>
              <m:r>
                <w:rPr>
                  <w:rFonts w:ascii="Cambria Math" w:eastAsia="Times New Roman" w:hAnsi="Cambria Math" w:cs="Arial"/>
                  <w:sz w:val="22"/>
                  <w:lang w:eastAsia="pt-BR"/>
                </w:rPr>
                <m:t>100</m:t>
              </m:r>
            </m:num>
            <m:den>
              <m:r>
                <w:rPr>
                  <w:rFonts w:ascii="Cambria Math" w:eastAsia="Times New Roman" w:hAnsi="Cambria Math" w:cs="Arial"/>
                  <w:sz w:val="22"/>
                  <w:lang w:eastAsia="pt-BR"/>
                </w:rPr>
                <m:t>Pop_Tot</m:t>
              </m:r>
            </m:den>
          </m:f>
        </m:oMath>
      </m:oMathPara>
    </w:p>
    <w:p w:rsidR="00813DDC" w:rsidRPr="00813DDC" w:rsidRDefault="00813DDC" w:rsidP="00813DDC">
      <w:pPr>
        <w:jc w:val="center"/>
        <w:rPr>
          <w:rFonts w:ascii="Cambria Math" w:eastAsia="Times New Roman" w:hAnsi="Cambria Math" w:cs="Arial"/>
          <w:i/>
          <w:sz w:val="22"/>
          <w:lang w:eastAsia="pt-BR"/>
        </w:rPr>
      </w:pPr>
    </w:p>
    <w:p w:rsidR="00813DDC" w:rsidRPr="00813DDC" w:rsidRDefault="00813DDC" w:rsidP="00813DDC">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IVPCRU=</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PopVPCRU</m:t>
              </m:r>
              <m:r>
                <w:rPr>
                  <w:rFonts w:ascii="Cambria Math" w:eastAsia="Times New Roman" w:hAnsi="Cambria Math" w:cs="Arial" w:hint="eastAsia"/>
                  <w:sz w:val="22"/>
                  <w:lang w:eastAsia="pt-BR"/>
                </w:rPr>
                <m:t>×</m:t>
              </m:r>
              <m:r>
                <w:rPr>
                  <w:rFonts w:ascii="Cambria Math" w:eastAsia="Times New Roman" w:hAnsi="Cambria Math" w:cs="Arial"/>
                  <w:sz w:val="22"/>
                  <w:lang w:eastAsia="pt-BR"/>
                </w:rPr>
                <m:t>100</m:t>
              </m:r>
            </m:num>
            <m:den>
              <m:r>
                <w:rPr>
                  <w:rFonts w:ascii="Cambria Math" w:eastAsia="Times New Roman" w:hAnsi="Cambria Math" w:cs="Arial"/>
                  <w:sz w:val="22"/>
                  <w:lang w:eastAsia="pt-BR"/>
                </w:rPr>
                <m:t>Pop_Urb</m:t>
              </m:r>
            </m:den>
          </m:f>
        </m:oMath>
      </m:oMathPara>
    </w:p>
    <w:p w:rsidR="00813DDC" w:rsidRPr="00813DDC" w:rsidRDefault="00813DDC" w:rsidP="00813DDC">
      <w:pPr>
        <w:jc w:val="center"/>
        <w:rPr>
          <w:rFonts w:ascii="Cambria Math" w:eastAsia="Times New Roman" w:hAnsi="Cambria Math" w:cs="Arial"/>
          <w:i/>
          <w:sz w:val="22"/>
          <w:lang w:eastAsia="pt-BR"/>
        </w:rPr>
      </w:pPr>
    </w:p>
    <w:p w:rsidR="00813DDC" w:rsidRPr="00813DDC" w:rsidRDefault="00813DDC" w:rsidP="00813DDC">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IVPCRR=</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PopVPCRR</m:t>
              </m:r>
              <m:r>
                <w:rPr>
                  <w:rFonts w:ascii="Cambria Math" w:eastAsia="Times New Roman" w:hAnsi="Cambria Math" w:cs="Arial" w:hint="eastAsia"/>
                  <w:sz w:val="22"/>
                  <w:lang w:eastAsia="pt-BR"/>
                </w:rPr>
                <m:t>×</m:t>
              </m:r>
              <m:r>
                <w:rPr>
                  <w:rFonts w:ascii="Cambria Math" w:eastAsia="Times New Roman" w:hAnsi="Cambria Math" w:cs="Arial"/>
                  <w:sz w:val="22"/>
                  <w:lang w:eastAsia="pt-BR"/>
                </w:rPr>
                <m:t>100</m:t>
              </m:r>
            </m:num>
            <m:den>
              <m:r>
                <w:rPr>
                  <w:rFonts w:ascii="Cambria Math" w:eastAsia="Times New Roman" w:hAnsi="Cambria Math" w:cs="Arial"/>
                  <w:sz w:val="22"/>
                  <w:lang w:eastAsia="pt-BR"/>
                </w:rPr>
                <m:t>Pop_Tot- Pop_Urb</m:t>
              </m:r>
            </m:den>
          </m:f>
        </m:oMath>
      </m:oMathPara>
    </w:p>
    <w:p w:rsidR="00813DDC" w:rsidRPr="00813DDC" w:rsidRDefault="00813DDC" w:rsidP="00813DDC">
      <w:pPr>
        <w:ind w:firstLine="709"/>
        <w:contextualSpacing/>
      </w:pPr>
      <w:r w:rsidRPr="00813DDC">
        <w:t>Em que:</w:t>
      </w:r>
    </w:p>
    <w:p w:rsidR="00813DDC" w:rsidRPr="00813DDC" w:rsidRDefault="00813DDC" w:rsidP="0066661F">
      <w:pPr>
        <w:numPr>
          <w:ilvl w:val="0"/>
          <w:numId w:val="27"/>
        </w:numPr>
        <w:ind w:hanging="357"/>
        <w:jc w:val="both"/>
        <w:rPr>
          <w:i/>
          <w:szCs w:val="20"/>
        </w:rPr>
      </w:pPr>
      <w:r w:rsidRPr="00813DDC">
        <w:rPr>
          <w:i/>
          <w:szCs w:val="20"/>
        </w:rPr>
        <w:t>IVPCR = Porcentagem de cobertura dos serviços de varrição, poda, capina, roçagem e raspagem na área total do município.</w:t>
      </w:r>
    </w:p>
    <w:p w:rsidR="00813DDC" w:rsidRPr="00813DDC" w:rsidRDefault="00813DDC" w:rsidP="0066661F">
      <w:pPr>
        <w:numPr>
          <w:ilvl w:val="0"/>
          <w:numId w:val="27"/>
        </w:numPr>
        <w:ind w:hanging="357"/>
        <w:jc w:val="both"/>
        <w:rPr>
          <w:i/>
          <w:szCs w:val="20"/>
        </w:rPr>
      </w:pPr>
      <w:r w:rsidRPr="00813DDC">
        <w:rPr>
          <w:i/>
          <w:szCs w:val="20"/>
        </w:rPr>
        <w:t>IVPCRU = Porcentagem de cobertura dos serviços de varrição, poda, capina, roçagem e raspagem na área urbana.</w:t>
      </w:r>
    </w:p>
    <w:p w:rsidR="00813DDC" w:rsidRPr="00813DDC" w:rsidRDefault="00813DDC" w:rsidP="0066661F">
      <w:pPr>
        <w:numPr>
          <w:ilvl w:val="0"/>
          <w:numId w:val="27"/>
        </w:numPr>
        <w:ind w:hanging="357"/>
        <w:jc w:val="both"/>
        <w:rPr>
          <w:i/>
          <w:szCs w:val="20"/>
        </w:rPr>
      </w:pPr>
      <w:r w:rsidRPr="00813DDC">
        <w:rPr>
          <w:i/>
          <w:szCs w:val="20"/>
        </w:rPr>
        <w:t>IVPCRR = Porcentagem de cobertura dos serviços de varrição, poda, capina, roçagem e raspagem na área rural.</w:t>
      </w:r>
    </w:p>
    <w:p w:rsidR="00813DDC" w:rsidRPr="00813DDC" w:rsidRDefault="00813DDC" w:rsidP="0066661F">
      <w:pPr>
        <w:numPr>
          <w:ilvl w:val="0"/>
          <w:numId w:val="27"/>
        </w:numPr>
        <w:ind w:hanging="357"/>
        <w:jc w:val="both"/>
        <w:rPr>
          <w:i/>
          <w:szCs w:val="20"/>
        </w:rPr>
      </w:pPr>
      <w:r w:rsidRPr="00813DDC">
        <w:rPr>
          <w:i/>
          <w:szCs w:val="20"/>
        </w:rPr>
        <w:t>PopVPCRR = População rural atendida pelos serviços de varrição, poda, capina, roçagem e raspagem no município (habitante).</w:t>
      </w:r>
    </w:p>
    <w:p w:rsidR="00813DDC" w:rsidRPr="00813DDC" w:rsidRDefault="00813DDC" w:rsidP="0066661F">
      <w:pPr>
        <w:numPr>
          <w:ilvl w:val="0"/>
          <w:numId w:val="27"/>
        </w:numPr>
        <w:ind w:hanging="357"/>
        <w:jc w:val="both"/>
        <w:rPr>
          <w:i/>
          <w:szCs w:val="20"/>
        </w:rPr>
      </w:pPr>
      <w:r w:rsidRPr="00813DDC">
        <w:rPr>
          <w:i/>
          <w:szCs w:val="20"/>
        </w:rPr>
        <w:t>PopVPCRU = População urbana atendida pelos serviços de varrição, poda, capina, roçagem e raspagem no município (habitante).</w:t>
      </w:r>
    </w:p>
    <w:p w:rsidR="00813DDC" w:rsidRPr="00813DDC" w:rsidRDefault="00813DDC" w:rsidP="0066661F">
      <w:pPr>
        <w:numPr>
          <w:ilvl w:val="0"/>
          <w:numId w:val="27"/>
        </w:numPr>
        <w:ind w:hanging="357"/>
        <w:jc w:val="both"/>
        <w:rPr>
          <w:i/>
          <w:szCs w:val="20"/>
        </w:rPr>
      </w:pPr>
      <w:r w:rsidRPr="00813DDC">
        <w:rPr>
          <w:i/>
          <w:szCs w:val="20"/>
        </w:rPr>
        <w:t>Pop_Tot = População total (IBGE) (habitante).</w:t>
      </w:r>
    </w:p>
    <w:p w:rsidR="00813DDC" w:rsidRPr="00813DDC" w:rsidRDefault="00813DDC" w:rsidP="00813DDC">
      <w:pPr>
        <w:ind w:firstLine="708"/>
      </w:pPr>
    </w:p>
    <w:p w:rsidR="00813DDC" w:rsidRPr="00813DDC" w:rsidRDefault="00813DDC" w:rsidP="00813DDC">
      <w:pPr>
        <w:ind w:firstLine="709"/>
        <w:contextualSpacing/>
        <w:jc w:val="both"/>
      </w:pPr>
      <w:r w:rsidRPr="00813DDC">
        <w:t>Este indicador permitirá verificar qual a percentagem da população total do município (urbana e rural) atendida pelos dos serviços de varrição, poda, capina, roçagem e raspagem. Pode ser também dividido para as áreas urbana e rural, tendo em vista averiguar qual delas é mais deficitária em relação a estes serviços para melhor direcionar as ações de melhoria.</w:t>
      </w:r>
    </w:p>
    <w:p w:rsidR="00813DDC" w:rsidRPr="00813DDC" w:rsidRDefault="00813DDC" w:rsidP="00BC01B1">
      <w:pPr>
        <w:pStyle w:val="Ttulo4"/>
      </w:pPr>
      <w:bookmarkStart w:id="2613" w:name="_Toc453769404"/>
      <w:bookmarkStart w:id="2614" w:name="_Toc453771271"/>
      <w:bookmarkStart w:id="2615" w:name="_Toc453833819"/>
      <w:bookmarkStart w:id="2616" w:name="_Toc499019096"/>
      <w:bookmarkStart w:id="2617" w:name="_Toc499106829"/>
      <w:bookmarkStart w:id="2618" w:name="_Toc499107149"/>
      <w:bookmarkStart w:id="2619" w:name="_Toc499107969"/>
      <w:bookmarkStart w:id="2620" w:name="_Toc499108806"/>
      <w:bookmarkStart w:id="2621" w:name="_Toc499109631"/>
      <w:bookmarkStart w:id="2622" w:name="_Toc499109797"/>
      <w:bookmarkStart w:id="2623" w:name="_Toc499710003"/>
      <w:bookmarkStart w:id="2624" w:name="_Toc509935726"/>
      <w:r w:rsidRPr="00813DDC">
        <w:t>Porcentagem de cobertura de coleta de resíduos orgânicos no município (área urbana e rural)</w:t>
      </w:r>
      <w:bookmarkEnd w:id="2613"/>
      <w:bookmarkEnd w:id="2614"/>
      <w:bookmarkEnd w:id="2615"/>
      <w:bookmarkEnd w:id="2616"/>
      <w:bookmarkEnd w:id="2617"/>
      <w:bookmarkEnd w:id="2618"/>
      <w:bookmarkEnd w:id="2619"/>
      <w:bookmarkEnd w:id="2620"/>
      <w:bookmarkEnd w:id="2621"/>
      <w:bookmarkEnd w:id="2622"/>
      <w:bookmarkEnd w:id="2623"/>
      <w:bookmarkEnd w:id="2624"/>
    </w:p>
    <w:p w:rsidR="00813DDC" w:rsidRPr="00813DDC" w:rsidRDefault="001B481B" w:rsidP="00813DDC">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RO</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m:t>
              </m:r>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Pop</m:t>
                  </m:r>
                </m:e>
                <m:sub>
                  <m:r>
                    <w:rPr>
                      <w:rFonts w:ascii="Cambria Math" w:eastAsia="Times New Roman" w:hAnsi="Cambria Math" w:cs="Arial"/>
                      <w:sz w:val="22"/>
                      <w:lang w:eastAsia="pt-BR"/>
                    </w:rPr>
                    <m:t>ROU</m:t>
                  </m:r>
                </m:sub>
              </m:sSub>
              <m:r>
                <w:rPr>
                  <w:rFonts w:ascii="Cambria Math" w:eastAsia="Times New Roman" w:hAnsi="Cambria Math" w:cs="Arial"/>
                  <w:sz w:val="22"/>
                  <w:lang w:eastAsia="pt-BR"/>
                </w:rPr>
                <m:t>+</m:t>
              </m:r>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Pop</m:t>
                  </m:r>
                </m:e>
                <m:sub>
                  <m:r>
                    <w:rPr>
                      <w:rFonts w:ascii="Cambria Math" w:eastAsia="Times New Roman" w:hAnsi="Cambria Math" w:cs="Arial"/>
                      <w:sz w:val="22"/>
                      <w:lang w:eastAsia="pt-BR"/>
                    </w:rPr>
                    <m:t>ROR</m:t>
                  </m:r>
                </m:sub>
              </m:sSub>
              <m:r>
                <w:rPr>
                  <w:rFonts w:ascii="Cambria Math" w:eastAsia="Times New Roman" w:hAnsi="Cambria Math" w:cs="Arial"/>
                  <w:sz w:val="22"/>
                  <w:lang w:eastAsia="pt-BR"/>
                </w:rPr>
                <m:t>)</m:t>
              </m:r>
              <m:r>
                <w:rPr>
                  <w:rFonts w:ascii="Cambria Math" w:eastAsia="Times New Roman" w:hAnsi="Cambria Math" w:cs="Arial" w:hint="eastAsia"/>
                  <w:sz w:val="22"/>
                  <w:lang w:eastAsia="pt-BR"/>
                </w:rPr>
                <m:t>×</m:t>
              </m:r>
              <m:r>
                <w:rPr>
                  <w:rFonts w:ascii="Cambria Math" w:eastAsia="Times New Roman" w:hAnsi="Cambria Math" w:cs="Arial"/>
                  <w:sz w:val="22"/>
                  <w:lang w:eastAsia="pt-BR"/>
                </w:rPr>
                <m:t>100</m:t>
              </m:r>
            </m:num>
            <m:den>
              <m:r>
                <w:rPr>
                  <w:rFonts w:ascii="Cambria Math" w:eastAsia="Times New Roman" w:hAnsi="Cambria Math" w:cs="Arial"/>
                  <w:sz w:val="22"/>
                  <w:lang w:eastAsia="pt-BR"/>
                </w:rPr>
                <m:t>POP_TOT</m:t>
              </m:r>
            </m:den>
          </m:f>
        </m:oMath>
      </m:oMathPara>
    </w:p>
    <w:p w:rsidR="00813DDC" w:rsidRPr="00813DDC" w:rsidRDefault="00813DDC" w:rsidP="00813DDC">
      <w:pPr>
        <w:jc w:val="center"/>
        <w:rPr>
          <w:rFonts w:ascii="Cambria Math" w:eastAsia="Times New Roman" w:hAnsi="Cambria Math" w:cs="Arial"/>
          <w:i/>
          <w:sz w:val="22"/>
          <w:lang w:eastAsia="pt-BR"/>
        </w:rPr>
      </w:pPr>
    </w:p>
    <w:p w:rsidR="00813DDC" w:rsidRPr="00813DDC" w:rsidRDefault="001B481B" w:rsidP="00813DDC">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ROU</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Pop</m:t>
                  </m:r>
                </m:e>
                <m:sub>
                  <m:r>
                    <w:rPr>
                      <w:rFonts w:ascii="Cambria Math" w:eastAsia="Times New Roman" w:hAnsi="Cambria Math" w:cs="Arial"/>
                      <w:sz w:val="22"/>
                      <w:lang w:eastAsia="pt-BR"/>
                    </w:rPr>
                    <m:t>ROU</m:t>
                  </m:r>
                </m:sub>
              </m:sSub>
              <m:r>
                <w:rPr>
                  <w:rFonts w:ascii="Cambria Math" w:eastAsia="Times New Roman" w:hAnsi="Cambria Math" w:cs="Arial" w:hint="eastAsia"/>
                  <w:sz w:val="22"/>
                  <w:lang w:eastAsia="pt-BR"/>
                </w:rPr>
                <m:t>×</m:t>
              </m:r>
              <m:r>
                <w:rPr>
                  <w:rFonts w:ascii="Cambria Math" w:eastAsia="Times New Roman" w:hAnsi="Cambria Math" w:cs="Arial"/>
                  <w:sz w:val="22"/>
                  <w:lang w:eastAsia="pt-BR"/>
                </w:rPr>
                <m:t>100</m:t>
              </m:r>
            </m:num>
            <m:den>
              <m:r>
                <w:rPr>
                  <w:rFonts w:ascii="Cambria Math" w:eastAsia="Times New Roman" w:hAnsi="Cambria Math" w:cs="Arial"/>
                  <w:sz w:val="22"/>
                  <w:lang w:eastAsia="pt-BR"/>
                </w:rPr>
                <m:t>POP_URB</m:t>
              </m:r>
            </m:den>
          </m:f>
        </m:oMath>
      </m:oMathPara>
    </w:p>
    <w:p w:rsidR="00813DDC" w:rsidRPr="00813DDC" w:rsidRDefault="00813DDC" w:rsidP="00813DDC">
      <w:pPr>
        <w:spacing w:before="120" w:line="240" w:lineRule="auto"/>
        <w:jc w:val="center"/>
        <w:rPr>
          <w:b/>
          <w:sz w:val="20"/>
          <w:szCs w:val="20"/>
          <w:lang w:eastAsia="pt-BR"/>
        </w:rPr>
      </w:pPr>
    </w:p>
    <w:p w:rsidR="00813DDC" w:rsidRPr="00813DDC" w:rsidRDefault="001B481B" w:rsidP="00813DDC">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ROR</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Pop</m:t>
                  </m:r>
                </m:e>
                <m:sub>
                  <m:r>
                    <w:rPr>
                      <w:rFonts w:ascii="Cambria Math" w:eastAsia="Times New Roman" w:hAnsi="Cambria Math" w:cs="Arial"/>
                      <w:sz w:val="22"/>
                      <w:lang w:eastAsia="pt-BR"/>
                    </w:rPr>
                    <m:t>ROR</m:t>
                  </m:r>
                </m:sub>
              </m:sSub>
              <m:r>
                <w:rPr>
                  <w:rFonts w:ascii="Cambria Math" w:eastAsia="Times New Roman" w:hAnsi="Cambria Math" w:cs="Arial" w:hint="eastAsia"/>
                  <w:sz w:val="22"/>
                  <w:lang w:eastAsia="pt-BR"/>
                </w:rPr>
                <m:t>×</m:t>
              </m:r>
              <m:r>
                <w:rPr>
                  <w:rFonts w:ascii="Cambria Math" w:eastAsia="Times New Roman" w:hAnsi="Cambria Math" w:cs="Arial"/>
                  <w:sz w:val="22"/>
                  <w:lang w:eastAsia="pt-BR"/>
                </w:rPr>
                <m:t>100</m:t>
              </m:r>
            </m:num>
            <m:den>
              <m:r>
                <w:rPr>
                  <w:rFonts w:ascii="Cambria Math" w:eastAsia="Times New Roman" w:hAnsi="Cambria Math" w:cs="Arial"/>
                  <w:sz w:val="22"/>
                  <w:lang w:eastAsia="pt-BR"/>
                </w:rPr>
                <m:t>(POP_TOT-POP_URB)</m:t>
              </m:r>
            </m:den>
          </m:f>
        </m:oMath>
      </m:oMathPara>
    </w:p>
    <w:p w:rsidR="00813DDC" w:rsidRPr="00813DDC" w:rsidRDefault="00813DDC" w:rsidP="00813DDC">
      <w:pPr>
        <w:ind w:firstLine="709"/>
        <w:contextualSpacing/>
        <w:rPr>
          <w:rFonts w:eastAsia="Times New Roman" w:cs="Arial"/>
          <w:szCs w:val="20"/>
          <w:lang w:eastAsia="pt-BR"/>
        </w:rPr>
      </w:pPr>
    </w:p>
    <w:p w:rsidR="00813DDC" w:rsidRPr="00813DDC" w:rsidRDefault="00813DDC" w:rsidP="00813DDC">
      <w:pPr>
        <w:ind w:firstLine="709"/>
        <w:contextualSpacing/>
        <w:rPr>
          <w:rFonts w:eastAsia="Times New Roman" w:cs="Arial"/>
          <w:szCs w:val="20"/>
          <w:lang w:eastAsia="pt-BR"/>
        </w:rPr>
      </w:pPr>
      <w:r w:rsidRPr="00813DDC">
        <w:rPr>
          <w:rFonts w:eastAsia="Times New Roman" w:cs="Arial"/>
          <w:szCs w:val="20"/>
          <w:lang w:eastAsia="pt-BR"/>
        </w:rPr>
        <w:t>Em que:</w:t>
      </w:r>
    </w:p>
    <w:p w:rsidR="00813DDC" w:rsidRPr="00813DDC" w:rsidRDefault="00813DDC" w:rsidP="0066661F">
      <w:pPr>
        <w:numPr>
          <w:ilvl w:val="0"/>
          <w:numId w:val="27"/>
        </w:numPr>
        <w:ind w:hanging="357"/>
        <w:jc w:val="both"/>
        <w:rPr>
          <w:rFonts w:cs="Arial"/>
          <w:i/>
          <w:szCs w:val="24"/>
        </w:rPr>
      </w:pPr>
      <w:r w:rsidRPr="00813DDC">
        <w:rPr>
          <w:rFonts w:cs="Arial"/>
          <w:i/>
          <w:szCs w:val="24"/>
        </w:rPr>
        <w:t>I</w:t>
      </w:r>
      <w:r w:rsidRPr="00813DDC">
        <w:rPr>
          <w:rFonts w:cs="Arial"/>
          <w:i/>
          <w:szCs w:val="24"/>
          <w:vertAlign w:val="subscript"/>
        </w:rPr>
        <w:t>RO</w:t>
      </w:r>
      <w:r w:rsidRPr="00813DDC">
        <w:rPr>
          <w:rFonts w:cs="Arial"/>
          <w:i/>
          <w:szCs w:val="24"/>
        </w:rPr>
        <w:t xml:space="preserve"> = Porcentagem de cobertura do serviço de coleta de resíduos orgânicos no município (%).</w:t>
      </w:r>
    </w:p>
    <w:p w:rsidR="00813DDC" w:rsidRPr="00813DDC" w:rsidRDefault="00813DDC" w:rsidP="0066661F">
      <w:pPr>
        <w:numPr>
          <w:ilvl w:val="0"/>
          <w:numId w:val="27"/>
        </w:numPr>
        <w:ind w:hanging="357"/>
        <w:jc w:val="both"/>
        <w:rPr>
          <w:rFonts w:cs="Arial"/>
          <w:i/>
          <w:szCs w:val="24"/>
        </w:rPr>
      </w:pPr>
      <w:r w:rsidRPr="00813DDC">
        <w:rPr>
          <w:rFonts w:cs="Arial"/>
          <w:i/>
          <w:szCs w:val="24"/>
        </w:rPr>
        <w:t>I</w:t>
      </w:r>
      <w:r w:rsidRPr="00813DDC">
        <w:rPr>
          <w:rFonts w:cs="Arial"/>
          <w:i/>
          <w:szCs w:val="24"/>
          <w:vertAlign w:val="subscript"/>
        </w:rPr>
        <w:t>ROU</w:t>
      </w:r>
      <w:r w:rsidRPr="00813DDC">
        <w:rPr>
          <w:rFonts w:cs="Arial"/>
          <w:i/>
          <w:szCs w:val="24"/>
        </w:rPr>
        <w:t xml:space="preserve"> = Porcentagem de cobertura do serviço de coleta de resíduos orgânicos na área urbana (%).</w:t>
      </w:r>
    </w:p>
    <w:p w:rsidR="00813DDC" w:rsidRPr="00813DDC" w:rsidRDefault="00813DDC" w:rsidP="0066661F">
      <w:pPr>
        <w:numPr>
          <w:ilvl w:val="0"/>
          <w:numId w:val="27"/>
        </w:numPr>
        <w:ind w:hanging="357"/>
        <w:jc w:val="both"/>
        <w:rPr>
          <w:rFonts w:cs="Arial"/>
          <w:i/>
          <w:szCs w:val="24"/>
        </w:rPr>
      </w:pPr>
      <w:r w:rsidRPr="00813DDC">
        <w:rPr>
          <w:rFonts w:cs="Arial"/>
          <w:i/>
          <w:szCs w:val="24"/>
        </w:rPr>
        <w:t>I</w:t>
      </w:r>
      <w:r w:rsidRPr="00813DDC">
        <w:rPr>
          <w:rFonts w:cs="Arial"/>
          <w:i/>
          <w:szCs w:val="24"/>
          <w:vertAlign w:val="subscript"/>
        </w:rPr>
        <w:t>ROR</w:t>
      </w:r>
      <w:r w:rsidRPr="00813DDC">
        <w:rPr>
          <w:rFonts w:cs="Arial"/>
          <w:i/>
          <w:szCs w:val="24"/>
        </w:rPr>
        <w:t xml:space="preserve"> = Porcentagem de cobertura do serviço de coleta de resíduos orgânicos na área rural (%).</w:t>
      </w:r>
    </w:p>
    <w:p w:rsidR="00813DDC" w:rsidRPr="00813DDC" w:rsidRDefault="00813DDC" w:rsidP="0066661F">
      <w:pPr>
        <w:numPr>
          <w:ilvl w:val="0"/>
          <w:numId w:val="27"/>
        </w:numPr>
        <w:ind w:hanging="357"/>
        <w:jc w:val="both"/>
        <w:rPr>
          <w:rFonts w:cs="Arial"/>
          <w:i/>
          <w:szCs w:val="24"/>
        </w:rPr>
      </w:pPr>
      <w:r w:rsidRPr="00813DDC">
        <w:rPr>
          <w:rFonts w:cs="Arial"/>
          <w:i/>
          <w:szCs w:val="24"/>
        </w:rPr>
        <w:t>Pop</w:t>
      </w:r>
      <w:r w:rsidRPr="00813DDC">
        <w:rPr>
          <w:rFonts w:cs="Arial"/>
          <w:i/>
          <w:szCs w:val="24"/>
          <w:vertAlign w:val="subscript"/>
        </w:rPr>
        <w:t>ROU</w:t>
      </w:r>
      <w:r w:rsidRPr="00813DDC">
        <w:rPr>
          <w:rFonts w:cs="Arial"/>
          <w:i/>
          <w:szCs w:val="24"/>
        </w:rPr>
        <w:t xml:space="preserve"> = População urbana atendida (declarada) pela coleta de resíduos orgânicos no município (habitante).</w:t>
      </w:r>
    </w:p>
    <w:p w:rsidR="00813DDC" w:rsidRPr="00813DDC" w:rsidRDefault="00813DDC" w:rsidP="0066661F">
      <w:pPr>
        <w:numPr>
          <w:ilvl w:val="0"/>
          <w:numId w:val="27"/>
        </w:numPr>
        <w:ind w:hanging="357"/>
        <w:jc w:val="both"/>
        <w:rPr>
          <w:rFonts w:cs="Arial"/>
          <w:i/>
          <w:szCs w:val="24"/>
        </w:rPr>
      </w:pPr>
      <w:r w:rsidRPr="00813DDC">
        <w:rPr>
          <w:rFonts w:cs="Arial"/>
          <w:i/>
          <w:szCs w:val="24"/>
        </w:rPr>
        <w:t>Pop</w:t>
      </w:r>
      <w:r w:rsidRPr="00813DDC">
        <w:rPr>
          <w:rFonts w:cs="Arial"/>
          <w:i/>
          <w:szCs w:val="24"/>
          <w:vertAlign w:val="subscript"/>
        </w:rPr>
        <w:t>ROR</w:t>
      </w:r>
      <w:r w:rsidRPr="00813DDC">
        <w:rPr>
          <w:rFonts w:cs="Arial"/>
          <w:i/>
          <w:szCs w:val="24"/>
        </w:rPr>
        <w:t xml:space="preserve"> = População rural atendida (declarada) pela coleta de resíduos orgânicos no município (habitante).</w:t>
      </w:r>
    </w:p>
    <w:p w:rsidR="00813DDC" w:rsidRPr="00813DDC" w:rsidRDefault="00813DDC" w:rsidP="0066661F">
      <w:pPr>
        <w:numPr>
          <w:ilvl w:val="0"/>
          <w:numId w:val="27"/>
        </w:numPr>
        <w:ind w:hanging="357"/>
        <w:jc w:val="both"/>
        <w:rPr>
          <w:rFonts w:cs="Arial"/>
          <w:i/>
          <w:szCs w:val="24"/>
        </w:rPr>
      </w:pPr>
      <w:r w:rsidRPr="00813DDC">
        <w:rPr>
          <w:rFonts w:cs="Arial"/>
          <w:i/>
          <w:szCs w:val="24"/>
        </w:rPr>
        <w:t>POP_TOT = População total (IBGE) (habitante).</w:t>
      </w:r>
    </w:p>
    <w:p w:rsidR="00813DDC" w:rsidRPr="00813DDC" w:rsidRDefault="00813DDC" w:rsidP="0066661F">
      <w:pPr>
        <w:numPr>
          <w:ilvl w:val="0"/>
          <w:numId w:val="27"/>
        </w:numPr>
        <w:ind w:hanging="357"/>
        <w:jc w:val="both"/>
        <w:rPr>
          <w:rFonts w:cs="Arial"/>
          <w:i/>
          <w:szCs w:val="24"/>
        </w:rPr>
      </w:pPr>
      <w:r w:rsidRPr="00813DDC">
        <w:rPr>
          <w:rFonts w:cs="Arial"/>
          <w:i/>
          <w:szCs w:val="24"/>
        </w:rPr>
        <w:t>POP_URB = População urbana (SNIS) (habitante).</w:t>
      </w:r>
    </w:p>
    <w:p w:rsidR="00813DDC" w:rsidRPr="00813DDC" w:rsidRDefault="00813DDC" w:rsidP="00813DDC">
      <w:pPr>
        <w:ind w:firstLine="709"/>
        <w:contextualSpacing/>
        <w:jc w:val="both"/>
        <w:rPr>
          <w:rFonts w:eastAsia="Times New Roman" w:cs="Arial"/>
          <w:szCs w:val="20"/>
          <w:lang w:eastAsia="pt-BR"/>
        </w:rPr>
      </w:pPr>
      <w:r w:rsidRPr="00813DDC">
        <w:rPr>
          <w:rFonts w:eastAsia="Times New Roman" w:cs="Arial"/>
          <w:szCs w:val="20"/>
          <w:lang w:eastAsia="pt-BR"/>
        </w:rPr>
        <w:t>Este indicador permitirá verificar qual a percentagem da população total do município (urbana e rural) atendida pela coleta de resíduos orgânicos passíveis de serem tratados e reutilizados. Pode ser também dividido para as áreas urbana e rural, tendo em vista averiguar qual delas é mais deficitária em relação à coleta dos resíduos úmidos (matéria orgânica), a fim de direcionar ações de melhoria.</w:t>
      </w:r>
    </w:p>
    <w:p w:rsidR="00813DDC" w:rsidRPr="00813DDC" w:rsidRDefault="00813DDC" w:rsidP="00BC01B1">
      <w:pPr>
        <w:pStyle w:val="Ttulo3"/>
      </w:pPr>
      <w:bookmarkStart w:id="2625" w:name="_Toc453769405"/>
      <w:bookmarkStart w:id="2626" w:name="_Toc453771272"/>
      <w:bookmarkStart w:id="2627" w:name="_Toc453833820"/>
      <w:bookmarkStart w:id="2628" w:name="_Toc499019097"/>
      <w:bookmarkStart w:id="2629" w:name="_Toc499106830"/>
      <w:bookmarkStart w:id="2630" w:name="_Toc499107150"/>
      <w:bookmarkStart w:id="2631" w:name="_Toc499107970"/>
      <w:bookmarkStart w:id="2632" w:name="_Toc499108807"/>
      <w:bookmarkStart w:id="2633" w:name="_Toc499109632"/>
      <w:bookmarkStart w:id="2634" w:name="_Toc499109798"/>
      <w:bookmarkStart w:id="2635" w:name="_Toc499710004"/>
      <w:bookmarkStart w:id="2636" w:name="_Toc509935727"/>
      <w:r w:rsidRPr="00813DDC">
        <w:t>Indicadores para o objetivo 2</w:t>
      </w:r>
      <w:bookmarkEnd w:id="2625"/>
      <w:bookmarkEnd w:id="2626"/>
      <w:bookmarkEnd w:id="2627"/>
      <w:bookmarkEnd w:id="2628"/>
      <w:bookmarkEnd w:id="2629"/>
      <w:bookmarkEnd w:id="2630"/>
      <w:bookmarkEnd w:id="2631"/>
      <w:bookmarkEnd w:id="2632"/>
      <w:bookmarkEnd w:id="2633"/>
      <w:bookmarkEnd w:id="2634"/>
      <w:bookmarkEnd w:id="2635"/>
      <w:bookmarkEnd w:id="2636"/>
    </w:p>
    <w:p w:rsidR="00813DDC" w:rsidRPr="00813DDC" w:rsidRDefault="00813DDC" w:rsidP="00BC01B1">
      <w:pPr>
        <w:pStyle w:val="Ttulo4"/>
      </w:pPr>
      <w:bookmarkStart w:id="2637" w:name="_Toc453769406"/>
      <w:bookmarkStart w:id="2638" w:name="_Toc453771273"/>
      <w:bookmarkStart w:id="2639" w:name="_Toc453833821"/>
      <w:bookmarkStart w:id="2640" w:name="_Toc499019098"/>
      <w:bookmarkStart w:id="2641" w:name="_Toc499106831"/>
      <w:bookmarkStart w:id="2642" w:name="_Toc499107151"/>
      <w:bookmarkStart w:id="2643" w:name="_Toc499107971"/>
      <w:bookmarkStart w:id="2644" w:name="_Toc499108808"/>
      <w:bookmarkStart w:id="2645" w:name="_Toc499109633"/>
      <w:bookmarkStart w:id="2646" w:name="_Toc499109799"/>
      <w:bookmarkStart w:id="2647" w:name="_Toc499710005"/>
      <w:bookmarkStart w:id="2648" w:name="_Toc509935728"/>
      <w:r w:rsidRPr="00813DDC">
        <w:t>Extensão varrida anualmente por extensão total de vias</w:t>
      </w:r>
      <w:bookmarkEnd w:id="2637"/>
      <w:bookmarkEnd w:id="2638"/>
      <w:bookmarkEnd w:id="2639"/>
      <w:bookmarkEnd w:id="2640"/>
      <w:bookmarkEnd w:id="2641"/>
      <w:bookmarkEnd w:id="2642"/>
      <w:bookmarkEnd w:id="2643"/>
      <w:bookmarkEnd w:id="2644"/>
      <w:bookmarkEnd w:id="2645"/>
      <w:bookmarkEnd w:id="2646"/>
      <w:bookmarkEnd w:id="2647"/>
      <w:bookmarkEnd w:id="2648"/>
    </w:p>
    <w:p w:rsidR="00813DDC" w:rsidRPr="00813DDC" w:rsidRDefault="001B481B" w:rsidP="00813DDC">
      <w:pPr>
        <w:ind w:left="720"/>
        <w:contextualSpacing/>
        <w:jc w:val="both"/>
        <w:rPr>
          <w:rFonts w:eastAsia="Times New Roman"/>
          <w:sz w:val="22"/>
        </w:rPr>
      </w:pPr>
      <m:oMathPara>
        <m:oMath>
          <m:sSub>
            <m:sSubPr>
              <m:ctrlPr>
                <w:rPr>
                  <w:rFonts w:ascii="Cambria Math" w:eastAsia="Times New Roman" w:hAnsi="Cambria Math"/>
                  <w:i/>
                  <w:sz w:val="22"/>
                </w:rPr>
              </m:ctrlPr>
            </m:sSubPr>
            <m:e>
              <m:r>
                <w:rPr>
                  <w:rFonts w:ascii="Cambria Math" w:eastAsia="Times New Roman" w:hAnsi="Cambria Math"/>
                  <w:sz w:val="22"/>
                </w:rPr>
                <m:t>I</m:t>
              </m:r>
            </m:e>
            <m:sub>
              <m:r>
                <w:rPr>
                  <w:rFonts w:ascii="Cambria Math" w:eastAsia="Times New Roman" w:hAnsi="Cambria Math"/>
                  <w:sz w:val="22"/>
                </w:rPr>
                <m:t>VAB</m:t>
              </m:r>
            </m:sub>
          </m:sSub>
          <m:r>
            <w:rPr>
              <w:rFonts w:ascii="Cambria Math" w:eastAsia="Times New Roman" w:hAnsi="Cambria Math"/>
              <w:sz w:val="22"/>
            </w:rPr>
            <m:t>=</m:t>
          </m:r>
          <m:f>
            <m:fPr>
              <m:ctrlPr>
                <w:rPr>
                  <w:rFonts w:ascii="Cambria Math" w:eastAsia="Times New Roman" w:hAnsi="Cambria Math"/>
                  <w:i/>
                  <w:sz w:val="22"/>
                </w:rPr>
              </m:ctrlPr>
            </m:fPr>
            <m:num>
              <m:r>
                <w:rPr>
                  <w:rFonts w:ascii="Cambria Math" w:eastAsia="Times New Roman" w:hAnsi="Cambria Math"/>
                  <w:sz w:val="22"/>
                </w:rPr>
                <m:t>(Va039)</m:t>
              </m:r>
            </m:num>
            <m:den>
              <m:sSub>
                <m:sSubPr>
                  <m:ctrlPr>
                    <w:rPr>
                      <w:rFonts w:ascii="Cambria Math" w:eastAsia="Times New Roman" w:hAnsi="Cambria Math"/>
                      <w:i/>
                      <w:sz w:val="22"/>
                    </w:rPr>
                  </m:ctrlPr>
                </m:sSubPr>
                <m:e>
                  <m:r>
                    <w:rPr>
                      <w:rFonts w:ascii="Cambria Math" w:eastAsia="Times New Roman" w:hAnsi="Cambria Math"/>
                      <w:sz w:val="22"/>
                    </w:rPr>
                    <m:t>L</m:t>
                  </m:r>
                </m:e>
                <m:sub>
                  <m:r>
                    <w:rPr>
                      <w:rFonts w:ascii="Cambria Math" w:eastAsia="Times New Roman" w:hAnsi="Cambria Math"/>
                      <w:sz w:val="22"/>
                    </w:rPr>
                    <m:t>vias</m:t>
                  </m:r>
                </m:sub>
              </m:sSub>
            </m:den>
          </m:f>
          <m:r>
            <w:rPr>
              <w:rFonts w:ascii="Cambria Math" w:eastAsia="Times New Roman" w:hAnsi="Cambria Math"/>
              <w:sz w:val="22"/>
            </w:rPr>
            <m:t xml:space="preserve"> x 100</m:t>
          </m:r>
        </m:oMath>
      </m:oMathPara>
    </w:p>
    <w:p w:rsidR="00813DDC" w:rsidRPr="00813DDC" w:rsidRDefault="00813DDC" w:rsidP="00813DDC">
      <w:pPr>
        <w:ind w:firstLine="709"/>
        <w:contextualSpacing/>
        <w:jc w:val="both"/>
        <w:rPr>
          <w:rFonts w:cs="Arial"/>
          <w:szCs w:val="24"/>
        </w:rPr>
      </w:pPr>
      <w:r w:rsidRPr="00813DDC">
        <w:rPr>
          <w:rFonts w:cs="Arial"/>
          <w:szCs w:val="24"/>
        </w:rPr>
        <w:t>Em que:</w:t>
      </w:r>
    </w:p>
    <w:p w:rsidR="00813DDC" w:rsidRPr="00813DDC" w:rsidRDefault="00813DDC" w:rsidP="0066661F">
      <w:pPr>
        <w:numPr>
          <w:ilvl w:val="0"/>
          <w:numId w:val="27"/>
        </w:numPr>
        <w:ind w:hanging="357"/>
        <w:jc w:val="both"/>
        <w:rPr>
          <w:rFonts w:cs="Arial"/>
          <w:i/>
          <w:szCs w:val="24"/>
        </w:rPr>
      </w:pPr>
      <w:r w:rsidRPr="00813DDC">
        <w:rPr>
          <w:rFonts w:cs="Arial"/>
          <w:i/>
          <w:szCs w:val="24"/>
        </w:rPr>
        <w:t>I</w:t>
      </w:r>
      <w:r w:rsidRPr="00813DDC">
        <w:rPr>
          <w:rFonts w:cs="Arial"/>
          <w:i/>
          <w:szCs w:val="24"/>
          <w:vertAlign w:val="subscript"/>
        </w:rPr>
        <w:t>VAB</w:t>
      </w:r>
      <w:r w:rsidRPr="00813DDC">
        <w:rPr>
          <w:rFonts w:cs="Arial"/>
          <w:i/>
          <w:szCs w:val="24"/>
        </w:rPr>
        <w:t xml:space="preserve"> = Indicador de extensão total anual varrida na área urbana (%).</w:t>
      </w:r>
    </w:p>
    <w:p w:rsidR="00813DDC" w:rsidRPr="00813DDC" w:rsidRDefault="00813DDC" w:rsidP="0066661F">
      <w:pPr>
        <w:numPr>
          <w:ilvl w:val="0"/>
          <w:numId w:val="27"/>
        </w:numPr>
        <w:jc w:val="both"/>
        <w:rPr>
          <w:rFonts w:cs="Arial"/>
          <w:i/>
          <w:szCs w:val="24"/>
        </w:rPr>
      </w:pPr>
      <w:r w:rsidRPr="00813DDC">
        <w:rPr>
          <w:rFonts w:cs="Arial"/>
          <w:i/>
          <w:szCs w:val="24"/>
        </w:rPr>
        <w:t>Va039 = Extensão total de sarjetas varridas pelos executores (km)</w:t>
      </w:r>
    </w:p>
    <w:p w:rsidR="00813DDC" w:rsidRPr="00813DDC" w:rsidRDefault="00813DDC" w:rsidP="0066661F">
      <w:pPr>
        <w:numPr>
          <w:ilvl w:val="0"/>
          <w:numId w:val="27"/>
        </w:numPr>
        <w:ind w:hanging="357"/>
        <w:jc w:val="both"/>
        <w:rPr>
          <w:rFonts w:cs="Arial"/>
          <w:i/>
          <w:szCs w:val="24"/>
        </w:rPr>
      </w:pPr>
      <w:r w:rsidRPr="00813DDC">
        <w:rPr>
          <w:rFonts w:cs="Arial"/>
          <w:i/>
          <w:szCs w:val="24"/>
        </w:rPr>
        <w:lastRenderedPageBreak/>
        <w:t>L</w:t>
      </w:r>
      <w:r w:rsidRPr="00813DDC">
        <w:rPr>
          <w:rFonts w:cs="Arial"/>
          <w:i/>
          <w:szCs w:val="24"/>
          <w:vertAlign w:val="subscript"/>
        </w:rPr>
        <w:t>vias</w:t>
      </w:r>
      <w:r w:rsidRPr="00813DDC">
        <w:rPr>
          <w:rFonts w:cs="Arial"/>
          <w:i/>
          <w:szCs w:val="24"/>
        </w:rPr>
        <w:t xml:space="preserve"> = Extensão das vias pavimentadas (km).</w:t>
      </w:r>
    </w:p>
    <w:p w:rsidR="00813DDC" w:rsidRPr="00813DDC" w:rsidRDefault="00813DDC" w:rsidP="00813DDC">
      <w:pPr>
        <w:ind w:firstLine="709"/>
        <w:contextualSpacing/>
        <w:jc w:val="both"/>
        <w:rPr>
          <w:rFonts w:cs="Arial"/>
          <w:szCs w:val="24"/>
        </w:rPr>
      </w:pPr>
      <w:r w:rsidRPr="00813DDC">
        <w:rPr>
          <w:rFonts w:cs="Arial"/>
          <w:szCs w:val="24"/>
        </w:rPr>
        <w:t>O indicador foi adaptado do SNIS (2010) e avalia a abrangência do serviço de varrição em relação à extensão total das vias pavimentadas do município.</w:t>
      </w:r>
    </w:p>
    <w:p w:rsidR="00813DDC" w:rsidRPr="00813DDC" w:rsidRDefault="00813DDC" w:rsidP="00BC01B1">
      <w:pPr>
        <w:pStyle w:val="Ttulo4"/>
      </w:pPr>
      <w:bookmarkStart w:id="2649" w:name="_Toc453769407"/>
      <w:bookmarkStart w:id="2650" w:name="_Toc453771274"/>
      <w:bookmarkStart w:id="2651" w:name="_Toc453833822"/>
      <w:bookmarkStart w:id="2652" w:name="_Toc499019099"/>
      <w:bookmarkStart w:id="2653" w:name="_Toc499106832"/>
      <w:bookmarkStart w:id="2654" w:name="_Toc499107152"/>
      <w:bookmarkStart w:id="2655" w:name="_Toc499107972"/>
      <w:bookmarkStart w:id="2656" w:name="_Toc499108809"/>
      <w:bookmarkStart w:id="2657" w:name="_Toc499109634"/>
      <w:bookmarkStart w:id="2658" w:name="_Toc499109800"/>
      <w:bookmarkStart w:id="2659" w:name="_Toc499710006"/>
      <w:bookmarkStart w:id="2660" w:name="_Toc509935729"/>
      <w:r w:rsidRPr="00813DDC">
        <w:t>Índice da área atendida com serviços de capina e roçagem</w:t>
      </w:r>
      <w:bookmarkEnd w:id="2649"/>
      <w:bookmarkEnd w:id="2650"/>
      <w:bookmarkEnd w:id="2651"/>
      <w:bookmarkEnd w:id="2652"/>
      <w:bookmarkEnd w:id="2653"/>
      <w:bookmarkEnd w:id="2654"/>
      <w:bookmarkEnd w:id="2655"/>
      <w:bookmarkEnd w:id="2656"/>
      <w:bookmarkEnd w:id="2657"/>
      <w:bookmarkEnd w:id="2658"/>
      <w:bookmarkEnd w:id="2659"/>
      <w:bookmarkEnd w:id="2660"/>
    </w:p>
    <w:p w:rsidR="00813DDC" w:rsidRPr="00813DDC" w:rsidRDefault="001B481B" w:rsidP="00813DDC">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Cap</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A</m:t>
                  </m:r>
                </m:e>
                <m:sub>
                  <m:r>
                    <w:rPr>
                      <w:rFonts w:ascii="Cambria Math" w:eastAsia="Times New Roman" w:hAnsi="Cambria Math" w:cs="Arial"/>
                      <w:sz w:val="22"/>
                      <w:lang w:eastAsia="pt-BR"/>
                    </w:rPr>
                    <m:t>Cap</m:t>
                  </m:r>
                </m:sub>
              </m:sSub>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A</m:t>
                  </m:r>
                </m:e>
                <m:sub>
                  <m:r>
                    <w:rPr>
                      <w:rFonts w:ascii="Cambria Math" w:eastAsia="Times New Roman" w:hAnsi="Cambria Math" w:cs="Arial"/>
                      <w:sz w:val="22"/>
                      <w:lang w:eastAsia="pt-BR"/>
                    </w:rPr>
                    <m:t>Tcap</m:t>
                  </m:r>
                </m:sub>
              </m:sSub>
            </m:den>
          </m:f>
          <m:r>
            <w:rPr>
              <w:rFonts w:ascii="Cambria Math" w:eastAsia="Times New Roman" w:hAnsi="Cambria Math" w:cs="Arial"/>
              <w:sz w:val="22"/>
              <w:lang w:eastAsia="pt-BR"/>
            </w:rPr>
            <m:t xml:space="preserve"> x 100</m:t>
          </m:r>
        </m:oMath>
      </m:oMathPara>
    </w:p>
    <w:p w:rsidR="00813DDC" w:rsidRPr="00813DDC" w:rsidRDefault="00813DDC" w:rsidP="00813DDC">
      <w:pPr>
        <w:ind w:firstLine="709"/>
        <w:contextualSpacing/>
        <w:jc w:val="both"/>
        <w:rPr>
          <w:rFonts w:cs="Arial"/>
          <w:szCs w:val="24"/>
        </w:rPr>
      </w:pPr>
      <w:r w:rsidRPr="00813DDC">
        <w:rPr>
          <w:rFonts w:cs="Arial"/>
          <w:szCs w:val="24"/>
        </w:rPr>
        <w:t>Em que:</w:t>
      </w:r>
    </w:p>
    <w:p w:rsidR="00813DDC" w:rsidRPr="00813DDC" w:rsidRDefault="00813DDC" w:rsidP="0066661F">
      <w:pPr>
        <w:numPr>
          <w:ilvl w:val="0"/>
          <w:numId w:val="27"/>
        </w:numPr>
        <w:jc w:val="both"/>
        <w:rPr>
          <w:rFonts w:cs="Arial"/>
          <w:i/>
          <w:szCs w:val="24"/>
        </w:rPr>
      </w:pPr>
      <w:r w:rsidRPr="00813DDC">
        <w:rPr>
          <w:rFonts w:cs="Arial"/>
          <w:i/>
          <w:szCs w:val="24"/>
        </w:rPr>
        <w:t>I</w:t>
      </w:r>
      <w:r w:rsidRPr="00813DDC">
        <w:rPr>
          <w:rFonts w:cs="Arial"/>
          <w:i/>
          <w:szCs w:val="24"/>
          <w:vertAlign w:val="subscript"/>
        </w:rPr>
        <w:t>Cap</w:t>
      </w:r>
      <w:r w:rsidRPr="00813DDC">
        <w:rPr>
          <w:rFonts w:cs="Arial"/>
          <w:i/>
          <w:szCs w:val="24"/>
        </w:rPr>
        <w:t xml:space="preserve"> = Índice da área atendida com serviços de capina e roçagem (%)</w:t>
      </w:r>
    </w:p>
    <w:p w:rsidR="00813DDC" w:rsidRPr="00813DDC" w:rsidRDefault="00813DDC" w:rsidP="0066661F">
      <w:pPr>
        <w:numPr>
          <w:ilvl w:val="0"/>
          <w:numId w:val="27"/>
        </w:numPr>
        <w:jc w:val="both"/>
        <w:rPr>
          <w:rFonts w:cs="Arial"/>
          <w:i/>
          <w:szCs w:val="24"/>
        </w:rPr>
      </w:pPr>
      <w:r w:rsidRPr="00813DDC">
        <w:rPr>
          <w:rFonts w:cs="Arial"/>
          <w:i/>
          <w:szCs w:val="24"/>
        </w:rPr>
        <w:t>A</w:t>
      </w:r>
      <w:r w:rsidRPr="00813DDC">
        <w:rPr>
          <w:rFonts w:cs="Arial"/>
          <w:i/>
          <w:szCs w:val="24"/>
          <w:vertAlign w:val="subscript"/>
        </w:rPr>
        <w:t>Cap</w:t>
      </w:r>
      <w:r w:rsidRPr="00813DDC">
        <w:rPr>
          <w:rFonts w:cs="Arial"/>
          <w:i/>
          <w:szCs w:val="24"/>
        </w:rPr>
        <w:t xml:space="preserve"> = Área atendida com o serviço de capina e roçagem (m²).</w:t>
      </w:r>
    </w:p>
    <w:p w:rsidR="00813DDC" w:rsidRPr="00813DDC" w:rsidRDefault="00813DDC" w:rsidP="0066661F">
      <w:pPr>
        <w:numPr>
          <w:ilvl w:val="0"/>
          <w:numId w:val="27"/>
        </w:numPr>
        <w:jc w:val="both"/>
        <w:rPr>
          <w:rFonts w:cs="Arial"/>
          <w:i/>
          <w:szCs w:val="24"/>
        </w:rPr>
      </w:pPr>
      <w:r w:rsidRPr="00813DDC">
        <w:rPr>
          <w:rFonts w:cs="Arial"/>
          <w:i/>
          <w:szCs w:val="24"/>
        </w:rPr>
        <w:t>A</w:t>
      </w:r>
      <w:r w:rsidRPr="00813DDC">
        <w:rPr>
          <w:rFonts w:cs="Arial"/>
          <w:i/>
          <w:szCs w:val="24"/>
          <w:vertAlign w:val="subscript"/>
        </w:rPr>
        <w:t>Tcap</w:t>
      </w:r>
      <w:r w:rsidRPr="00813DDC">
        <w:rPr>
          <w:rFonts w:cs="Arial"/>
          <w:i/>
          <w:szCs w:val="24"/>
        </w:rPr>
        <w:t xml:space="preserve"> = Área total passível de ser atendida pelo serviço de capina e roçagem (m²).</w:t>
      </w:r>
    </w:p>
    <w:p w:rsidR="00813DDC" w:rsidRPr="00813DDC" w:rsidRDefault="00813DDC" w:rsidP="00813DDC">
      <w:pPr>
        <w:ind w:firstLine="709"/>
        <w:contextualSpacing/>
        <w:jc w:val="both"/>
        <w:rPr>
          <w:rFonts w:cs="Arial"/>
          <w:szCs w:val="24"/>
        </w:rPr>
      </w:pPr>
      <w:r w:rsidRPr="00813DDC">
        <w:rPr>
          <w:rFonts w:cs="Arial"/>
          <w:szCs w:val="24"/>
        </w:rPr>
        <w:t>Por meio deste indicador é possível aferir o percentual de áreas atendidas com o serviço em relação ao total de áreas passíveis de serem atendidas. Quanto maior o índice de cobertura desses serviços, melhor.</w:t>
      </w:r>
    </w:p>
    <w:p w:rsidR="00813DDC" w:rsidRPr="00813DDC" w:rsidRDefault="00813DDC" w:rsidP="00BC01B1">
      <w:pPr>
        <w:pStyle w:val="Ttulo4"/>
      </w:pPr>
      <w:bookmarkStart w:id="2661" w:name="_Toc453769408"/>
      <w:bookmarkStart w:id="2662" w:name="_Toc453771275"/>
      <w:bookmarkStart w:id="2663" w:name="_Toc453833823"/>
      <w:bookmarkStart w:id="2664" w:name="_Toc499019100"/>
      <w:bookmarkStart w:id="2665" w:name="_Toc499106833"/>
      <w:bookmarkStart w:id="2666" w:name="_Toc499107153"/>
      <w:bookmarkStart w:id="2667" w:name="_Toc499107973"/>
      <w:bookmarkStart w:id="2668" w:name="_Toc499108810"/>
      <w:bookmarkStart w:id="2669" w:name="_Toc499109635"/>
      <w:bookmarkStart w:id="2670" w:name="_Toc499109801"/>
      <w:bookmarkStart w:id="2671" w:name="_Toc499710007"/>
      <w:bookmarkStart w:id="2672" w:name="_Toc509935730"/>
      <w:r w:rsidRPr="00813DDC">
        <w:t>Índice de prestação de serviços de poda e corte da arborização</w:t>
      </w:r>
      <w:bookmarkEnd w:id="2661"/>
      <w:bookmarkEnd w:id="2662"/>
      <w:bookmarkEnd w:id="2663"/>
      <w:bookmarkEnd w:id="2664"/>
      <w:bookmarkEnd w:id="2665"/>
      <w:bookmarkEnd w:id="2666"/>
      <w:bookmarkEnd w:id="2667"/>
      <w:bookmarkEnd w:id="2668"/>
      <w:bookmarkEnd w:id="2669"/>
      <w:bookmarkEnd w:id="2670"/>
      <w:bookmarkEnd w:id="2671"/>
      <w:bookmarkEnd w:id="2672"/>
    </w:p>
    <w:p w:rsidR="00813DDC" w:rsidRPr="00813DDC" w:rsidRDefault="001B481B" w:rsidP="00813DDC">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poda</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N</m:t>
                  </m:r>
                </m:e>
                <m:sub>
                  <m:r>
                    <w:rPr>
                      <w:rFonts w:ascii="Cambria Math" w:eastAsia="Times New Roman" w:hAnsi="Cambria Math" w:cs="Arial"/>
                      <w:sz w:val="22"/>
                      <w:lang w:eastAsia="pt-BR"/>
                    </w:rPr>
                    <m:t>poda</m:t>
                  </m:r>
                </m:sub>
              </m:sSub>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N</m:t>
                  </m:r>
                </m:e>
                <m:sub>
                  <m:r>
                    <w:rPr>
                      <w:rFonts w:ascii="Cambria Math" w:eastAsia="Times New Roman" w:hAnsi="Cambria Math" w:cs="Arial"/>
                      <w:sz w:val="22"/>
                      <w:lang w:eastAsia="pt-BR"/>
                    </w:rPr>
                    <m:t>pedido</m:t>
                  </m:r>
                </m:sub>
              </m:sSub>
            </m:den>
          </m:f>
          <m:r>
            <w:rPr>
              <w:rFonts w:ascii="Cambria Math" w:eastAsia="Times New Roman" w:hAnsi="Cambria Math" w:cs="Arial"/>
              <w:sz w:val="22"/>
              <w:lang w:eastAsia="pt-BR"/>
            </w:rPr>
            <m:t xml:space="preserve"> x 100</m:t>
          </m:r>
        </m:oMath>
      </m:oMathPara>
    </w:p>
    <w:p w:rsidR="00813DDC" w:rsidRPr="00813DDC" w:rsidRDefault="00813DDC" w:rsidP="00813DDC">
      <w:pPr>
        <w:ind w:firstLine="709"/>
        <w:contextualSpacing/>
        <w:jc w:val="both"/>
        <w:rPr>
          <w:rFonts w:cs="Arial"/>
          <w:szCs w:val="24"/>
        </w:rPr>
      </w:pPr>
      <w:r w:rsidRPr="00813DDC">
        <w:rPr>
          <w:rFonts w:cs="Arial"/>
          <w:szCs w:val="24"/>
        </w:rPr>
        <w:t>Em que:</w:t>
      </w:r>
    </w:p>
    <w:p w:rsidR="00813DDC" w:rsidRPr="00813DDC" w:rsidRDefault="00813DDC" w:rsidP="0066661F">
      <w:pPr>
        <w:numPr>
          <w:ilvl w:val="0"/>
          <w:numId w:val="27"/>
        </w:numPr>
        <w:jc w:val="both"/>
        <w:rPr>
          <w:rFonts w:cs="Arial"/>
          <w:i/>
          <w:szCs w:val="24"/>
        </w:rPr>
      </w:pPr>
      <w:r w:rsidRPr="00813DDC">
        <w:rPr>
          <w:rFonts w:cs="Arial"/>
          <w:i/>
          <w:szCs w:val="24"/>
        </w:rPr>
        <w:t>I</w:t>
      </w:r>
      <w:r w:rsidRPr="00813DDC">
        <w:rPr>
          <w:rFonts w:cs="Arial"/>
          <w:i/>
          <w:szCs w:val="24"/>
          <w:vertAlign w:val="subscript"/>
        </w:rPr>
        <w:t>poda</w:t>
      </w:r>
      <w:r w:rsidRPr="00813DDC">
        <w:rPr>
          <w:rFonts w:cs="Arial"/>
          <w:i/>
          <w:szCs w:val="24"/>
        </w:rPr>
        <w:t xml:space="preserve"> = Índice de prestação de serviços de poda e corte da arborização (%).</w:t>
      </w:r>
    </w:p>
    <w:p w:rsidR="00813DDC" w:rsidRPr="00813DDC" w:rsidRDefault="00813DDC" w:rsidP="0066661F">
      <w:pPr>
        <w:numPr>
          <w:ilvl w:val="0"/>
          <w:numId w:val="27"/>
        </w:numPr>
        <w:jc w:val="both"/>
        <w:rPr>
          <w:rFonts w:cs="Arial"/>
          <w:i/>
          <w:szCs w:val="24"/>
        </w:rPr>
      </w:pPr>
      <w:r w:rsidRPr="00813DDC">
        <w:rPr>
          <w:rFonts w:cs="Arial"/>
          <w:i/>
          <w:szCs w:val="24"/>
        </w:rPr>
        <w:t>N</w:t>
      </w:r>
      <w:r w:rsidRPr="00813DDC">
        <w:rPr>
          <w:rFonts w:cs="Arial"/>
          <w:i/>
          <w:szCs w:val="24"/>
          <w:vertAlign w:val="subscript"/>
        </w:rPr>
        <w:t>poda</w:t>
      </w:r>
      <w:r w:rsidRPr="00813DDC">
        <w:rPr>
          <w:rFonts w:cs="Arial"/>
          <w:i/>
          <w:szCs w:val="24"/>
        </w:rPr>
        <w:t xml:space="preserve"> = Número de serviços de poda e corte da arborização (número de poda e corte).</w:t>
      </w:r>
    </w:p>
    <w:p w:rsidR="00813DDC" w:rsidRPr="00813DDC" w:rsidRDefault="00813DDC" w:rsidP="0066661F">
      <w:pPr>
        <w:numPr>
          <w:ilvl w:val="0"/>
          <w:numId w:val="27"/>
        </w:numPr>
        <w:jc w:val="both"/>
        <w:rPr>
          <w:rFonts w:cs="Arial"/>
          <w:i/>
          <w:szCs w:val="24"/>
        </w:rPr>
      </w:pPr>
      <w:r w:rsidRPr="00813DDC">
        <w:rPr>
          <w:rFonts w:cs="Arial"/>
          <w:i/>
          <w:szCs w:val="24"/>
        </w:rPr>
        <w:t>N</w:t>
      </w:r>
      <w:r w:rsidRPr="00813DDC">
        <w:rPr>
          <w:rFonts w:cs="Arial"/>
          <w:i/>
          <w:szCs w:val="24"/>
          <w:vertAlign w:val="subscript"/>
        </w:rPr>
        <w:t>pedido</w:t>
      </w:r>
      <w:r w:rsidRPr="00813DDC">
        <w:rPr>
          <w:rFonts w:cs="Arial"/>
          <w:i/>
          <w:szCs w:val="24"/>
        </w:rPr>
        <w:t xml:space="preserve"> = Número de pedidos de serviços de poda e corte da arborização (número de poda e corte).</w:t>
      </w:r>
    </w:p>
    <w:p w:rsidR="00813DDC" w:rsidRPr="00813DDC" w:rsidRDefault="00813DDC" w:rsidP="00813DDC">
      <w:pPr>
        <w:ind w:firstLine="709"/>
        <w:contextualSpacing/>
        <w:jc w:val="both"/>
        <w:rPr>
          <w:rFonts w:cs="Arial"/>
          <w:szCs w:val="24"/>
        </w:rPr>
      </w:pPr>
      <w:r w:rsidRPr="00813DDC">
        <w:rPr>
          <w:rFonts w:cs="Arial"/>
          <w:szCs w:val="24"/>
        </w:rPr>
        <w:t>É possível verificar, por meio deste indicador, o percentual de serviços prestados de poda e corte de árvores em relação ao total de pedidos liberados para prestação.</w:t>
      </w:r>
    </w:p>
    <w:p w:rsidR="00813DDC" w:rsidRPr="00813DDC" w:rsidRDefault="00813DDC" w:rsidP="00BC01B1">
      <w:pPr>
        <w:pStyle w:val="Ttulo4"/>
      </w:pPr>
      <w:bookmarkStart w:id="2673" w:name="_Toc453769409"/>
      <w:bookmarkStart w:id="2674" w:name="_Toc453771276"/>
      <w:bookmarkStart w:id="2675" w:name="_Toc453833824"/>
      <w:bookmarkStart w:id="2676" w:name="_Toc499019101"/>
      <w:bookmarkStart w:id="2677" w:name="_Toc499106834"/>
      <w:bookmarkStart w:id="2678" w:name="_Toc499107154"/>
      <w:bookmarkStart w:id="2679" w:name="_Toc499107974"/>
      <w:bookmarkStart w:id="2680" w:name="_Toc499108811"/>
      <w:bookmarkStart w:id="2681" w:name="_Toc499109636"/>
      <w:bookmarkStart w:id="2682" w:name="_Toc499109802"/>
      <w:bookmarkStart w:id="2683" w:name="_Toc499710008"/>
      <w:bookmarkStart w:id="2684" w:name="_Toc509935731"/>
      <w:r w:rsidRPr="00813DDC">
        <w:t>Porcentagem do total de resíduos de poda e capina, roçagem e raspagem que é enviada para a compostagem</w:t>
      </w:r>
      <w:bookmarkEnd w:id="2673"/>
      <w:bookmarkEnd w:id="2674"/>
      <w:bookmarkEnd w:id="2675"/>
      <w:bookmarkEnd w:id="2676"/>
      <w:bookmarkEnd w:id="2677"/>
      <w:bookmarkEnd w:id="2678"/>
      <w:bookmarkEnd w:id="2679"/>
      <w:bookmarkEnd w:id="2680"/>
      <w:bookmarkEnd w:id="2681"/>
      <w:bookmarkEnd w:id="2682"/>
      <w:bookmarkEnd w:id="2683"/>
      <w:bookmarkEnd w:id="2684"/>
    </w:p>
    <w:p w:rsidR="00813DDC" w:rsidRPr="00813DDC" w:rsidRDefault="001B481B" w:rsidP="00813DDC">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PCRR</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M</m:t>
                  </m:r>
                </m:e>
                <m:sub>
                  <m:r>
                    <w:rPr>
                      <w:rFonts w:ascii="Cambria Math" w:eastAsia="Times New Roman" w:hAnsi="Cambria Math" w:cs="Arial"/>
                      <w:sz w:val="22"/>
                      <w:lang w:eastAsia="pt-BR"/>
                    </w:rPr>
                    <m:t>PCRR</m:t>
                  </m:r>
                </m:sub>
              </m:sSub>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M</m:t>
                  </m:r>
                </m:e>
                <m:sub>
                  <m:r>
                    <w:rPr>
                      <w:rFonts w:ascii="Cambria Math" w:eastAsia="Times New Roman" w:hAnsi="Cambria Math" w:cs="Arial"/>
                      <w:sz w:val="22"/>
                      <w:lang w:eastAsia="pt-BR"/>
                    </w:rPr>
                    <m:t>PCRR</m:t>
                  </m:r>
                </m:sub>
              </m:sSub>
              <m:r>
                <w:rPr>
                  <w:rFonts w:ascii="Cambria Math" w:eastAsia="Times New Roman" w:hAnsi="Cambria Math" w:cs="Arial"/>
                  <w:sz w:val="22"/>
                  <w:lang w:eastAsia="pt-BR"/>
                </w:rPr>
                <m:t>+Cs009</m:t>
              </m:r>
            </m:den>
          </m:f>
          <m:r>
            <w:rPr>
              <w:rFonts w:ascii="Cambria Math" w:eastAsia="Times New Roman" w:hAnsi="Cambria Math" w:cs="Arial"/>
              <w:sz w:val="22"/>
              <w:lang w:eastAsia="pt-BR"/>
            </w:rPr>
            <m:t xml:space="preserve"> x 100</m:t>
          </m:r>
        </m:oMath>
      </m:oMathPara>
    </w:p>
    <w:p w:rsidR="00C2108C" w:rsidRDefault="00C2108C" w:rsidP="00813DDC">
      <w:pPr>
        <w:ind w:firstLine="709"/>
        <w:contextualSpacing/>
        <w:jc w:val="both"/>
        <w:rPr>
          <w:rFonts w:cs="Arial"/>
          <w:szCs w:val="24"/>
        </w:rPr>
      </w:pPr>
    </w:p>
    <w:p w:rsidR="00813DDC" w:rsidRPr="00813DDC" w:rsidRDefault="00813DDC" w:rsidP="00813DDC">
      <w:pPr>
        <w:ind w:firstLine="709"/>
        <w:contextualSpacing/>
        <w:jc w:val="both"/>
        <w:rPr>
          <w:rFonts w:cs="Arial"/>
          <w:szCs w:val="24"/>
        </w:rPr>
      </w:pPr>
      <w:r w:rsidRPr="00813DDC">
        <w:rPr>
          <w:rFonts w:cs="Arial"/>
          <w:szCs w:val="24"/>
        </w:rPr>
        <w:lastRenderedPageBreak/>
        <w:t>Em que:</w:t>
      </w:r>
    </w:p>
    <w:p w:rsidR="00813DDC" w:rsidRPr="00813DDC" w:rsidRDefault="00813DDC" w:rsidP="0066661F">
      <w:pPr>
        <w:numPr>
          <w:ilvl w:val="0"/>
          <w:numId w:val="27"/>
        </w:numPr>
        <w:ind w:hanging="357"/>
        <w:jc w:val="both"/>
        <w:rPr>
          <w:rFonts w:eastAsia="Times New Roman" w:cs="Arial"/>
          <w:i/>
          <w:szCs w:val="20"/>
          <w:lang w:eastAsia="pt-BR"/>
        </w:rPr>
      </w:pPr>
      <w:r w:rsidRPr="00813DDC">
        <w:rPr>
          <w:rFonts w:eastAsia="Times New Roman" w:cs="Arial"/>
          <w:i/>
          <w:szCs w:val="20"/>
          <w:lang w:eastAsia="pt-BR"/>
        </w:rPr>
        <w:t>IPCRR = Porcentagem do total de resíduos de poda e capina, roçagem e raspagem que é enviada para compostagem (%).</w:t>
      </w:r>
    </w:p>
    <w:p w:rsidR="00813DDC" w:rsidRPr="00813DDC" w:rsidRDefault="00813DDC" w:rsidP="0066661F">
      <w:pPr>
        <w:numPr>
          <w:ilvl w:val="0"/>
          <w:numId w:val="27"/>
        </w:numPr>
        <w:ind w:hanging="357"/>
        <w:jc w:val="both"/>
        <w:rPr>
          <w:rFonts w:eastAsia="Times New Roman" w:cs="Arial"/>
          <w:i/>
          <w:szCs w:val="20"/>
          <w:lang w:eastAsia="pt-BR"/>
        </w:rPr>
      </w:pPr>
      <w:r w:rsidRPr="00813DDC">
        <w:rPr>
          <w:rFonts w:eastAsia="Times New Roman" w:cs="Arial"/>
          <w:i/>
          <w:szCs w:val="20"/>
          <w:lang w:eastAsia="pt-BR"/>
        </w:rPr>
        <w:t>MPCRR = Quantidade de resíduos de poda e capina, roçagem e raspagem que é enviada para compostagem (t/ano).</w:t>
      </w:r>
    </w:p>
    <w:p w:rsidR="00813DDC" w:rsidRPr="00813DDC" w:rsidRDefault="00813DDC" w:rsidP="0066661F">
      <w:pPr>
        <w:numPr>
          <w:ilvl w:val="0"/>
          <w:numId w:val="27"/>
        </w:numPr>
        <w:ind w:hanging="357"/>
        <w:jc w:val="both"/>
        <w:rPr>
          <w:rFonts w:eastAsia="Times New Roman" w:cs="Arial"/>
          <w:i/>
          <w:szCs w:val="20"/>
          <w:lang w:eastAsia="pt-BR"/>
        </w:rPr>
      </w:pPr>
      <w:r w:rsidRPr="00813DDC">
        <w:rPr>
          <w:rFonts w:eastAsia="Times New Roman" w:cs="Arial"/>
          <w:i/>
          <w:szCs w:val="20"/>
          <w:lang w:eastAsia="pt-BR"/>
        </w:rPr>
        <w:t>Cs009 = Quantidade total de materiais recicláveis recuperados (t/ano).</w:t>
      </w:r>
    </w:p>
    <w:p w:rsidR="00813DDC" w:rsidRPr="00813DDC" w:rsidRDefault="00813DDC" w:rsidP="00813DDC">
      <w:pPr>
        <w:ind w:firstLine="709"/>
        <w:contextualSpacing/>
        <w:jc w:val="both"/>
        <w:rPr>
          <w:rFonts w:cs="Arial"/>
          <w:szCs w:val="24"/>
        </w:rPr>
      </w:pPr>
      <w:r w:rsidRPr="00813DDC">
        <w:t xml:space="preserve">Trata-se de um indicador importante partindo do pressuposto de que esses materiais são compostáveis e não devem ser enviados ao aterro, já que ainda não chegaram ao final da sua vida útil. </w:t>
      </w:r>
      <w:r w:rsidRPr="00813DDC">
        <w:rPr>
          <w:rFonts w:cs="Arial"/>
          <w:szCs w:val="24"/>
        </w:rPr>
        <w:t xml:space="preserve">Dessa maneira, pode-se verificar, do total gerado, qual a porcentagem de materiais de </w:t>
      </w:r>
      <w:r w:rsidRPr="00813DDC">
        <w:t xml:space="preserve">poda e capina, roçagem e raspagem </w:t>
      </w:r>
      <w:r w:rsidRPr="00813DDC">
        <w:rPr>
          <w:rFonts w:cs="Arial"/>
          <w:szCs w:val="24"/>
        </w:rPr>
        <w:t>que são enviados à compostagem.</w:t>
      </w:r>
    </w:p>
    <w:p w:rsidR="00813DDC" w:rsidRPr="00813DDC" w:rsidRDefault="00813DDC" w:rsidP="00BC01B1">
      <w:pPr>
        <w:pStyle w:val="Ttulo4"/>
      </w:pPr>
      <w:bookmarkStart w:id="2685" w:name="_Toc453769410"/>
      <w:bookmarkStart w:id="2686" w:name="_Toc453771277"/>
      <w:bookmarkStart w:id="2687" w:name="_Toc453833825"/>
      <w:bookmarkStart w:id="2688" w:name="_Toc499019102"/>
      <w:bookmarkStart w:id="2689" w:name="_Toc499106835"/>
      <w:bookmarkStart w:id="2690" w:name="_Toc499107155"/>
      <w:bookmarkStart w:id="2691" w:name="_Toc499107975"/>
      <w:bookmarkStart w:id="2692" w:name="_Toc499108812"/>
      <w:bookmarkStart w:id="2693" w:name="_Toc499109637"/>
      <w:bookmarkStart w:id="2694" w:name="_Toc499109803"/>
      <w:bookmarkStart w:id="2695" w:name="_Toc499710009"/>
      <w:bookmarkStart w:id="2696" w:name="_Toc509935732"/>
      <w:r w:rsidRPr="00813DDC">
        <w:t>Volume de resíduos dispostos no aterro (em metros cúbicos)</w:t>
      </w:r>
      <w:bookmarkEnd w:id="2685"/>
      <w:bookmarkEnd w:id="2686"/>
      <w:bookmarkEnd w:id="2687"/>
      <w:bookmarkEnd w:id="2688"/>
      <w:bookmarkEnd w:id="2689"/>
      <w:bookmarkEnd w:id="2690"/>
      <w:bookmarkEnd w:id="2691"/>
      <w:bookmarkEnd w:id="2692"/>
      <w:bookmarkEnd w:id="2693"/>
      <w:bookmarkEnd w:id="2694"/>
      <w:bookmarkEnd w:id="2695"/>
      <w:bookmarkEnd w:id="2696"/>
    </w:p>
    <w:p w:rsidR="00813DDC" w:rsidRPr="00813DDC" w:rsidRDefault="00813DDC" w:rsidP="00813DDC">
      <w:pPr>
        <w:ind w:firstLine="709"/>
        <w:contextualSpacing/>
        <w:jc w:val="both"/>
        <w:rPr>
          <w:lang w:eastAsia="pt-BR"/>
        </w:rPr>
      </w:pPr>
      <w:r w:rsidRPr="00813DDC">
        <w:rPr>
          <w:lang w:eastAsia="pt-BR"/>
        </w:rPr>
        <w:t xml:space="preserve">Para indicar um processo, este parâmetro deve ser acompanhado ao longo do tempo e comparado a ele mesmo em diferentes momentos. A variação deste parâmetro pode indicar se houve ou não redução na geração de resíduos. Caso haja redução do afluxo de resíduos para o aterro, isso pode ser um indicador de que os resíduos que são passíveis de reutilização e/ou reciclagem ou de logística reversa estejam tomando outras rotas que não a do aterro sanitário.  </w:t>
      </w:r>
    </w:p>
    <w:p w:rsidR="00813DDC" w:rsidRPr="00813DDC" w:rsidRDefault="00813DDC" w:rsidP="00BC01B1">
      <w:pPr>
        <w:pStyle w:val="Ttulo3"/>
      </w:pPr>
      <w:bookmarkStart w:id="2697" w:name="_Toc453769411"/>
      <w:bookmarkStart w:id="2698" w:name="_Toc453771278"/>
      <w:bookmarkStart w:id="2699" w:name="_Toc453833826"/>
      <w:bookmarkStart w:id="2700" w:name="_Toc499019103"/>
      <w:bookmarkStart w:id="2701" w:name="_Toc499106836"/>
      <w:bookmarkStart w:id="2702" w:name="_Toc499107156"/>
      <w:bookmarkStart w:id="2703" w:name="_Toc499107976"/>
      <w:bookmarkStart w:id="2704" w:name="_Toc499108813"/>
      <w:bookmarkStart w:id="2705" w:name="_Toc499109638"/>
      <w:bookmarkStart w:id="2706" w:name="_Toc499109804"/>
      <w:bookmarkStart w:id="2707" w:name="_Toc499710010"/>
      <w:bookmarkStart w:id="2708" w:name="_Toc509935733"/>
      <w:r w:rsidRPr="00813DDC">
        <w:t>Indicadores para o objetivo 3</w:t>
      </w:r>
      <w:bookmarkEnd w:id="2697"/>
      <w:bookmarkEnd w:id="2698"/>
      <w:bookmarkEnd w:id="2699"/>
      <w:bookmarkEnd w:id="2700"/>
      <w:bookmarkEnd w:id="2701"/>
      <w:bookmarkEnd w:id="2702"/>
      <w:bookmarkEnd w:id="2703"/>
      <w:bookmarkEnd w:id="2704"/>
      <w:bookmarkEnd w:id="2705"/>
      <w:bookmarkEnd w:id="2706"/>
      <w:bookmarkEnd w:id="2707"/>
      <w:bookmarkEnd w:id="2708"/>
    </w:p>
    <w:p w:rsidR="00813DDC" w:rsidRPr="00813DDC" w:rsidRDefault="00813DDC" w:rsidP="00BC01B1">
      <w:pPr>
        <w:pStyle w:val="Ttulo4"/>
      </w:pPr>
      <w:bookmarkStart w:id="2709" w:name="_Toc453769412"/>
      <w:bookmarkStart w:id="2710" w:name="_Toc453771279"/>
      <w:bookmarkStart w:id="2711" w:name="_Toc453833827"/>
      <w:bookmarkStart w:id="2712" w:name="_Toc499019104"/>
      <w:bookmarkStart w:id="2713" w:name="_Toc499106837"/>
      <w:bookmarkStart w:id="2714" w:name="_Toc499107157"/>
      <w:bookmarkStart w:id="2715" w:name="_Toc499107977"/>
      <w:bookmarkStart w:id="2716" w:name="_Toc499108814"/>
      <w:bookmarkStart w:id="2717" w:name="_Toc499109639"/>
      <w:bookmarkStart w:id="2718" w:name="_Toc499109805"/>
      <w:bookmarkStart w:id="2719" w:name="_Toc499710011"/>
      <w:bookmarkStart w:id="2720" w:name="_Toc509935734"/>
      <w:r w:rsidRPr="00813DDC">
        <w:t>Porcentagem do total de resíduos recicláveis que é disposta em aterro sanitário</w:t>
      </w:r>
      <w:bookmarkEnd w:id="2709"/>
      <w:bookmarkEnd w:id="2710"/>
      <w:bookmarkEnd w:id="2711"/>
      <w:bookmarkEnd w:id="2712"/>
      <w:bookmarkEnd w:id="2713"/>
      <w:bookmarkEnd w:id="2714"/>
      <w:bookmarkEnd w:id="2715"/>
      <w:bookmarkEnd w:id="2716"/>
      <w:bookmarkEnd w:id="2717"/>
      <w:bookmarkEnd w:id="2718"/>
      <w:bookmarkEnd w:id="2719"/>
      <w:bookmarkEnd w:id="2720"/>
    </w:p>
    <w:p w:rsidR="00813DDC" w:rsidRPr="00813DDC" w:rsidRDefault="001B481B" w:rsidP="00813DDC">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RA</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M</m:t>
                  </m:r>
                </m:e>
                <m:sub>
                  <m:r>
                    <w:rPr>
                      <w:rFonts w:ascii="Cambria Math" w:eastAsia="Times New Roman" w:hAnsi="Cambria Math" w:cs="Arial"/>
                      <w:sz w:val="22"/>
                      <w:lang w:eastAsia="pt-BR"/>
                    </w:rPr>
                    <m:t>RA</m:t>
                  </m:r>
                </m:sub>
              </m:sSub>
              <m:r>
                <w:rPr>
                  <w:rFonts w:ascii="Cambria Math" w:eastAsia="Times New Roman" w:hAnsi="Cambria Math" w:cs="Arial"/>
                  <w:sz w:val="22"/>
                  <w:lang w:eastAsia="pt-BR"/>
                </w:rPr>
                <m:t xml:space="preserve"> x 100</m:t>
              </m:r>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M</m:t>
                  </m:r>
                </m:e>
                <m:sub>
                  <m:r>
                    <w:rPr>
                      <w:rFonts w:ascii="Cambria Math" w:eastAsia="Times New Roman" w:hAnsi="Cambria Math" w:cs="Arial"/>
                      <w:sz w:val="22"/>
                      <w:lang w:eastAsia="pt-BR"/>
                    </w:rPr>
                    <m:t>RA</m:t>
                  </m:r>
                </m:sub>
              </m:sSub>
              <m:r>
                <w:rPr>
                  <w:rFonts w:ascii="Cambria Math" w:eastAsia="Times New Roman" w:hAnsi="Cambria Math" w:cs="Arial"/>
                  <w:sz w:val="22"/>
                  <w:lang w:eastAsia="pt-BR"/>
                </w:rPr>
                <m:t>+Cs009</m:t>
              </m:r>
            </m:den>
          </m:f>
        </m:oMath>
      </m:oMathPara>
    </w:p>
    <w:p w:rsidR="00813DDC" w:rsidRPr="00813DDC" w:rsidRDefault="00813DDC" w:rsidP="00813DDC">
      <w:pPr>
        <w:ind w:firstLine="709"/>
        <w:contextualSpacing/>
        <w:jc w:val="both"/>
        <w:rPr>
          <w:rFonts w:eastAsia="Times New Roman" w:cs="Arial"/>
          <w:szCs w:val="20"/>
          <w:lang w:eastAsia="pt-BR"/>
        </w:rPr>
      </w:pPr>
      <w:r w:rsidRPr="00813DDC">
        <w:rPr>
          <w:rFonts w:eastAsia="Times New Roman" w:cs="Arial"/>
          <w:szCs w:val="20"/>
          <w:lang w:eastAsia="pt-BR"/>
        </w:rPr>
        <w:t>Em que:</w:t>
      </w:r>
    </w:p>
    <w:p w:rsidR="00813DDC" w:rsidRPr="00813DDC" w:rsidRDefault="00813DDC" w:rsidP="0066661F">
      <w:pPr>
        <w:numPr>
          <w:ilvl w:val="0"/>
          <w:numId w:val="27"/>
        </w:numPr>
        <w:ind w:hanging="357"/>
        <w:jc w:val="both"/>
        <w:rPr>
          <w:rFonts w:cs="Arial"/>
          <w:i/>
          <w:szCs w:val="24"/>
        </w:rPr>
      </w:pPr>
      <w:r w:rsidRPr="00813DDC">
        <w:rPr>
          <w:rFonts w:cs="Arial"/>
          <w:i/>
          <w:szCs w:val="24"/>
        </w:rPr>
        <w:t>I</w:t>
      </w:r>
      <w:r w:rsidRPr="00813DDC">
        <w:rPr>
          <w:rFonts w:cs="Arial"/>
          <w:i/>
          <w:szCs w:val="24"/>
          <w:vertAlign w:val="subscript"/>
        </w:rPr>
        <w:t xml:space="preserve">RA </w:t>
      </w:r>
      <w:r w:rsidRPr="00813DDC">
        <w:rPr>
          <w:rFonts w:cs="Arial"/>
          <w:i/>
          <w:szCs w:val="24"/>
        </w:rPr>
        <w:t xml:space="preserve">= </w:t>
      </w:r>
      <w:r w:rsidRPr="00813DDC">
        <w:rPr>
          <w:rFonts w:cs="Arial"/>
          <w:i/>
          <w:szCs w:val="24"/>
        </w:rPr>
        <w:tab/>
        <w:t>Porcentagem do total de resíduos recicláveis que é disposta em aterro sanitário (%).</w:t>
      </w:r>
    </w:p>
    <w:p w:rsidR="00813DDC" w:rsidRPr="00813DDC" w:rsidRDefault="00813DDC" w:rsidP="0066661F">
      <w:pPr>
        <w:numPr>
          <w:ilvl w:val="0"/>
          <w:numId w:val="27"/>
        </w:numPr>
        <w:ind w:hanging="357"/>
        <w:jc w:val="both"/>
        <w:rPr>
          <w:rFonts w:cs="Arial"/>
          <w:i/>
          <w:szCs w:val="24"/>
        </w:rPr>
      </w:pPr>
      <w:r w:rsidRPr="00813DDC">
        <w:rPr>
          <w:rFonts w:cs="Arial"/>
          <w:i/>
          <w:szCs w:val="24"/>
        </w:rPr>
        <w:t>M</w:t>
      </w:r>
      <w:r w:rsidRPr="00813DDC">
        <w:rPr>
          <w:rFonts w:cs="Arial"/>
          <w:i/>
          <w:szCs w:val="24"/>
          <w:vertAlign w:val="subscript"/>
        </w:rPr>
        <w:t>RA</w:t>
      </w:r>
      <w:r w:rsidRPr="00813DDC">
        <w:rPr>
          <w:rFonts w:cs="Arial"/>
          <w:i/>
          <w:szCs w:val="24"/>
        </w:rPr>
        <w:t xml:space="preserve"> = Quantidade de materiais recicláveis dispostas em aterro (t/ano).</w:t>
      </w:r>
    </w:p>
    <w:p w:rsidR="00813DDC" w:rsidRPr="00813DDC" w:rsidRDefault="00813DDC" w:rsidP="0066661F">
      <w:pPr>
        <w:numPr>
          <w:ilvl w:val="0"/>
          <w:numId w:val="27"/>
        </w:numPr>
        <w:ind w:hanging="357"/>
        <w:jc w:val="both"/>
        <w:rPr>
          <w:rFonts w:cs="Arial"/>
          <w:i/>
          <w:szCs w:val="24"/>
        </w:rPr>
      </w:pPr>
      <w:r w:rsidRPr="00813DDC">
        <w:rPr>
          <w:rFonts w:cs="Arial"/>
          <w:i/>
          <w:szCs w:val="24"/>
        </w:rPr>
        <w:t>Cs009 = Quantidade total de materiais recicláveis recuperados, exceto matéria orgânica e rejeito (t/ano).</w:t>
      </w:r>
    </w:p>
    <w:p w:rsidR="00813DDC" w:rsidRPr="00813DDC" w:rsidRDefault="00813DDC" w:rsidP="00813DDC">
      <w:pPr>
        <w:ind w:firstLine="709"/>
        <w:contextualSpacing/>
        <w:jc w:val="both"/>
        <w:rPr>
          <w:rFonts w:eastAsia="Times New Roman" w:cs="Arial"/>
          <w:szCs w:val="20"/>
          <w:lang w:eastAsia="pt-BR"/>
        </w:rPr>
      </w:pPr>
      <w:r w:rsidRPr="00813DDC">
        <w:rPr>
          <w:rFonts w:eastAsia="Times New Roman" w:cs="Arial"/>
          <w:szCs w:val="20"/>
          <w:lang w:eastAsia="pt-BR"/>
        </w:rPr>
        <w:lastRenderedPageBreak/>
        <w:t>O indicador permite verificar as quantidades de resíduos recicláveis que não são reaproveitados, sendo dispostos em aterro sanitário.</w:t>
      </w:r>
    </w:p>
    <w:p w:rsidR="00813DDC" w:rsidRPr="00813DDC" w:rsidRDefault="00813DDC" w:rsidP="00813DDC">
      <w:pPr>
        <w:ind w:firstLine="709"/>
        <w:contextualSpacing/>
        <w:jc w:val="both"/>
        <w:rPr>
          <w:rFonts w:eastAsia="Times New Roman" w:cs="Arial"/>
          <w:szCs w:val="20"/>
          <w:lang w:eastAsia="pt-BR"/>
        </w:rPr>
      </w:pPr>
      <w:r w:rsidRPr="00813DDC">
        <w:rPr>
          <w:rFonts w:eastAsia="Times New Roman" w:cs="Arial"/>
          <w:szCs w:val="20"/>
          <w:lang w:eastAsia="pt-BR"/>
        </w:rPr>
        <w:t>Para a realização do acompanhamento da situação em relação a esse indicador é necessário, inicialmente, realizar a análise gravimétrica dos resíduos que são enviados ao aterro, a fim de se estimar as quantidades de cada tipo de resíduo a ser disposto, incluindo os recicláveis. Esse indicador deve ser levantado a cada quatro anos, no máximo.</w:t>
      </w:r>
    </w:p>
    <w:p w:rsidR="00813DDC" w:rsidRPr="00813DDC" w:rsidRDefault="00813DDC" w:rsidP="00BC01B1">
      <w:pPr>
        <w:pStyle w:val="Ttulo4"/>
      </w:pPr>
      <w:bookmarkStart w:id="2721" w:name="_Toc453769413"/>
      <w:bookmarkStart w:id="2722" w:name="_Toc453771280"/>
      <w:bookmarkStart w:id="2723" w:name="_Toc453833828"/>
      <w:bookmarkStart w:id="2724" w:name="_Toc499019105"/>
      <w:bookmarkStart w:id="2725" w:name="_Toc499106838"/>
      <w:bookmarkStart w:id="2726" w:name="_Toc499107158"/>
      <w:bookmarkStart w:id="2727" w:name="_Toc499107978"/>
      <w:bookmarkStart w:id="2728" w:name="_Toc499108815"/>
      <w:bookmarkStart w:id="2729" w:name="_Toc499109640"/>
      <w:bookmarkStart w:id="2730" w:name="_Toc499109806"/>
      <w:bookmarkStart w:id="2731" w:name="_Toc499710012"/>
      <w:bookmarkStart w:id="2732" w:name="_Toc509935735"/>
      <w:r w:rsidRPr="00813DDC">
        <w:t>Porcentagem de resíduos compostáveis presentes entre os resíduos sólidos dispostos em aterro sanitário</w:t>
      </w:r>
      <w:bookmarkEnd w:id="2721"/>
      <w:bookmarkEnd w:id="2722"/>
      <w:bookmarkEnd w:id="2723"/>
      <w:bookmarkEnd w:id="2724"/>
      <w:bookmarkEnd w:id="2725"/>
      <w:bookmarkEnd w:id="2726"/>
      <w:bookmarkEnd w:id="2727"/>
      <w:bookmarkEnd w:id="2728"/>
      <w:bookmarkEnd w:id="2729"/>
      <w:bookmarkEnd w:id="2730"/>
      <w:bookmarkEnd w:id="2731"/>
      <w:bookmarkEnd w:id="2732"/>
    </w:p>
    <w:p w:rsidR="00813DDC" w:rsidRPr="00813DDC" w:rsidRDefault="001B481B" w:rsidP="00813DDC">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CA</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M</m:t>
                  </m:r>
                </m:e>
                <m:sub>
                  <m:r>
                    <w:rPr>
                      <w:rFonts w:ascii="Cambria Math" w:eastAsia="Times New Roman" w:hAnsi="Cambria Math" w:cs="Arial"/>
                      <w:sz w:val="22"/>
                      <w:lang w:eastAsia="pt-BR"/>
                    </w:rPr>
                    <m:t>CA</m:t>
                  </m:r>
                </m:sub>
              </m:sSub>
              <m:r>
                <w:rPr>
                  <w:rFonts w:ascii="Cambria Math" w:eastAsia="Times New Roman" w:hAnsi="Cambria Math" w:cs="Arial"/>
                  <w:sz w:val="22"/>
                  <w:lang w:eastAsia="pt-BR"/>
                </w:rPr>
                <m:t xml:space="preserve"> x 100</m:t>
              </m:r>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M</m:t>
                  </m:r>
                </m:e>
                <m:sub>
                  <m:r>
                    <w:rPr>
                      <w:rFonts w:ascii="Cambria Math" w:eastAsia="Times New Roman" w:hAnsi="Cambria Math" w:cs="Arial"/>
                      <w:sz w:val="22"/>
                      <w:lang w:eastAsia="pt-BR"/>
                    </w:rPr>
                    <m:t>CA</m:t>
                  </m:r>
                </m:sub>
              </m:sSub>
              <m:r>
                <w:rPr>
                  <w:rFonts w:ascii="Cambria Math" w:eastAsia="Times New Roman" w:hAnsi="Cambria Math" w:cs="Arial"/>
                  <w:sz w:val="22"/>
                  <w:lang w:eastAsia="pt-BR"/>
                </w:rPr>
                <m:t>+Cs009</m:t>
              </m:r>
            </m:den>
          </m:f>
        </m:oMath>
      </m:oMathPara>
    </w:p>
    <w:p w:rsidR="00813DDC" w:rsidRPr="00813DDC" w:rsidRDefault="00813DDC" w:rsidP="00813DDC">
      <w:pPr>
        <w:ind w:firstLine="709"/>
        <w:contextualSpacing/>
        <w:rPr>
          <w:rFonts w:eastAsia="Times New Roman" w:cs="Arial"/>
          <w:szCs w:val="20"/>
          <w:lang w:eastAsia="pt-BR"/>
        </w:rPr>
      </w:pPr>
      <w:r w:rsidRPr="00813DDC">
        <w:rPr>
          <w:rFonts w:eastAsia="Times New Roman" w:cs="Arial"/>
          <w:szCs w:val="20"/>
          <w:lang w:eastAsia="pt-BR"/>
        </w:rPr>
        <w:t>Em que:</w:t>
      </w:r>
    </w:p>
    <w:p w:rsidR="00813DDC" w:rsidRPr="00813DDC" w:rsidRDefault="00813DDC" w:rsidP="0066661F">
      <w:pPr>
        <w:numPr>
          <w:ilvl w:val="0"/>
          <w:numId w:val="27"/>
        </w:numPr>
        <w:ind w:hanging="357"/>
        <w:jc w:val="both"/>
        <w:rPr>
          <w:rFonts w:cs="Arial"/>
          <w:i/>
          <w:szCs w:val="24"/>
        </w:rPr>
      </w:pPr>
      <w:r w:rsidRPr="00813DDC">
        <w:rPr>
          <w:rFonts w:cs="Arial"/>
          <w:i/>
          <w:szCs w:val="24"/>
        </w:rPr>
        <w:t>I</w:t>
      </w:r>
      <w:r w:rsidRPr="00813DDC">
        <w:rPr>
          <w:rFonts w:cs="Arial"/>
          <w:i/>
          <w:szCs w:val="24"/>
          <w:vertAlign w:val="subscript"/>
        </w:rPr>
        <w:t>CA</w:t>
      </w:r>
      <w:r w:rsidRPr="00813DDC">
        <w:rPr>
          <w:rFonts w:cs="Arial"/>
          <w:i/>
          <w:szCs w:val="24"/>
        </w:rPr>
        <w:t xml:space="preserve"> =</w:t>
      </w:r>
      <w:r w:rsidRPr="00813DDC">
        <w:rPr>
          <w:rFonts w:cs="Arial"/>
          <w:i/>
          <w:szCs w:val="24"/>
        </w:rPr>
        <w:tab/>
        <w:t xml:space="preserve"> Porcentagem do total de resíduos orgânicos que é disposta em aterro sanitário (%).</w:t>
      </w:r>
    </w:p>
    <w:p w:rsidR="00813DDC" w:rsidRPr="00813DDC" w:rsidRDefault="00813DDC" w:rsidP="0066661F">
      <w:pPr>
        <w:numPr>
          <w:ilvl w:val="0"/>
          <w:numId w:val="27"/>
        </w:numPr>
        <w:ind w:hanging="357"/>
        <w:jc w:val="both"/>
        <w:rPr>
          <w:rFonts w:cs="Arial"/>
          <w:i/>
          <w:szCs w:val="24"/>
        </w:rPr>
      </w:pPr>
      <w:r w:rsidRPr="00813DDC">
        <w:rPr>
          <w:rFonts w:cs="Arial"/>
          <w:i/>
          <w:szCs w:val="24"/>
        </w:rPr>
        <w:t>M</w:t>
      </w:r>
      <w:r w:rsidRPr="00813DDC">
        <w:rPr>
          <w:rFonts w:cs="Arial"/>
          <w:i/>
          <w:szCs w:val="24"/>
          <w:vertAlign w:val="subscript"/>
        </w:rPr>
        <w:t>CA</w:t>
      </w:r>
      <w:r w:rsidRPr="00813DDC">
        <w:rPr>
          <w:rFonts w:cs="Arial"/>
          <w:i/>
          <w:szCs w:val="24"/>
        </w:rPr>
        <w:t xml:space="preserve"> = Quantidade de materiais orgânicos dispostas em aterro (t/ano).</w:t>
      </w:r>
    </w:p>
    <w:p w:rsidR="00813DDC" w:rsidRPr="00813DDC" w:rsidRDefault="00813DDC" w:rsidP="0066661F">
      <w:pPr>
        <w:numPr>
          <w:ilvl w:val="0"/>
          <w:numId w:val="27"/>
        </w:numPr>
        <w:ind w:hanging="357"/>
        <w:jc w:val="both"/>
        <w:rPr>
          <w:rFonts w:cs="Arial"/>
          <w:i/>
          <w:szCs w:val="24"/>
        </w:rPr>
      </w:pPr>
      <w:r w:rsidRPr="00813DDC">
        <w:rPr>
          <w:rFonts w:cs="Arial"/>
          <w:i/>
          <w:szCs w:val="24"/>
        </w:rPr>
        <w:t>Cs009 = Quantidade total de materiais recicláveis recuperados, exceto matéria orgânica e rejeito (t/ano).</w:t>
      </w:r>
    </w:p>
    <w:p w:rsidR="00813DDC" w:rsidRPr="00813DDC" w:rsidRDefault="00813DDC" w:rsidP="00813DDC">
      <w:pPr>
        <w:ind w:firstLine="709"/>
        <w:contextualSpacing/>
        <w:jc w:val="both"/>
        <w:rPr>
          <w:rFonts w:eastAsia="Times New Roman" w:cs="Arial"/>
          <w:szCs w:val="20"/>
          <w:lang w:eastAsia="pt-BR"/>
        </w:rPr>
      </w:pPr>
      <w:r w:rsidRPr="00813DDC">
        <w:rPr>
          <w:rFonts w:eastAsia="Times New Roman" w:cs="Arial"/>
          <w:szCs w:val="20"/>
          <w:lang w:eastAsia="pt-BR"/>
        </w:rPr>
        <w:t>Da mesma forma que realizada para o indicador anteriormente apresentado, é proposto um indicador que permita verificar as quantidades de resíduos orgânicos que não são reaproveitados, sendo dispostos em aterro sanitário como se fossem rejeitos.</w:t>
      </w:r>
    </w:p>
    <w:p w:rsidR="00813DDC" w:rsidRPr="00813DDC" w:rsidRDefault="00813DDC" w:rsidP="00813DDC">
      <w:pPr>
        <w:ind w:firstLine="709"/>
        <w:contextualSpacing/>
        <w:jc w:val="both"/>
        <w:rPr>
          <w:rFonts w:eastAsia="Times New Roman" w:cs="Arial"/>
          <w:szCs w:val="20"/>
          <w:lang w:eastAsia="pt-BR"/>
        </w:rPr>
      </w:pPr>
      <w:r w:rsidRPr="00813DDC">
        <w:rPr>
          <w:rFonts w:eastAsia="Times New Roman" w:cs="Arial"/>
          <w:szCs w:val="20"/>
          <w:lang w:eastAsia="pt-BR"/>
        </w:rPr>
        <w:t>É necessário realizar o estudo da composição gravimétrica dos resíduos que são enviados ao aterro, a fim de saber as quantidades de cada tipo de resíduo a ser disposto, incluindo os orgânicos.</w:t>
      </w:r>
    </w:p>
    <w:p w:rsidR="00813DDC" w:rsidRPr="00813DDC" w:rsidRDefault="00813DDC" w:rsidP="00BC01B1">
      <w:pPr>
        <w:pStyle w:val="Ttulo4"/>
      </w:pPr>
      <w:bookmarkStart w:id="2733" w:name="_Toc453769414"/>
      <w:bookmarkStart w:id="2734" w:name="_Toc453771281"/>
      <w:bookmarkStart w:id="2735" w:name="_Toc453833829"/>
      <w:bookmarkStart w:id="2736" w:name="_Toc499019106"/>
      <w:bookmarkStart w:id="2737" w:name="_Toc499106839"/>
      <w:bookmarkStart w:id="2738" w:name="_Toc499107159"/>
      <w:bookmarkStart w:id="2739" w:name="_Toc499107979"/>
      <w:bookmarkStart w:id="2740" w:name="_Toc499108816"/>
      <w:bookmarkStart w:id="2741" w:name="_Toc499109641"/>
      <w:bookmarkStart w:id="2742" w:name="_Toc499109807"/>
      <w:bookmarkStart w:id="2743" w:name="_Toc499710013"/>
      <w:bookmarkStart w:id="2744" w:name="_Toc509935736"/>
      <w:r w:rsidRPr="00813DDC">
        <w:t>Índice de comercialização de materiais recicláveis</w:t>
      </w:r>
      <w:bookmarkEnd w:id="2733"/>
      <w:bookmarkEnd w:id="2734"/>
      <w:bookmarkEnd w:id="2735"/>
      <w:bookmarkEnd w:id="2736"/>
      <w:bookmarkEnd w:id="2737"/>
      <w:bookmarkEnd w:id="2738"/>
      <w:bookmarkEnd w:id="2739"/>
      <w:bookmarkEnd w:id="2740"/>
      <w:bookmarkEnd w:id="2741"/>
      <w:bookmarkEnd w:id="2742"/>
      <w:bookmarkEnd w:id="2743"/>
      <w:bookmarkEnd w:id="2744"/>
    </w:p>
    <w:p w:rsidR="00813DDC" w:rsidRPr="00813DDC" w:rsidRDefault="001B481B" w:rsidP="00813DDC">
      <w:pPr>
        <w:jc w:val="center"/>
        <w:rPr>
          <w:rFonts w:ascii="Cambria Math" w:eastAsia="Times New Roman" w:hAnsi="Cambria Math" w:cs="Arial"/>
          <w:i/>
          <w:sz w:val="22"/>
          <w:lang w:val="en-US"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CMR</m:t>
              </m:r>
            </m:sub>
          </m:sSub>
          <m:r>
            <w:rPr>
              <w:rFonts w:ascii="Cambria Math" w:eastAsia="Times New Roman" w:hAnsi="Cambria Math" w:cs="Arial"/>
              <w:sz w:val="22"/>
              <w:lang w:val="en-US"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M</m:t>
                  </m:r>
                </m:e>
                <m:sub>
                  <m:r>
                    <w:rPr>
                      <w:rFonts w:ascii="Cambria Math" w:eastAsia="Times New Roman" w:hAnsi="Cambria Math" w:cs="Arial"/>
                      <w:sz w:val="22"/>
                      <w:lang w:eastAsia="pt-BR"/>
                    </w:rPr>
                    <m:t>RC</m:t>
                  </m:r>
                </m:sub>
              </m:sSub>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M</m:t>
                  </m:r>
                </m:e>
                <m:sub>
                  <m:r>
                    <w:rPr>
                      <w:rFonts w:ascii="Cambria Math" w:eastAsia="Times New Roman" w:hAnsi="Cambria Math" w:cs="Arial"/>
                      <w:sz w:val="22"/>
                      <w:lang w:eastAsia="pt-BR"/>
                    </w:rPr>
                    <m:t>RR</m:t>
                  </m:r>
                </m:sub>
              </m:sSub>
            </m:den>
          </m:f>
          <m:r>
            <w:rPr>
              <w:rFonts w:ascii="Cambria Math" w:eastAsia="Times New Roman" w:hAnsi="Cambria Math" w:cs="Arial"/>
              <w:sz w:val="22"/>
              <w:lang w:val="en-US" w:eastAsia="pt-BR"/>
            </w:rPr>
            <m:t xml:space="preserve"> </m:t>
          </m:r>
          <m:r>
            <w:rPr>
              <w:rFonts w:ascii="Cambria Math" w:eastAsia="Times New Roman" w:hAnsi="Cambria Math" w:cs="Arial"/>
              <w:sz w:val="22"/>
              <w:lang w:eastAsia="pt-BR"/>
            </w:rPr>
            <m:t>x</m:t>
          </m:r>
          <m:r>
            <w:rPr>
              <w:rFonts w:ascii="Cambria Math" w:eastAsia="Times New Roman" w:hAnsi="Cambria Math" w:cs="Arial"/>
              <w:sz w:val="22"/>
              <w:lang w:val="en-US" w:eastAsia="pt-BR"/>
            </w:rPr>
            <m:t xml:space="preserve"> 100</m:t>
          </m:r>
        </m:oMath>
      </m:oMathPara>
    </w:p>
    <w:p w:rsidR="00813DDC" w:rsidRPr="00813DDC" w:rsidRDefault="00813DDC" w:rsidP="00813DDC">
      <w:pPr>
        <w:ind w:firstLine="708"/>
        <w:contextualSpacing/>
        <w:rPr>
          <w:rFonts w:eastAsia="Times New Roman" w:cs="Arial"/>
          <w:szCs w:val="20"/>
          <w:lang w:eastAsia="pt-BR"/>
        </w:rPr>
      </w:pPr>
      <w:r w:rsidRPr="00813DDC">
        <w:rPr>
          <w:rFonts w:eastAsia="Times New Roman" w:cs="Arial"/>
          <w:szCs w:val="20"/>
          <w:lang w:eastAsia="pt-BR"/>
        </w:rPr>
        <w:t>Em que:</w:t>
      </w:r>
    </w:p>
    <w:p w:rsidR="00813DDC" w:rsidRPr="00813DDC" w:rsidRDefault="00813DDC" w:rsidP="0066661F">
      <w:pPr>
        <w:numPr>
          <w:ilvl w:val="0"/>
          <w:numId w:val="27"/>
        </w:numPr>
        <w:ind w:hanging="357"/>
        <w:jc w:val="both"/>
        <w:rPr>
          <w:rFonts w:cs="Arial"/>
          <w:i/>
          <w:szCs w:val="24"/>
        </w:rPr>
      </w:pPr>
      <w:r w:rsidRPr="00813DDC">
        <w:rPr>
          <w:rFonts w:cs="Arial"/>
          <w:i/>
          <w:szCs w:val="24"/>
        </w:rPr>
        <w:t>I</w:t>
      </w:r>
      <w:r w:rsidRPr="00813DDC">
        <w:rPr>
          <w:rFonts w:cs="Arial"/>
          <w:i/>
          <w:szCs w:val="24"/>
          <w:vertAlign w:val="subscript"/>
        </w:rPr>
        <w:t>CMR</w:t>
      </w:r>
      <w:r w:rsidRPr="00813DDC">
        <w:rPr>
          <w:rFonts w:cs="Arial"/>
          <w:i/>
          <w:szCs w:val="24"/>
        </w:rPr>
        <w:t xml:space="preserve"> = Índice de comercialização de materiais recicláveis (%). </w:t>
      </w:r>
    </w:p>
    <w:p w:rsidR="00813DDC" w:rsidRPr="00813DDC" w:rsidRDefault="00813DDC" w:rsidP="0066661F">
      <w:pPr>
        <w:numPr>
          <w:ilvl w:val="0"/>
          <w:numId w:val="27"/>
        </w:numPr>
        <w:ind w:hanging="357"/>
        <w:jc w:val="both"/>
        <w:rPr>
          <w:rFonts w:cs="Arial"/>
          <w:i/>
          <w:szCs w:val="24"/>
        </w:rPr>
      </w:pPr>
      <w:r w:rsidRPr="00813DDC">
        <w:rPr>
          <w:rFonts w:cs="Arial"/>
          <w:i/>
          <w:szCs w:val="24"/>
        </w:rPr>
        <w:t>M</w:t>
      </w:r>
      <w:r w:rsidRPr="00813DDC">
        <w:rPr>
          <w:rFonts w:cs="Arial"/>
          <w:i/>
          <w:szCs w:val="24"/>
          <w:vertAlign w:val="subscript"/>
        </w:rPr>
        <w:t>RC</w:t>
      </w:r>
      <w:r w:rsidRPr="00813DDC">
        <w:rPr>
          <w:rFonts w:cs="Arial"/>
          <w:i/>
          <w:szCs w:val="24"/>
        </w:rPr>
        <w:t xml:space="preserve"> = quantidade de material reciclável comercializado (kg).</w:t>
      </w:r>
    </w:p>
    <w:p w:rsidR="00813DDC" w:rsidRPr="00813DDC" w:rsidRDefault="00813DDC" w:rsidP="0066661F">
      <w:pPr>
        <w:numPr>
          <w:ilvl w:val="0"/>
          <w:numId w:val="27"/>
        </w:numPr>
        <w:ind w:hanging="357"/>
        <w:jc w:val="both"/>
        <w:rPr>
          <w:rFonts w:cs="Arial"/>
          <w:i/>
          <w:szCs w:val="24"/>
        </w:rPr>
      </w:pPr>
      <w:r w:rsidRPr="00813DDC">
        <w:rPr>
          <w:rFonts w:cs="Arial"/>
          <w:i/>
          <w:szCs w:val="24"/>
        </w:rPr>
        <w:t>M</w:t>
      </w:r>
      <w:r w:rsidRPr="00813DDC">
        <w:rPr>
          <w:rFonts w:cs="Arial"/>
          <w:i/>
          <w:szCs w:val="24"/>
          <w:vertAlign w:val="subscript"/>
        </w:rPr>
        <w:t>RR</w:t>
      </w:r>
      <w:r w:rsidRPr="00813DDC">
        <w:rPr>
          <w:rFonts w:cs="Arial"/>
          <w:i/>
          <w:szCs w:val="24"/>
        </w:rPr>
        <w:t xml:space="preserve"> = quantidade total de resíduos recicláveis recuperados (kg).</w:t>
      </w:r>
    </w:p>
    <w:p w:rsidR="00813DDC" w:rsidRPr="00813DDC" w:rsidRDefault="00813DDC" w:rsidP="00813DDC">
      <w:pPr>
        <w:ind w:firstLine="709"/>
        <w:contextualSpacing/>
        <w:jc w:val="both"/>
        <w:rPr>
          <w:rFonts w:eastAsia="Times New Roman" w:cs="Arial"/>
          <w:szCs w:val="20"/>
          <w:lang w:eastAsia="pt-BR"/>
        </w:rPr>
      </w:pPr>
      <w:r w:rsidRPr="00813DDC">
        <w:rPr>
          <w:rFonts w:eastAsia="Times New Roman" w:cs="Arial"/>
          <w:szCs w:val="20"/>
          <w:lang w:eastAsia="pt-BR"/>
        </w:rPr>
        <w:lastRenderedPageBreak/>
        <w:t>Sugere-se um indicador para obter a quantidade de material reciclável que é comercializado e, portanto, reinserido na cadeia produtiva, em relação ao total de resíduos coletados.</w:t>
      </w:r>
    </w:p>
    <w:p w:rsidR="00813DDC" w:rsidRPr="00813DDC" w:rsidRDefault="00813DDC" w:rsidP="00813DDC">
      <w:pPr>
        <w:ind w:firstLine="709"/>
        <w:contextualSpacing/>
        <w:jc w:val="both"/>
        <w:rPr>
          <w:rFonts w:eastAsia="Times New Roman" w:cs="Arial"/>
          <w:szCs w:val="20"/>
          <w:lang w:eastAsia="pt-BR"/>
        </w:rPr>
      </w:pPr>
      <w:r w:rsidRPr="00813DDC">
        <w:rPr>
          <w:rFonts w:eastAsia="Times New Roman" w:cs="Arial"/>
          <w:szCs w:val="20"/>
          <w:lang w:eastAsia="pt-BR"/>
        </w:rPr>
        <w:t>Quanto menor o índice, menos materiais recicláveis gerados no município são efetivamente comercializados e, portanto, maior o potencial ainda inexplorado de reinserção dos resíduos e de geração de renda. Essa, por sua vez, pode ser revertida em novos projetos de coleta seletiva e reciclagem, além de incentivar programas sociais existentes, que trabalham ativamente com associação de catadores. Assim, configura-se um círculo virtuoso, em que a melhoria no índice de comercialização dos materiais recicláveis gera mais investimentos nos projetos relacionados à reciclagem e à coleta seletiva.</w:t>
      </w:r>
    </w:p>
    <w:p w:rsidR="00813DDC" w:rsidRPr="00813DDC" w:rsidRDefault="00813DDC" w:rsidP="00BC01B1">
      <w:pPr>
        <w:pStyle w:val="Ttulo3"/>
      </w:pPr>
      <w:bookmarkStart w:id="2745" w:name="_Toc453769415"/>
      <w:bookmarkStart w:id="2746" w:name="_Toc453771282"/>
      <w:bookmarkStart w:id="2747" w:name="_Toc453833830"/>
      <w:bookmarkStart w:id="2748" w:name="_Toc499019107"/>
      <w:bookmarkStart w:id="2749" w:name="_Toc499106840"/>
      <w:bookmarkStart w:id="2750" w:name="_Toc499107160"/>
      <w:bookmarkStart w:id="2751" w:name="_Toc499107980"/>
      <w:bookmarkStart w:id="2752" w:name="_Toc499108817"/>
      <w:bookmarkStart w:id="2753" w:name="_Toc499109642"/>
      <w:bookmarkStart w:id="2754" w:name="_Toc499109808"/>
      <w:bookmarkStart w:id="2755" w:name="_Toc499710014"/>
      <w:bookmarkStart w:id="2756" w:name="_Toc509935737"/>
      <w:r w:rsidRPr="00813DDC">
        <w:t>Indicadores para o objetivo 4</w:t>
      </w:r>
      <w:bookmarkEnd w:id="2745"/>
      <w:bookmarkEnd w:id="2746"/>
      <w:bookmarkEnd w:id="2747"/>
      <w:bookmarkEnd w:id="2748"/>
      <w:bookmarkEnd w:id="2749"/>
      <w:bookmarkEnd w:id="2750"/>
      <w:bookmarkEnd w:id="2751"/>
      <w:bookmarkEnd w:id="2752"/>
      <w:bookmarkEnd w:id="2753"/>
      <w:bookmarkEnd w:id="2754"/>
      <w:bookmarkEnd w:id="2755"/>
      <w:bookmarkEnd w:id="2756"/>
    </w:p>
    <w:p w:rsidR="00813DDC" w:rsidRPr="00813DDC" w:rsidRDefault="00813DDC" w:rsidP="00BC01B1">
      <w:pPr>
        <w:pStyle w:val="Ttulo4"/>
      </w:pPr>
      <w:bookmarkStart w:id="2757" w:name="_Toc453769416"/>
      <w:bookmarkStart w:id="2758" w:name="_Toc453771283"/>
      <w:bookmarkStart w:id="2759" w:name="_Toc453833831"/>
      <w:bookmarkStart w:id="2760" w:name="_Toc499019108"/>
      <w:bookmarkStart w:id="2761" w:name="_Toc499106841"/>
      <w:bookmarkStart w:id="2762" w:name="_Toc499107161"/>
      <w:bookmarkStart w:id="2763" w:name="_Toc499107981"/>
      <w:bookmarkStart w:id="2764" w:name="_Toc499108818"/>
      <w:bookmarkStart w:id="2765" w:name="_Toc499109643"/>
      <w:bookmarkStart w:id="2766" w:name="_Toc499109809"/>
      <w:bookmarkStart w:id="2767" w:name="_Toc499710015"/>
      <w:bookmarkStart w:id="2768" w:name="_Toc509935738"/>
      <w:r w:rsidRPr="00813DDC">
        <w:t>Autossuficiência financeira da prefeitura com o manejo de resíduos sólidos urbanos</w:t>
      </w:r>
      <w:bookmarkEnd w:id="2757"/>
      <w:bookmarkEnd w:id="2758"/>
      <w:bookmarkEnd w:id="2759"/>
      <w:bookmarkEnd w:id="2760"/>
      <w:bookmarkEnd w:id="2761"/>
      <w:bookmarkEnd w:id="2762"/>
      <w:bookmarkEnd w:id="2763"/>
      <w:bookmarkEnd w:id="2764"/>
      <w:bookmarkEnd w:id="2765"/>
      <w:bookmarkEnd w:id="2766"/>
      <w:bookmarkEnd w:id="2767"/>
      <w:bookmarkEnd w:id="2768"/>
    </w:p>
    <w:p w:rsidR="00813DDC" w:rsidRPr="00813DDC" w:rsidRDefault="00813DDC" w:rsidP="00813DDC">
      <w:pPr>
        <w:jc w:val="center"/>
        <w:rPr>
          <w:rFonts w:ascii="Cambria Math" w:eastAsia="Times New Roman" w:hAnsi="Cambria Math" w:cs="Arial"/>
          <w:i/>
          <w:sz w:val="22"/>
          <w:highlight w:val="yellow"/>
          <w:lang w:eastAsia="pt-BR"/>
        </w:rPr>
      </w:pPr>
      <m:oMathPara>
        <m:oMath>
          <m:r>
            <w:rPr>
              <w:rFonts w:ascii="Cambria Math" w:eastAsia="Times New Roman" w:hAnsi="Cambria Math" w:cs="Arial"/>
              <w:sz w:val="22"/>
              <w:lang w:eastAsia="pt-BR"/>
            </w:rPr>
            <m:t>IN005=</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FN222</m:t>
              </m:r>
            </m:num>
            <m:den>
              <m:r>
                <w:rPr>
                  <w:rFonts w:ascii="Cambria Math" w:eastAsia="Times New Roman" w:hAnsi="Cambria Math" w:cs="Arial"/>
                  <w:sz w:val="22"/>
                  <w:lang w:eastAsia="pt-BR"/>
                </w:rPr>
                <m:t>(FN218+FN219)</m:t>
              </m:r>
            </m:den>
          </m:f>
          <m:r>
            <w:rPr>
              <w:rFonts w:ascii="Cambria Math" w:eastAsia="Times New Roman" w:hAnsi="Cambria Math" w:cs="Arial"/>
              <w:sz w:val="22"/>
              <w:lang w:eastAsia="pt-BR"/>
            </w:rPr>
            <m:t xml:space="preserve"> x 100</m:t>
          </m:r>
        </m:oMath>
      </m:oMathPara>
    </w:p>
    <w:p w:rsidR="00813DDC" w:rsidRPr="00813DDC" w:rsidRDefault="00813DDC" w:rsidP="00813DDC">
      <w:pPr>
        <w:ind w:firstLine="709"/>
        <w:contextualSpacing/>
        <w:rPr>
          <w:rFonts w:eastAsia="Times New Roman" w:cs="Arial"/>
          <w:szCs w:val="20"/>
          <w:lang w:eastAsia="pt-BR"/>
        </w:rPr>
      </w:pPr>
      <w:r w:rsidRPr="00813DDC">
        <w:rPr>
          <w:rFonts w:eastAsia="Times New Roman" w:cs="Arial"/>
          <w:szCs w:val="20"/>
          <w:lang w:eastAsia="pt-BR"/>
        </w:rPr>
        <w:t>Em que:</w:t>
      </w:r>
    </w:p>
    <w:p w:rsidR="00813DDC" w:rsidRPr="00813DDC" w:rsidRDefault="00813DDC" w:rsidP="0066661F">
      <w:pPr>
        <w:numPr>
          <w:ilvl w:val="0"/>
          <w:numId w:val="27"/>
        </w:numPr>
        <w:ind w:hanging="357"/>
        <w:jc w:val="both"/>
        <w:rPr>
          <w:rFonts w:cs="Arial"/>
          <w:i/>
          <w:szCs w:val="24"/>
        </w:rPr>
      </w:pPr>
      <w:r w:rsidRPr="00813DDC">
        <w:rPr>
          <w:rFonts w:cs="Arial"/>
          <w:i/>
          <w:szCs w:val="24"/>
        </w:rPr>
        <w:t>I005 = Autossuficiência financeira da prefeitura com o manejo de resíduos sólidos urbanos (%).</w:t>
      </w:r>
    </w:p>
    <w:p w:rsidR="00813DDC" w:rsidRPr="00813DDC" w:rsidRDefault="00813DDC" w:rsidP="0066661F">
      <w:pPr>
        <w:numPr>
          <w:ilvl w:val="0"/>
          <w:numId w:val="27"/>
        </w:numPr>
        <w:ind w:hanging="357"/>
        <w:jc w:val="both"/>
        <w:rPr>
          <w:rFonts w:cs="Arial"/>
          <w:i/>
          <w:szCs w:val="24"/>
        </w:rPr>
      </w:pPr>
      <w:r w:rsidRPr="00813DDC">
        <w:rPr>
          <w:rFonts w:cs="Arial"/>
          <w:i/>
          <w:szCs w:val="24"/>
        </w:rPr>
        <w:t>FN222 = Receita arrecadada com serviços de limpeza urbana (R$/ano).</w:t>
      </w:r>
    </w:p>
    <w:p w:rsidR="00813DDC" w:rsidRPr="00813DDC" w:rsidRDefault="00813DDC" w:rsidP="0066661F">
      <w:pPr>
        <w:numPr>
          <w:ilvl w:val="0"/>
          <w:numId w:val="27"/>
        </w:numPr>
        <w:ind w:hanging="357"/>
        <w:jc w:val="both"/>
        <w:rPr>
          <w:rFonts w:cs="Arial"/>
          <w:i/>
          <w:szCs w:val="24"/>
        </w:rPr>
      </w:pPr>
      <w:r w:rsidRPr="00813DDC">
        <w:rPr>
          <w:rFonts w:cs="Arial"/>
          <w:i/>
          <w:szCs w:val="24"/>
        </w:rPr>
        <w:t>FN218 = Despesas com serviços de limpeza urbana, segundo o agente executor público (R$/ano).</w:t>
      </w:r>
    </w:p>
    <w:p w:rsidR="00813DDC" w:rsidRPr="00813DDC" w:rsidRDefault="00813DDC" w:rsidP="0066661F">
      <w:pPr>
        <w:numPr>
          <w:ilvl w:val="0"/>
          <w:numId w:val="27"/>
        </w:numPr>
        <w:ind w:hanging="357"/>
        <w:jc w:val="both"/>
        <w:rPr>
          <w:rFonts w:cs="Arial"/>
          <w:i/>
          <w:szCs w:val="24"/>
        </w:rPr>
      </w:pPr>
      <w:r w:rsidRPr="00813DDC">
        <w:rPr>
          <w:rFonts w:cs="Arial"/>
          <w:i/>
          <w:szCs w:val="24"/>
        </w:rPr>
        <w:t>FN219 = Despesas com serviços de limpeza urbana, segundo o agente executor privado (R$/ano).</w:t>
      </w:r>
    </w:p>
    <w:p w:rsidR="00813DDC" w:rsidRPr="00813DDC" w:rsidRDefault="00813DDC" w:rsidP="00813DDC">
      <w:pPr>
        <w:ind w:firstLine="709"/>
        <w:contextualSpacing/>
        <w:jc w:val="both"/>
        <w:rPr>
          <w:rFonts w:eastAsia="Times New Roman" w:cs="Arial"/>
          <w:szCs w:val="20"/>
          <w:lang w:eastAsia="pt-BR"/>
        </w:rPr>
      </w:pPr>
      <w:r w:rsidRPr="00813DDC">
        <w:rPr>
          <w:rFonts w:eastAsia="Times New Roman" w:cs="Arial"/>
          <w:szCs w:val="20"/>
          <w:lang w:eastAsia="pt-BR"/>
        </w:rPr>
        <w:t>Sugere-se, para o monitoramento, um índice proposto pelo SNIS (2010) que relaciona as receitas obtidas com os serviços de manejo de resíduos sólidos com as despesas da prefeitura para a execução desses serviços (exceto investimentos). Ressalta-se que, no caso de um município apresentar receita superior às despesas, o valor do índice será superior a 100 % (ideal). Por outro lado, caso as despesas extrapolem as receitas, obter-se-á um valor inferior a 100 %.</w:t>
      </w:r>
    </w:p>
    <w:p w:rsidR="00813DDC" w:rsidRPr="00813DDC" w:rsidRDefault="00813DDC" w:rsidP="00813DDC">
      <w:pPr>
        <w:ind w:firstLine="709"/>
        <w:contextualSpacing/>
        <w:jc w:val="both"/>
        <w:rPr>
          <w:rFonts w:eastAsia="Times New Roman" w:cs="Arial"/>
          <w:szCs w:val="20"/>
          <w:lang w:eastAsia="pt-BR"/>
        </w:rPr>
      </w:pPr>
    </w:p>
    <w:p w:rsidR="00813DDC" w:rsidRPr="00813DDC" w:rsidRDefault="00813DDC" w:rsidP="00BC01B1">
      <w:pPr>
        <w:pStyle w:val="Ttulo4"/>
      </w:pPr>
      <w:bookmarkStart w:id="2769" w:name="_Toc453769417"/>
      <w:bookmarkStart w:id="2770" w:name="_Toc453771284"/>
      <w:bookmarkStart w:id="2771" w:name="_Toc453833832"/>
      <w:bookmarkStart w:id="2772" w:name="_Toc499019109"/>
      <w:bookmarkStart w:id="2773" w:name="_Toc499106842"/>
      <w:bookmarkStart w:id="2774" w:name="_Toc499107162"/>
      <w:bookmarkStart w:id="2775" w:name="_Toc499107982"/>
      <w:bookmarkStart w:id="2776" w:name="_Toc499108819"/>
      <w:bookmarkStart w:id="2777" w:name="_Toc499109644"/>
      <w:bookmarkStart w:id="2778" w:name="_Toc499109810"/>
      <w:bookmarkStart w:id="2779" w:name="_Toc499710016"/>
      <w:bookmarkStart w:id="2780" w:name="_Toc509935739"/>
      <w:r w:rsidRPr="00813DDC">
        <w:lastRenderedPageBreak/>
        <w:t>Custo unitário médio do serviço de manejo de resíduos sólidos urbanos</w:t>
      </w:r>
      <w:bookmarkEnd w:id="2769"/>
      <w:bookmarkEnd w:id="2770"/>
      <w:bookmarkEnd w:id="2771"/>
      <w:bookmarkEnd w:id="2772"/>
      <w:bookmarkEnd w:id="2773"/>
      <w:bookmarkEnd w:id="2774"/>
      <w:bookmarkEnd w:id="2775"/>
      <w:bookmarkEnd w:id="2776"/>
      <w:bookmarkEnd w:id="2777"/>
      <w:bookmarkEnd w:id="2778"/>
      <w:bookmarkEnd w:id="2779"/>
      <w:bookmarkEnd w:id="2780"/>
    </w:p>
    <w:p w:rsidR="00813DDC" w:rsidRPr="00813DDC" w:rsidRDefault="001B481B" w:rsidP="00813DDC">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CUM</m:t>
              </m:r>
            </m:e>
            <m:sub>
              <m:r>
                <w:rPr>
                  <w:rFonts w:ascii="Cambria Math" w:eastAsia="Times New Roman" w:hAnsi="Cambria Math" w:cs="Arial"/>
                  <w:sz w:val="22"/>
                  <w:lang w:eastAsia="pt-BR"/>
                </w:rPr>
                <m:t>MRSU</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D</m:t>
              </m:r>
            </m:num>
            <m:den>
              <m:r>
                <w:rPr>
                  <w:rFonts w:ascii="Cambria Math" w:eastAsia="Times New Roman" w:hAnsi="Cambria Math" w:cs="Arial"/>
                  <w:sz w:val="22"/>
                  <w:lang w:eastAsia="pt-BR"/>
                </w:rPr>
                <m:t>QRC</m:t>
              </m:r>
            </m:den>
          </m:f>
        </m:oMath>
      </m:oMathPara>
    </w:p>
    <w:p w:rsidR="00813DDC" w:rsidRPr="00813DDC" w:rsidRDefault="00813DDC" w:rsidP="00813DDC">
      <w:pPr>
        <w:rPr>
          <w:rFonts w:cs="Arial"/>
          <w:szCs w:val="24"/>
        </w:rPr>
      </w:pPr>
      <w:r w:rsidRPr="00813DDC">
        <w:rPr>
          <w:rFonts w:cs="Arial"/>
          <w:szCs w:val="24"/>
        </w:rPr>
        <w:tab/>
        <w:t>Em que:</w:t>
      </w:r>
    </w:p>
    <w:p w:rsidR="00813DDC" w:rsidRPr="00813DDC" w:rsidRDefault="00813DDC" w:rsidP="0066661F">
      <w:pPr>
        <w:numPr>
          <w:ilvl w:val="0"/>
          <w:numId w:val="27"/>
        </w:numPr>
        <w:jc w:val="both"/>
        <w:rPr>
          <w:rFonts w:cs="Arial"/>
          <w:i/>
          <w:szCs w:val="24"/>
        </w:rPr>
      </w:pPr>
      <w:r w:rsidRPr="00813DDC">
        <w:rPr>
          <w:rFonts w:cs="Arial"/>
          <w:i/>
          <w:szCs w:val="24"/>
        </w:rPr>
        <w:t>CUM</w:t>
      </w:r>
      <w:r w:rsidRPr="00813DDC">
        <w:rPr>
          <w:rFonts w:cs="Arial"/>
          <w:i/>
          <w:szCs w:val="24"/>
          <w:vertAlign w:val="subscript"/>
        </w:rPr>
        <w:t>MRSU</w:t>
      </w:r>
      <w:r w:rsidRPr="00813DDC">
        <w:rPr>
          <w:rFonts w:cs="Arial"/>
          <w:i/>
          <w:szCs w:val="24"/>
        </w:rPr>
        <w:t xml:space="preserve"> = Custo unitário médio do serviço de manejo de RSU (R$/t).</w:t>
      </w:r>
    </w:p>
    <w:p w:rsidR="00813DDC" w:rsidRPr="00813DDC" w:rsidRDefault="00813DDC" w:rsidP="0066661F">
      <w:pPr>
        <w:numPr>
          <w:ilvl w:val="0"/>
          <w:numId w:val="27"/>
        </w:numPr>
        <w:jc w:val="both"/>
        <w:rPr>
          <w:rFonts w:cs="Arial"/>
          <w:i/>
          <w:szCs w:val="24"/>
        </w:rPr>
      </w:pPr>
      <w:r w:rsidRPr="00813DDC">
        <w:rPr>
          <w:rFonts w:cs="Arial"/>
          <w:i/>
          <w:szCs w:val="24"/>
        </w:rPr>
        <w:t>D = Despesas (R$/ano).</w:t>
      </w:r>
    </w:p>
    <w:p w:rsidR="00813DDC" w:rsidRPr="00813DDC" w:rsidRDefault="00813DDC" w:rsidP="0066661F">
      <w:pPr>
        <w:numPr>
          <w:ilvl w:val="0"/>
          <w:numId w:val="27"/>
        </w:numPr>
        <w:jc w:val="both"/>
        <w:rPr>
          <w:rFonts w:cs="Arial"/>
          <w:i/>
          <w:szCs w:val="24"/>
        </w:rPr>
      </w:pPr>
      <w:r w:rsidRPr="00813DDC">
        <w:rPr>
          <w:rFonts w:cs="Arial"/>
          <w:i/>
          <w:szCs w:val="24"/>
        </w:rPr>
        <w:t>QRC = Quantidade de resíduos coletados no município (t/ano).</w:t>
      </w:r>
    </w:p>
    <w:p w:rsidR="00813DDC" w:rsidRPr="00813DDC" w:rsidRDefault="00813DDC" w:rsidP="00813DDC">
      <w:pPr>
        <w:ind w:firstLine="851"/>
        <w:jc w:val="both"/>
        <w:rPr>
          <w:rFonts w:cs="Arial"/>
          <w:szCs w:val="24"/>
        </w:rPr>
      </w:pPr>
      <w:r w:rsidRPr="00813DDC">
        <w:rPr>
          <w:rFonts w:cs="Arial"/>
          <w:szCs w:val="24"/>
        </w:rPr>
        <w:t>O indicador, adaptado do SNIS, é utilizado para avaliação do Sistema de Manejo de Resíduos Sólidos Urbanos como um todo, englobando os gastos com os setores administrativo e operacional, sendo esse último representado por todas as suas etapas desde a coleta até a disposição final. O indicador é calculado pela razão entre as despesas relacionadas ao setor e a quantidade de resíduos coletados no município.</w:t>
      </w:r>
    </w:p>
    <w:p w:rsidR="00813DDC" w:rsidRPr="00813DDC" w:rsidRDefault="00813DDC" w:rsidP="00813DDC">
      <w:pPr>
        <w:ind w:firstLine="851"/>
        <w:jc w:val="both"/>
        <w:rPr>
          <w:rFonts w:cs="Arial"/>
          <w:szCs w:val="24"/>
        </w:rPr>
      </w:pPr>
      <w:r w:rsidRPr="00813DDC">
        <w:rPr>
          <w:rFonts w:cs="Arial"/>
          <w:szCs w:val="24"/>
        </w:rPr>
        <w:t>Pode-se optar por lançar mão desse indicador para verificar a evolução do custo de manejo de resíduos sólidos urbanos ao longo do tempo. Caso seja observado um aumento fora do esperado em seu valor, devem-se averiguar as possíveis causas disso.</w:t>
      </w:r>
    </w:p>
    <w:p w:rsidR="00813DDC" w:rsidRPr="00813DDC" w:rsidRDefault="00813DDC" w:rsidP="00BC01B1">
      <w:pPr>
        <w:pStyle w:val="Ttulo4"/>
      </w:pPr>
      <w:bookmarkStart w:id="2781" w:name="_Toc453769418"/>
      <w:bookmarkStart w:id="2782" w:name="_Toc453771285"/>
      <w:bookmarkStart w:id="2783" w:name="_Toc453833833"/>
      <w:bookmarkStart w:id="2784" w:name="_Toc499019110"/>
      <w:bookmarkStart w:id="2785" w:name="_Toc499106843"/>
      <w:bookmarkStart w:id="2786" w:name="_Toc499107163"/>
      <w:bookmarkStart w:id="2787" w:name="_Toc499107983"/>
      <w:bookmarkStart w:id="2788" w:name="_Toc499108820"/>
      <w:bookmarkStart w:id="2789" w:name="_Toc499109645"/>
      <w:bookmarkStart w:id="2790" w:name="_Toc499109811"/>
      <w:bookmarkStart w:id="2791" w:name="_Toc499710017"/>
      <w:bookmarkStart w:id="2792" w:name="_Toc509935740"/>
      <w:r w:rsidRPr="00813DDC">
        <w:t>Porcentagem de grandes geradores que utilizam o serviço de coleta convencional de resíduos</w:t>
      </w:r>
      <w:bookmarkEnd w:id="2781"/>
      <w:bookmarkEnd w:id="2782"/>
      <w:bookmarkEnd w:id="2783"/>
      <w:bookmarkEnd w:id="2784"/>
      <w:bookmarkEnd w:id="2785"/>
      <w:bookmarkEnd w:id="2786"/>
      <w:bookmarkEnd w:id="2787"/>
      <w:bookmarkEnd w:id="2788"/>
      <w:bookmarkEnd w:id="2789"/>
      <w:bookmarkEnd w:id="2790"/>
      <w:bookmarkEnd w:id="2791"/>
      <w:bookmarkEnd w:id="2792"/>
    </w:p>
    <w:p w:rsidR="00813DDC" w:rsidRPr="00813DDC" w:rsidRDefault="001B481B" w:rsidP="00813DDC">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GG</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GG</m:t>
                  </m:r>
                </m:e>
                <m:sub>
                  <m:r>
                    <w:rPr>
                      <w:rFonts w:ascii="Cambria Math" w:eastAsia="Times New Roman" w:hAnsi="Cambria Math" w:cs="Arial"/>
                      <w:sz w:val="22"/>
                      <w:lang w:eastAsia="pt-BR"/>
                    </w:rPr>
                    <m:t>CR</m:t>
                  </m:r>
                </m:sub>
              </m:sSub>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GG</m:t>
                  </m:r>
                </m:e>
                <m:sub>
                  <m:r>
                    <w:rPr>
                      <w:rFonts w:ascii="Cambria Math" w:eastAsia="Times New Roman" w:hAnsi="Cambria Math" w:cs="Arial"/>
                      <w:sz w:val="22"/>
                      <w:lang w:eastAsia="pt-BR"/>
                    </w:rPr>
                    <m:t>T</m:t>
                  </m:r>
                </m:sub>
              </m:sSub>
            </m:den>
          </m:f>
          <m:r>
            <w:rPr>
              <w:rFonts w:ascii="Cambria Math" w:eastAsia="Times New Roman" w:hAnsi="Cambria Math" w:cs="Arial"/>
              <w:sz w:val="22"/>
              <w:lang w:eastAsia="pt-BR"/>
            </w:rPr>
            <m:t xml:space="preserve"> X 100</m:t>
          </m:r>
        </m:oMath>
      </m:oMathPara>
    </w:p>
    <w:p w:rsidR="00813DDC" w:rsidRPr="00813DDC" w:rsidRDefault="00813DDC" w:rsidP="00813DDC">
      <w:r w:rsidRPr="00813DDC">
        <w:tab/>
        <w:t>Em que:</w:t>
      </w:r>
    </w:p>
    <w:p w:rsidR="00813DDC" w:rsidRPr="00813DDC" w:rsidRDefault="00813DDC" w:rsidP="0066661F">
      <w:pPr>
        <w:numPr>
          <w:ilvl w:val="0"/>
          <w:numId w:val="27"/>
        </w:numPr>
        <w:jc w:val="both"/>
        <w:rPr>
          <w:rFonts w:cs="Arial"/>
          <w:i/>
          <w:szCs w:val="24"/>
        </w:rPr>
      </w:pPr>
      <w:r w:rsidRPr="00813DDC">
        <w:rPr>
          <w:rFonts w:cs="Arial"/>
          <w:i/>
          <w:szCs w:val="24"/>
        </w:rPr>
        <w:t>I</w:t>
      </w:r>
      <w:r w:rsidRPr="00813DDC">
        <w:rPr>
          <w:rFonts w:cs="Arial"/>
          <w:i/>
          <w:szCs w:val="24"/>
          <w:vertAlign w:val="subscript"/>
        </w:rPr>
        <w:t>GG</w:t>
      </w:r>
      <w:r w:rsidRPr="00813DDC">
        <w:rPr>
          <w:rFonts w:cs="Arial"/>
          <w:i/>
          <w:szCs w:val="24"/>
        </w:rPr>
        <w:t xml:space="preserve"> = Porcentagem de grandes geradores que utilizam o serviço de coleta convencional de resíduos (%).</w:t>
      </w:r>
    </w:p>
    <w:p w:rsidR="00813DDC" w:rsidRPr="00813DDC" w:rsidRDefault="00813DDC" w:rsidP="0066661F">
      <w:pPr>
        <w:numPr>
          <w:ilvl w:val="0"/>
          <w:numId w:val="27"/>
        </w:numPr>
        <w:jc w:val="both"/>
        <w:rPr>
          <w:rFonts w:cs="Arial"/>
          <w:i/>
          <w:szCs w:val="24"/>
        </w:rPr>
      </w:pPr>
      <w:r w:rsidRPr="00813DDC">
        <w:rPr>
          <w:rFonts w:cs="Arial"/>
          <w:i/>
          <w:szCs w:val="24"/>
        </w:rPr>
        <w:t>GG</w:t>
      </w:r>
      <w:r w:rsidRPr="00813DDC">
        <w:rPr>
          <w:rFonts w:cs="Arial"/>
          <w:i/>
          <w:szCs w:val="24"/>
          <w:vertAlign w:val="subscript"/>
        </w:rPr>
        <w:t>CR</w:t>
      </w:r>
      <w:r w:rsidRPr="00813DDC">
        <w:rPr>
          <w:rFonts w:cs="Arial"/>
          <w:i/>
          <w:szCs w:val="24"/>
        </w:rPr>
        <w:t xml:space="preserve"> = Número de grandes geradores que utilizam o serviço de coleta convencional de resíduos.</w:t>
      </w:r>
    </w:p>
    <w:p w:rsidR="00813DDC" w:rsidRPr="00813DDC" w:rsidRDefault="00813DDC" w:rsidP="0066661F">
      <w:pPr>
        <w:numPr>
          <w:ilvl w:val="0"/>
          <w:numId w:val="27"/>
        </w:numPr>
        <w:jc w:val="both"/>
        <w:rPr>
          <w:rFonts w:cs="Arial"/>
          <w:i/>
          <w:szCs w:val="24"/>
        </w:rPr>
      </w:pPr>
      <w:r w:rsidRPr="00813DDC">
        <w:rPr>
          <w:rFonts w:cs="Arial"/>
          <w:i/>
          <w:szCs w:val="24"/>
        </w:rPr>
        <w:t>GG</w:t>
      </w:r>
      <w:r w:rsidRPr="00813DDC">
        <w:rPr>
          <w:rFonts w:cs="Arial"/>
          <w:i/>
          <w:szCs w:val="24"/>
          <w:vertAlign w:val="subscript"/>
        </w:rPr>
        <w:t>T</w:t>
      </w:r>
      <w:r w:rsidRPr="00813DDC">
        <w:rPr>
          <w:rFonts w:cs="Arial"/>
          <w:i/>
          <w:szCs w:val="24"/>
        </w:rPr>
        <w:t xml:space="preserve"> = Número total de grandes geradores de resíduos no município.</w:t>
      </w:r>
    </w:p>
    <w:p w:rsidR="00813DDC" w:rsidRPr="00813DDC" w:rsidRDefault="00813DDC" w:rsidP="00813DDC">
      <w:pPr>
        <w:ind w:firstLine="851"/>
        <w:jc w:val="both"/>
        <w:rPr>
          <w:rFonts w:cs="Arial"/>
          <w:szCs w:val="24"/>
        </w:rPr>
      </w:pPr>
      <w:r w:rsidRPr="00813DDC">
        <w:rPr>
          <w:rFonts w:cs="Arial"/>
          <w:szCs w:val="24"/>
        </w:rPr>
        <w:t>Pode-se considerar pequeno gerador o estabelecimento que gera até 100 L (cem litros) ou 50 kg (cinquenta quilogramas) de resíduos sólidos por dia, e grande gerador aquele que gera quantidades superiores a esses limites.</w:t>
      </w:r>
    </w:p>
    <w:p w:rsidR="00813DDC" w:rsidRPr="00813DDC" w:rsidRDefault="00813DDC" w:rsidP="00813DDC">
      <w:pPr>
        <w:ind w:firstLine="851"/>
        <w:jc w:val="both"/>
        <w:rPr>
          <w:rFonts w:cs="Arial"/>
          <w:szCs w:val="24"/>
        </w:rPr>
      </w:pPr>
      <w:r w:rsidRPr="00813DDC">
        <w:rPr>
          <w:rFonts w:cs="Arial"/>
          <w:szCs w:val="24"/>
        </w:rPr>
        <w:t xml:space="preserve">De forma geral, na maioria dos municípios brasileiros, os resíduos comerciais e de prestadores de serviço com volumes de até 100L ou 50kg são coletados juntamente </w:t>
      </w:r>
      <w:r w:rsidRPr="00813DDC">
        <w:rPr>
          <w:rFonts w:cs="Arial"/>
          <w:szCs w:val="24"/>
        </w:rPr>
        <w:lastRenderedPageBreak/>
        <w:t>com os resíduos domiciliares. Com relação aos resíduos com volumes superiores a 100 L ou 50 kg, esses deveriam ser transportados pelos próprios geradores até o aterro sanitário, devendo os mesmos pagar pela destinação final. Sendo assim, é importante verificar se, em Córrego Novo, os grandes geradores estão providenciando a destinação de seus resíduos ou se a coleta regular os recolhe e dispõe no local adequado, sendo esse acompanhamento possível por meio do indicador proposto.</w:t>
      </w:r>
    </w:p>
    <w:p w:rsidR="00813DDC" w:rsidRPr="00813DDC" w:rsidRDefault="00813DDC" w:rsidP="00BC01B1">
      <w:pPr>
        <w:pStyle w:val="Ttulo4"/>
      </w:pPr>
      <w:bookmarkStart w:id="2793" w:name="_Toc453769419"/>
      <w:bookmarkStart w:id="2794" w:name="_Toc453771286"/>
      <w:bookmarkStart w:id="2795" w:name="_Toc453833834"/>
      <w:bookmarkStart w:id="2796" w:name="_Toc499019111"/>
      <w:bookmarkStart w:id="2797" w:name="_Toc499106844"/>
      <w:bookmarkStart w:id="2798" w:name="_Toc499107164"/>
      <w:bookmarkStart w:id="2799" w:name="_Toc499107984"/>
      <w:bookmarkStart w:id="2800" w:name="_Toc499108821"/>
      <w:bookmarkStart w:id="2801" w:name="_Toc499109646"/>
      <w:bookmarkStart w:id="2802" w:name="_Toc499109812"/>
      <w:bookmarkStart w:id="2803" w:name="_Toc499710018"/>
      <w:bookmarkStart w:id="2804" w:name="_Toc509935741"/>
      <w:r w:rsidRPr="00813DDC">
        <w:t>Existência de mapa atualizado da rota de movimentação de resíduos sólidos urbanos</w:t>
      </w:r>
      <w:bookmarkEnd w:id="2793"/>
      <w:bookmarkEnd w:id="2794"/>
      <w:bookmarkEnd w:id="2795"/>
      <w:bookmarkEnd w:id="2796"/>
      <w:bookmarkEnd w:id="2797"/>
      <w:bookmarkEnd w:id="2798"/>
      <w:bookmarkEnd w:id="2799"/>
      <w:bookmarkEnd w:id="2800"/>
      <w:bookmarkEnd w:id="2801"/>
      <w:bookmarkEnd w:id="2802"/>
      <w:bookmarkEnd w:id="2803"/>
      <w:bookmarkEnd w:id="2804"/>
    </w:p>
    <w:p w:rsidR="00813DDC" w:rsidRPr="00813DDC" w:rsidRDefault="00813DDC" w:rsidP="00813DDC">
      <w:pPr>
        <w:ind w:firstLine="851"/>
        <w:jc w:val="both"/>
        <w:rPr>
          <w:rFonts w:cs="Arial"/>
          <w:szCs w:val="24"/>
        </w:rPr>
      </w:pPr>
      <w:r w:rsidRPr="00813DDC">
        <w:rPr>
          <w:rFonts w:cs="Arial"/>
          <w:szCs w:val="24"/>
        </w:rPr>
        <w:t>O indicador possui caráter qualitativo, sendo desnecessária a apresentação de fórmula para sua obtenção. Assim, a forma de obtenção das informações necessárias à sua avaliação e acompanhamento, encontra-se no</w:t>
      </w:r>
      <w:r w:rsidRPr="00813DDC">
        <w:t xml:space="preserve"> </w:t>
      </w:r>
      <w:r w:rsidR="00B119E3">
        <w:fldChar w:fldCharType="begin"/>
      </w:r>
      <w:r w:rsidR="00B119E3">
        <w:instrText xml:space="preserve"> REF _Ref505841904 \h </w:instrText>
      </w:r>
      <w:r w:rsidR="00B119E3">
        <w:fldChar w:fldCharType="separate"/>
      </w:r>
      <w:r w:rsidR="001B481B">
        <w:t xml:space="preserve">Anexo </w:t>
      </w:r>
      <w:r w:rsidR="001B481B">
        <w:rPr>
          <w:noProof/>
        </w:rPr>
        <w:t>7</w:t>
      </w:r>
      <w:r w:rsidR="00B119E3">
        <w:fldChar w:fldCharType="end"/>
      </w:r>
      <w:r w:rsidRPr="00813DDC">
        <w:rPr>
          <w:rFonts w:cs="Arial"/>
          <w:szCs w:val="24"/>
        </w:rPr>
        <w:t>.</w:t>
      </w:r>
    </w:p>
    <w:p w:rsidR="00813DDC" w:rsidRPr="00813DDC" w:rsidRDefault="00813DDC" w:rsidP="00BC01B1">
      <w:pPr>
        <w:pStyle w:val="Ttulo4"/>
      </w:pPr>
      <w:bookmarkStart w:id="2805" w:name="_Toc453769420"/>
      <w:bookmarkStart w:id="2806" w:name="_Toc453771287"/>
      <w:bookmarkStart w:id="2807" w:name="_Toc453833835"/>
      <w:bookmarkStart w:id="2808" w:name="_Toc499019112"/>
      <w:bookmarkStart w:id="2809" w:name="_Toc499106845"/>
      <w:bookmarkStart w:id="2810" w:name="_Toc499107165"/>
      <w:bookmarkStart w:id="2811" w:name="_Toc499107985"/>
      <w:bookmarkStart w:id="2812" w:name="_Toc499108822"/>
      <w:bookmarkStart w:id="2813" w:name="_Toc499109647"/>
      <w:bookmarkStart w:id="2814" w:name="_Toc499109813"/>
      <w:bookmarkStart w:id="2815" w:name="_Toc499710019"/>
      <w:bookmarkStart w:id="2816" w:name="_Toc509935742"/>
      <w:r w:rsidRPr="00813DDC">
        <w:t>Existência de mecanismos econômicos para remuneração e cobrança dos serviços prestados e incentivo econômico à reciclagem</w:t>
      </w:r>
      <w:bookmarkEnd w:id="2805"/>
      <w:bookmarkEnd w:id="2806"/>
      <w:bookmarkEnd w:id="2807"/>
      <w:bookmarkEnd w:id="2808"/>
      <w:bookmarkEnd w:id="2809"/>
      <w:bookmarkEnd w:id="2810"/>
      <w:bookmarkEnd w:id="2811"/>
      <w:bookmarkEnd w:id="2812"/>
      <w:bookmarkEnd w:id="2813"/>
      <w:bookmarkEnd w:id="2814"/>
      <w:bookmarkEnd w:id="2815"/>
      <w:bookmarkEnd w:id="2816"/>
    </w:p>
    <w:p w:rsidR="00813DDC" w:rsidRPr="00813DDC" w:rsidRDefault="00813DDC" w:rsidP="00813DDC">
      <w:pPr>
        <w:ind w:firstLine="851"/>
        <w:jc w:val="both"/>
        <w:rPr>
          <w:rFonts w:cs="Arial"/>
          <w:szCs w:val="24"/>
        </w:rPr>
      </w:pPr>
      <w:r w:rsidRPr="00813DDC">
        <w:rPr>
          <w:rFonts w:cs="Arial"/>
          <w:szCs w:val="24"/>
        </w:rPr>
        <w:t>O indicador possui caráter qualitativo, sendo desnecessária a apresentação de fórmula para sua obtenção. Assim, a forma de obtenção das informações necessárias à sua avaliação e acompanhamento, encontra-se no</w:t>
      </w:r>
      <w:r w:rsidRPr="00813DDC">
        <w:t xml:space="preserve"> </w:t>
      </w:r>
      <w:r w:rsidR="00B119E3">
        <w:fldChar w:fldCharType="begin"/>
      </w:r>
      <w:r w:rsidR="00B119E3">
        <w:instrText xml:space="preserve"> REF _Ref505841904 \h </w:instrText>
      </w:r>
      <w:r w:rsidR="00B119E3">
        <w:fldChar w:fldCharType="separate"/>
      </w:r>
      <w:r w:rsidR="001B481B">
        <w:t xml:space="preserve">Anexo </w:t>
      </w:r>
      <w:r w:rsidR="001B481B">
        <w:rPr>
          <w:noProof/>
        </w:rPr>
        <w:t>7</w:t>
      </w:r>
      <w:r w:rsidR="00B119E3">
        <w:fldChar w:fldCharType="end"/>
      </w:r>
      <w:r w:rsidRPr="00813DDC">
        <w:rPr>
          <w:rFonts w:cs="Arial"/>
          <w:szCs w:val="24"/>
        </w:rPr>
        <w:t>.</w:t>
      </w:r>
    </w:p>
    <w:p w:rsidR="00813DDC" w:rsidRPr="00813DDC" w:rsidRDefault="00813DDC" w:rsidP="00BC01B1">
      <w:pPr>
        <w:pStyle w:val="Ttulo4"/>
      </w:pPr>
      <w:bookmarkStart w:id="2817" w:name="_Toc453769421"/>
      <w:bookmarkStart w:id="2818" w:name="_Toc453771288"/>
      <w:bookmarkStart w:id="2819" w:name="_Toc453833836"/>
      <w:bookmarkStart w:id="2820" w:name="_Toc499019113"/>
      <w:bookmarkStart w:id="2821" w:name="_Toc499106846"/>
      <w:bookmarkStart w:id="2822" w:name="_Toc499107166"/>
      <w:bookmarkStart w:id="2823" w:name="_Toc499107986"/>
      <w:bookmarkStart w:id="2824" w:name="_Toc499108823"/>
      <w:bookmarkStart w:id="2825" w:name="_Toc499109648"/>
      <w:bookmarkStart w:id="2826" w:name="_Toc499109814"/>
      <w:bookmarkStart w:id="2827" w:name="_Toc499710020"/>
      <w:bookmarkStart w:id="2828" w:name="_Toc509935743"/>
      <w:r w:rsidRPr="00813DDC">
        <w:t>Existência de Plano de Resíduos de Construção Civil e periodicidade de revisão</w:t>
      </w:r>
      <w:bookmarkEnd w:id="2817"/>
      <w:bookmarkEnd w:id="2818"/>
      <w:bookmarkEnd w:id="2819"/>
      <w:bookmarkEnd w:id="2820"/>
      <w:bookmarkEnd w:id="2821"/>
      <w:bookmarkEnd w:id="2822"/>
      <w:bookmarkEnd w:id="2823"/>
      <w:bookmarkEnd w:id="2824"/>
      <w:bookmarkEnd w:id="2825"/>
      <w:bookmarkEnd w:id="2826"/>
      <w:bookmarkEnd w:id="2827"/>
      <w:bookmarkEnd w:id="2828"/>
    </w:p>
    <w:p w:rsidR="00813DDC" w:rsidRPr="00813DDC" w:rsidRDefault="00813DDC" w:rsidP="00813DDC">
      <w:pPr>
        <w:ind w:firstLine="851"/>
        <w:jc w:val="both"/>
        <w:rPr>
          <w:rFonts w:cs="Arial"/>
          <w:szCs w:val="24"/>
        </w:rPr>
      </w:pPr>
      <w:r w:rsidRPr="00813DDC">
        <w:rPr>
          <w:rFonts w:cs="Arial"/>
          <w:szCs w:val="24"/>
        </w:rPr>
        <w:t>O indicador possui caráter qualitativo, sendo desnecessária a apresentação de fórmula para sua obtenção. Assim, a forma de obtenção das informações necessárias à sua avaliação e acompanhamento, encontra-se no</w:t>
      </w:r>
      <w:r w:rsidRPr="00813DDC">
        <w:t xml:space="preserve"> </w:t>
      </w:r>
      <w:r w:rsidR="00B119E3">
        <w:fldChar w:fldCharType="begin"/>
      </w:r>
      <w:r w:rsidR="00B119E3">
        <w:instrText xml:space="preserve"> REF _Ref505841904 \h </w:instrText>
      </w:r>
      <w:r w:rsidR="00B119E3">
        <w:fldChar w:fldCharType="separate"/>
      </w:r>
      <w:r w:rsidR="001B481B">
        <w:t xml:space="preserve">Anexo </w:t>
      </w:r>
      <w:r w:rsidR="001B481B">
        <w:rPr>
          <w:noProof/>
        </w:rPr>
        <w:t>7</w:t>
      </w:r>
      <w:r w:rsidR="00B119E3">
        <w:fldChar w:fldCharType="end"/>
      </w:r>
      <w:r w:rsidRPr="00813DDC">
        <w:rPr>
          <w:rFonts w:cs="Arial"/>
          <w:szCs w:val="24"/>
        </w:rPr>
        <w:t>.</w:t>
      </w:r>
    </w:p>
    <w:p w:rsidR="00813DDC" w:rsidRPr="00813DDC" w:rsidRDefault="00813DDC" w:rsidP="00BC01B1">
      <w:pPr>
        <w:pStyle w:val="Ttulo4"/>
      </w:pPr>
      <w:bookmarkStart w:id="2829" w:name="_Toc453769422"/>
      <w:bookmarkStart w:id="2830" w:name="_Toc453771289"/>
      <w:bookmarkStart w:id="2831" w:name="_Toc453833837"/>
      <w:bookmarkStart w:id="2832" w:name="_Toc499019114"/>
      <w:bookmarkStart w:id="2833" w:name="_Toc499106847"/>
      <w:bookmarkStart w:id="2834" w:name="_Toc499107167"/>
      <w:bookmarkStart w:id="2835" w:name="_Toc499107987"/>
      <w:bookmarkStart w:id="2836" w:name="_Toc499108824"/>
      <w:bookmarkStart w:id="2837" w:name="_Toc499109649"/>
      <w:bookmarkStart w:id="2838" w:name="_Toc499109815"/>
      <w:bookmarkStart w:id="2839" w:name="_Toc499710021"/>
      <w:bookmarkStart w:id="2840" w:name="_Toc509935744"/>
      <w:r w:rsidRPr="00813DDC">
        <w:t>Existência e funcionamento adequado da logística reversa para os resíduos especiais</w:t>
      </w:r>
      <w:bookmarkEnd w:id="2829"/>
      <w:bookmarkEnd w:id="2830"/>
      <w:bookmarkEnd w:id="2831"/>
      <w:bookmarkEnd w:id="2832"/>
      <w:bookmarkEnd w:id="2833"/>
      <w:bookmarkEnd w:id="2834"/>
      <w:bookmarkEnd w:id="2835"/>
      <w:bookmarkEnd w:id="2836"/>
      <w:bookmarkEnd w:id="2837"/>
      <w:bookmarkEnd w:id="2838"/>
      <w:bookmarkEnd w:id="2839"/>
      <w:bookmarkEnd w:id="2840"/>
    </w:p>
    <w:p w:rsidR="00813DDC" w:rsidRPr="00813DDC" w:rsidRDefault="00813DDC" w:rsidP="00813DDC">
      <w:pPr>
        <w:ind w:firstLine="851"/>
        <w:jc w:val="both"/>
        <w:rPr>
          <w:rFonts w:cs="Arial"/>
          <w:szCs w:val="24"/>
        </w:rPr>
      </w:pPr>
      <w:r w:rsidRPr="00813DDC">
        <w:rPr>
          <w:rFonts w:cs="Arial"/>
          <w:szCs w:val="24"/>
        </w:rPr>
        <w:t>O indicador possui caráter qualitativo, sendo desnecessária a apresentação de fórmula para sua obtenção. Assim, a forma de obtenção das informações necessárias à sua avaliação e acompanhamento, encontra-se no</w:t>
      </w:r>
      <w:r w:rsidRPr="00813DDC">
        <w:t xml:space="preserve"> </w:t>
      </w:r>
      <w:r w:rsidR="00B119E3">
        <w:fldChar w:fldCharType="begin"/>
      </w:r>
      <w:r w:rsidR="00B119E3">
        <w:instrText xml:space="preserve"> REF _Ref505841904 \h </w:instrText>
      </w:r>
      <w:r w:rsidR="00B119E3">
        <w:fldChar w:fldCharType="separate"/>
      </w:r>
      <w:r w:rsidR="001B481B">
        <w:t xml:space="preserve">Anexo </w:t>
      </w:r>
      <w:r w:rsidR="001B481B">
        <w:rPr>
          <w:noProof/>
        </w:rPr>
        <w:t>7</w:t>
      </w:r>
      <w:r w:rsidR="00B119E3">
        <w:fldChar w:fldCharType="end"/>
      </w:r>
      <w:r w:rsidRPr="00813DDC">
        <w:rPr>
          <w:rFonts w:cs="Arial"/>
          <w:szCs w:val="24"/>
        </w:rPr>
        <w:t>.</w:t>
      </w:r>
    </w:p>
    <w:p w:rsidR="00813DDC" w:rsidRPr="00813DDC" w:rsidRDefault="00813DDC" w:rsidP="00BC01B1">
      <w:pPr>
        <w:pStyle w:val="Ttulo4"/>
      </w:pPr>
      <w:bookmarkStart w:id="2841" w:name="_Toc453769423"/>
      <w:bookmarkStart w:id="2842" w:name="_Toc453771290"/>
      <w:bookmarkStart w:id="2843" w:name="_Toc453833838"/>
      <w:bookmarkStart w:id="2844" w:name="_Toc499019115"/>
      <w:bookmarkStart w:id="2845" w:name="_Toc499106848"/>
      <w:bookmarkStart w:id="2846" w:name="_Toc499107168"/>
      <w:bookmarkStart w:id="2847" w:name="_Toc499107988"/>
      <w:bookmarkStart w:id="2848" w:name="_Toc499108825"/>
      <w:bookmarkStart w:id="2849" w:name="_Toc499109650"/>
      <w:bookmarkStart w:id="2850" w:name="_Toc499109816"/>
      <w:bookmarkStart w:id="2851" w:name="_Toc499710022"/>
      <w:bookmarkStart w:id="2852" w:name="_Toc509935745"/>
      <w:r w:rsidRPr="00813DDC">
        <w:t>Pontos de disposição irregular de Resíduos de Construção Civil</w:t>
      </w:r>
      <w:bookmarkEnd w:id="2841"/>
      <w:bookmarkEnd w:id="2842"/>
      <w:bookmarkEnd w:id="2843"/>
      <w:bookmarkEnd w:id="2844"/>
      <w:bookmarkEnd w:id="2845"/>
      <w:bookmarkEnd w:id="2846"/>
      <w:bookmarkEnd w:id="2847"/>
      <w:bookmarkEnd w:id="2848"/>
      <w:bookmarkEnd w:id="2849"/>
      <w:bookmarkEnd w:id="2850"/>
      <w:bookmarkEnd w:id="2851"/>
      <w:bookmarkEnd w:id="2852"/>
    </w:p>
    <w:p w:rsidR="00813DDC" w:rsidRPr="00813DDC" w:rsidRDefault="00813DDC" w:rsidP="00813DDC">
      <w:pPr>
        <w:jc w:val="both"/>
        <w:rPr>
          <w:rFonts w:cs="Arial"/>
          <w:szCs w:val="24"/>
        </w:rPr>
      </w:pPr>
      <w:r w:rsidRPr="00813DDC">
        <w:rPr>
          <w:lang w:eastAsia="pt-BR"/>
        </w:rPr>
        <w:tab/>
      </w:r>
      <w:r w:rsidRPr="00813DDC">
        <w:rPr>
          <w:szCs w:val="24"/>
          <w:lang w:eastAsia="pt-BR"/>
        </w:rPr>
        <w:t>Para obtenção deste indicador deve-se v</w:t>
      </w:r>
      <w:r w:rsidRPr="00813DDC">
        <w:rPr>
          <w:rFonts w:cs="Arial"/>
          <w:szCs w:val="24"/>
        </w:rPr>
        <w:t>erificar junto à secretaria responsável o número total de pontos irregulares de disposição de Resíduos de Construção Civil.</w:t>
      </w:r>
    </w:p>
    <w:p w:rsidR="00813DDC" w:rsidRPr="00813DDC" w:rsidRDefault="00813DDC" w:rsidP="00BC01B1">
      <w:pPr>
        <w:pStyle w:val="Ttulo4"/>
      </w:pPr>
      <w:bookmarkStart w:id="2853" w:name="_Toc453769424"/>
      <w:bookmarkStart w:id="2854" w:name="_Toc453771291"/>
      <w:bookmarkStart w:id="2855" w:name="_Toc453833839"/>
      <w:bookmarkStart w:id="2856" w:name="_Toc499019116"/>
      <w:bookmarkStart w:id="2857" w:name="_Toc499106849"/>
      <w:bookmarkStart w:id="2858" w:name="_Toc499107169"/>
      <w:bookmarkStart w:id="2859" w:name="_Toc499107989"/>
      <w:bookmarkStart w:id="2860" w:name="_Toc499108826"/>
      <w:bookmarkStart w:id="2861" w:name="_Toc499109651"/>
      <w:bookmarkStart w:id="2862" w:name="_Toc499109817"/>
      <w:bookmarkStart w:id="2863" w:name="_Toc499710023"/>
      <w:bookmarkStart w:id="2864" w:name="_Toc509935746"/>
      <w:r w:rsidRPr="00813DDC">
        <w:lastRenderedPageBreak/>
        <w:t>Massa de RCC per capita em relação à população urbana (kg/hab./dia)</w:t>
      </w:r>
      <w:bookmarkEnd w:id="2853"/>
      <w:bookmarkEnd w:id="2854"/>
      <w:bookmarkEnd w:id="2855"/>
      <w:bookmarkEnd w:id="2856"/>
      <w:bookmarkEnd w:id="2857"/>
      <w:bookmarkEnd w:id="2858"/>
      <w:bookmarkEnd w:id="2859"/>
      <w:bookmarkEnd w:id="2860"/>
      <w:bookmarkEnd w:id="2861"/>
      <w:bookmarkEnd w:id="2862"/>
      <w:bookmarkEnd w:id="2863"/>
      <w:bookmarkEnd w:id="2864"/>
    </w:p>
    <w:p w:rsidR="00813DDC" w:rsidRPr="00813DDC" w:rsidRDefault="00813DDC" w:rsidP="00813DDC">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IN029=</m:t>
          </m:r>
          <m:d>
            <m:dPr>
              <m:ctrlPr>
                <w:rPr>
                  <w:rFonts w:ascii="Cambria Math" w:eastAsia="Times New Roman" w:hAnsi="Cambria Math" w:cs="Arial"/>
                  <w:i/>
                  <w:sz w:val="22"/>
                  <w:lang w:eastAsia="pt-BR"/>
                </w:rPr>
              </m:ctrlPr>
            </m:dPr>
            <m:e>
              <m:f>
                <m:fPr>
                  <m:ctrlPr>
                    <w:rPr>
                      <w:rFonts w:ascii="Cambria Math" w:eastAsia="Times New Roman" w:hAnsi="Cambria Math" w:cs="Arial"/>
                      <w:i/>
                      <w:sz w:val="22"/>
                      <w:lang w:eastAsia="pt-BR"/>
                    </w:rPr>
                  </m:ctrlPr>
                </m:fPr>
                <m:num>
                  <m:d>
                    <m:dPr>
                      <m:ctrlPr>
                        <w:rPr>
                          <w:rFonts w:ascii="Cambria Math" w:eastAsia="Times New Roman" w:hAnsi="Cambria Math" w:cs="Arial"/>
                          <w:i/>
                          <w:sz w:val="22"/>
                          <w:lang w:eastAsia="pt-BR"/>
                        </w:rPr>
                      </m:ctrlPr>
                    </m:dPr>
                    <m:e>
                      <m:r>
                        <w:rPr>
                          <w:rFonts w:ascii="Cambria Math" w:eastAsia="Times New Roman" w:hAnsi="Cambria Math" w:cs="Arial"/>
                          <w:sz w:val="22"/>
                          <w:lang w:eastAsia="pt-BR"/>
                        </w:rPr>
                        <m:t>CC013+CC014+CC015</m:t>
                      </m:r>
                    </m:e>
                  </m:d>
                </m:num>
                <m:den>
                  <m:r>
                    <w:rPr>
                      <w:rFonts w:ascii="Cambria Math" w:eastAsia="Times New Roman" w:hAnsi="Cambria Math" w:cs="Arial"/>
                      <w:sz w:val="22"/>
                      <w:lang w:eastAsia="pt-BR"/>
                    </w:rPr>
                    <m:t>Pop_Urb</m:t>
                  </m:r>
                </m:den>
              </m:f>
            </m:e>
          </m:d>
          <m:r>
            <w:rPr>
              <w:rFonts w:ascii="Cambria Math" w:eastAsia="Times New Roman" w:hAnsi="Cambria Math" w:cs="Arial"/>
              <w:sz w:val="22"/>
              <w:lang w:eastAsia="pt-BR"/>
            </w:rPr>
            <m:t xml:space="preserve"> x </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1000</m:t>
              </m:r>
            </m:num>
            <m:den>
              <m:r>
                <w:rPr>
                  <w:rFonts w:ascii="Cambria Math" w:eastAsia="Times New Roman" w:hAnsi="Cambria Math" w:cs="Arial"/>
                  <w:sz w:val="22"/>
                  <w:lang w:eastAsia="pt-BR"/>
                </w:rPr>
                <m:t>365</m:t>
              </m:r>
            </m:den>
          </m:f>
        </m:oMath>
      </m:oMathPara>
    </w:p>
    <w:p w:rsidR="00813DDC" w:rsidRPr="00813DDC" w:rsidRDefault="00813DDC" w:rsidP="00813DDC">
      <w:pPr>
        <w:ind w:firstLine="708"/>
        <w:rPr>
          <w:lang w:eastAsia="pt-BR"/>
        </w:rPr>
      </w:pPr>
      <w:r w:rsidRPr="00813DDC">
        <w:rPr>
          <w:lang w:eastAsia="pt-BR"/>
        </w:rPr>
        <w:t>Em que:</w:t>
      </w:r>
    </w:p>
    <w:p w:rsidR="00813DDC" w:rsidRPr="00813DDC" w:rsidRDefault="00813DDC" w:rsidP="0066661F">
      <w:pPr>
        <w:numPr>
          <w:ilvl w:val="0"/>
          <w:numId w:val="27"/>
        </w:numPr>
        <w:ind w:hanging="357"/>
        <w:jc w:val="both"/>
        <w:rPr>
          <w:i/>
          <w:lang w:eastAsia="pt-BR"/>
        </w:rPr>
      </w:pPr>
      <w:r w:rsidRPr="00813DDC">
        <w:rPr>
          <w:i/>
          <w:lang w:eastAsia="pt-BR"/>
        </w:rPr>
        <w:t>IN029 = Massa de RCC per capita em relação à população urbana (kg/hab/dia).</w:t>
      </w:r>
    </w:p>
    <w:p w:rsidR="00813DDC" w:rsidRPr="00813DDC" w:rsidRDefault="00813DDC" w:rsidP="0066661F">
      <w:pPr>
        <w:numPr>
          <w:ilvl w:val="0"/>
          <w:numId w:val="27"/>
        </w:numPr>
        <w:ind w:hanging="357"/>
        <w:jc w:val="both"/>
        <w:rPr>
          <w:i/>
          <w:lang w:eastAsia="pt-BR"/>
        </w:rPr>
      </w:pPr>
      <w:r w:rsidRPr="00813DDC">
        <w:rPr>
          <w:i/>
          <w:lang w:eastAsia="pt-BR"/>
        </w:rPr>
        <w:t>CC013 = Pela Prefeitura Municipal ou empresa contratada por ela (ton/ano).</w:t>
      </w:r>
    </w:p>
    <w:p w:rsidR="00813DDC" w:rsidRPr="00813DDC" w:rsidRDefault="00813DDC" w:rsidP="0066661F">
      <w:pPr>
        <w:numPr>
          <w:ilvl w:val="0"/>
          <w:numId w:val="27"/>
        </w:numPr>
        <w:ind w:hanging="357"/>
        <w:jc w:val="both"/>
        <w:rPr>
          <w:i/>
          <w:lang w:eastAsia="pt-BR"/>
        </w:rPr>
      </w:pPr>
      <w:r w:rsidRPr="00813DDC">
        <w:rPr>
          <w:i/>
          <w:lang w:eastAsia="pt-BR"/>
        </w:rPr>
        <w:t>CC014 = Por empresas especializadas ("caçambeiros") ou autônomos contratados pelo gerador (ton/ano).</w:t>
      </w:r>
    </w:p>
    <w:p w:rsidR="00813DDC" w:rsidRPr="00813DDC" w:rsidRDefault="00813DDC" w:rsidP="0066661F">
      <w:pPr>
        <w:numPr>
          <w:ilvl w:val="0"/>
          <w:numId w:val="27"/>
        </w:numPr>
        <w:ind w:hanging="357"/>
        <w:jc w:val="both"/>
        <w:rPr>
          <w:i/>
          <w:lang w:eastAsia="pt-BR"/>
        </w:rPr>
      </w:pPr>
      <w:r w:rsidRPr="00813DDC">
        <w:rPr>
          <w:i/>
          <w:lang w:eastAsia="pt-BR"/>
        </w:rPr>
        <w:t>CC015 = Pelo próprio gerador (ton/ano).</w:t>
      </w:r>
    </w:p>
    <w:p w:rsidR="00813DDC" w:rsidRPr="00813DDC" w:rsidRDefault="00813DDC" w:rsidP="0066661F">
      <w:pPr>
        <w:numPr>
          <w:ilvl w:val="0"/>
          <w:numId w:val="27"/>
        </w:numPr>
        <w:ind w:hanging="357"/>
        <w:jc w:val="both"/>
        <w:rPr>
          <w:i/>
          <w:lang w:eastAsia="pt-BR"/>
        </w:rPr>
      </w:pPr>
      <w:r w:rsidRPr="00813DDC">
        <w:rPr>
          <w:i/>
          <w:lang w:eastAsia="pt-BR"/>
        </w:rPr>
        <w:t>Pop_Urb = População urbana do município.</w:t>
      </w:r>
    </w:p>
    <w:p w:rsidR="00813DDC" w:rsidRPr="00813DDC" w:rsidRDefault="00813DDC" w:rsidP="00813DDC">
      <w:pPr>
        <w:spacing w:before="120" w:after="120"/>
        <w:jc w:val="both"/>
        <w:rPr>
          <w:rFonts w:cs="Arial"/>
          <w:szCs w:val="24"/>
        </w:rPr>
      </w:pPr>
      <w:r w:rsidRPr="00813DDC">
        <w:rPr>
          <w:rFonts w:cs="Arial"/>
          <w:szCs w:val="24"/>
        </w:rPr>
        <w:t>OB: A fórmula para cálculo do indicador IN029 foi apresentada aqui com uma pequena alteração em relação à apresentada no Glossário do SNIS – 2016, para manter a unidade em kg/hab./dia.  (No glossário os parâmetros não são divididos por 365 dias).</w:t>
      </w:r>
    </w:p>
    <w:p w:rsidR="00813DDC" w:rsidRPr="00813DDC" w:rsidRDefault="00813DDC" w:rsidP="00BC01B1">
      <w:pPr>
        <w:pStyle w:val="Ttulo4"/>
      </w:pPr>
      <w:bookmarkStart w:id="2865" w:name="_Toc453769425"/>
      <w:bookmarkStart w:id="2866" w:name="_Toc453771292"/>
      <w:bookmarkStart w:id="2867" w:name="_Toc453833840"/>
      <w:bookmarkStart w:id="2868" w:name="_Toc499019117"/>
      <w:bookmarkStart w:id="2869" w:name="_Toc499106850"/>
      <w:bookmarkStart w:id="2870" w:name="_Toc499107170"/>
      <w:bookmarkStart w:id="2871" w:name="_Toc499107990"/>
      <w:bookmarkStart w:id="2872" w:name="_Toc499108827"/>
      <w:bookmarkStart w:id="2873" w:name="_Toc499109652"/>
      <w:bookmarkStart w:id="2874" w:name="_Toc499109818"/>
      <w:bookmarkStart w:id="2875" w:name="_Toc499710024"/>
      <w:bookmarkStart w:id="2876" w:name="_Toc509935747"/>
      <w:r w:rsidRPr="00813DDC">
        <w:t>Percentual de Resíduos da Construção Civil (RCC) coletado de forma regular</w:t>
      </w:r>
      <w:bookmarkEnd w:id="2865"/>
      <w:bookmarkEnd w:id="2866"/>
      <w:bookmarkEnd w:id="2867"/>
      <w:bookmarkEnd w:id="2868"/>
      <w:bookmarkEnd w:id="2869"/>
      <w:bookmarkEnd w:id="2870"/>
      <w:bookmarkEnd w:id="2871"/>
      <w:bookmarkEnd w:id="2872"/>
      <w:bookmarkEnd w:id="2873"/>
      <w:bookmarkEnd w:id="2874"/>
      <w:bookmarkEnd w:id="2875"/>
      <w:bookmarkEnd w:id="2876"/>
    </w:p>
    <w:p w:rsidR="00813DDC" w:rsidRPr="00813DDC" w:rsidRDefault="001B481B" w:rsidP="00813DDC">
      <w:pPr>
        <w:jc w:val="center"/>
        <w:rPr>
          <w:rFonts w:ascii="Cambria Math" w:eastAsia="Times New Roman" w:hAnsi="Cambria Math" w:cs="Arial"/>
          <w:i/>
          <w:sz w:val="22"/>
          <w:lang w:eastAsia="pt-BR"/>
        </w:rPr>
      </w:pPr>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RCC</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Vreg</m:t>
            </m:r>
          </m:num>
          <m:den>
            <m:r>
              <w:rPr>
                <w:rFonts w:ascii="Cambria Math" w:eastAsia="Times New Roman" w:hAnsi="Cambria Math" w:cs="Arial"/>
                <w:sz w:val="22"/>
                <w:lang w:eastAsia="pt-BR"/>
              </w:rPr>
              <m:t>Vtprod</m:t>
            </m:r>
          </m:den>
        </m:f>
      </m:oMath>
      <w:r w:rsidR="00813DDC" w:rsidRPr="00813DDC">
        <w:rPr>
          <w:rFonts w:ascii="Cambria Math" w:eastAsia="Times New Roman" w:hAnsi="Cambria Math" w:cs="Arial"/>
          <w:i/>
          <w:sz w:val="22"/>
          <w:lang w:eastAsia="pt-BR"/>
        </w:rPr>
        <w:t xml:space="preserve"> x 100</w:t>
      </w:r>
    </w:p>
    <w:p w:rsidR="00813DDC" w:rsidRPr="00813DDC" w:rsidRDefault="00813DDC" w:rsidP="00813DDC">
      <w:pPr>
        <w:ind w:left="2127" w:hanging="1418"/>
        <w:rPr>
          <w:rFonts w:cs="Arial"/>
          <w:szCs w:val="24"/>
        </w:rPr>
      </w:pPr>
      <w:r w:rsidRPr="00813DDC">
        <w:rPr>
          <w:rFonts w:cs="Arial"/>
          <w:szCs w:val="24"/>
        </w:rPr>
        <w:t>Em que:</w:t>
      </w:r>
    </w:p>
    <w:p w:rsidR="00813DDC" w:rsidRPr="00813DDC" w:rsidRDefault="00813DDC" w:rsidP="0066661F">
      <w:pPr>
        <w:numPr>
          <w:ilvl w:val="0"/>
          <w:numId w:val="27"/>
        </w:numPr>
        <w:ind w:hanging="357"/>
        <w:jc w:val="both"/>
        <w:rPr>
          <w:rFonts w:cs="Arial"/>
          <w:szCs w:val="24"/>
        </w:rPr>
      </w:pPr>
      <w:r w:rsidRPr="00813DDC">
        <w:rPr>
          <w:rFonts w:cs="Arial"/>
          <w:i/>
          <w:szCs w:val="24"/>
        </w:rPr>
        <w:t>I</w:t>
      </w:r>
      <w:r w:rsidRPr="00813DDC">
        <w:rPr>
          <w:rFonts w:cs="Arial"/>
          <w:i/>
          <w:szCs w:val="24"/>
          <w:vertAlign w:val="subscript"/>
        </w:rPr>
        <w:t>RCC</w:t>
      </w:r>
      <w:r w:rsidRPr="00813DDC">
        <w:rPr>
          <w:rFonts w:cs="Arial"/>
          <w:i/>
          <w:szCs w:val="24"/>
        </w:rPr>
        <w:t xml:space="preserve"> = </w:t>
      </w:r>
      <w:r w:rsidRPr="00813DDC">
        <w:rPr>
          <w:rFonts w:cs="Arial"/>
          <w:szCs w:val="24"/>
        </w:rPr>
        <w:t>Percentual de Resíduos da Construção Civil coletado de forma regular.</w:t>
      </w:r>
    </w:p>
    <w:p w:rsidR="00813DDC" w:rsidRPr="00813DDC" w:rsidRDefault="00813DDC" w:rsidP="0066661F">
      <w:pPr>
        <w:numPr>
          <w:ilvl w:val="0"/>
          <w:numId w:val="27"/>
        </w:numPr>
        <w:ind w:hanging="357"/>
        <w:jc w:val="both"/>
        <w:rPr>
          <w:rFonts w:cs="Arial"/>
          <w:i/>
          <w:szCs w:val="24"/>
        </w:rPr>
      </w:pPr>
      <w:r w:rsidRPr="00813DDC">
        <w:rPr>
          <w:rFonts w:cs="Arial"/>
          <w:i/>
          <w:szCs w:val="24"/>
        </w:rPr>
        <w:t>Vreg = Volume de RCC coletado de forma regular (m</w:t>
      </w:r>
      <w:r w:rsidRPr="00813DDC">
        <w:rPr>
          <w:rFonts w:cs="Arial"/>
          <w:i/>
          <w:szCs w:val="24"/>
          <w:vertAlign w:val="superscript"/>
        </w:rPr>
        <w:t>3</w:t>
      </w:r>
      <w:r w:rsidRPr="00813DDC">
        <w:rPr>
          <w:rFonts w:cs="Arial"/>
          <w:i/>
          <w:szCs w:val="24"/>
        </w:rPr>
        <w:t>).</w:t>
      </w:r>
    </w:p>
    <w:p w:rsidR="00813DDC" w:rsidRPr="00813DDC" w:rsidRDefault="00813DDC" w:rsidP="0066661F">
      <w:pPr>
        <w:numPr>
          <w:ilvl w:val="0"/>
          <w:numId w:val="27"/>
        </w:numPr>
        <w:ind w:hanging="357"/>
        <w:jc w:val="both"/>
        <w:rPr>
          <w:rFonts w:cs="Arial"/>
          <w:i/>
          <w:szCs w:val="24"/>
        </w:rPr>
      </w:pPr>
      <w:r w:rsidRPr="00813DDC">
        <w:rPr>
          <w:rFonts w:cs="Arial"/>
          <w:i/>
          <w:szCs w:val="24"/>
        </w:rPr>
        <w:t>Vtprod = Volume total de RCC produzido (m</w:t>
      </w:r>
      <w:r w:rsidRPr="00813DDC">
        <w:rPr>
          <w:rFonts w:cs="Arial"/>
          <w:i/>
          <w:szCs w:val="24"/>
          <w:vertAlign w:val="superscript"/>
        </w:rPr>
        <w:t>3</w:t>
      </w:r>
      <w:r w:rsidRPr="00813DDC">
        <w:rPr>
          <w:rFonts w:cs="Arial"/>
          <w:i/>
          <w:szCs w:val="24"/>
        </w:rPr>
        <w:t>).</w:t>
      </w:r>
    </w:p>
    <w:p w:rsidR="00813DDC" w:rsidRPr="00813DDC" w:rsidRDefault="00813DDC" w:rsidP="00813DDC">
      <w:pPr>
        <w:ind w:firstLine="851"/>
        <w:jc w:val="both"/>
        <w:rPr>
          <w:rFonts w:cs="Arial"/>
          <w:szCs w:val="24"/>
        </w:rPr>
      </w:pPr>
      <w:r w:rsidRPr="00813DDC">
        <w:rPr>
          <w:rFonts w:cs="Arial"/>
          <w:szCs w:val="24"/>
        </w:rPr>
        <w:t xml:space="preserve">Em Córrego Novo existem vários pontos de disposição irregular de RCC. O indicador proposto relaciona a quantidade coletada de forma regular em relação ao total produzido e, dessa maneira, permite monitorar se esta atividade está sendo realizada corretamente. </w:t>
      </w:r>
    </w:p>
    <w:p w:rsidR="00813DDC" w:rsidRPr="00813DDC" w:rsidRDefault="00813DDC" w:rsidP="00BC01B1">
      <w:pPr>
        <w:pStyle w:val="Ttulo4"/>
      </w:pPr>
      <w:bookmarkStart w:id="2877" w:name="_Toc453769426"/>
      <w:bookmarkStart w:id="2878" w:name="_Toc453771293"/>
      <w:bookmarkStart w:id="2879" w:name="_Toc453833841"/>
      <w:bookmarkStart w:id="2880" w:name="_Toc499019118"/>
      <w:bookmarkStart w:id="2881" w:name="_Toc499106851"/>
      <w:bookmarkStart w:id="2882" w:name="_Toc499107171"/>
      <w:bookmarkStart w:id="2883" w:name="_Toc499107991"/>
      <w:bookmarkStart w:id="2884" w:name="_Toc499108828"/>
      <w:bookmarkStart w:id="2885" w:name="_Toc499109653"/>
      <w:bookmarkStart w:id="2886" w:name="_Toc499109819"/>
      <w:bookmarkStart w:id="2887" w:name="_Toc499710025"/>
      <w:bookmarkStart w:id="2888" w:name="_Toc509935748"/>
      <w:r w:rsidRPr="00813DDC">
        <w:t>Índice de resposta às informações de resíduos sólidos do SNIS (%)</w:t>
      </w:r>
      <w:bookmarkEnd w:id="2877"/>
      <w:bookmarkEnd w:id="2878"/>
      <w:bookmarkEnd w:id="2879"/>
      <w:bookmarkEnd w:id="2880"/>
      <w:bookmarkEnd w:id="2881"/>
      <w:bookmarkEnd w:id="2882"/>
      <w:bookmarkEnd w:id="2883"/>
      <w:bookmarkEnd w:id="2884"/>
      <w:bookmarkEnd w:id="2885"/>
      <w:bookmarkEnd w:id="2886"/>
      <w:bookmarkEnd w:id="2887"/>
      <w:bookmarkEnd w:id="2888"/>
    </w:p>
    <w:p w:rsidR="00813DDC" w:rsidRPr="00813DDC" w:rsidRDefault="00813DDC" w:rsidP="00813DDC">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 xml:space="preserve">ISNIS= </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Iresp</m:t>
              </m:r>
            </m:num>
            <m:den>
              <m:r>
                <w:rPr>
                  <w:rFonts w:ascii="Cambria Math" w:eastAsia="Times New Roman" w:hAnsi="Cambria Math" w:cs="Arial"/>
                  <w:sz w:val="22"/>
                  <w:lang w:eastAsia="pt-BR"/>
                </w:rPr>
                <m:t>Itot</m:t>
              </m:r>
            </m:den>
          </m:f>
          <m:r>
            <w:rPr>
              <w:rFonts w:ascii="Cambria Math" w:eastAsia="Times New Roman" w:hAnsi="Cambria Math" w:cs="Arial"/>
              <w:sz w:val="22"/>
              <w:lang w:eastAsia="pt-BR"/>
            </w:rPr>
            <m:t xml:space="preserve"> x 100</m:t>
          </m:r>
        </m:oMath>
      </m:oMathPara>
    </w:p>
    <w:p w:rsidR="00C2108C" w:rsidRDefault="00C2108C" w:rsidP="00813DDC">
      <w:pPr>
        <w:ind w:firstLine="708"/>
        <w:rPr>
          <w:lang w:eastAsia="pt-BR"/>
        </w:rPr>
      </w:pPr>
    </w:p>
    <w:p w:rsidR="00813DDC" w:rsidRPr="00813DDC" w:rsidRDefault="00813DDC" w:rsidP="00813DDC">
      <w:pPr>
        <w:ind w:firstLine="708"/>
        <w:rPr>
          <w:lang w:eastAsia="pt-BR"/>
        </w:rPr>
      </w:pPr>
      <w:r w:rsidRPr="00813DDC">
        <w:rPr>
          <w:lang w:eastAsia="pt-BR"/>
        </w:rPr>
        <w:lastRenderedPageBreak/>
        <w:t>Em que:</w:t>
      </w:r>
    </w:p>
    <w:p w:rsidR="00813DDC" w:rsidRPr="00813DDC" w:rsidRDefault="00813DDC" w:rsidP="0066661F">
      <w:pPr>
        <w:numPr>
          <w:ilvl w:val="0"/>
          <w:numId w:val="27"/>
        </w:numPr>
        <w:ind w:hanging="357"/>
        <w:jc w:val="both"/>
        <w:rPr>
          <w:i/>
          <w:lang w:eastAsia="pt-BR"/>
        </w:rPr>
      </w:pPr>
      <w:r w:rsidRPr="00813DDC">
        <w:rPr>
          <w:i/>
          <w:lang w:eastAsia="pt-BR"/>
        </w:rPr>
        <w:t>ISNIS = Índice de resposta às informações de resíduos sólidos do SNIS (%).</w:t>
      </w:r>
    </w:p>
    <w:p w:rsidR="00813DDC" w:rsidRPr="00813DDC" w:rsidRDefault="00813DDC" w:rsidP="0066661F">
      <w:pPr>
        <w:numPr>
          <w:ilvl w:val="0"/>
          <w:numId w:val="27"/>
        </w:numPr>
        <w:ind w:hanging="357"/>
        <w:jc w:val="both"/>
        <w:rPr>
          <w:i/>
          <w:lang w:eastAsia="pt-BR"/>
        </w:rPr>
      </w:pPr>
      <w:r w:rsidRPr="00813DDC">
        <w:rPr>
          <w:i/>
          <w:lang w:eastAsia="pt-BR"/>
        </w:rPr>
        <w:t>Iresp = Número de informações do SNIS sobre resíduos sólidos respondidos pelo Poder Público Municipal.</w:t>
      </w:r>
    </w:p>
    <w:p w:rsidR="00813DDC" w:rsidRPr="00813DDC" w:rsidRDefault="00813DDC" w:rsidP="0066661F">
      <w:pPr>
        <w:numPr>
          <w:ilvl w:val="0"/>
          <w:numId w:val="27"/>
        </w:numPr>
        <w:ind w:hanging="357"/>
        <w:jc w:val="both"/>
        <w:rPr>
          <w:i/>
          <w:lang w:eastAsia="pt-BR"/>
        </w:rPr>
      </w:pPr>
      <w:r w:rsidRPr="00813DDC">
        <w:rPr>
          <w:i/>
          <w:lang w:eastAsia="pt-BR"/>
        </w:rPr>
        <w:t>Itot = Número total de informações do SNIS sobre resíduos sólidos.</w:t>
      </w:r>
    </w:p>
    <w:p w:rsidR="00813DDC" w:rsidRPr="00813DDC" w:rsidRDefault="00813DDC" w:rsidP="00813DDC">
      <w:pPr>
        <w:ind w:firstLine="708"/>
        <w:jc w:val="both"/>
        <w:rPr>
          <w:lang w:eastAsia="pt-BR"/>
        </w:rPr>
      </w:pPr>
      <w:r w:rsidRPr="00813DDC">
        <w:rPr>
          <w:lang w:eastAsia="pt-BR"/>
        </w:rPr>
        <w:t xml:space="preserve">Este indicador tem como objetivo avaliar o constante monitoramento do setor de resíduos sólidos por meio da avaliação das respostas anuais das informações do SNIS. Pode auxiliar o gestor público a compreender quais áreas da gestão de resíduos que estão sendo monitoradas e quais não estão. </w:t>
      </w:r>
    </w:p>
    <w:p w:rsidR="00813DDC" w:rsidRPr="00813DDC" w:rsidRDefault="00813DDC" w:rsidP="00BC01B1">
      <w:pPr>
        <w:pStyle w:val="Ttulo3"/>
      </w:pPr>
      <w:bookmarkStart w:id="2889" w:name="_Toc453769427"/>
      <w:bookmarkStart w:id="2890" w:name="_Toc453771294"/>
      <w:bookmarkStart w:id="2891" w:name="_Toc453833842"/>
      <w:bookmarkStart w:id="2892" w:name="_Toc499019119"/>
      <w:bookmarkStart w:id="2893" w:name="_Toc499106852"/>
      <w:bookmarkStart w:id="2894" w:name="_Toc499107172"/>
      <w:bookmarkStart w:id="2895" w:name="_Toc499107992"/>
      <w:bookmarkStart w:id="2896" w:name="_Toc499108829"/>
      <w:bookmarkStart w:id="2897" w:name="_Toc499109654"/>
      <w:bookmarkStart w:id="2898" w:name="_Toc499109820"/>
      <w:bookmarkStart w:id="2899" w:name="_Toc499710026"/>
      <w:bookmarkStart w:id="2900" w:name="_Toc509935749"/>
      <w:r w:rsidRPr="00813DDC">
        <w:t>Indicador para o objetivo 5</w:t>
      </w:r>
      <w:bookmarkEnd w:id="2889"/>
      <w:bookmarkEnd w:id="2890"/>
      <w:bookmarkEnd w:id="2891"/>
      <w:bookmarkEnd w:id="2892"/>
      <w:bookmarkEnd w:id="2893"/>
      <w:bookmarkEnd w:id="2894"/>
      <w:bookmarkEnd w:id="2895"/>
      <w:bookmarkEnd w:id="2896"/>
      <w:bookmarkEnd w:id="2897"/>
      <w:bookmarkEnd w:id="2898"/>
      <w:bookmarkEnd w:id="2899"/>
      <w:bookmarkEnd w:id="2900"/>
    </w:p>
    <w:p w:rsidR="00813DDC" w:rsidRPr="00813DDC" w:rsidRDefault="00813DDC" w:rsidP="00BC01B1">
      <w:pPr>
        <w:pStyle w:val="Ttulo4"/>
      </w:pPr>
      <w:bookmarkStart w:id="2901" w:name="_Toc453769428"/>
      <w:bookmarkStart w:id="2902" w:name="_Toc453771295"/>
      <w:bookmarkStart w:id="2903" w:name="_Toc453833843"/>
      <w:bookmarkStart w:id="2904" w:name="_Toc499019120"/>
      <w:bookmarkStart w:id="2905" w:name="_Toc499106853"/>
      <w:bookmarkStart w:id="2906" w:name="_Toc499107173"/>
      <w:bookmarkStart w:id="2907" w:name="_Toc499107993"/>
      <w:bookmarkStart w:id="2908" w:name="_Toc499108830"/>
      <w:bookmarkStart w:id="2909" w:name="_Toc499109655"/>
      <w:bookmarkStart w:id="2910" w:name="_Toc499109821"/>
      <w:bookmarkStart w:id="2911" w:name="_Toc499710027"/>
      <w:bookmarkStart w:id="2912" w:name="_Toc509935750"/>
      <w:r w:rsidRPr="00813DDC">
        <w:t>Número de instrumentos legais relacionados ao sistema de limpeza urbana e manejo de resíduos sólidos publicadas no município.</w:t>
      </w:r>
      <w:bookmarkEnd w:id="2901"/>
      <w:bookmarkEnd w:id="2902"/>
      <w:bookmarkEnd w:id="2903"/>
      <w:bookmarkEnd w:id="2904"/>
      <w:bookmarkEnd w:id="2905"/>
      <w:bookmarkEnd w:id="2906"/>
      <w:bookmarkEnd w:id="2907"/>
      <w:bookmarkEnd w:id="2908"/>
      <w:bookmarkEnd w:id="2909"/>
      <w:bookmarkEnd w:id="2910"/>
      <w:bookmarkEnd w:id="2911"/>
      <w:bookmarkEnd w:id="2912"/>
    </w:p>
    <w:p w:rsidR="00813DDC" w:rsidRPr="00813DDC" w:rsidRDefault="00813DDC" w:rsidP="00813DDC">
      <w:pPr>
        <w:ind w:firstLine="709"/>
        <w:contextualSpacing/>
        <w:jc w:val="both"/>
        <w:rPr>
          <w:rFonts w:eastAsia="Times New Roman" w:cs="Arial"/>
          <w:szCs w:val="20"/>
          <w:lang w:eastAsia="pt-BR"/>
        </w:rPr>
      </w:pPr>
      <w:r w:rsidRPr="00813DDC">
        <w:rPr>
          <w:rFonts w:eastAsia="Times New Roman" w:cs="Arial"/>
          <w:szCs w:val="20"/>
          <w:lang w:eastAsia="pt-BR"/>
        </w:rPr>
        <w:t>Medidor quantitativo que auxilia na identificação da incorporação dos conceitos, metas e ações de regulamentação, ao longo do horizonte de planejamento do PMSB para o setor de limpeza urbana e manejo de resíduos sólidos.</w:t>
      </w:r>
    </w:p>
    <w:p w:rsidR="00813DDC" w:rsidRPr="00813DDC" w:rsidRDefault="00813DDC" w:rsidP="00BC01B1">
      <w:pPr>
        <w:pStyle w:val="Ttulo4"/>
      </w:pPr>
      <w:bookmarkStart w:id="2913" w:name="_Toc453769429"/>
      <w:bookmarkStart w:id="2914" w:name="_Toc453771296"/>
      <w:bookmarkStart w:id="2915" w:name="_Toc453833844"/>
      <w:bookmarkStart w:id="2916" w:name="_Toc499019121"/>
      <w:bookmarkStart w:id="2917" w:name="_Toc499106854"/>
      <w:bookmarkStart w:id="2918" w:name="_Toc499107174"/>
      <w:bookmarkStart w:id="2919" w:name="_Toc499107994"/>
      <w:bookmarkStart w:id="2920" w:name="_Toc499108831"/>
      <w:bookmarkStart w:id="2921" w:name="_Toc499109656"/>
      <w:bookmarkStart w:id="2922" w:name="_Toc499109822"/>
      <w:bookmarkStart w:id="2923" w:name="_Toc499710028"/>
      <w:bookmarkStart w:id="2924" w:name="_Toc509935751"/>
      <w:r w:rsidRPr="00813DDC">
        <w:t>Taxa de regularização ambiental</w:t>
      </w:r>
      <w:bookmarkEnd w:id="2913"/>
      <w:bookmarkEnd w:id="2914"/>
      <w:bookmarkEnd w:id="2915"/>
      <w:bookmarkEnd w:id="2916"/>
      <w:bookmarkEnd w:id="2917"/>
      <w:bookmarkEnd w:id="2918"/>
      <w:bookmarkEnd w:id="2919"/>
      <w:bookmarkEnd w:id="2920"/>
      <w:bookmarkEnd w:id="2921"/>
      <w:bookmarkEnd w:id="2922"/>
      <w:bookmarkEnd w:id="2923"/>
      <w:bookmarkEnd w:id="2924"/>
    </w:p>
    <w:p w:rsidR="00813DDC" w:rsidRPr="00813DDC" w:rsidRDefault="00813DDC" w:rsidP="00813DDC">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 xml:space="preserve">TRA= </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NLRS</m:t>
              </m:r>
            </m:num>
            <m:den>
              <m:r>
                <w:rPr>
                  <w:rFonts w:ascii="Cambria Math" w:eastAsia="Times New Roman" w:hAnsi="Cambria Math" w:cs="Arial"/>
                  <w:sz w:val="22"/>
                  <w:lang w:eastAsia="pt-BR"/>
                </w:rPr>
                <m:t>NLRST</m:t>
              </m:r>
            </m:den>
          </m:f>
          <m:r>
            <w:rPr>
              <w:rFonts w:ascii="Cambria Math" w:eastAsia="Times New Roman" w:hAnsi="Cambria Math" w:cs="Arial"/>
              <w:sz w:val="22"/>
              <w:lang w:eastAsia="pt-BR"/>
            </w:rPr>
            <m:t xml:space="preserve"> x 100</m:t>
          </m:r>
        </m:oMath>
      </m:oMathPara>
    </w:p>
    <w:p w:rsidR="00813DDC" w:rsidRPr="00813DDC" w:rsidRDefault="00813DDC" w:rsidP="00813DDC">
      <w:pPr>
        <w:ind w:firstLine="708"/>
        <w:rPr>
          <w:rFonts w:eastAsia="Times New Roman" w:cs="Arial"/>
          <w:szCs w:val="20"/>
          <w:lang w:eastAsia="pt-BR"/>
        </w:rPr>
      </w:pPr>
      <w:r w:rsidRPr="00813DDC">
        <w:rPr>
          <w:rFonts w:eastAsia="Times New Roman" w:cs="Arial"/>
          <w:szCs w:val="20"/>
          <w:lang w:eastAsia="pt-BR"/>
        </w:rPr>
        <w:t>Em que:</w:t>
      </w:r>
    </w:p>
    <w:p w:rsidR="00813DDC" w:rsidRPr="00813DDC" w:rsidRDefault="00813DDC" w:rsidP="0066661F">
      <w:pPr>
        <w:numPr>
          <w:ilvl w:val="0"/>
          <w:numId w:val="27"/>
        </w:numPr>
        <w:ind w:hanging="357"/>
        <w:jc w:val="both"/>
        <w:rPr>
          <w:rFonts w:eastAsia="Times New Roman" w:cs="Arial"/>
          <w:i/>
          <w:szCs w:val="20"/>
          <w:lang w:eastAsia="pt-BR"/>
        </w:rPr>
      </w:pPr>
      <w:r w:rsidRPr="00813DDC">
        <w:rPr>
          <w:rFonts w:eastAsia="Times New Roman" w:cs="Arial"/>
          <w:i/>
          <w:szCs w:val="20"/>
          <w:lang w:eastAsia="pt-BR"/>
        </w:rPr>
        <w:t>TRA = Taxa de regularização ambiental (%).</w:t>
      </w:r>
    </w:p>
    <w:p w:rsidR="00813DDC" w:rsidRPr="00813DDC" w:rsidRDefault="00813DDC" w:rsidP="0066661F">
      <w:pPr>
        <w:numPr>
          <w:ilvl w:val="0"/>
          <w:numId w:val="27"/>
        </w:numPr>
        <w:ind w:hanging="357"/>
        <w:jc w:val="both"/>
        <w:rPr>
          <w:rFonts w:eastAsia="Times New Roman" w:cs="Arial"/>
          <w:i/>
          <w:szCs w:val="20"/>
          <w:lang w:eastAsia="pt-BR"/>
        </w:rPr>
      </w:pPr>
      <w:r w:rsidRPr="00813DDC">
        <w:rPr>
          <w:rFonts w:eastAsia="Times New Roman" w:cs="Arial"/>
          <w:i/>
          <w:szCs w:val="20"/>
          <w:lang w:eastAsia="pt-BR"/>
        </w:rPr>
        <w:t>NLRS = nº de licenças e autorizações ambientais emitidas para o setor.</w:t>
      </w:r>
    </w:p>
    <w:p w:rsidR="00813DDC" w:rsidRPr="00813DDC" w:rsidRDefault="00813DDC" w:rsidP="0066661F">
      <w:pPr>
        <w:numPr>
          <w:ilvl w:val="0"/>
          <w:numId w:val="27"/>
        </w:numPr>
        <w:ind w:hanging="357"/>
        <w:jc w:val="both"/>
        <w:rPr>
          <w:rFonts w:eastAsia="Times New Roman" w:cs="Arial"/>
          <w:i/>
          <w:szCs w:val="20"/>
          <w:lang w:eastAsia="pt-BR"/>
        </w:rPr>
      </w:pPr>
      <w:r w:rsidRPr="00813DDC">
        <w:rPr>
          <w:rFonts w:eastAsia="Times New Roman" w:cs="Arial"/>
          <w:i/>
          <w:szCs w:val="20"/>
          <w:lang w:eastAsia="pt-BR"/>
        </w:rPr>
        <w:t>NLRST = nº de licenças e autorizações ambientais legalmente exigidas para o setor.</w:t>
      </w:r>
    </w:p>
    <w:p w:rsidR="00813DDC" w:rsidRPr="00813DDC" w:rsidRDefault="00813DDC" w:rsidP="00813DDC">
      <w:pPr>
        <w:ind w:firstLine="709"/>
        <w:contextualSpacing/>
        <w:jc w:val="both"/>
        <w:rPr>
          <w:rFonts w:eastAsia="Times New Roman" w:cs="Arial"/>
          <w:szCs w:val="20"/>
          <w:lang w:eastAsia="pt-BR"/>
        </w:rPr>
      </w:pPr>
      <w:r w:rsidRPr="00813DDC">
        <w:rPr>
          <w:rFonts w:eastAsia="Times New Roman" w:cs="Arial"/>
          <w:szCs w:val="20"/>
          <w:lang w:eastAsia="pt-BR"/>
        </w:rPr>
        <w:t>Esse indicador demonstra o índice de atendimento do setor de resíduos à legislação ambiental.</w:t>
      </w:r>
    </w:p>
    <w:p w:rsidR="00813DDC" w:rsidRPr="00813DDC" w:rsidRDefault="00813DDC" w:rsidP="00BC01B1">
      <w:pPr>
        <w:pStyle w:val="Ttulo4"/>
      </w:pPr>
      <w:bookmarkStart w:id="2925" w:name="_Toc453769430"/>
      <w:bookmarkStart w:id="2926" w:name="_Toc453771297"/>
      <w:bookmarkStart w:id="2927" w:name="_Toc453833845"/>
      <w:bookmarkStart w:id="2928" w:name="_Toc499019122"/>
      <w:bookmarkStart w:id="2929" w:name="_Toc499106855"/>
      <w:bookmarkStart w:id="2930" w:name="_Toc499107175"/>
      <w:bookmarkStart w:id="2931" w:name="_Toc499107995"/>
      <w:bookmarkStart w:id="2932" w:name="_Toc499108832"/>
      <w:bookmarkStart w:id="2933" w:name="_Toc499109657"/>
      <w:bookmarkStart w:id="2934" w:name="_Toc499109823"/>
      <w:bookmarkStart w:id="2935" w:name="_Toc499710029"/>
      <w:bookmarkStart w:id="2936" w:name="_Toc509935752"/>
      <w:r w:rsidRPr="00813DDC">
        <w:t>Porcentagem de geradores com entrega do Plano de Gerenciamento de Resíduos Sólidos (PGRS) em dia</w:t>
      </w:r>
      <w:bookmarkEnd w:id="2925"/>
      <w:bookmarkEnd w:id="2926"/>
      <w:bookmarkEnd w:id="2927"/>
      <w:bookmarkEnd w:id="2928"/>
      <w:bookmarkEnd w:id="2929"/>
      <w:bookmarkEnd w:id="2930"/>
      <w:bookmarkEnd w:id="2931"/>
      <w:bookmarkEnd w:id="2932"/>
      <w:bookmarkEnd w:id="2933"/>
      <w:bookmarkEnd w:id="2934"/>
      <w:bookmarkEnd w:id="2935"/>
      <w:bookmarkEnd w:id="2936"/>
    </w:p>
    <w:p w:rsidR="00813DDC" w:rsidRPr="00813DDC" w:rsidRDefault="00813DDC" w:rsidP="00813DDC">
      <w:pPr>
        <w:jc w:val="center"/>
        <w:rPr>
          <w:rFonts w:ascii="Cambria Math" w:eastAsia="Times New Roman" w:hAnsi="Cambria Math" w:cs="Arial"/>
          <w:i/>
          <w:sz w:val="22"/>
          <w:lang w:eastAsia="pt-BR"/>
        </w:rPr>
      </w:pPr>
      <m:oMathPara>
        <m:oMath>
          <m:r>
            <w:rPr>
              <w:rFonts w:ascii="Cambria Math" w:eastAsia="Times New Roman" w:hAnsi="Cambria Math" w:cs="Arial"/>
              <w:sz w:val="22"/>
              <w:lang w:eastAsia="pt-BR"/>
            </w:rPr>
            <m:t>IPG</m:t>
          </m:r>
          <m:r>
            <w:rPr>
              <w:rFonts w:ascii="Cambria Math" w:eastAsia="Times New Roman" w:hAnsi="Cambria Math" w:cs="Arial"/>
              <w:sz w:val="22"/>
              <w:lang w:eastAsia="pt-BR"/>
            </w:rPr>
            <m:t xml:space="preserve">RS= </m:t>
          </m:r>
          <m:f>
            <m:fPr>
              <m:ctrlPr>
                <w:rPr>
                  <w:rFonts w:ascii="Cambria Math" w:eastAsia="Times New Roman" w:hAnsi="Cambria Math" w:cs="Arial"/>
                  <w:i/>
                  <w:sz w:val="22"/>
                  <w:lang w:eastAsia="pt-BR"/>
                </w:rPr>
              </m:ctrlPr>
            </m:fPr>
            <m:num>
              <m:r>
                <w:rPr>
                  <w:rFonts w:ascii="Cambria Math" w:eastAsia="Times New Roman" w:hAnsi="Cambria Math" w:cs="Arial"/>
                  <w:sz w:val="22"/>
                  <w:lang w:eastAsia="pt-BR"/>
                </w:rPr>
                <m:t>PGRSE</m:t>
              </m:r>
            </m:num>
            <m:den>
              <m:r>
                <w:rPr>
                  <w:rFonts w:ascii="Cambria Math" w:eastAsia="Times New Roman" w:hAnsi="Cambria Math" w:cs="Arial"/>
                  <w:sz w:val="22"/>
                  <w:lang w:eastAsia="pt-BR"/>
                </w:rPr>
                <m:t>PGRST</m:t>
              </m:r>
            </m:den>
          </m:f>
          <m:r>
            <w:rPr>
              <w:rFonts w:ascii="Cambria Math" w:eastAsia="Times New Roman" w:hAnsi="Cambria Math" w:cs="Arial"/>
              <w:sz w:val="22"/>
              <w:lang w:eastAsia="pt-BR"/>
            </w:rPr>
            <m:t xml:space="preserve"> x 100</m:t>
          </m:r>
        </m:oMath>
      </m:oMathPara>
    </w:p>
    <w:p w:rsidR="00C2108C" w:rsidRDefault="00C2108C" w:rsidP="00813DDC">
      <w:pPr>
        <w:ind w:firstLine="708"/>
        <w:rPr>
          <w:lang w:eastAsia="pt-BR"/>
        </w:rPr>
      </w:pPr>
    </w:p>
    <w:p w:rsidR="00813DDC" w:rsidRPr="00813DDC" w:rsidRDefault="00813DDC" w:rsidP="00813DDC">
      <w:pPr>
        <w:ind w:firstLine="708"/>
        <w:rPr>
          <w:lang w:eastAsia="pt-BR"/>
        </w:rPr>
      </w:pPr>
      <w:r w:rsidRPr="00813DDC">
        <w:rPr>
          <w:lang w:eastAsia="pt-BR"/>
        </w:rPr>
        <w:lastRenderedPageBreak/>
        <w:t>Em que:</w:t>
      </w:r>
    </w:p>
    <w:p w:rsidR="00813DDC" w:rsidRPr="00813DDC" w:rsidRDefault="00813DDC" w:rsidP="0066661F">
      <w:pPr>
        <w:numPr>
          <w:ilvl w:val="0"/>
          <w:numId w:val="27"/>
        </w:numPr>
        <w:ind w:hanging="357"/>
        <w:jc w:val="both"/>
        <w:rPr>
          <w:rFonts w:eastAsia="Times New Roman" w:cs="Arial"/>
          <w:i/>
          <w:szCs w:val="20"/>
          <w:lang w:eastAsia="pt-BR"/>
        </w:rPr>
      </w:pPr>
      <w:r w:rsidRPr="00813DDC">
        <w:rPr>
          <w:rFonts w:eastAsia="Times New Roman" w:cs="Arial"/>
          <w:i/>
          <w:szCs w:val="20"/>
          <w:lang w:eastAsia="pt-BR"/>
        </w:rPr>
        <w:t>IPGRS = Porcentagem de geradores com entrega do Plano de Gerenciamento de Resíduos Sólidos (PGRS) em dia.</w:t>
      </w:r>
    </w:p>
    <w:p w:rsidR="00813DDC" w:rsidRPr="00813DDC" w:rsidRDefault="00813DDC" w:rsidP="0066661F">
      <w:pPr>
        <w:numPr>
          <w:ilvl w:val="0"/>
          <w:numId w:val="27"/>
        </w:numPr>
        <w:ind w:hanging="357"/>
        <w:jc w:val="both"/>
        <w:rPr>
          <w:rFonts w:eastAsia="Times New Roman" w:cs="Arial"/>
          <w:i/>
          <w:szCs w:val="20"/>
          <w:lang w:eastAsia="pt-BR"/>
        </w:rPr>
      </w:pPr>
      <w:r w:rsidRPr="00813DDC">
        <w:rPr>
          <w:rFonts w:eastAsia="Times New Roman" w:cs="Arial"/>
          <w:i/>
          <w:szCs w:val="20"/>
          <w:lang w:eastAsia="pt-BR"/>
        </w:rPr>
        <w:t>PGRSE = nº de PGRS entregues à Prefeitura Municipal.</w:t>
      </w:r>
    </w:p>
    <w:p w:rsidR="00813DDC" w:rsidRPr="00813DDC" w:rsidRDefault="00813DDC" w:rsidP="0066661F">
      <w:pPr>
        <w:numPr>
          <w:ilvl w:val="0"/>
          <w:numId w:val="27"/>
        </w:numPr>
        <w:ind w:hanging="357"/>
        <w:jc w:val="both"/>
        <w:rPr>
          <w:rFonts w:eastAsia="Times New Roman" w:cs="Arial"/>
          <w:i/>
          <w:szCs w:val="20"/>
          <w:lang w:eastAsia="pt-BR"/>
        </w:rPr>
      </w:pPr>
      <w:r w:rsidRPr="00813DDC">
        <w:rPr>
          <w:rFonts w:eastAsia="Times New Roman" w:cs="Arial"/>
          <w:i/>
          <w:szCs w:val="20"/>
          <w:lang w:eastAsia="pt-BR"/>
        </w:rPr>
        <w:t>PGRST = nº total de PGRS que deveria ser entregue à Prefeitura Municipal.</w:t>
      </w:r>
    </w:p>
    <w:p w:rsidR="00813DDC" w:rsidRPr="00813DDC" w:rsidRDefault="00813DDC" w:rsidP="00813DDC">
      <w:pPr>
        <w:ind w:firstLine="708"/>
        <w:jc w:val="both"/>
        <w:rPr>
          <w:lang w:eastAsia="pt-BR"/>
        </w:rPr>
      </w:pPr>
      <w:r w:rsidRPr="00813DDC">
        <w:rPr>
          <w:lang w:eastAsia="pt-BR"/>
        </w:rPr>
        <w:t>Aponta a efetividade do controle e da fiscalização dos geradores com obrigatoriedade de entrega do Plano de Gerenciamento de Resíduos Sólidos, podendo embasar a aplicação de medidas punitivas e integrativas, para que os geradores incorporem a cultura de elaboração do plano e de gerenciamento adequado dos resíduos.</w:t>
      </w:r>
    </w:p>
    <w:p w:rsidR="00813DDC" w:rsidRPr="00813DDC" w:rsidRDefault="00813DDC" w:rsidP="00BC01B1">
      <w:pPr>
        <w:pStyle w:val="Ttulo3"/>
      </w:pPr>
      <w:bookmarkStart w:id="2937" w:name="_Toc453769431"/>
      <w:bookmarkStart w:id="2938" w:name="_Toc453771298"/>
      <w:bookmarkStart w:id="2939" w:name="_Toc453833846"/>
      <w:bookmarkStart w:id="2940" w:name="_Toc499019123"/>
      <w:bookmarkStart w:id="2941" w:name="_Toc499106856"/>
      <w:bookmarkStart w:id="2942" w:name="_Toc499107176"/>
      <w:bookmarkStart w:id="2943" w:name="_Toc499107996"/>
      <w:bookmarkStart w:id="2944" w:name="_Toc499108833"/>
      <w:bookmarkStart w:id="2945" w:name="_Toc499109658"/>
      <w:bookmarkStart w:id="2946" w:name="_Toc499109824"/>
      <w:bookmarkStart w:id="2947" w:name="_Toc499710030"/>
      <w:bookmarkStart w:id="2948" w:name="_Toc509935753"/>
      <w:r w:rsidRPr="00813DDC">
        <w:t>Indicador para o objetivo 6</w:t>
      </w:r>
      <w:bookmarkEnd w:id="2937"/>
      <w:bookmarkEnd w:id="2938"/>
      <w:bookmarkEnd w:id="2939"/>
      <w:bookmarkEnd w:id="2940"/>
      <w:bookmarkEnd w:id="2941"/>
      <w:bookmarkEnd w:id="2942"/>
      <w:bookmarkEnd w:id="2943"/>
      <w:bookmarkEnd w:id="2944"/>
      <w:bookmarkEnd w:id="2945"/>
      <w:bookmarkEnd w:id="2946"/>
      <w:bookmarkEnd w:id="2947"/>
      <w:bookmarkEnd w:id="2948"/>
    </w:p>
    <w:p w:rsidR="00813DDC" w:rsidRPr="00813DDC" w:rsidRDefault="00813DDC" w:rsidP="00BC01B1">
      <w:pPr>
        <w:pStyle w:val="Ttulo4"/>
      </w:pPr>
      <w:bookmarkStart w:id="2949" w:name="_Toc453769432"/>
      <w:bookmarkStart w:id="2950" w:name="_Toc453771299"/>
      <w:bookmarkStart w:id="2951" w:name="_Toc453833847"/>
      <w:bookmarkStart w:id="2952" w:name="_Toc499019124"/>
      <w:bookmarkStart w:id="2953" w:name="_Toc499106857"/>
      <w:bookmarkStart w:id="2954" w:name="_Toc499107177"/>
      <w:bookmarkStart w:id="2955" w:name="_Toc499107997"/>
      <w:bookmarkStart w:id="2956" w:name="_Toc499108834"/>
      <w:bookmarkStart w:id="2957" w:name="_Toc499109659"/>
      <w:bookmarkStart w:id="2958" w:name="_Toc499109825"/>
      <w:bookmarkStart w:id="2959" w:name="_Toc499710031"/>
      <w:bookmarkStart w:id="2960" w:name="_Toc509935754"/>
      <w:r w:rsidRPr="00813DDC">
        <w:t>Quantidade de empreendimentos licenciados</w:t>
      </w:r>
      <w:bookmarkEnd w:id="2949"/>
      <w:bookmarkEnd w:id="2950"/>
      <w:bookmarkEnd w:id="2951"/>
      <w:bookmarkEnd w:id="2952"/>
      <w:bookmarkEnd w:id="2953"/>
      <w:bookmarkEnd w:id="2954"/>
      <w:bookmarkEnd w:id="2955"/>
      <w:bookmarkEnd w:id="2956"/>
      <w:bookmarkEnd w:id="2957"/>
      <w:bookmarkEnd w:id="2958"/>
      <w:bookmarkEnd w:id="2959"/>
      <w:bookmarkEnd w:id="2960"/>
    </w:p>
    <w:p w:rsidR="00813DDC" w:rsidRPr="00813DDC" w:rsidRDefault="00813DDC" w:rsidP="00813DDC">
      <w:pPr>
        <w:jc w:val="both"/>
        <w:rPr>
          <w:lang w:eastAsia="pt-BR"/>
        </w:rPr>
      </w:pPr>
      <w:r w:rsidRPr="00813DDC">
        <w:rPr>
          <w:lang w:eastAsia="pt-BR"/>
        </w:rPr>
        <w:tab/>
        <w:t>O indicador possibilita verificar a quantidade de empreendimentos relacionados a resíduos sólidos que tiveram processos de licenciamentos (Licença Prévia, Licença de Instalação e Licença de Operação) deferidos pelo órgão ambiental.</w:t>
      </w:r>
    </w:p>
    <w:p w:rsidR="00813DDC" w:rsidRPr="00813DDC" w:rsidRDefault="00813DDC" w:rsidP="00BC01B1">
      <w:pPr>
        <w:pStyle w:val="Ttulo3"/>
      </w:pPr>
      <w:bookmarkStart w:id="2961" w:name="_Toc453769433"/>
      <w:bookmarkStart w:id="2962" w:name="_Toc453771300"/>
      <w:bookmarkStart w:id="2963" w:name="_Toc453833848"/>
      <w:bookmarkStart w:id="2964" w:name="_Toc499019125"/>
      <w:bookmarkStart w:id="2965" w:name="_Toc499106858"/>
      <w:bookmarkStart w:id="2966" w:name="_Toc499107178"/>
      <w:bookmarkStart w:id="2967" w:name="_Toc499107998"/>
      <w:bookmarkStart w:id="2968" w:name="_Toc499108835"/>
      <w:bookmarkStart w:id="2969" w:name="_Toc499109660"/>
      <w:bookmarkStart w:id="2970" w:name="_Toc499109826"/>
      <w:bookmarkStart w:id="2971" w:name="_Toc499710032"/>
      <w:bookmarkStart w:id="2972" w:name="_Toc509935755"/>
      <w:r w:rsidRPr="00813DDC">
        <w:t>Indicadores para o objetivo 7</w:t>
      </w:r>
      <w:bookmarkEnd w:id="2961"/>
      <w:bookmarkEnd w:id="2962"/>
      <w:bookmarkEnd w:id="2963"/>
      <w:bookmarkEnd w:id="2964"/>
      <w:bookmarkEnd w:id="2965"/>
      <w:bookmarkEnd w:id="2966"/>
      <w:bookmarkEnd w:id="2967"/>
      <w:bookmarkEnd w:id="2968"/>
      <w:bookmarkEnd w:id="2969"/>
      <w:bookmarkEnd w:id="2970"/>
      <w:bookmarkEnd w:id="2971"/>
      <w:bookmarkEnd w:id="2972"/>
    </w:p>
    <w:p w:rsidR="00813DDC" w:rsidRPr="00813DDC" w:rsidRDefault="00813DDC" w:rsidP="00BC01B1">
      <w:pPr>
        <w:pStyle w:val="Ttulo4"/>
      </w:pPr>
      <w:bookmarkStart w:id="2973" w:name="_Toc453769434"/>
      <w:bookmarkStart w:id="2974" w:name="_Toc453771301"/>
      <w:bookmarkStart w:id="2975" w:name="_Toc453833849"/>
      <w:bookmarkStart w:id="2976" w:name="_Toc499019126"/>
      <w:bookmarkStart w:id="2977" w:name="_Toc499106859"/>
      <w:bookmarkStart w:id="2978" w:name="_Toc499107179"/>
      <w:bookmarkStart w:id="2979" w:name="_Toc499107999"/>
      <w:bookmarkStart w:id="2980" w:name="_Toc499108836"/>
      <w:bookmarkStart w:id="2981" w:name="_Toc499109661"/>
      <w:bookmarkStart w:id="2982" w:name="_Toc499109827"/>
      <w:bookmarkStart w:id="2983" w:name="_Toc499710033"/>
      <w:bookmarkStart w:id="2984" w:name="_Toc509935756"/>
      <w:r w:rsidRPr="00813DDC">
        <w:t>Número de eventos oficiais realizados no município, por ano, voltados à conscientização da população sobre os resíduos sólidos</w:t>
      </w:r>
      <w:bookmarkEnd w:id="2973"/>
      <w:bookmarkEnd w:id="2974"/>
      <w:bookmarkEnd w:id="2975"/>
      <w:bookmarkEnd w:id="2976"/>
      <w:bookmarkEnd w:id="2977"/>
      <w:bookmarkEnd w:id="2978"/>
      <w:bookmarkEnd w:id="2979"/>
      <w:bookmarkEnd w:id="2980"/>
      <w:bookmarkEnd w:id="2981"/>
      <w:bookmarkEnd w:id="2982"/>
      <w:bookmarkEnd w:id="2983"/>
      <w:bookmarkEnd w:id="2984"/>
    </w:p>
    <w:p w:rsidR="00813DDC" w:rsidRPr="00813DDC" w:rsidRDefault="00813DDC" w:rsidP="00813DDC">
      <w:pPr>
        <w:jc w:val="both"/>
        <w:rPr>
          <w:lang w:eastAsia="pt-BR"/>
        </w:rPr>
      </w:pPr>
      <w:r w:rsidRPr="00813DDC">
        <w:rPr>
          <w:lang w:eastAsia="pt-BR"/>
        </w:rPr>
        <w:tab/>
        <w:t>O indicador permite a verificação da quantidade de eventos relacionados à conscientização da população sobre resíduos sólidos, a fim de atender ao objetivo de "estabelecer instrumentos de comunicação com a sociedade e de mobilização social, e promover ações para avaliação da percepção dos usuários e para promoção de educação ambiental".</w:t>
      </w:r>
    </w:p>
    <w:p w:rsidR="00813DDC" w:rsidRPr="00813DDC" w:rsidRDefault="00813DDC" w:rsidP="00BC01B1">
      <w:pPr>
        <w:pStyle w:val="Ttulo4"/>
      </w:pPr>
      <w:bookmarkStart w:id="2985" w:name="_Toc453769435"/>
      <w:bookmarkStart w:id="2986" w:name="_Toc453771302"/>
      <w:bookmarkStart w:id="2987" w:name="_Toc453833850"/>
      <w:bookmarkStart w:id="2988" w:name="_Toc499019127"/>
      <w:bookmarkStart w:id="2989" w:name="_Toc499106860"/>
      <w:bookmarkStart w:id="2990" w:name="_Toc499107180"/>
      <w:bookmarkStart w:id="2991" w:name="_Toc499108000"/>
      <w:bookmarkStart w:id="2992" w:name="_Toc499108837"/>
      <w:bookmarkStart w:id="2993" w:name="_Toc499109662"/>
      <w:bookmarkStart w:id="2994" w:name="_Toc499109828"/>
      <w:bookmarkStart w:id="2995" w:name="_Toc499710034"/>
      <w:bookmarkStart w:id="2996" w:name="_Toc509935757"/>
      <w:r w:rsidRPr="00813DDC">
        <w:t>Existência de informações atualizadas, sistematizadas e disponibilizadas para a população</w:t>
      </w:r>
      <w:bookmarkEnd w:id="2985"/>
      <w:bookmarkEnd w:id="2986"/>
      <w:bookmarkEnd w:id="2987"/>
      <w:bookmarkEnd w:id="2988"/>
      <w:bookmarkEnd w:id="2989"/>
      <w:bookmarkEnd w:id="2990"/>
      <w:bookmarkEnd w:id="2991"/>
      <w:bookmarkEnd w:id="2992"/>
      <w:bookmarkEnd w:id="2993"/>
      <w:bookmarkEnd w:id="2994"/>
      <w:bookmarkEnd w:id="2995"/>
      <w:bookmarkEnd w:id="2996"/>
    </w:p>
    <w:p w:rsidR="00813DDC" w:rsidRPr="00813DDC" w:rsidRDefault="00813DDC" w:rsidP="00813DDC">
      <w:pPr>
        <w:jc w:val="both"/>
        <w:rPr>
          <w:lang w:eastAsia="pt-BR"/>
        </w:rPr>
      </w:pPr>
      <w:r w:rsidRPr="00813DDC">
        <w:rPr>
          <w:lang w:eastAsia="pt-BR"/>
        </w:rPr>
        <w:tab/>
        <w:t xml:space="preserve">O indicador permite verificar a quantidade de consultas realizadas pela população às informações disponibilizadas, a fim de atender ao objetivo de "estabelecer instrumentos de comunicação com a sociedade e de mobilização social, e </w:t>
      </w:r>
      <w:r w:rsidRPr="00813DDC">
        <w:rPr>
          <w:lang w:eastAsia="pt-BR"/>
        </w:rPr>
        <w:lastRenderedPageBreak/>
        <w:t>promover ações para avaliação da percepção dos usuários e para promoção de educação ambiental".</w:t>
      </w:r>
    </w:p>
    <w:p w:rsidR="00813DDC" w:rsidRPr="00813DDC" w:rsidRDefault="00813DDC" w:rsidP="00BC01B1">
      <w:pPr>
        <w:pStyle w:val="Ttulo4"/>
      </w:pPr>
      <w:bookmarkStart w:id="2997" w:name="_Toc453769436"/>
      <w:bookmarkStart w:id="2998" w:name="_Toc453771303"/>
      <w:bookmarkStart w:id="2999" w:name="_Toc453833851"/>
      <w:bookmarkStart w:id="3000" w:name="_Toc499019128"/>
      <w:bookmarkStart w:id="3001" w:name="_Toc499106861"/>
      <w:bookmarkStart w:id="3002" w:name="_Toc499107181"/>
      <w:bookmarkStart w:id="3003" w:name="_Toc499108001"/>
      <w:bookmarkStart w:id="3004" w:name="_Toc499108838"/>
      <w:bookmarkStart w:id="3005" w:name="_Toc499109663"/>
      <w:bookmarkStart w:id="3006" w:name="_Toc499109829"/>
      <w:bookmarkStart w:id="3007" w:name="_Toc499710035"/>
      <w:bookmarkStart w:id="3008" w:name="_Toc509935758"/>
      <w:r w:rsidRPr="00813DDC">
        <w:t>Participação da população através de canais específicos para gestão dos RSU</w:t>
      </w:r>
      <w:bookmarkEnd w:id="2997"/>
      <w:bookmarkEnd w:id="2998"/>
      <w:bookmarkEnd w:id="2999"/>
      <w:bookmarkEnd w:id="3000"/>
      <w:bookmarkEnd w:id="3001"/>
      <w:bookmarkEnd w:id="3002"/>
      <w:bookmarkEnd w:id="3003"/>
      <w:bookmarkEnd w:id="3004"/>
      <w:bookmarkEnd w:id="3005"/>
      <w:bookmarkEnd w:id="3006"/>
      <w:bookmarkEnd w:id="3007"/>
      <w:bookmarkEnd w:id="3008"/>
    </w:p>
    <w:p w:rsidR="00813DDC" w:rsidRPr="00813DDC" w:rsidRDefault="00813DDC" w:rsidP="00813DDC">
      <w:pPr>
        <w:jc w:val="both"/>
        <w:rPr>
          <w:lang w:eastAsia="pt-BR"/>
        </w:rPr>
      </w:pPr>
      <w:r w:rsidRPr="00813DDC">
        <w:rPr>
          <w:lang w:eastAsia="pt-BR"/>
        </w:rPr>
        <w:tab/>
        <w:t>O indicador permite verificar se a população está contribuindo para a gestão dos resíduos sólidos urbanos através de registros de informações nos canais específicos, a fim de atender ao objetivo de "estabelecer instrumentos de comunicação com a sociedade e de mobilização social, e promover ações para avaliação da percepção dos usuários e para promoção de educação ambiental".</w:t>
      </w:r>
    </w:p>
    <w:p w:rsidR="00813DDC" w:rsidRPr="00813DDC" w:rsidRDefault="00813DDC" w:rsidP="00BC01B1">
      <w:pPr>
        <w:pStyle w:val="Ttulo4"/>
      </w:pPr>
      <w:bookmarkStart w:id="3009" w:name="_Toc453769437"/>
      <w:bookmarkStart w:id="3010" w:name="_Toc453771304"/>
      <w:bookmarkStart w:id="3011" w:name="_Toc453833852"/>
      <w:bookmarkStart w:id="3012" w:name="_Toc499019129"/>
      <w:bookmarkStart w:id="3013" w:name="_Toc499106862"/>
      <w:bookmarkStart w:id="3014" w:name="_Toc499107182"/>
      <w:bookmarkStart w:id="3015" w:name="_Toc499108002"/>
      <w:bookmarkStart w:id="3016" w:name="_Toc499108839"/>
      <w:bookmarkStart w:id="3017" w:name="_Toc499109664"/>
      <w:bookmarkStart w:id="3018" w:name="_Toc499109830"/>
      <w:bookmarkStart w:id="3019" w:name="_Toc499710036"/>
      <w:bookmarkStart w:id="3020" w:name="_Toc509935759"/>
      <w:r w:rsidRPr="00813DDC">
        <w:t>Índice de respostas satisfatórias a reclamações</w:t>
      </w:r>
      <w:bookmarkEnd w:id="3009"/>
      <w:bookmarkEnd w:id="3010"/>
      <w:bookmarkEnd w:id="3011"/>
      <w:bookmarkEnd w:id="3012"/>
      <w:bookmarkEnd w:id="3013"/>
      <w:bookmarkEnd w:id="3014"/>
      <w:bookmarkEnd w:id="3015"/>
      <w:bookmarkEnd w:id="3016"/>
      <w:bookmarkEnd w:id="3017"/>
      <w:bookmarkEnd w:id="3018"/>
      <w:bookmarkEnd w:id="3019"/>
      <w:bookmarkEnd w:id="3020"/>
    </w:p>
    <w:p w:rsidR="00813DDC" w:rsidRPr="00813DDC" w:rsidRDefault="001B481B" w:rsidP="00813DDC">
      <w:pPr>
        <w:jc w:val="center"/>
        <w:rPr>
          <w:rFonts w:ascii="Cambria Math" w:eastAsia="Times New Roman" w:hAnsi="Cambria Math" w:cs="Arial"/>
          <w:i/>
          <w:sz w:val="22"/>
          <w:lang w:eastAsia="pt-BR"/>
        </w:rPr>
      </w:pPr>
      <m:oMathPara>
        <m:oMath>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I</m:t>
              </m:r>
            </m:e>
            <m:sub>
              <m:r>
                <w:rPr>
                  <w:rFonts w:ascii="Cambria Math" w:eastAsia="Times New Roman" w:hAnsi="Cambria Math" w:cs="Arial"/>
                  <w:sz w:val="22"/>
                  <w:lang w:eastAsia="pt-BR"/>
                </w:rPr>
                <m:t>R</m:t>
              </m:r>
            </m:sub>
          </m:sSub>
          <m:r>
            <w:rPr>
              <w:rFonts w:ascii="Cambria Math" w:eastAsia="Times New Roman" w:hAnsi="Cambria Math" w:cs="Arial"/>
              <w:sz w:val="22"/>
              <w:lang w:eastAsia="pt-BR"/>
            </w:rPr>
            <m:t>=</m:t>
          </m:r>
          <m:f>
            <m:fPr>
              <m:ctrlPr>
                <w:rPr>
                  <w:rFonts w:ascii="Cambria Math" w:eastAsia="Times New Roman" w:hAnsi="Cambria Math" w:cs="Arial"/>
                  <w:i/>
                  <w:sz w:val="22"/>
                  <w:lang w:eastAsia="pt-BR"/>
                </w:rPr>
              </m:ctrlPr>
            </m:fPr>
            <m:num>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N</m:t>
                  </m:r>
                </m:e>
                <m:sub>
                  <m:r>
                    <w:rPr>
                      <w:rFonts w:ascii="Cambria Math" w:eastAsia="Times New Roman" w:hAnsi="Cambria Math" w:cs="Arial"/>
                      <w:sz w:val="22"/>
                      <w:lang w:eastAsia="pt-BR"/>
                    </w:rPr>
                    <m:t>R</m:t>
                  </m:r>
                </m:sub>
              </m:sSub>
              <m:r>
                <w:rPr>
                  <w:rFonts w:ascii="Cambria Math" w:eastAsia="Times New Roman" w:hAnsi="Cambria Math" w:cs="Arial" w:hint="eastAsia"/>
                  <w:sz w:val="22"/>
                  <w:lang w:eastAsia="pt-BR"/>
                </w:rPr>
                <m:t>×</m:t>
              </m:r>
              <m:r>
                <w:rPr>
                  <w:rFonts w:ascii="Cambria Math" w:eastAsia="Times New Roman" w:hAnsi="Cambria Math" w:cs="Arial"/>
                  <w:sz w:val="22"/>
                  <w:lang w:eastAsia="pt-BR"/>
                </w:rPr>
                <m:t>100</m:t>
              </m:r>
            </m:num>
            <m:den>
              <m:sSub>
                <m:sSubPr>
                  <m:ctrlPr>
                    <w:rPr>
                      <w:rFonts w:ascii="Cambria Math" w:eastAsia="Times New Roman" w:hAnsi="Cambria Math" w:cs="Arial"/>
                      <w:i/>
                      <w:sz w:val="22"/>
                      <w:lang w:eastAsia="pt-BR"/>
                    </w:rPr>
                  </m:ctrlPr>
                </m:sSubPr>
                <m:e>
                  <m:r>
                    <w:rPr>
                      <w:rFonts w:ascii="Cambria Math" w:eastAsia="Times New Roman" w:hAnsi="Cambria Math" w:cs="Arial"/>
                      <w:sz w:val="22"/>
                      <w:lang w:eastAsia="pt-BR"/>
                    </w:rPr>
                    <m:t>N</m:t>
                  </m:r>
                </m:e>
                <m:sub>
                  <m:r>
                    <w:rPr>
                      <w:rFonts w:ascii="Cambria Math" w:eastAsia="Times New Roman" w:hAnsi="Cambria Math" w:cs="Arial"/>
                      <w:sz w:val="22"/>
                      <w:lang w:eastAsia="pt-BR"/>
                    </w:rPr>
                    <m:t>T</m:t>
                  </m:r>
                </m:sub>
              </m:sSub>
            </m:den>
          </m:f>
        </m:oMath>
      </m:oMathPara>
    </w:p>
    <w:p w:rsidR="00813DDC" w:rsidRPr="00813DDC" w:rsidRDefault="00813DDC" w:rsidP="00813DDC">
      <w:pPr>
        <w:ind w:firstLine="709"/>
        <w:contextualSpacing/>
        <w:rPr>
          <w:rFonts w:eastAsia="Times New Roman" w:cs="Arial"/>
          <w:szCs w:val="20"/>
          <w:lang w:eastAsia="pt-BR"/>
        </w:rPr>
      </w:pPr>
      <w:r w:rsidRPr="00813DDC">
        <w:rPr>
          <w:rFonts w:eastAsia="Times New Roman" w:cs="Arial"/>
          <w:szCs w:val="20"/>
          <w:lang w:eastAsia="pt-BR"/>
        </w:rPr>
        <w:t>Em que:</w:t>
      </w:r>
    </w:p>
    <w:p w:rsidR="00813DDC" w:rsidRPr="00813DDC" w:rsidRDefault="00813DDC" w:rsidP="0066661F">
      <w:pPr>
        <w:numPr>
          <w:ilvl w:val="0"/>
          <w:numId w:val="27"/>
        </w:numPr>
        <w:ind w:hanging="357"/>
        <w:jc w:val="both"/>
        <w:rPr>
          <w:rFonts w:eastAsia="Times New Roman" w:cs="Arial"/>
          <w:i/>
          <w:szCs w:val="20"/>
          <w:lang w:eastAsia="pt-BR"/>
        </w:rPr>
      </w:pPr>
      <w:r w:rsidRPr="00813DDC">
        <w:rPr>
          <w:rFonts w:eastAsia="Times New Roman" w:cs="Arial"/>
          <w:i/>
          <w:szCs w:val="20"/>
          <w:lang w:eastAsia="pt-BR"/>
        </w:rPr>
        <w:t>I</w:t>
      </w:r>
      <w:r w:rsidRPr="00813DDC">
        <w:rPr>
          <w:rFonts w:eastAsia="Times New Roman" w:cs="Arial"/>
          <w:i/>
          <w:szCs w:val="20"/>
          <w:vertAlign w:val="subscript"/>
          <w:lang w:eastAsia="pt-BR"/>
        </w:rPr>
        <w:t>R</w:t>
      </w:r>
      <w:r w:rsidRPr="00813DDC">
        <w:rPr>
          <w:rFonts w:eastAsia="Times New Roman" w:cs="Arial"/>
          <w:i/>
          <w:szCs w:val="20"/>
          <w:lang w:eastAsia="pt-BR"/>
        </w:rPr>
        <w:t xml:space="preserve"> = Índice de respostas satisfatórias a reclamações (%).</w:t>
      </w:r>
    </w:p>
    <w:p w:rsidR="00813DDC" w:rsidRPr="00813DDC" w:rsidRDefault="00813DDC" w:rsidP="0066661F">
      <w:pPr>
        <w:numPr>
          <w:ilvl w:val="0"/>
          <w:numId w:val="27"/>
        </w:numPr>
        <w:ind w:hanging="357"/>
        <w:jc w:val="both"/>
        <w:rPr>
          <w:rFonts w:eastAsia="Times New Roman" w:cs="Arial"/>
          <w:i/>
          <w:szCs w:val="20"/>
          <w:lang w:eastAsia="pt-BR"/>
        </w:rPr>
      </w:pPr>
      <w:r w:rsidRPr="00813DDC">
        <w:rPr>
          <w:rFonts w:eastAsia="Times New Roman" w:cs="Arial"/>
          <w:i/>
          <w:szCs w:val="20"/>
          <w:lang w:eastAsia="pt-BR"/>
        </w:rPr>
        <w:t>N</w:t>
      </w:r>
      <w:r w:rsidRPr="00813DDC">
        <w:rPr>
          <w:rFonts w:eastAsia="Times New Roman" w:cs="Arial"/>
          <w:i/>
          <w:szCs w:val="20"/>
          <w:vertAlign w:val="subscript"/>
          <w:lang w:eastAsia="pt-BR"/>
        </w:rPr>
        <w:t>R</w:t>
      </w:r>
      <w:r w:rsidRPr="00813DDC">
        <w:rPr>
          <w:rFonts w:eastAsia="Times New Roman" w:cs="Arial"/>
          <w:i/>
          <w:szCs w:val="20"/>
          <w:lang w:eastAsia="pt-BR"/>
        </w:rPr>
        <w:t xml:space="preserve"> = Número de reclamações satisfatoriamente respondidas.</w:t>
      </w:r>
    </w:p>
    <w:p w:rsidR="00813DDC" w:rsidRPr="00813DDC" w:rsidRDefault="00813DDC" w:rsidP="0066661F">
      <w:pPr>
        <w:numPr>
          <w:ilvl w:val="0"/>
          <w:numId w:val="27"/>
        </w:numPr>
        <w:ind w:hanging="357"/>
        <w:jc w:val="both"/>
        <w:rPr>
          <w:rFonts w:eastAsia="Times New Roman" w:cs="Arial"/>
          <w:i/>
          <w:szCs w:val="20"/>
          <w:lang w:eastAsia="pt-BR"/>
        </w:rPr>
      </w:pPr>
      <w:r w:rsidRPr="00813DDC">
        <w:rPr>
          <w:rFonts w:eastAsia="Times New Roman" w:cs="Arial"/>
          <w:i/>
          <w:szCs w:val="20"/>
          <w:lang w:eastAsia="pt-BR"/>
        </w:rPr>
        <w:t>N</w:t>
      </w:r>
      <w:r w:rsidRPr="00813DDC">
        <w:rPr>
          <w:rFonts w:eastAsia="Times New Roman" w:cs="Arial"/>
          <w:i/>
          <w:szCs w:val="20"/>
          <w:vertAlign w:val="subscript"/>
          <w:lang w:eastAsia="pt-BR"/>
        </w:rPr>
        <w:t>T</w:t>
      </w:r>
      <w:r w:rsidRPr="00813DDC">
        <w:rPr>
          <w:rFonts w:eastAsia="Times New Roman" w:cs="Arial"/>
          <w:i/>
          <w:szCs w:val="20"/>
          <w:lang w:eastAsia="pt-BR"/>
        </w:rPr>
        <w:t xml:space="preserve"> = Número total de reclamações feitas.</w:t>
      </w:r>
    </w:p>
    <w:p w:rsidR="00813DDC" w:rsidRPr="00813DDC" w:rsidRDefault="00813DDC" w:rsidP="00813DDC">
      <w:pPr>
        <w:ind w:firstLine="709"/>
        <w:contextualSpacing/>
        <w:jc w:val="both"/>
        <w:rPr>
          <w:rFonts w:eastAsia="Times New Roman" w:cs="Arial"/>
          <w:szCs w:val="20"/>
          <w:lang w:eastAsia="pt-BR"/>
        </w:rPr>
      </w:pPr>
      <w:r w:rsidRPr="00813DDC">
        <w:rPr>
          <w:rFonts w:eastAsia="Times New Roman" w:cs="Arial"/>
          <w:szCs w:val="20"/>
          <w:lang w:eastAsia="pt-BR"/>
        </w:rPr>
        <w:t xml:space="preserve">O indicador permitirá verificar se eventuais reclamações da população de </w:t>
      </w:r>
      <w:r w:rsidRPr="00813DDC">
        <w:rPr>
          <w:rFonts w:cs="Arial"/>
          <w:szCs w:val="24"/>
        </w:rPr>
        <w:t xml:space="preserve">Córrego Novo </w:t>
      </w:r>
      <w:r w:rsidRPr="00813DDC">
        <w:rPr>
          <w:rFonts w:eastAsia="Times New Roman" w:cs="Arial"/>
          <w:szCs w:val="20"/>
          <w:lang w:eastAsia="pt-BR"/>
        </w:rPr>
        <w:t>estão efetivamente sendo levadas em consideração de maneira satisfatória.</w:t>
      </w:r>
    </w:p>
    <w:p w:rsidR="00813DDC" w:rsidRPr="00813DDC" w:rsidRDefault="00813DDC" w:rsidP="00813DDC">
      <w:pPr>
        <w:ind w:firstLine="709"/>
        <w:contextualSpacing/>
        <w:jc w:val="both"/>
        <w:rPr>
          <w:rFonts w:eastAsia="Times New Roman" w:cs="Arial"/>
          <w:szCs w:val="20"/>
          <w:lang w:eastAsia="pt-BR"/>
        </w:rPr>
      </w:pPr>
      <w:r w:rsidRPr="00813DDC">
        <w:rPr>
          <w:rFonts w:eastAsia="Times New Roman" w:cs="Arial"/>
          <w:szCs w:val="20"/>
          <w:lang w:eastAsia="pt-BR"/>
        </w:rPr>
        <w:t xml:space="preserve">Naturalmente a classificação das respostas às reclamações em “satisfatórias” (ou não) deve ser efetuada pelo próprio morador que registrou a reclamação. Para tanto, há a necessidade de se manter um canal de comunicação direta com a população para o recebimento de </w:t>
      </w:r>
      <w:r w:rsidRPr="00813DDC">
        <w:rPr>
          <w:rFonts w:eastAsia="Times New Roman" w:cs="Arial"/>
          <w:i/>
          <w:szCs w:val="20"/>
          <w:lang w:eastAsia="pt-BR"/>
        </w:rPr>
        <w:t>feedbacks</w:t>
      </w:r>
      <w:r w:rsidRPr="00813DDC">
        <w:rPr>
          <w:rFonts w:eastAsia="Times New Roman" w:cs="Arial"/>
          <w:szCs w:val="20"/>
          <w:lang w:eastAsia="pt-BR"/>
        </w:rPr>
        <w:t xml:space="preserve"> dos serviços prestados.</w:t>
      </w:r>
    </w:p>
    <w:p w:rsidR="00A208BD" w:rsidRPr="00E37340" w:rsidRDefault="00A208BD" w:rsidP="00BC01B1">
      <w:pPr>
        <w:pStyle w:val="SHS-Ttulo01"/>
      </w:pPr>
      <w:bookmarkStart w:id="3021" w:name="_Toc499215500"/>
      <w:bookmarkStart w:id="3022" w:name="_Toc504404636"/>
      <w:bookmarkStart w:id="3023" w:name="_Toc509935760"/>
      <w:r>
        <w:t>Base de dados espaciais</w:t>
      </w:r>
      <w:bookmarkEnd w:id="3021"/>
      <w:bookmarkEnd w:id="3022"/>
      <w:bookmarkEnd w:id="3023"/>
      <w:r>
        <w:t xml:space="preserve"> </w:t>
      </w:r>
    </w:p>
    <w:p w:rsidR="00A208BD" w:rsidRDefault="00A208BD" w:rsidP="00A208BD">
      <w:pPr>
        <w:ind w:firstLine="708"/>
        <w:jc w:val="both"/>
      </w:pPr>
      <w:r w:rsidRPr="007151D6">
        <w:t xml:space="preserve">A </w:t>
      </w:r>
      <w:r>
        <w:t>B</w:t>
      </w:r>
      <w:r w:rsidRPr="007151D6">
        <w:t xml:space="preserve">ase </w:t>
      </w:r>
      <w:r>
        <w:t>de Dados Espaciais ou Base Cartográfica</w:t>
      </w:r>
      <w:r w:rsidRPr="007151D6">
        <w:t xml:space="preserve"> engloba o conjunto de dados geográficos que foram utilizados na elaboração do Plano Municipal de Saneamento Básico de </w:t>
      </w:r>
      <w:r w:rsidR="00813DDC" w:rsidRPr="00813DDC">
        <w:t>Córrego Novo</w:t>
      </w:r>
      <w:r w:rsidRPr="00841358">
        <w:t xml:space="preserve">.  </w:t>
      </w:r>
      <w:r w:rsidRPr="007151D6">
        <w:t xml:space="preserve">Essa </w:t>
      </w:r>
      <w:r>
        <w:t>B</w:t>
      </w:r>
      <w:r w:rsidRPr="007151D6">
        <w:t xml:space="preserve">ase de </w:t>
      </w:r>
      <w:r>
        <w:t>D</w:t>
      </w:r>
      <w:r w:rsidRPr="007151D6">
        <w:t xml:space="preserve">ados serviu como alicerce para elaborar o diagnóstico </w:t>
      </w:r>
      <w:r>
        <w:t>sobre</w:t>
      </w:r>
      <w:r w:rsidRPr="007151D6">
        <w:t xml:space="preserve"> </w:t>
      </w:r>
      <w:r>
        <w:t>os sistemas</w:t>
      </w:r>
      <w:r w:rsidRPr="007151D6">
        <w:t xml:space="preserve"> de saneamento básico</w:t>
      </w:r>
      <w:r>
        <w:t xml:space="preserve"> e para as proposições futuras previstas no PMSB. Ao longo do </w:t>
      </w:r>
      <w:r w:rsidRPr="00841358">
        <w:t>período do Plano, a Base auxiliará os gestores municipais no gerenciamento dos sistemas de saneamento básico, pois permitirá</w:t>
      </w:r>
      <w:r>
        <w:t xml:space="preserve"> a </w:t>
      </w:r>
      <w:r>
        <w:lastRenderedPageBreak/>
        <w:t>visualização dos principais componentes de cada setor localizados no espaço e a sobreposição desses com características físicas do território municipal.</w:t>
      </w:r>
      <w:r w:rsidRPr="007151D6">
        <w:t xml:space="preserve"> Des</w:t>
      </w:r>
      <w:r>
        <w:t>s</w:t>
      </w:r>
      <w:r w:rsidRPr="007151D6">
        <w:t xml:space="preserve">a maneira, </w:t>
      </w:r>
      <w:r>
        <w:t>a Base</w:t>
      </w:r>
      <w:r w:rsidRPr="007151D6">
        <w:t xml:space="preserve"> de </w:t>
      </w:r>
      <w:r>
        <w:t>D</w:t>
      </w:r>
      <w:r w:rsidRPr="007151D6">
        <w:t xml:space="preserve">ados </w:t>
      </w:r>
      <w:r>
        <w:t>E</w:t>
      </w:r>
      <w:r w:rsidRPr="007151D6">
        <w:t>spacia</w:t>
      </w:r>
      <w:r>
        <w:t>is</w:t>
      </w:r>
      <w:r w:rsidRPr="007151D6">
        <w:t xml:space="preserve"> engloba os componentes referentes aos </w:t>
      </w:r>
      <w:r>
        <w:t>quatro</w:t>
      </w:r>
      <w:r w:rsidRPr="007151D6">
        <w:t xml:space="preserve"> eixos do saneamento básico (localização e informações sobre as unidades) e as informações sobre características físicas do município (localização, geomorfologia, hidrogeologia, hidrografia, vegetação, etc.).</w:t>
      </w:r>
    </w:p>
    <w:p w:rsidR="00A208BD" w:rsidRPr="00815419" w:rsidRDefault="00A208BD" w:rsidP="00A208BD">
      <w:pPr>
        <w:ind w:firstLine="708"/>
        <w:jc w:val="both"/>
      </w:pPr>
      <w:r>
        <w:t xml:space="preserve">Para compor a Base foram </w:t>
      </w:r>
      <w:r w:rsidRPr="0017713F">
        <w:t xml:space="preserve">confeccionados mapas sobre os temas citados acima. Esses </w:t>
      </w:r>
      <w:r w:rsidRPr="00841358">
        <w:t>mapas se encontram no</w:t>
      </w:r>
      <w:r w:rsidR="000758DE">
        <w:t xml:space="preserve"> </w:t>
      </w:r>
      <w:r w:rsidR="000758DE">
        <w:fldChar w:fldCharType="begin"/>
      </w:r>
      <w:r w:rsidR="000758DE">
        <w:instrText xml:space="preserve"> REF _Ref505843505 \h </w:instrText>
      </w:r>
      <w:r w:rsidR="000758DE">
        <w:fldChar w:fldCharType="separate"/>
      </w:r>
      <w:r w:rsidR="001B481B">
        <w:t xml:space="preserve">Anexo </w:t>
      </w:r>
      <w:r w:rsidR="001B481B">
        <w:rPr>
          <w:noProof/>
        </w:rPr>
        <w:t>9</w:t>
      </w:r>
      <w:r w:rsidR="000758DE">
        <w:fldChar w:fldCharType="end"/>
      </w:r>
      <w:r w:rsidR="000758DE">
        <w:t>.</w:t>
      </w:r>
      <w:r w:rsidRPr="0017713F">
        <w:t xml:space="preserve"> Os gestores poderão atualizar os mapas existentes ou compor novos mapas, com dados</w:t>
      </w:r>
      <w:r>
        <w:t xml:space="preserve"> e informações que serão levantados futuramente,</w:t>
      </w:r>
      <w:r w:rsidRPr="00725B3D">
        <w:t xml:space="preserve"> </w:t>
      </w:r>
      <w:r>
        <w:t>ao longo do período do PMSB. É possível ainda gerar novos mapas a partir do cruzamento de informações já inseridas na Base, de acordo com as demandas que surgirão.</w:t>
      </w:r>
    </w:p>
    <w:p w:rsidR="00A208BD" w:rsidRPr="007151D6" w:rsidRDefault="00A208BD" w:rsidP="00A208BD">
      <w:pPr>
        <w:ind w:firstLine="708"/>
        <w:jc w:val="both"/>
      </w:pPr>
      <w:r>
        <w:t>A Base Cartográfica está</w:t>
      </w:r>
      <w:r w:rsidRPr="007151D6">
        <w:t xml:space="preserve"> associad</w:t>
      </w:r>
      <w:r>
        <w:t>a</w:t>
      </w:r>
      <w:r w:rsidRPr="007151D6">
        <w:t xml:space="preserve"> às ferramentas de geoprocessamento para facilitar a operacionalização dos dados e </w:t>
      </w:r>
      <w:r w:rsidRPr="00EF274D">
        <w:t>a visualização da localização de</w:t>
      </w:r>
      <w:r w:rsidRPr="007151D6">
        <w:t xml:space="preserve"> cada </w:t>
      </w:r>
      <w:r>
        <w:t xml:space="preserve">componente dos </w:t>
      </w:r>
      <w:r w:rsidRPr="007151D6">
        <w:t>serviço</w:t>
      </w:r>
      <w:r>
        <w:t>s</w:t>
      </w:r>
      <w:r w:rsidRPr="007151D6">
        <w:t xml:space="preserve"> de saneamento básico no município. Dessa maneira, será possível identificar as necessidades de cada setor e, consequentemente, isso subsidiará a tomada de decisões.</w:t>
      </w:r>
    </w:p>
    <w:p w:rsidR="00A208BD" w:rsidRPr="007151D6" w:rsidRDefault="00A208BD" w:rsidP="00A208BD">
      <w:pPr>
        <w:ind w:firstLine="708"/>
        <w:jc w:val="both"/>
      </w:pPr>
      <w:r w:rsidRPr="007151D6">
        <w:t xml:space="preserve">Os arquivos que compõem a </w:t>
      </w:r>
      <w:r>
        <w:t>B</w:t>
      </w:r>
      <w:r w:rsidRPr="007151D6">
        <w:t xml:space="preserve">ase </w:t>
      </w:r>
      <w:r>
        <w:t>C</w:t>
      </w:r>
      <w:r w:rsidRPr="007151D6">
        <w:t xml:space="preserve">artográfica do município foram desenvolvidos em formato </w:t>
      </w:r>
      <w:r w:rsidRPr="00A06B54">
        <w:rPr>
          <w:i/>
        </w:rPr>
        <w:t>shapefile</w:t>
      </w:r>
      <w:r w:rsidRPr="007151D6">
        <w:t xml:space="preserve">. Trata-se de um formato de arquivos padrão para armazenamento de dados geográficos, utilizado na maioria dos Sistemas de Informações Geográficas (SIG). Foi desenvolvido e regulamentado pela </w:t>
      </w:r>
      <w:r w:rsidRPr="00A06B54">
        <w:rPr>
          <w:i/>
        </w:rPr>
        <w:t>Enviromental Systems Research Institute</w:t>
      </w:r>
      <w:r w:rsidRPr="00A06B54">
        <w:t xml:space="preserve"> (ESRI)</w:t>
      </w:r>
      <w:r w:rsidRPr="007151D6">
        <w:t xml:space="preserve">, e permite a interoperabilidade de dados entre </w:t>
      </w:r>
      <w:r w:rsidRPr="00A06B54">
        <w:t>softwares</w:t>
      </w:r>
      <w:r w:rsidRPr="007151D6">
        <w:t xml:space="preserve"> SIG, ou seja, tais arquivos podem ser visualizados, editados e manipulados em diversos </w:t>
      </w:r>
      <w:r w:rsidRPr="00A06B54">
        <w:rPr>
          <w:i/>
        </w:rPr>
        <w:t>softwares</w:t>
      </w:r>
      <w:r w:rsidRPr="007151D6">
        <w:t xml:space="preserve"> diferentes.</w:t>
      </w:r>
    </w:p>
    <w:p w:rsidR="00A208BD" w:rsidRPr="007151D6" w:rsidRDefault="00A208BD" w:rsidP="00A208BD">
      <w:pPr>
        <w:ind w:firstLine="708"/>
        <w:jc w:val="both"/>
      </w:pPr>
      <w:r w:rsidRPr="007151D6">
        <w:t xml:space="preserve">Para elaboração da </w:t>
      </w:r>
      <w:r>
        <w:t>B</w:t>
      </w:r>
      <w:r w:rsidRPr="007151D6">
        <w:t xml:space="preserve">ase </w:t>
      </w:r>
      <w:r>
        <w:t>C</w:t>
      </w:r>
      <w:r w:rsidRPr="007151D6">
        <w:t xml:space="preserve">artográfica foi utilizado o programa Quantum </w:t>
      </w:r>
      <w:r>
        <w:t>GIS</w:t>
      </w:r>
      <w:r w:rsidRPr="007151D6">
        <w:t xml:space="preserve"> (Q</w:t>
      </w:r>
      <w:r>
        <w:t>GIS</w:t>
      </w:r>
      <w:r w:rsidRPr="007151D6">
        <w:t xml:space="preserve">), </w:t>
      </w:r>
      <w:r w:rsidRPr="00A06B54">
        <w:rPr>
          <w:i/>
        </w:rPr>
        <w:t>software</w:t>
      </w:r>
      <w:r w:rsidRPr="007151D6">
        <w:t xml:space="preserve"> de licença gratuita</w:t>
      </w:r>
      <w:r>
        <w:t>,</w:t>
      </w:r>
      <w:r w:rsidRPr="007151D6">
        <w:t xml:space="preserve"> cuja interface é bastante amigável e de fácil assimilação. </w:t>
      </w:r>
      <w:r>
        <w:t xml:space="preserve">A grande vantagem da utilização de um </w:t>
      </w:r>
      <w:r w:rsidRPr="00A06B54">
        <w:rPr>
          <w:i/>
        </w:rPr>
        <w:t>software</w:t>
      </w:r>
      <w:r>
        <w:t xml:space="preserve"> gratuito é a viabilização do uso dessa ferramenta pelos munícipes, em casa, nas escolas, em cursos de educação ambiental, ou sobre saneamento básico, entre outros. </w:t>
      </w:r>
      <w:r w:rsidRPr="007151D6">
        <w:t>Vale ressaltar que existem outros programas com características similares que podem ser utilizados, tais como</w:t>
      </w:r>
      <w:r>
        <w:t>:</w:t>
      </w:r>
      <w:r w:rsidRPr="007151D6">
        <w:t xml:space="preserve"> o </w:t>
      </w:r>
      <w:r w:rsidRPr="00A06B54">
        <w:rPr>
          <w:i/>
        </w:rPr>
        <w:t>Mapwindow Open Source</w:t>
      </w:r>
      <w:r w:rsidRPr="007151D6">
        <w:t xml:space="preserve"> (http://www.mapwindow.org/), </w:t>
      </w:r>
      <w:r w:rsidRPr="00A06B54">
        <w:t>Grass</w:t>
      </w:r>
      <w:r w:rsidRPr="007151D6">
        <w:t xml:space="preserve"> </w:t>
      </w:r>
      <w:r w:rsidRPr="007151D6">
        <w:lastRenderedPageBreak/>
        <w:t xml:space="preserve">(http://grass.osgeo.org/), GV-Sig (http://www.gvsig.org/web) e o </w:t>
      </w:r>
      <w:r w:rsidRPr="00A06B54">
        <w:rPr>
          <w:i/>
        </w:rPr>
        <w:t>Spring</w:t>
      </w:r>
      <w:r w:rsidRPr="00A06B54">
        <w:t xml:space="preserve"> </w:t>
      </w:r>
      <w:r w:rsidRPr="007151D6">
        <w:t>(http://www.dpi.inpe.br/spring/), cujos tutoriais encontram-se disponíveis na internet.</w:t>
      </w:r>
    </w:p>
    <w:p w:rsidR="00A208BD" w:rsidRDefault="00A208BD" w:rsidP="00A208BD">
      <w:pPr>
        <w:ind w:firstLine="708"/>
        <w:jc w:val="both"/>
      </w:pPr>
      <w:r w:rsidRPr="007151D6">
        <w:t xml:space="preserve">Para facilitar a compreensão dos dados apresentados e a busca por informações na </w:t>
      </w:r>
      <w:r>
        <w:t>B</w:t>
      </w:r>
      <w:r w:rsidRPr="007151D6">
        <w:t>ase</w:t>
      </w:r>
      <w:r>
        <w:t xml:space="preserve"> Cartográfica </w:t>
      </w:r>
      <w:r w:rsidRPr="007151D6">
        <w:t>foi elaborado um dicionário de dados</w:t>
      </w:r>
      <w:r>
        <w:t xml:space="preserve"> (metadados)</w:t>
      </w:r>
      <w:r w:rsidRPr="007151D6">
        <w:t>, ou seja, uma coleção de metadados que contém definições e representações de elementos de dados pertencentes ao sistema</w:t>
      </w:r>
      <w:r>
        <w:t xml:space="preserve">. Esse </w:t>
      </w:r>
      <w:r w:rsidRPr="00841358">
        <w:t>dicionário se encontra no</w:t>
      </w:r>
      <w:r w:rsidR="00BA64F4">
        <w:t xml:space="preserve"> </w:t>
      </w:r>
      <w:r w:rsidR="00BA64F4" w:rsidRPr="00BA64F4">
        <w:fldChar w:fldCharType="begin"/>
      </w:r>
      <w:r w:rsidR="00BA64F4" w:rsidRPr="00BA64F4">
        <w:instrText xml:space="preserve"> REF _Ref505843506 \h </w:instrText>
      </w:r>
      <w:r w:rsidR="00BA64F4">
        <w:instrText xml:space="preserve"> \* MERGEFORMAT </w:instrText>
      </w:r>
      <w:r w:rsidR="00BA64F4" w:rsidRPr="00BA64F4">
        <w:fldChar w:fldCharType="separate"/>
      </w:r>
      <w:r w:rsidR="001B481B">
        <w:t xml:space="preserve">Anexo </w:t>
      </w:r>
      <w:r w:rsidR="001B481B">
        <w:rPr>
          <w:noProof/>
        </w:rPr>
        <w:t>10</w:t>
      </w:r>
      <w:r w:rsidR="00BA64F4" w:rsidRPr="00BA64F4">
        <w:fldChar w:fldCharType="end"/>
      </w:r>
      <w:r w:rsidRPr="00BA64F4">
        <w:t>.</w:t>
      </w:r>
    </w:p>
    <w:p w:rsidR="00A208BD" w:rsidRPr="00886780" w:rsidRDefault="00A208BD" w:rsidP="00A208BD">
      <w:pPr>
        <w:ind w:firstLine="708"/>
        <w:jc w:val="both"/>
      </w:pPr>
      <w:r w:rsidRPr="00886780">
        <w:t>O dicionário encontra-se em ordem alfabética, sendo que cada tabela corresponde a uma camada da Base da Cartográfica.</w:t>
      </w:r>
    </w:p>
    <w:p w:rsidR="00A208BD" w:rsidRPr="00886780" w:rsidRDefault="00A208BD" w:rsidP="00A208BD">
      <w:pPr>
        <w:ind w:firstLine="708"/>
        <w:jc w:val="both"/>
      </w:pPr>
      <w:r w:rsidRPr="00886780">
        <w:t>Dentre as informações mínimas que constam no dicionário de dados, pode-se citar:</w:t>
      </w:r>
    </w:p>
    <w:p w:rsidR="00A208BD" w:rsidRPr="00886780" w:rsidRDefault="00A208BD" w:rsidP="0066661F">
      <w:pPr>
        <w:pStyle w:val="PargrafodaLista"/>
        <w:numPr>
          <w:ilvl w:val="0"/>
          <w:numId w:val="102"/>
        </w:numPr>
        <w:rPr>
          <w:szCs w:val="24"/>
        </w:rPr>
      </w:pPr>
      <w:r w:rsidRPr="00886780">
        <w:rPr>
          <w:szCs w:val="24"/>
        </w:rPr>
        <w:t xml:space="preserve">Nome da entidade: nome da entidade de dados contemplada no sistema de base de dados. É considerado o mesmo nome do arquivo </w:t>
      </w:r>
      <w:r w:rsidRPr="00886780">
        <w:rPr>
          <w:i/>
          <w:szCs w:val="24"/>
        </w:rPr>
        <w:t>shapefile</w:t>
      </w:r>
      <w:r w:rsidRPr="00886780">
        <w:rPr>
          <w:szCs w:val="24"/>
        </w:rPr>
        <w:t xml:space="preserve"> no qual os dados estão armazenados.</w:t>
      </w:r>
    </w:p>
    <w:p w:rsidR="00A208BD" w:rsidRPr="00841358" w:rsidRDefault="00A208BD" w:rsidP="0066661F">
      <w:pPr>
        <w:pStyle w:val="PargrafodaLista"/>
        <w:numPr>
          <w:ilvl w:val="0"/>
          <w:numId w:val="102"/>
        </w:numPr>
        <w:rPr>
          <w:szCs w:val="24"/>
        </w:rPr>
      </w:pPr>
      <w:r w:rsidRPr="00886780">
        <w:rPr>
          <w:szCs w:val="24"/>
        </w:rPr>
        <w:t xml:space="preserve">Descrição: descrição sobre os dados e/ou informações contidas na camada ou </w:t>
      </w:r>
      <w:r w:rsidRPr="00841358">
        <w:rPr>
          <w:szCs w:val="24"/>
        </w:rPr>
        <w:t xml:space="preserve">arquivo </w:t>
      </w:r>
      <w:r w:rsidRPr="00841358">
        <w:rPr>
          <w:i/>
          <w:szCs w:val="24"/>
        </w:rPr>
        <w:t>shapefile.</w:t>
      </w:r>
    </w:p>
    <w:p w:rsidR="00A208BD" w:rsidRPr="00886780" w:rsidRDefault="00A208BD" w:rsidP="0066661F">
      <w:pPr>
        <w:pStyle w:val="PargrafodaLista"/>
        <w:numPr>
          <w:ilvl w:val="0"/>
          <w:numId w:val="102"/>
        </w:numPr>
        <w:rPr>
          <w:szCs w:val="24"/>
        </w:rPr>
      </w:pPr>
      <w:r w:rsidRPr="00886780">
        <w:rPr>
          <w:szCs w:val="24"/>
        </w:rPr>
        <w:t>Tipo (texto, numérico, etc.).</w:t>
      </w:r>
    </w:p>
    <w:p w:rsidR="00A208BD" w:rsidRPr="00886780" w:rsidRDefault="00A208BD" w:rsidP="0066661F">
      <w:pPr>
        <w:pStyle w:val="PargrafodaLista"/>
        <w:numPr>
          <w:ilvl w:val="0"/>
          <w:numId w:val="102"/>
        </w:numPr>
        <w:rPr>
          <w:szCs w:val="24"/>
        </w:rPr>
      </w:pPr>
      <w:r w:rsidRPr="00886780">
        <w:rPr>
          <w:szCs w:val="24"/>
        </w:rPr>
        <w:t>Cobertura espacial: localização, limites de coordenada (norte, sul, leste, oeste).</w:t>
      </w:r>
    </w:p>
    <w:p w:rsidR="00A208BD" w:rsidRPr="00886780" w:rsidRDefault="00A208BD" w:rsidP="0066661F">
      <w:pPr>
        <w:pStyle w:val="PargrafodaLista"/>
        <w:numPr>
          <w:ilvl w:val="0"/>
          <w:numId w:val="102"/>
        </w:numPr>
        <w:rPr>
          <w:szCs w:val="24"/>
        </w:rPr>
      </w:pPr>
      <w:r w:rsidRPr="00886780">
        <w:rPr>
          <w:szCs w:val="24"/>
        </w:rPr>
        <w:t xml:space="preserve">Sistema Cartográfico: Datum WGS-84, na projeção Universal Transversa de Mercator - UTM, no fuso 23. </w:t>
      </w:r>
    </w:p>
    <w:p w:rsidR="00A208BD" w:rsidRPr="00886780" w:rsidRDefault="00A208BD" w:rsidP="0066661F">
      <w:pPr>
        <w:pStyle w:val="PargrafodaLista"/>
        <w:numPr>
          <w:ilvl w:val="0"/>
          <w:numId w:val="102"/>
        </w:numPr>
        <w:rPr>
          <w:szCs w:val="24"/>
        </w:rPr>
      </w:pPr>
      <w:r w:rsidRPr="00886780">
        <w:rPr>
          <w:szCs w:val="24"/>
        </w:rPr>
        <w:t xml:space="preserve">Fonte: Fonte da camada ou arquivo </w:t>
      </w:r>
      <w:r w:rsidRPr="00886780">
        <w:rPr>
          <w:i/>
          <w:szCs w:val="24"/>
        </w:rPr>
        <w:t>shapefile.</w:t>
      </w:r>
    </w:p>
    <w:p w:rsidR="00A208BD" w:rsidRDefault="00A208BD" w:rsidP="00A208BD">
      <w:pPr>
        <w:ind w:firstLine="708"/>
        <w:jc w:val="both"/>
      </w:pPr>
      <w:r>
        <w:t>A B</w:t>
      </w:r>
      <w:r w:rsidRPr="007151D6">
        <w:t xml:space="preserve">ase </w:t>
      </w:r>
      <w:r>
        <w:t>C</w:t>
      </w:r>
      <w:r w:rsidRPr="007151D6">
        <w:t xml:space="preserve">artográfica do </w:t>
      </w:r>
      <w:r w:rsidRPr="00841358">
        <w:t xml:space="preserve">município de </w:t>
      </w:r>
      <w:r w:rsidR="00813DDC" w:rsidRPr="00813DDC">
        <w:t>Córrego Novo</w:t>
      </w:r>
      <w:r w:rsidRPr="00841358">
        <w:t xml:space="preserve"> encontra</w:t>
      </w:r>
      <w:r>
        <w:t>-se</w:t>
      </w:r>
      <w:r w:rsidRPr="007151D6">
        <w:t xml:space="preserve"> </w:t>
      </w:r>
      <w:r>
        <w:t xml:space="preserve">na mídia digital que acompanha este relatório, juntamente com o “Guia para uso do QGIS”, criado pelos desenvolvedores do mesmo. Um arquivo com “Dicas para utilização do QGIS” e </w:t>
      </w:r>
      <w:r w:rsidRPr="00A06B54">
        <w:t>“Dicas</w:t>
      </w:r>
      <w:r>
        <w:t xml:space="preserve"> para instalação do programa QGIS”, criados pela SHS, estão gravados na mídia digital e encontram-se </w:t>
      </w:r>
      <w:r w:rsidRPr="00472CC5">
        <w:t>no</w:t>
      </w:r>
      <w:r w:rsidR="00472CC5" w:rsidRPr="00472CC5">
        <w:t xml:space="preserve"> </w:t>
      </w:r>
      <w:r w:rsidR="00472CC5" w:rsidRPr="00472CC5">
        <w:fldChar w:fldCharType="begin"/>
      </w:r>
      <w:r w:rsidR="00472CC5" w:rsidRPr="00472CC5">
        <w:instrText xml:space="preserve"> REF _Ref505843568 \h </w:instrText>
      </w:r>
      <w:r w:rsidR="00472CC5" w:rsidRPr="00472CC5">
        <w:fldChar w:fldCharType="separate"/>
      </w:r>
      <w:r w:rsidR="001B481B">
        <w:t xml:space="preserve">Anexo </w:t>
      </w:r>
      <w:r w:rsidR="001B481B">
        <w:rPr>
          <w:noProof/>
        </w:rPr>
        <w:t>11</w:t>
      </w:r>
      <w:r w:rsidR="00472CC5" w:rsidRPr="00472CC5">
        <w:fldChar w:fldCharType="end"/>
      </w:r>
      <w:r w:rsidR="00472CC5" w:rsidRPr="00472CC5">
        <w:t xml:space="preserve"> e </w:t>
      </w:r>
      <w:r w:rsidR="00472CC5" w:rsidRPr="00472CC5">
        <w:fldChar w:fldCharType="begin"/>
      </w:r>
      <w:r w:rsidR="00472CC5" w:rsidRPr="00472CC5">
        <w:instrText xml:space="preserve"> REF _Ref505843570 \h </w:instrText>
      </w:r>
      <w:r w:rsidR="00472CC5" w:rsidRPr="00472CC5">
        <w:fldChar w:fldCharType="separate"/>
      </w:r>
      <w:r w:rsidR="001B481B">
        <w:t xml:space="preserve">Anexo </w:t>
      </w:r>
      <w:r w:rsidR="001B481B">
        <w:rPr>
          <w:noProof/>
        </w:rPr>
        <w:t>12</w:t>
      </w:r>
      <w:r w:rsidR="00472CC5" w:rsidRPr="00472CC5">
        <w:fldChar w:fldCharType="end"/>
      </w:r>
      <w:r w:rsidRPr="00472CC5">
        <w:t>, respectivamente</w:t>
      </w:r>
      <w:r w:rsidRPr="007151D6">
        <w:t>.</w:t>
      </w:r>
      <w:r>
        <w:t xml:space="preserve"> </w:t>
      </w:r>
    </w:p>
    <w:p w:rsidR="00FC01C9" w:rsidRPr="0050040C" w:rsidRDefault="00FC01C9" w:rsidP="00BC01B1">
      <w:pPr>
        <w:pStyle w:val="SHS-Ttulo01"/>
      </w:pPr>
      <w:bookmarkStart w:id="3024" w:name="_Toc453056261"/>
      <w:bookmarkStart w:id="3025" w:name="_Toc453054111"/>
      <w:bookmarkStart w:id="3026" w:name="_Toc509935761"/>
      <w:bookmarkStart w:id="3027" w:name="_Toc444669250"/>
      <w:r w:rsidRPr="0050040C">
        <w:t>Minuta de Projeto de Lei</w:t>
      </w:r>
      <w:bookmarkEnd w:id="3024"/>
      <w:bookmarkEnd w:id="3025"/>
      <w:bookmarkEnd w:id="3026"/>
    </w:p>
    <w:p w:rsidR="00FC01C9" w:rsidRPr="0067646B" w:rsidRDefault="00FC01C9" w:rsidP="00FC01C9">
      <w:pPr>
        <w:spacing w:line="336" w:lineRule="auto"/>
        <w:ind w:firstLine="709"/>
        <w:jc w:val="both"/>
        <w:rPr>
          <w:szCs w:val="24"/>
        </w:rPr>
      </w:pPr>
      <w:r w:rsidRPr="00AB2600">
        <w:rPr>
          <w:szCs w:val="24"/>
        </w:rPr>
        <w:t xml:space="preserve">Para facilitar o processo de transformação do presente PMSB em Lei Municipal, a SHS </w:t>
      </w:r>
      <w:r w:rsidR="00AB2600" w:rsidRPr="00AB2600">
        <w:rPr>
          <w:szCs w:val="24"/>
        </w:rPr>
        <w:t>–</w:t>
      </w:r>
      <w:r w:rsidRPr="00AB2600">
        <w:rPr>
          <w:szCs w:val="24"/>
        </w:rPr>
        <w:t xml:space="preserve"> </w:t>
      </w:r>
      <w:r w:rsidR="00AB2600" w:rsidRPr="00AB2600">
        <w:rPr>
          <w:szCs w:val="24"/>
        </w:rPr>
        <w:t xml:space="preserve">Consultoria e Projetos de Engenharia Ltda. EPP </w:t>
      </w:r>
      <w:r w:rsidRPr="00AB2600">
        <w:rPr>
          <w:szCs w:val="24"/>
        </w:rPr>
        <w:t xml:space="preserve">elaborou uma minuta de </w:t>
      </w:r>
      <w:r w:rsidRPr="00AB2600">
        <w:rPr>
          <w:szCs w:val="24"/>
        </w:rPr>
        <w:lastRenderedPageBreak/>
        <w:t>projeto de lei que está sendo entregue ao Município, através de Volume Complementar.</w:t>
      </w:r>
    </w:p>
    <w:p w:rsidR="00FC01C9" w:rsidRDefault="00FC01C9" w:rsidP="00FC01C9">
      <w:pPr>
        <w:spacing w:line="336" w:lineRule="auto"/>
        <w:ind w:firstLine="709"/>
        <w:jc w:val="both"/>
        <w:rPr>
          <w:szCs w:val="24"/>
        </w:rPr>
      </w:pPr>
      <w:r w:rsidRPr="0067646B">
        <w:rPr>
          <w:szCs w:val="24"/>
        </w:rPr>
        <w:t>Solicita-se que o Departamento Jurídico da Prefeitura avalie essa minuta, fazendo as modificações desejadas para que possa submetê-</w:t>
      </w:r>
      <w:r w:rsidR="00AB2600">
        <w:rPr>
          <w:szCs w:val="24"/>
        </w:rPr>
        <w:t xml:space="preserve">la à Câmara de Vereadores </w:t>
      </w:r>
      <w:r w:rsidR="00FA6230">
        <w:rPr>
          <w:szCs w:val="24"/>
        </w:rPr>
        <w:t>de forma a</w:t>
      </w:r>
      <w:r w:rsidR="00AB2600">
        <w:rPr>
          <w:szCs w:val="24"/>
        </w:rPr>
        <w:t xml:space="preserve"> instruir a sanção da lei que </w:t>
      </w:r>
      <w:r w:rsidR="00FA6230">
        <w:rPr>
          <w:szCs w:val="24"/>
        </w:rPr>
        <w:t xml:space="preserve">aprovará o Plano Municipal de Saneamento </w:t>
      </w:r>
      <w:r w:rsidR="00FA6230" w:rsidRPr="0021113E">
        <w:rPr>
          <w:szCs w:val="24"/>
        </w:rPr>
        <w:t xml:space="preserve">Básico de </w:t>
      </w:r>
      <w:r w:rsidR="00813DDC" w:rsidRPr="00813DDC">
        <w:t>Córrego Novo</w:t>
      </w:r>
      <w:r w:rsidRPr="0021113E">
        <w:rPr>
          <w:szCs w:val="24"/>
        </w:rPr>
        <w:t>.</w:t>
      </w:r>
    </w:p>
    <w:p w:rsidR="009D756D" w:rsidRPr="006F38A3" w:rsidRDefault="009D756D" w:rsidP="00BC01B1">
      <w:pPr>
        <w:pStyle w:val="SHS-Ttulo01"/>
      </w:pPr>
      <w:bookmarkStart w:id="3028" w:name="_Toc509935762"/>
      <w:r w:rsidRPr="006F38A3">
        <w:t>Audiência Pública</w:t>
      </w:r>
      <w:bookmarkEnd w:id="3028"/>
    </w:p>
    <w:p w:rsidR="009D756D" w:rsidRDefault="009D756D" w:rsidP="009D756D">
      <w:pPr>
        <w:spacing w:line="336" w:lineRule="auto"/>
        <w:ind w:firstLine="709"/>
        <w:jc w:val="both"/>
        <w:rPr>
          <w:szCs w:val="24"/>
        </w:rPr>
      </w:pPr>
      <w:r>
        <w:rPr>
          <w:szCs w:val="24"/>
        </w:rPr>
        <w:t>A Audiência Pública com a finalidade de apresentar o relatório Final do Plano Municipal de Saneamento Básico de Córrego Novo e submetê-lo à aprovação da população foi realizada em 22/03/2018 na Câmara Municipal de Córrego Novo.</w:t>
      </w:r>
    </w:p>
    <w:p w:rsidR="009D756D" w:rsidRDefault="009D756D" w:rsidP="009D756D">
      <w:pPr>
        <w:spacing w:line="336" w:lineRule="auto"/>
        <w:ind w:firstLine="709"/>
        <w:jc w:val="both"/>
        <w:rPr>
          <w:szCs w:val="24"/>
        </w:rPr>
      </w:pPr>
      <w:r>
        <w:rPr>
          <w:szCs w:val="24"/>
        </w:rPr>
        <w:t>A seguir são apresentadas algumas tomadas fotográficas da ocasião</w:t>
      </w:r>
      <w:r w:rsidR="00BC01B1">
        <w:rPr>
          <w:szCs w:val="24"/>
        </w:rPr>
        <w:t xml:space="preserve"> (</w:t>
      </w:r>
      <w:r w:rsidR="00BC01B1">
        <w:rPr>
          <w:szCs w:val="24"/>
        </w:rPr>
        <w:fldChar w:fldCharType="begin"/>
      </w:r>
      <w:r w:rsidR="00BC01B1">
        <w:rPr>
          <w:szCs w:val="24"/>
        </w:rPr>
        <w:instrText xml:space="preserve"> REF _Ref509935373 \h </w:instrText>
      </w:r>
      <w:r w:rsidR="00BC01B1">
        <w:rPr>
          <w:szCs w:val="24"/>
        </w:rPr>
      </w:r>
      <w:r w:rsidR="00BC01B1">
        <w:rPr>
          <w:szCs w:val="24"/>
        </w:rPr>
        <w:fldChar w:fldCharType="separate"/>
      </w:r>
      <w:r w:rsidR="001B481B">
        <w:t xml:space="preserve">Figura </w:t>
      </w:r>
      <w:r w:rsidR="001B481B">
        <w:rPr>
          <w:noProof/>
        </w:rPr>
        <w:t>11</w:t>
      </w:r>
      <w:r w:rsidR="00BC01B1">
        <w:rPr>
          <w:szCs w:val="24"/>
        </w:rPr>
        <w:fldChar w:fldCharType="end"/>
      </w:r>
      <w:r w:rsidR="00BC01B1">
        <w:rPr>
          <w:szCs w:val="24"/>
        </w:rPr>
        <w:t>).</w:t>
      </w:r>
    </w:p>
    <w:p w:rsidR="009D756D" w:rsidRDefault="00BC01B1" w:rsidP="00BC01B1">
      <w:pPr>
        <w:pStyle w:val="Legenda"/>
      </w:pPr>
      <w:bookmarkStart w:id="3029" w:name="_Ref509935373"/>
      <w:bookmarkStart w:id="3030" w:name="_Toc509935776"/>
      <w:r>
        <w:t xml:space="preserve">Figura </w:t>
      </w:r>
      <w:r>
        <w:fldChar w:fldCharType="begin"/>
      </w:r>
      <w:r>
        <w:instrText xml:space="preserve"> SEQ Figura \* ARABIC </w:instrText>
      </w:r>
      <w:r>
        <w:fldChar w:fldCharType="separate"/>
      </w:r>
      <w:r w:rsidR="001B481B">
        <w:rPr>
          <w:noProof/>
        </w:rPr>
        <w:t>11</w:t>
      </w:r>
      <w:r>
        <w:fldChar w:fldCharType="end"/>
      </w:r>
      <w:bookmarkEnd w:id="3029"/>
      <w:r>
        <w:rPr>
          <w:lang w:val="pt-BR"/>
        </w:rPr>
        <w:t xml:space="preserve"> - </w:t>
      </w:r>
      <w:r w:rsidR="009D756D">
        <w:t xml:space="preserve">Fotografias da Audiência Pública do PMSB de </w:t>
      </w:r>
      <w:r w:rsidR="00DF38A5">
        <w:t>Córrego Novo</w:t>
      </w:r>
      <w:r w:rsidR="009D756D">
        <w:t>-MG</w:t>
      </w:r>
      <w:bookmarkEnd w:id="3030"/>
    </w:p>
    <w:p w:rsidR="00DF38A5" w:rsidRDefault="00DF38A5" w:rsidP="00BC01B1">
      <w:pPr>
        <w:pStyle w:val="figura"/>
      </w:pPr>
      <w:r w:rsidRPr="00DF38A5">
        <w:rPr>
          <w:noProof/>
        </w:rPr>
        <w:drawing>
          <wp:inline distT="0" distB="0" distL="0" distR="0" wp14:anchorId="54E0D0E9" wp14:editId="4FBB6D36">
            <wp:extent cx="4998330" cy="2816335"/>
            <wp:effectExtent l="0" t="0" r="0" b="3175"/>
            <wp:docPr id="13" name="Imagem 13" descr="\\SHS-SRV1\Projetos\2016\IBIO\RELATÓRIOS REVISÃO\P8 - PMSB\2.Texto\Fotos das Audiências\Córrego Novo\WP_20180322_09_49_22_P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HS-SRV1\Projetos\2016\IBIO\RELATÓRIOS REVISÃO\P8 - PMSB\2.Texto\Fotos das Audiências\Córrego Novo\WP_20180322_09_49_22_Pro.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01515" cy="2818130"/>
                    </a:xfrm>
                    <a:prstGeom prst="rect">
                      <a:avLst/>
                    </a:prstGeom>
                    <a:noFill/>
                    <a:ln>
                      <a:noFill/>
                    </a:ln>
                  </pic:spPr>
                </pic:pic>
              </a:graphicData>
            </a:graphic>
          </wp:inline>
        </w:drawing>
      </w:r>
    </w:p>
    <w:p w:rsidR="00DF38A5" w:rsidRDefault="00DF38A5" w:rsidP="009D756D">
      <w:pPr>
        <w:spacing w:line="336" w:lineRule="auto"/>
        <w:rPr>
          <w:szCs w:val="24"/>
        </w:rPr>
      </w:pPr>
    </w:p>
    <w:p w:rsidR="009D756D" w:rsidRDefault="00DF38A5" w:rsidP="00BC01B1">
      <w:pPr>
        <w:pStyle w:val="figura"/>
      </w:pPr>
      <w:r w:rsidRPr="00DF38A5">
        <w:rPr>
          <w:noProof/>
        </w:rPr>
        <w:lastRenderedPageBreak/>
        <w:drawing>
          <wp:inline distT="0" distB="0" distL="0" distR="0" wp14:anchorId="6459800A" wp14:editId="5891EE27">
            <wp:extent cx="4993044" cy="2813357"/>
            <wp:effectExtent l="0" t="0" r="0" b="6350"/>
            <wp:docPr id="18" name="Imagem 18" descr="\\SHS-SRV1\Projetos\2016\IBIO\RELATÓRIOS REVISÃO\P8 - PMSB\2.Texto\Fotos das Audiências\Córrego Novo\WP_20180322_09_42_14_P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HS-SRV1\Projetos\2016\IBIO\RELATÓRIOS REVISÃO\P8 - PMSB\2.Texto\Fotos das Audiências\Córrego Novo\WP_20180322_09_42_14_Pro.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14825" cy="2825629"/>
                    </a:xfrm>
                    <a:prstGeom prst="rect">
                      <a:avLst/>
                    </a:prstGeom>
                    <a:noFill/>
                    <a:ln>
                      <a:noFill/>
                    </a:ln>
                  </pic:spPr>
                </pic:pic>
              </a:graphicData>
            </a:graphic>
          </wp:inline>
        </w:drawing>
      </w:r>
    </w:p>
    <w:p w:rsidR="009D756D" w:rsidRDefault="00DF38A5" w:rsidP="00BC01B1">
      <w:pPr>
        <w:pStyle w:val="figura"/>
      </w:pPr>
      <w:r w:rsidRPr="00DF38A5">
        <w:rPr>
          <w:noProof/>
        </w:rPr>
        <w:drawing>
          <wp:inline distT="0" distB="0" distL="0" distR="0" wp14:anchorId="716A24EF" wp14:editId="1017CBB4">
            <wp:extent cx="4975594" cy="2803525"/>
            <wp:effectExtent l="0" t="0" r="0" b="0"/>
            <wp:docPr id="19" name="Imagem 19" descr="\\SHS-SRV1\Projetos\2016\IBIO\RELATÓRIOS REVISÃO\P8 - PMSB\2.Texto\Fotos das Audiências\Córrego Novo\WP_20180322_11_19_06_P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HS-SRV1\Projetos\2016\IBIO\RELATÓRIOS REVISÃO\P8 - PMSB\2.Texto\Fotos das Audiências\Córrego Novo\WP_20180322_11_19_06_Pro.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977591" cy="2804650"/>
                    </a:xfrm>
                    <a:prstGeom prst="rect">
                      <a:avLst/>
                    </a:prstGeom>
                    <a:noFill/>
                    <a:ln>
                      <a:noFill/>
                    </a:ln>
                  </pic:spPr>
                </pic:pic>
              </a:graphicData>
            </a:graphic>
          </wp:inline>
        </w:drawing>
      </w:r>
    </w:p>
    <w:p w:rsidR="009D756D" w:rsidRDefault="00BC01B1" w:rsidP="00BC01B1">
      <w:pPr>
        <w:pStyle w:val="Fonte"/>
      </w:pPr>
      <w:r>
        <w:t>Fonte: SHS, 2018</w:t>
      </w:r>
    </w:p>
    <w:p w:rsidR="009D756D" w:rsidRDefault="009D756D" w:rsidP="009D756D">
      <w:pPr>
        <w:spacing w:line="336" w:lineRule="auto"/>
        <w:ind w:firstLine="709"/>
        <w:jc w:val="both"/>
        <w:rPr>
          <w:szCs w:val="24"/>
        </w:rPr>
      </w:pPr>
      <w:r>
        <w:rPr>
          <w:szCs w:val="24"/>
        </w:rPr>
        <w:t>Ao final da apresentação e das discussões, o PMSB foi aprovado pelo plenário que era composto predominantemente por representantes da sociedade civil (momento registrado na foto mostrada acima). A seguir é mostrada uma cópia da lista com a assinatura dos presentes.</w:t>
      </w:r>
    </w:p>
    <w:p w:rsidR="00BC01B1" w:rsidRPr="00BC01B1" w:rsidRDefault="00BC01B1" w:rsidP="00BC01B1">
      <w:pPr>
        <w:pStyle w:val="Legenda"/>
        <w:rPr>
          <w:lang w:val="pt-BR"/>
        </w:rPr>
      </w:pPr>
      <w:bookmarkStart w:id="3031" w:name="_Toc509935777"/>
      <w:r>
        <w:lastRenderedPageBreak/>
        <w:t xml:space="preserve">Figura </w:t>
      </w:r>
      <w:r>
        <w:fldChar w:fldCharType="begin"/>
      </w:r>
      <w:r>
        <w:instrText xml:space="preserve"> SEQ Figura \* ARABIC </w:instrText>
      </w:r>
      <w:r>
        <w:fldChar w:fldCharType="separate"/>
      </w:r>
      <w:r w:rsidR="001B481B">
        <w:rPr>
          <w:noProof/>
        </w:rPr>
        <w:t>12</w:t>
      </w:r>
      <w:r>
        <w:fldChar w:fldCharType="end"/>
      </w:r>
      <w:r>
        <w:rPr>
          <w:lang w:val="pt-BR"/>
        </w:rPr>
        <w:t xml:space="preserve"> - Lista de Presença da Audiência Pública</w:t>
      </w:r>
      <w:bookmarkEnd w:id="3031"/>
    </w:p>
    <w:p w:rsidR="00977914" w:rsidRDefault="00977914" w:rsidP="00BC01B1">
      <w:pPr>
        <w:pStyle w:val="figura"/>
        <w:rPr>
          <w:szCs w:val="24"/>
        </w:rPr>
      </w:pPr>
      <w:r>
        <w:rPr>
          <w:noProof/>
        </w:rPr>
        <w:drawing>
          <wp:inline distT="0" distB="0" distL="0" distR="0" wp14:anchorId="7BEE7B00" wp14:editId="06F19B33">
            <wp:extent cx="5948159" cy="3903260"/>
            <wp:effectExtent l="0" t="0" r="0" b="254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b="6230"/>
                    <a:stretch/>
                  </pic:blipFill>
                  <pic:spPr bwMode="auto">
                    <a:xfrm>
                      <a:off x="0" y="0"/>
                      <a:ext cx="5939790" cy="3897768"/>
                    </a:xfrm>
                    <a:prstGeom prst="rect">
                      <a:avLst/>
                    </a:prstGeom>
                    <a:ln>
                      <a:noFill/>
                    </a:ln>
                    <a:extLst>
                      <a:ext uri="{53640926-AAD7-44D8-BBD7-CCE9431645EC}">
                        <a14:shadowObscured xmlns:a14="http://schemas.microsoft.com/office/drawing/2010/main"/>
                      </a:ext>
                    </a:extLst>
                  </pic:spPr>
                </pic:pic>
              </a:graphicData>
            </a:graphic>
          </wp:inline>
        </w:drawing>
      </w:r>
    </w:p>
    <w:p w:rsidR="00977914" w:rsidRDefault="00977914" w:rsidP="00BC01B1">
      <w:pPr>
        <w:pStyle w:val="figura"/>
        <w:rPr>
          <w:szCs w:val="24"/>
        </w:rPr>
      </w:pPr>
      <w:r>
        <w:rPr>
          <w:noProof/>
        </w:rPr>
        <w:drawing>
          <wp:inline distT="0" distB="0" distL="0" distR="0" wp14:anchorId="7DDBB217" wp14:editId="704C0FE4">
            <wp:extent cx="5939790" cy="4180840"/>
            <wp:effectExtent l="0" t="0" r="381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939790" cy="4180840"/>
                    </a:xfrm>
                    <a:prstGeom prst="rect">
                      <a:avLst/>
                    </a:prstGeom>
                  </pic:spPr>
                </pic:pic>
              </a:graphicData>
            </a:graphic>
          </wp:inline>
        </w:drawing>
      </w:r>
    </w:p>
    <w:p w:rsidR="00977914" w:rsidRDefault="00BB48DF" w:rsidP="00BC01B1">
      <w:pPr>
        <w:pStyle w:val="figura"/>
        <w:rPr>
          <w:szCs w:val="24"/>
        </w:rPr>
      </w:pPr>
      <w:r>
        <w:rPr>
          <w:noProof/>
        </w:rPr>
        <w:lastRenderedPageBreak/>
        <w:drawing>
          <wp:inline distT="0" distB="0" distL="0" distR="0" wp14:anchorId="310AA1A1" wp14:editId="7FE76471">
            <wp:extent cx="5939790" cy="2049145"/>
            <wp:effectExtent l="0" t="0" r="3810" b="8255"/>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939790" cy="2049145"/>
                    </a:xfrm>
                    <a:prstGeom prst="rect">
                      <a:avLst/>
                    </a:prstGeom>
                  </pic:spPr>
                </pic:pic>
              </a:graphicData>
            </a:graphic>
          </wp:inline>
        </w:drawing>
      </w:r>
    </w:p>
    <w:p w:rsidR="00BC01B1" w:rsidRDefault="00BC01B1" w:rsidP="00BC01B1">
      <w:pPr>
        <w:pStyle w:val="Fonte"/>
      </w:pPr>
      <w:r>
        <w:t>Fonte: SHS, 2018</w:t>
      </w:r>
    </w:p>
    <w:p w:rsidR="003E5877" w:rsidRPr="0067646B" w:rsidRDefault="003E5877" w:rsidP="00BC01B1">
      <w:pPr>
        <w:pStyle w:val="SHS-Ttulo01"/>
      </w:pPr>
      <w:bookmarkStart w:id="3032" w:name="_Toc509935763"/>
      <w:bookmarkEnd w:id="3027"/>
      <w:r w:rsidRPr="0067646B">
        <w:t>Considerações finais do PMSB</w:t>
      </w:r>
      <w:bookmarkEnd w:id="3032"/>
      <w:r w:rsidRPr="0067646B">
        <w:t xml:space="preserve"> </w:t>
      </w:r>
    </w:p>
    <w:p w:rsidR="002B4D6E" w:rsidRPr="0067646B" w:rsidRDefault="002B4D6E" w:rsidP="002B4D6E">
      <w:pPr>
        <w:ind w:firstLine="709"/>
        <w:jc w:val="both"/>
        <w:rPr>
          <w:rFonts w:cs="Arial"/>
          <w:szCs w:val="24"/>
        </w:rPr>
      </w:pPr>
      <w:r w:rsidRPr="0067646B">
        <w:rPr>
          <w:szCs w:val="24"/>
        </w:rPr>
        <w:t xml:space="preserve">A Lei nº 11.445/07 (Lei do Saneamento) regulamentada pelo Decreto Federal nº 7.217/10 </w:t>
      </w:r>
      <w:r w:rsidRPr="0067646B">
        <w:rPr>
          <w:rFonts w:cs="Arial"/>
          <w:szCs w:val="24"/>
        </w:rPr>
        <w:t>institui como diretrizes para a prestação dos serviços públicos de saneamento básico</w:t>
      </w:r>
      <w:r w:rsidR="00CC5F4D" w:rsidRPr="0067646B">
        <w:rPr>
          <w:rFonts w:cs="Arial"/>
          <w:szCs w:val="24"/>
        </w:rPr>
        <w:t>:</w:t>
      </w:r>
      <w:r w:rsidRPr="0067646B">
        <w:rPr>
          <w:rFonts w:cs="Arial"/>
          <w:szCs w:val="24"/>
        </w:rPr>
        <w:t xml:space="preserve"> o planejamento</w:t>
      </w:r>
      <w:r w:rsidR="00CC5F4D" w:rsidRPr="0067646B">
        <w:rPr>
          <w:rFonts w:cs="Arial"/>
          <w:szCs w:val="24"/>
        </w:rPr>
        <w:t>,</w:t>
      </w:r>
      <w:r w:rsidRPr="0067646B">
        <w:rPr>
          <w:rFonts w:cs="Arial"/>
          <w:szCs w:val="24"/>
        </w:rPr>
        <w:t xml:space="preserve"> a prestação de serviços com regras, a regulação, a regulamentação legal de posturas e procedimentos racionais visando </w:t>
      </w:r>
      <w:r w:rsidR="000E431C" w:rsidRPr="0067646B">
        <w:rPr>
          <w:rFonts w:cs="Arial"/>
          <w:szCs w:val="24"/>
        </w:rPr>
        <w:t>a</w:t>
      </w:r>
      <w:r w:rsidRPr="0067646B">
        <w:rPr>
          <w:rFonts w:cs="Arial"/>
          <w:szCs w:val="24"/>
        </w:rPr>
        <w:t xml:space="preserve">o uso de equipamentos públicos e de recursos naturais pelos cidadãos, a sustentabilidade econômico-financeira dos sistemas, sempre que possível, mediante remuneração pela cobrança da </w:t>
      </w:r>
      <w:r w:rsidRPr="006B66E6">
        <w:rPr>
          <w:rFonts w:cs="Arial"/>
          <w:szCs w:val="24"/>
        </w:rPr>
        <w:t>prestação dos serviços, entre outros rearranjos</w:t>
      </w:r>
      <w:r w:rsidR="00CC5F4D" w:rsidRPr="006B66E6">
        <w:rPr>
          <w:rFonts w:cs="Arial"/>
          <w:szCs w:val="24"/>
        </w:rPr>
        <w:t>,</w:t>
      </w:r>
      <w:r w:rsidRPr="006B66E6">
        <w:rPr>
          <w:rFonts w:cs="Arial"/>
          <w:szCs w:val="24"/>
        </w:rPr>
        <w:t xml:space="preserve"> e ainda assegura o controle social </w:t>
      </w:r>
      <w:r w:rsidR="00A67235" w:rsidRPr="006B66E6">
        <w:rPr>
          <w:rFonts w:cs="Arial"/>
          <w:szCs w:val="24"/>
        </w:rPr>
        <w:t>do saneamento básico municipal.</w:t>
      </w:r>
    </w:p>
    <w:p w:rsidR="002B4D6E" w:rsidRPr="0067646B" w:rsidRDefault="002B4D6E" w:rsidP="002B4D6E">
      <w:pPr>
        <w:ind w:firstLine="709"/>
        <w:jc w:val="both"/>
        <w:rPr>
          <w:rFonts w:cs="Arial"/>
          <w:szCs w:val="24"/>
        </w:rPr>
      </w:pPr>
      <w:r w:rsidRPr="0067646B">
        <w:rPr>
          <w:rFonts w:cs="Arial"/>
          <w:szCs w:val="24"/>
        </w:rPr>
        <w:t xml:space="preserve">O PMSB ora entregue ao </w:t>
      </w:r>
      <w:r w:rsidR="006B66E6">
        <w:rPr>
          <w:rFonts w:cs="Arial"/>
          <w:szCs w:val="24"/>
        </w:rPr>
        <w:t>M</w:t>
      </w:r>
      <w:r w:rsidRPr="0067646B">
        <w:rPr>
          <w:rFonts w:cs="Arial"/>
          <w:szCs w:val="24"/>
        </w:rPr>
        <w:t xml:space="preserve">unicípio </w:t>
      </w:r>
      <w:r w:rsidRPr="0021113E">
        <w:rPr>
          <w:rFonts w:cs="Arial"/>
          <w:szCs w:val="24"/>
        </w:rPr>
        <w:t xml:space="preserve">de </w:t>
      </w:r>
      <w:r w:rsidR="00813DDC" w:rsidRPr="00813DDC">
        <w:t>Córrego Novo</w:t>
      </w:r>
      <w:r w:rsidRPr="0021113E">
        <w:rPr>
          <w:rFonts w:cs="Arial"/>
          <w:szCs w:val="24"/>
        </w:rPr>
        <w:t xml:space="preserve"> é o principal </w:t>
      </w:r>
      <w:r w:rsidRPr="0067646B">
        <w:rPr>
          <w:rFonts w:cs="Arial"/>
          <w:szCs w:val="24"/>
        </w:rPr>
        <w:t xml:space="preserve">instrumento a subsidiar o Executivo Municipal como </w:t>
      </w:r>
      <w:r w:rsidR="00CC5F4D" w:rsidRPr="0067646B">
        <w:rPr>
          <w:rFonts w:cs="Arial"/>
          <w:szCs w:val="24"/>
        </w:rPr>
        <w:t>t</w:t>
      </w:r>
      <w:r w:rsidRPr="0067646B">
        <w:rPr>
          <w:rFonts w:cs="Arial"/>
          <w:szCs w:val="24"/>
        </w:rPr>
        <w:t xml:space="preserve">itular dos serviços, na implementação de todos os procedimentos solicitados na Lei do Saneamento. Assim, em última instância, o atendimento ao presente </w:t>
      </w:r>
      <w:r w:rsidR="0067646B">
        <w:rPr>
          <w:rFonts w:cs="Arial"/>
          <w:szCs w:val="24"/>
        </w:rPr>
        <w:t>P</w:t>
      </w:r>
      <w:r w:rsidRPr="0067646B">
        <w:rPr>
          <w:rFonts w:cs="Arial"/>
          <w:szCs w:val="24"/>
        </w:rPr>
        <w:t xml:space="preserve">lano representaria a instituição de uma Política </w:t>
      </w:r>
      <w:r w:rsidR="00CC5F4D" w:rsidRPr="0067646B">
        <w:rPr>
          <w:rFonts w:cs="Arial"/>
          <w:szCs w:val="24"/>
        </w:rPr>
        <w:t>Municipal de Saneamento Básico.</w:t>
      </w:r>
    </w:p>
    <w:p w:rsidR="00BE3F6A" w:rsidRPr="0067646B" w:rsidRDefault="00BE3F6A" w:rsidP="00BE3F6A">
      <w:pPr>
        <w:ind w:firstLine="709"/>
        <w:jc w:val="both"/>
        <w:rPr>
          <w:rFonts w:cs="Arial"/>
          <w:szCs w:val="24"/>
        </w:rPr>
      </w:pPr>
      <w:r w:rsidRPr="0067646B">
        <w:rPr>
          <w:rFonts w:cs="Arial"/>
          <w:szCs w:val="24"/>
        </w:rPr>
        <w:t>É natural que esta primeira versão do PMSB apresente um enfoque mais detalhado sobre as medidas que se prestem ao “entendimento dos problemas”, como a execução de estudos e cadastros, projetos e planos setoriais, que servirão de su</w:t>
      </w:r>
      <w:r w:rsidR="00813DDC">
        <w:rPr>
          <w:rFonts w:cs="Arial"/>
          <w:szCs w:val="24"/>
        </w:rPr>
        <w:t xml:space="preserve">porte à posterior implementação </w:t>
      </w:r>
      <w:r w:rsidRPr="0067646B">
        <w:rPr>
          <w:rFonts w:cs="Arial"/>
          <w:szCs w:val="24"/>
        </w:rPr>
        <w:t>de estruturas físicas e procedimentos “definitivos”.</w:t>
      </w:r>
    </w:p>
    <w:p w:rsidR="00BE3F6A" w:rsidRPr="0067646B" w:rsidRDefault="00BE3F6A" w:rsidP="00BE3F6A">
      <w:pPr>
        <w:ind w:firstLine="709"/>
        <w:jc w:val="both"/>
        <w:rPr>
          <w:rFonts w:cs="Arial"/>
          <w:szCs w:val="24"/>
        </w:rPr>
      </w:pPr>
      <w:r w:rsidRPr="0067646B">
        <w:rPr>
          <w:rFonts w:cs="Arial"/>
          <w:szCs w:val="24"/>
        </w:rPr>
        <w:t>É importante ressaltar que os problemas relacionados ao saneamento básico não se resolvem, equacionam-se. Assim, conforme os gestores forem conhecendo as demandas do município podem planejar seu crescimento com maior controle e domínio, preparando cada setor para atender melhor à população atual e futura.</w:t>
      </w:r>
    </w:p>
    <w:p w:rsidR="00BE3F6A" w:rsidRPr="0067646B" w:rsidRDefault="00BE3F6A" w:rsidP="00BE3F6A">
      <w:pPr>
        <w:ind w:firstLine="709"/>
        <w:jc w:val="both"/>
        <w:rPr>
          <w:rFonts w:cs="Arial"/>
          <w:szCs w:val="24"/>
        </w:rPr>
      </w:pPr>
      <w:r w:rsidRPr="0067646B">
        <w:rPr>
          <w:rFonts w:cs="Arial"/>
          <w:szCs w:val="24"/>
        </w:rPr>
        <w:lastRenderedPageBreak/>
        <w:t>O PMSB foi configurado considerando um horizonte de planejamento de vinte anos, devendo ser revisto ao menos a cada quatro anos, sempre anteriormente à formalização do Plano Plurianual.</w:t>
      </w:r>
    </w:p>
    <w:p w:rsidR="00BE3F6A" w:rsidRPr="0067646B" w:rsidRDefault="00BE3F6A" w:rsidP="00BE3F6A">
      <w:pPr>
        <w:ind w:firstLine="709"/>
        <w:jc w:val="both"/>
        <w:rPr>
          <w:rFonts w:cs="Arial"/>
          <w:szCs w:val="24"/>
        </w:rPr>
      </w:pPr>
      <w:r w:rsidRPr="0067646B">
        <w:rPr>
          <w:rFonts w:cs="Arial"/>
          <w:szCs w:val="24"/>
        </w:rPr>
        <w:t xml:space="preserve">As ações previstas neste PMSB irão custar aos cofres públicos, dentro desse prazo mencionado, cifras estimadas na casa dos seis zeros. Os programas governamentais fomentadores de recursos foram criados a partir da consciência do Governo Federal sobre a situação de carência em recursos financeiros que acomete a maioria dos municípios brasileiros na hora de fazerem frente </w:t>
      </w:r>
      <w:r w:rsidR="00891AE1">
        <w:rPr>
          <w:rFonts w:cs="Arial"/>
          <w:szCs w:val="24"/>
        </w:rPr>
        <w:t xml:space="preserve">a </w:t>
      </w:r>
      <w:r w:rsidRPr="0067646B">
        <w:rPr>
          <w:rFonts w:cs="Arial"/>
          <w:szCs w:val="24"/>
        </w:rPr>
        <w:t>sua demanda por saneamento básico.</w:t>
      </w:r>
    </w:p>
    <w:p w:rsidR="00BE3F6A" w:rsidRPr="0067646B" w:rsidRDefault="00BE3F6A" w:rsidP="00BE3F6A">
      <w:pPr>
        <w:ind w:firstLine="708"/>
        <w:contextualSpacing/>
        <w:jc w:val="both"/>
        <w:rPr>
          <w:rFonts w:cs="Arial"/>
          <w:szCs w:val="24"/>
          <w:lang w:eastAsia="pt-BR"/>
        </w:rPr>
      </w:pPr>
      <w:r w:rsidRPr="0067646B">
        <w:rPr>
          <w:lang w:eastAsia="pt-BR"/>
        </w:rPr>
        <w:t xml:space="preserve">A adequação dos serviços públicos de saneamento básico nos municípios brasileiros impõe-se como um importante desafio aos gestores públicos. Por serem serviços diretamente relacionados à saúde das pessoas e à salubridade ambiental, são considerados </w:t>
      </w:r>
      <w:r w:rsidRPr="0067646B">
        <w:rPr>
          <w:rFonts w:cs="Arial"/>
          <w:szCs w:val="24"/>
          <w:lang w:eastAsia="pt-BR"/>
        </w:rPr>
        <w:t>serviços de natureza essencial e, como tal, devem ser tratados legalmente como Direito dos cidadãos e Dever do Estado.</w:t>
      </w:r>
    </w:p>
    <w:p w:rsidR="00BE3F6A" w:rsidRPr="0067646B" w:rsidRDefault="00BE3F6A" w:rsidP="00BE3F6A">
      <w:pPr>
        <w:ind w:firstLine="709"/>
        <w:jc w:val="both"/>
      </w:pPr>
      <w:r w:rsidRPr="0067646B">
        <w:t>Para enfrentar os problemas vigentes e alcançar os objetivos estabelecidos neste PMSB, o administrador terá de lidar com esforços de cunho político e financeiro, na medida em que as ações requeridas exigem reformulações institucionais, gerenciais, operacionais e cooperação efetiva entre as diversas instâncias públicas, e dessas, com a sociedade civil.</w:t>
      </w:r>
    </w:p>
    <w:p w:rsidR="00BE3F6A" w:rsidRPr="0067646B" w:rsidRDefault="00BE3F6A" w:rsidP="00BE3F6A">
      <w:pPr>
        <w:ind w:firstLine="709"/>
        <w:jc w:val="both"/>
      </w:pPr>
      <w:r w:rsidRPr="0067646B">
        <w:t xml:space="preserve">Ora, sabe-se que as administrações públicas brasileiras estão longe de terem suas secretarias, departamentos e divisões trabalhando integrada e articuladamente, compartilhando decisões e locando investimentos em prol do desenvolvimento geral do município. Antes, as diversas pastas do governo municipal competem por recursos despendendo grande energia tentando apropriar-se de melhores colocações no </w:t>
      </w:r>
      <w:r w:rsidRPr="0067646B">
        <w:rPr>
          <w:i/>
        </w:rPr>
        <w:t>ranking</w:t>
      </w:r>
      <w:r w:rsidRPr="0067646B">
        <w:t xml:space="preserve"> de priorização dos investimentos municipais.</w:t>
      </w:r>
    </w:p>
    <w:p w:rsidR="00BE3F6A" w:rsidRPr="0067646B" w:rsidRDefault="00BE3F6A" w:rsidP="00BE3F6A">
      <w:pPr>
        <w:ind w:firstLine="709"/>
        <w:jc w:val="both"/>
      </w:pPr>
      <w:r w:rsidRPr="0067646B">
        <w:t xml:space="preserve">Assim, dadas essas questões, é esperado que haja dificuldades na construção de uma Política Municipal de Saneamento, porém isso não deve desestimular o gestor público ou fazê-lo desacreditar da </w:t>
      </w:r>
      <w:r w:rsidRPr="005571AC">
        <w:t>viabilidade da empreitada. A</w:t>
      </w:r>
      <w:r w:rsidRPr="0067646B">
        <w:t xml:space="preserve"> seu favor, para mudar esse quadro, há todo um arcabouço legal e institucional configurado exatamente para atender às mais diversas necessidades do setor de saneamento básico. </w:t>
      </w:r>
    </w:p>
    <w:p w:rsidR="00BE3F6A" w:rsidRPr="006B66E6" w:rsidRDefault="00BE3F6A" w:rsidP="00BE3F6A">
      <w:pPr>
        <w:ind w:firstLine="709"/>
        <w:jc w:val="both"/>
      </w:pPr>
      <w:r w:rsidRPr="0067646B">
        <w:lastRenderedPageBreak/>
        <w:t xml:space="preserve">As evidências históricas estão aí mostrando que, mesmo em crise, mesmo quando faltam dinheiro e diálogo entre as partes envolvidas e sobram fragilidades, quando o objetivo final do poder local é melhorar a vida dos cidadãos, o compartilhamento de esforços rumo </w:t>
      </w:r>
      <w:r w:rsidRPr="006B66E6">
        <w:t>à universalização dos benefícios é o único caminho a ser trilhado com chances reais de sucesso.</w:t>
      </w:r>
    </w:p>
    <w:p w:rsidR="00BE3F6A" w:rsidRDefault="00BE3F6A" w:rsidP="00BE3F6A">
      <w:pPr>
        <w:ind w:firstLine="709"/>
        <w:jc w:val="both"/>
      </w:pPr>
      <w:r w:rsidRPr="006B66E6">
        <w:t xml:space="preserve">A equipe da </w:t>
      </w:r>
      <w:r w:rsidRPr="006B66E6">
        <w:rPr>
          <w:i/>
        </w:rPr>
        <w:t>SHS Engenharia Sustentável</w:t>
      </w:r>
      <w:r w:rsidRPr="006B66E6">
        <w:t xml:space="preserve"> deseja a todos que se envolverem nesse caminho muita determinação e </w:t>
      </w:r>
      <w:r w:rsidR="005571AC" w:rsidRPr="006B66E6">
        <w:t>sucesso!</w:t>
      </w:r>
    </w:p>
    <w:p w:rsidR="00C2108C" w:rsidRDefault="00C2108C" w:rsidP="00BE3F6A">
      <w:pPr>
        <w:ind w:firstLine="709"/>
        <w:jc w:val="both"/>
      </w:pPr>
      <w:r>
        <w:br w:type="page"/>
      </w:r>
    </w:p>
    <w:p w:rsidR="00C86BC2" w:rsidRDefault="00C86BC2" w:rsidP="00BC01B1">
      <w:pPr>
        <w:pStyle w:val="SHS-Ttulo01"/>
      </w:pPr>
      <w:bookmarkStart w:id="3033" w:name="_Toc505247888"/>
      <w:bookmarkStart w:id="3034" w:name="_Toc509935764"/>
      <w:r w:rsidRPr="00095DAF">
        <w:lastRenderedPageBreak/>
        <w:t>Bibliografia</w:t>
      </w:r>
      <w:bookmarkEnd w:id="3033"/>
      <w:bookmarkEnd w:id="3034"/>
    </w:p>
    <w:p w:rsidR="00C86BC2" w:rsidRPr="00222461" w:rsidRDefault="00C86BC2" w:rsidP="00C86BC2">
      <w:pPr>
        <w:spacing w:before="120" w:after="120"/>
        <w:ind w:left="567" w:hanging="567"/>
        <w:contextualSpacing/>
        <w:jc w:val="both"/>
        <w:rPr>
          <w:rFonts w:cs="Arial"/>
          <w:szCs w:val="24"/>
          <w:lang w:eastAsia="pt-BR"/>
        </w:rPr>
      </w:pPr>
      <w:r w:rsidRPr="00222461">
        <w:rPr>
          <w:rFonts w:cs="Arial"/>
          <w:szCs w:val="24"/>
          <w:lang w:eastAsia="pt-BR"/>
        </w:rPr>
        <w:t>ABIKO, Alex. Serviços Públicos Urbanos. Texto Técnico – Escola Politécnica da USP – Departamento de Engenharia de Construção Civil, São Paulo, 2011.</w:t>
      </w:r>
    </w:p>
    <w:p w:rsidR="00C86BC2" w:rsidRPr="00222461" w:rsidRDefault="00C86BC2" w:rsidP="00C86BC2">
      <w:pPr>
        <w:spacing w:before="120" w:after="120"/>
        <w:ind w:left="567" w:hanging="567"/>
        <w:contextualSpacing/>
        <w:jc w:val="both"/>
        <w:rPr>
          <w:rFonts w:cs="Arial"/>
          <w:szCs w:val="24"/>
          <w:lang w:eastAsia="pt-BR"/>
        </w:rPr>
      </w:pPr>
      <w:r w:rsidRPr="00222461">
        <w:rPr>
          <w:rFonts w:cs="Arial"/>
          <w:szCs w:val="24"/>
          <w:lang w:eastAsia="pt-BR"/>
        </w:rPr>
        <w:t>AGEITEC – Agência Embrapa de Informação Tecnológica, 2014. Árvore do conhecimento. Disponível em: &lt;http://www.agencia.cnptia.embrapa.br/gestor/eucalipto/Abertura.html&gt;. Acesso em: fevereiro de 2017.</w:t>
      </w:r>
    </w:p>
    <w:p w:rsidR="00C86BC2" w:rsidRDefault="00C86BC2" w:rsidP="00C86BC2">
      <w:pPr>
        <w:spacing w:before="120" w:after="120"/>
        <w:ind w:left="567" w:hanging="567"/>
        <w:contextualSpacing/>
        <w:jc w:val="both"/>
        <w:rPr>
          <w:rFonts w:cs="Arial"/>
          <w:szCs w:val="24"/>
          <w:lang w:eastAsia="pt-BR"/>
        </w:rPr>
      </w:pPr>
      <w:r w:rsidRPr="003A0196">
        <w:rPr>
          <w:rFonts w:cs="Arial"/>
          <w:szCs w:val="24"/>
          <w:lang w:eastAsia="pt-BR"/>
        </w:rPr>
        <w:t xml:space="preserve">ALBUQUERQUE, P. E. P.; DURÃES, F. O. </w:t>
      </w:r>
      <w:r w:rsidRPr="00222461">
        <w:rPr>
          <w:rFonts w:cs="Arial"/>
          <w:szCs w:val="24"/>
          <w:lang w:eastAsia="pt-BR"/>
        </w:rPr>
        <w:t>M. Uso e manejo de irrigação.</w:t>
      </w:r>
      <w:r w:rsidRPr="003A0196">
        <w:rPr>
          <w:rFonts w:cs="Arial"/>
          <w:szCs w:val="24"/>
          <w:lang w:eastAsia="pt-BR"/>
        </w:rPr>
        <w:t xml:space="preserve"> Brasília, DF: Embrapa Informação Tecnológica, 2008. 508p.</w:t>
      </w:r>
    </w:p>
    <w:p w:rsidR="00C86BC2" w:rsidRPr="00813DDC" w:rsidRDefault="00C86BC2" w:rsidP="00C86BC2">
      <w:pPr>
        <w:spacing w:before="120" w:after="120"/>
        <w:ind w:left="567" w:hanging="567"/>
        <w:contextualSpacing/>
        <w:jc w:val="both"/>
        <w:rPr>
          <w:rFonts w:cs="Arial"/>
          <w:szCs w:val="24"/>
          <w:lang w:eastAsia="pt-BR"/>
        </w:rPr>
      </w:pPr>
      <w:r w:rsidRPr="00813DDC">
        <w:rPr>
          <w:rFonts w:cs="Arial"/>
          <w:szCs w:val="24"/>
          <w:lang w:eastAsia="pt-BR"/>
        </w:rPr>
        <w:t xml:space="preserve">ALVARENGA, J. A., e GONÇALVES, J. A. C. Estudo da Vulnerabilidade do Aquífero Aluvionar de Amaro Lanari, Principal Fonte de Abastecimento d’Água das Cidades do Vale do Aço, Minas Gerais. XV Congresso Brasileiro de Águas Subterrâneas. Natal, 2008. Disponível em:&lt;https://aguassubterraneas.abas.org/ asubterraneas/article/download/23702/15775&gt;. Acesso em: outubro de 2017. </w:t>
      </w:r>
    </w:p>
    <w:p w:rsidR="00C86BC2" w:rsidRPr="009F71BF" w:rsidRDefault="00C86BC2" w:rsidP="00C86BC2">
      <w:pPr>
        <w:spacing w:before="120" w:after="120"/>
        <w:ind w:left="567" w:hanging="567"/>
        <w:contextualSpacing/>
        <w:jc w:val="both"/>
        <w:rPr>
          <w:rFonts w:cs="Arial"/>
          <w:szCs w:val="24"/>
          <w:lang w:eastAsia="pt-BR"/>
        </w:rPr>
      </w:pPr>
      <w:r w:rsidRPr="009F71BF">
        <w:rPr>
          <w:rFonts w:cs="Arial"/>
          <w:szCs w:val="24"/>
          <w:lang w:eastAsia="pt-BR"/>
        </w:rPr>
        <w:t xml:space="preserve">ANA - Agência Nacional de Águas, 2013. Disponível em: </w:t>
      </w:r>
      <w:hyperlink r:id="rId103" w:history="1">
        <w:r w:rsidRPr="009F71BF">
          <w:rPr>
            <w:rFonts w:cs="Arial"/>
            <w:szCs w:val="24"/>
            <w:lang w:eastAsia="pt-BR"/>
          </w:rPr>
          <w:t>http://metadados.ana.gov.br/geonetwork/srv/pt/metadata.show?id=180&amp;currTab=distribution</w:t>
        </w:r>
      </w:hyperlink>
      <w:r w:rsidRPr="009F71BF">
        <w:rPr>
          <w:rFonts w:cs="Arial"/>
          <w:szCs w:val="24"/>
          <w:lang w:eastAsia="pt-BR"/>
        </w:rPr>
        <w:t>. Acesso em: fevereiro de 2017.</w:t>
      </w:r>
    </w:p>
    <w:p w:rsidR="00C86BC2" w:rsidRPr="009F71BF" w:rsidRDefault="00C86BC2" w:rsidP="00C86BC2">
      <w:pPr>
        <w:spacing w:before="120" w:after="120"/>
        <w:ind w:left="567" w:hanging="567"/>
        <w:contextualSpacing/>
        <w:jc w:val="both"/>
        <w:rPr>
          <w:rFonts w:cs="Arial"/>
          <w:szCs w:val="24"/>
          <w:lang w:eastAsia="pt-BR"/>
        </w:rPr>
      </w:pPr>
      <w:r w:rsidRPr="009F71BF">
        <w:rPr>
          <w:rFonts w:cs="Arial"/>
          <w:szCs w:val="24"/>
          <w:lang w:eastAsia="pt-BR"/>
        </w:rPr>
        <w:t xml:space="preserve">ANA – Agência Nacional de Águas. Atlas de Abastecimento Urbano de Água: panorama nacional. Elaboração Engecorps/Cobrape. Brasília: ANA, 2010.  </w:t>
      </w:r>
    </w:p>
    <w:p w:rsidR="00C86BC2" w:rsidRPr="00222461" w:rsidRDefault="00C86BC2" w:rsidP="00C86BC2">
      <w:pPr>
        <w:spacing w:before="120" w:after="120"/>
        <w:ind w:left="567" w:hanging="567"/>
        <w:contextualSpacing/>
        <w:jc w:val="both"/>
        <w:rPr>
          <w:rFonts w:cs="Arial"/>
          <w:szCs w:val="24"/>
          <w:lang w:eastAsia="pt-BR"/>
        </w:rPr>
      </w:pPr>
      <w:r w:rsidRPr="009F71BF">
        <w:rPr>
          <w:rFonts w:cs="Arial"/>
          <w:szCs w:val="24"/>
          <w:lang w:eastAsia="pt-BR"/>
        </w:rPr>
        <w:t>ANA – Agência Nacional de Águas. PRODES – Programa de Despoluição de Bacias Hidrográficas. Disponível em: &lt;</w:t>
      </w:r>
      <w:hyperlink r:id="rId104" w:history="1">
        <w:r w:rsidRPr="009F71BF">
          <w:rPr>
            <w:lang w:eastAsia="pt-BR"/>
          </w:rPr>
          <w:t>http://www2.ana.gov.br/Paginas/projetos/Prodes.aspx</w:t>
        </w:r>
      </w:hyperlink>
      <w:r w:rsidRPr="00222461">
        <w:rPr>
          <w:rFonts w:cs="Arial"/>
          <w:szCs w:val="24"/>
          <w:lang w:eastAsia="pt-BR"/>
        </w:rPr>
        <w:t xml:space="preserve">&gt;. Acesso em: dezembro de 2017. </w:t>
      </w:r>
    </w:p>
    <w:p w:rsidR="00C86BC2" w:rsidRPr="00222461" w:rsidRDefault="00C86BC2" w:rsidP="00C86BC2">
      <w:pPr>
        <w:spacing w:before="120" w:after="120"/>
        <w:ind w:left="567" w:hanging="567"/>
        <w:contextualSpacing/>
        <w:jc w:val="both"/>
        <w:rPr>
          <w:rFonts w:cs="Arial"/>
          <w:szCs w:val="24"/>
          <w:lang w:eastAsia="pt-BR"/>
        </w:rPr>
      </w:pPr>
      <w:r w:rsidRPr="00222461">
        <w:rPr>
          <w:rFonts w:cs="Arial"/>
          <w:szCs w:val="24"/>
          <w:lang w:eastAsia="pt-BR"/>
        </w:rPr>
        <w:t xml:space="preserve">ANA – Agência Nacional de Águas. Programa de Gestão de Recursos Hídricos. Disponível em: </w:t>
      </w:r>
      <w:hyperlink r:id="rId105" w:history="1">
        <w:r w:rsidRPr="00222461">
          <w:t>http://www2.ana.gov.br/Paginas/institucional/SobreaAna/gestaoderecursoshidricos.aspx</w:t>
        </w:r>
      </w:hyperlink>
      <w:r w:rsidRPr="00222461">
        <w:t xml:space="preserve"> </w:t>
      </w:r>
      <w:r w:rsidRPr="00222461">
        <w:rPr>
          <w:rFonts w:cs="Arial"/>
          <w:szCs w:val="24"/>
          <w:lang w:eastAsia="pt-BR"/>
        </w:rPr>
        <w:t>. Acesso em: dezembro de 2017.</w:t>
      </w:r>
    </w:p>
    <w:p w:rsidR="00C86BC2" w:rsidRPr="00222461" w:rsidRDefault="00C86BC2" w:rsidP="00C86BC2">
      <w:pPr>
        <w:spacing w:before="120" w:after="120"/>
        <w:ind w:left="567" w:hanging="567"/>
        <w:contextualSpacing/>
        <w:jc w:val="both"/>
        <w:rPr>
          <w:rFonts w:cs="Arial"/>
          <w:szCs w:val="24"/>
          <w:lang w:eastAsia="pt-BR"/>
        </w:rPr>
      </w:pPr>
      <w:r w:rsidRPr="00222461">
        <w:rPr>
          <w:rFonts w:cs="Arial"/>
          <w:szCs w:val="24"/>
          <w:lang w:eastAsia="pt-BR"/>
        </w:rPr>
        <w:t>ANGULO et al. Resíduos de construção e demolição: avaliação de métodos de quantificação. Revista Engenharia Sanitária e Ambiental. Associação Brasileira de Engenharia Sanitária e Ambiental: Rio de Janeiro. v. 16, n. 3, p. 299-306, jul/set 2011.</w:t>
      </w:r>
    </w:p>
    <w:p w:rsidR="00C86BC2" w:rsidRPr="00222461" w:rsidRDefault="00C86BC2" w:rsidP="00C86BC2">
      <w:pPr>
        <w:spacing w:before="120" w:after="120"/>
        <w:ind w:left="567" w:hanging="567"/>
        <w:contextualSpacing/>
        <w:jc w:val="both"/>
        <w:rPr>
          <w:rFonts w:cs="Arial"/>
          <w:szCs w:val="24"/>
          <w:lang w:eastAsia="pt-BR"/>
        </w:rPr>
      </w:pPr>
      <w:r w:rsidRPr="00222461">
        <w:rPr>
          <w:rFonts w:cs="Arial"/>
          <w:szCs w:val="24"/>
          <w:lang w:eastAsia="pt-BR"/>
        </w:rPr>
        <w:lastRenderedPageBreak/>
        <w:t>ARRETCHE, Marta T. S. Saneamento – Infraestrutura – Perspectivas de reorganização. Ministério do Planejamento e Orçamento. Instituto de Pesquisa Econômica Aplicada (IPEA), 1999.</w:t>
      </w:r>
    </w:p>
    <w:p w:rsidR="00C86BC2" w:rsidRPr="00222461" w:rsidRDefault="00C86BC2" w:rsidP="00C86BC2">
      <w:pPr>
        <w:spacing w:before="120" w:after="120"/>
        <w:ind w:left="567" w:hanging="567"/>
        <w:contextualSpacing/>
        <w:jc w:val="both"/>
        <w:rPr>
          <w:rFonts w:cs="Arial"/>
          <w:szCs w:val="24"/>
          <w:lang w:val="en-US" w:eastAsia="pt-BR"/>
        </w:rPr>
      </w:pPr>
      <w:r w:rsidRPr="00222461">
        <w:rPr>
          <w:rFonts w:cs="Arial"/>
          <w:szCs w:val="24"/>
          <w:lang w:val="en-US" w:eastAsia="pt-BR"/>
        </w:rPr>
        <w:t>ASCE (American Society of Civil Engineers); WEF (Water Environment Federation). Design and Construction of Urban Stormwater Management Systems. New York, 1992.</w:t>
      </w:r>
    </w:p>
    <w:p w:rsidR="00C86BC2" w:rsidRPr="009F71BF" w:rsidRDefault="00C86BC2" w:rsidP="00C86BC2">
      <w:pPr>
        <w:spacing w:before="120" w:after="120"/>
        <w:ind w:left="567" w:hanging="567"/>
        <w:contextualSpacing/>
        <w:jc w:val="both"/>
        <w:rPr>
          <w:rFonts w:cs="Arial"/>
          <w:szCs w:val="24"/>
          <w:lang w:eastAsia="pt-BR"/>
        </w:rPr>
      </w:pPr>
      <w:r w:rsidRPr="009F71BF">
        <w:rPr>
          <w:rFonts w:cs="Arial"/>
          <w:szCs w:val="24"/>
          <w:lang w:eastAsia="pt-BR"/>
        </w:rPr>
        <w:t>ASSOCIAÇÃO BRASILEIRA DE NORMAS TÉCNICAS. NBR 10.004: Resíduos sólidos: Classificação, Rio de Janeiro, 2004.</w:t>
      </w:r>
    </w:p>
    <w:p w:rsidR="00C86BC2" w:rsidRPr="009F71BF" w:rsidRDefault="00C86BC2" w:rsidP="00C86BC2">
      <w:pPr>
        <w:spacing w:before="120" w:after="120"/>
        <w:ind w:left="567" w:hanging="567"/>
        <w:contextualSpacing/>
        <w:jc w:val="both"/>
        <w:rPr>
          <w:rFonts w:cs="Arial"/>
          <w:szCs w:val="24"/>
          <w:lang w:eastAsia="pt-BR"/>
        </w:rPr>
      </w:pPr>
      <w:r w:rsidRPr="009F71BF">
        <w:rPr>
          <w:rFonts w:cs="Arial"/>
          <w:szCs w:val="24"/>
        </w:rPr>
        <w:t>ASSOCIAÇÃO BRASILEIRA DE NORMAS TÉCNICAS</w:t>
      </w:r>
      <w:r w:rsidRPr="009F71BF">
        <w:rPr>
          <w:rFonts w:cs="Arial"/>
          <w:szCs w:val="24"/>
          <w:lang w:eastAsia="pt-BR"/>
        </w:rPr>
        <w:t>. NBR 13896: Aterros de resíduos não perigosos - Critérios para projeto, implantação e operação. Rio de Janeiro, 1997.</w:t>
      </w:r>
    </w:p>
    <w:p w:rsidR="00C86BC2" w:rsidRPr="009F71BF" w:rsidRDefault="00C86BC2" w:rsidP="00C86BC2">
      <w:pPr>
        <w:spacing w:before="120" w:after="120"/>
        <w:ind w:left="567" w:hanging="567"/>
        <w:contextualSpacing/>
        <w:jc w:val="both"/>
        <w:rPr>
          <w:rFonts w:cs="Arial"/>
          <w:szCs w:val="24"/>
        </w:rPr>
      </w:pPr>
      <w:r w:rsidRPr="009F71BF">
        <w:rPr>
          <w:rFonts w:cs="Arial"/>
          <w:szCs w:val="24"/>
        </w:rPr>
        <w:t>ASSOCIAÇÃO BRASILEIRA DE NORMAS TÉCNICAS. NBR 15.112: Resíduos sólidos da construção civil e resíduos inertes - Aterros - Diretrizes para projeto, implantação e operação, 2004.</w:t>
      </w:r>
    </w:p>
    <w:p w:rsidR="00C86BC2" w:rsidRPr="009F71BF" w:rsidRDefault="00C86BC2" w:rsidP="00C86BC2">
      <w:pPr>
        <w:spacing w:before="120" w:after="120"/>
        <w:ind w:left="567" w:hanging="567"/>
        <w:contextualSpacing/>
        <w:jc w:val="both"/>
        <w:rPr>
          <w:rFonts w:cs="Arial"/>
          <w:szCs w:val="24"/>
        </w:rPr>
      </w:pPr>
      <w:r w:rsidRPr="009F71BF">
        <w:rPr>
          <w:rFonts w:cs="Arial"/>
          <w:szCs w:val="24"/>
        </w:rPr>
        <w:t>ASSOCIAÇÃO BRASILEIRA DE NORMAS TÉCNICAS. NBR 15.113: Resíduos sólidos da construção civil e resíduos inertes - Aterros - Diretrizes para projeto, implantação e operação. Rio de Janeiro, 2004.</w:t>
      </w:r>
    </w:p>
    <w:p w:rsidR="00C86BC2" w:rsidRPr="009F71BF" w:rsidRDefault="00C86BC2" w:rsidP="00C86BC2">
      <w:pPr>
        <w:spacing w:before="120" w:after="120"/>
        <w:ind w:left="567" w:hanging="567"/>
        <w:contextualSpacing/>
        <w:jc w:val="both"/>
        <w:rPr>
          <w:rFonts w:cs="Arial"/>
          <w:szCs w:val="24"/>
        </w:rPr>
      </w:pPr>
      <w:r w:rsidRPr="009F71BF">
        <w:rPr>
          <w:rFonts w:cs="Arial"/>
          <w:szCs w:val="24"/>
        </w:rPr>
        <w:t>ASSOCIAÇÃO BRASILEIRA DE NORMAS TÉCNICAS. NBR 8.419: Apresentação de projetos de aterros sanitários de resíduos sólidos urbanos. Rio de Janeiro,1992.</w:t>
      </w:r>
    </w:p>
    <w:p w:rsidR="00C86BC2" w:rsidRPr="009F71BF" w:rsidRDefault="00C86BC2" w:rsidP="00C86BC2">
      <w:pPr>
        <w:spacing w:before="120" w:after="120"/>
        <w:ind w:left="567" w:hanging="567"/>
        <w:contextualSpacing/>
        <w:jc w:val="both"/>
        <w:rPr>
          <w:rFonts w:cs="Arial"/>
          <w:szCs w:val="24"/>
        </w:rPr>
      </w:pPr>
      <w:r w:rsidRPr="009F71BF">
        <w:rPr>
          <w:rFonts w:cs="Arial"/>
          <w:szCs w:val="24"/>
        </w:rPr>
        <w:t>ASSOCIAÇÃO BRASILEIRA DE NORMAS TÉCNICAS. NBR 8418. Apresentação de projetos de aterros de resíduos industriais perigosos - procedimento. Rio de Janeiro, 1983.</w:t>
      </w:r>
    </w:p>
    <w:p w:rsidR="00C86BC2" w:rsidRPr="00E82952" w:rsidRDefault="00C86BC2" w:rsidP="00C86BC2">
      <w:pPr>
        <w:spacing w:before="120" w:after="120"/>
        <w:ind w:left="567" w:hanging="567"/>
        <w:contextualSpacing/>
        <w:jc w:val="both"/>
        <w:rPr>
          <w:rFonts w:cs="Arial"/>
          <w:szCs w:val="24"/>
          <w:lang w:val="en-US"/>
        </w:rPr>
      </w:pPr>
      <w:r w:rsidRPr="009F71BF">
        <w:rPr>
          <w:rFonts w:cs="Arial"/>
          <w:szCs w:val="24"/>
        </w:rPr>
        <w:t xml:space="preserve">ASSOCIAÇÃO BRASILEIRA DE NORMAS TÉCNICAS. NBR 15.849: Resíduos sólidos urbanos - Aterros sanitários de pequeno porte - Diretrizes para localização, projeto, implantação, operação e encerramento. </w:t>
      </w:r>
      <w:r w:rsidRPr="00E82952">
        <w:rPr>
          <w:rFonts w:cs="Arial"/>
          <w:szCs w:val="24"/>
          <w:lang w:val="en-US"/>
        </w:rPr>
        <w:t>Rio de Janeiro, 2010.</w:t>
      </w:r>
    </w:p>
    <w:p w:rsidR="00C86BC2" w:rsidRPr="00222461" w:rsidRDefault="00C86BC2" w:rsidP="00C86BC2">
      <w:pPr>
        <w:spacing w:before="120" w:after="120"/>
        <w:ind w:left="567" w:hanging="567"/>
        <w:contextualSpacing/>
        <w:jc w:val="both"/>
        <w:rPr>
          <w:rFonts w:cs="Arial"/>
          <w:szCs w:val="24"/>
          <w:lang w:val="en-US" w:eastAsia="pt-BR"/>
        </w:rPr>
      </w:pPr>
      <w:r w:rsidRPr="00222461">
        <w:rPr>
          <w:rFonts w:cs="Arial"/>
          <w:szCs w:val="24"/>
          <w:lang w:val="en-US" w:eastAsia="pt-BR"/>
        </w:rPr>
        <w:t>AS/NZS. Risk Management 4.360:2004. Sydney: Standards Australia, Wellington: Standards New Zealand, 30p, 2004.</w:t>
      </w:r>
    </w:p>
    <w:p w:rsidR="00C86BC2" w:rsidRPr="005B7F98" w:rsidRDefault="00C86BC2" w:rsidP="00C86BC2">
      <w:pPr>
        <w:spacing w:line="240" w:lineRule="auto"/>
        <w:ind w:left="567" w:hanging="567"/>
        <w:jc w:val="both"/>
        <w:rPr>
          <w:rFonts w:cs="Arial"/>
          <w:szCs w:val="24"/>
          <w:lang w:val="en-US"/>
        </w:rPr>
      </w:pPr>
    </w:p>
    <w:p w:rsidR="00C86BC2" w:rsidRPr="009F71BF" w:rsidRDefault="00C86BC2" w:rsidP="00C86BC2">
      <w:pPr>
        <w:spacing w:before="120" w:after="120"/>
        <w:ind w:left="567" w:hanging="567"/>
        <w:contextualSpacing/>
        <w:jc w:val="both"/>
        <w:rPr>
          <w:rFonts w:cs="Arial"/>
          <w:szCs w:val="24"/>
          <w:lang w:eastAsia="pt-BR"/>
        </w:rPr>
      </w:pPr>
      <w:r w:rsidRPr="009F71BF">
        <w:rPr>
          <w:rFonts w:cs="Arial"/>
          <w:szCs w:val="24"/>
          <w:lang w:eastAsia="pt-BR"/>
        </w:rPr>
        <w:t>ATLAS BRASIL – Atlas do Desenvolvimento Humano no Brasil, 2013. Disponível em: &lt;http://atlasbrasil.org.br/2013/&gt;. Acesso em: janeiro de 2017.</w:t>
      </w:r>
    </w:p>
    <w:p w:rsidR="00C86BC2" w:rsidRPr="009F71BF" w:rsidRDefault="00C86BC2" w:rsidP="00C86BC2">
      <w:pPr>
        <w:spacing w:before="120" w:after="120"/>
        <w:ind w:left="567" w:hanging="567"/>
        <w:contextualSpacing/>
        <w:jc w:val="both"/>
        <w:rPr>
          <w:rFonts w:cs="Arial"/>
          <w:szCs w:val="24"/>
          <w:lang w:eastAsia="pt-BR"/>
        </w:rPr>
      </w:pPr>
      <w:r w:rsidRPr="009F71BF">
        <w:rPr>
          <w:rFonts w:cs="Arial"/>
          <w:szCs w:val="24"/>
          <w:lang w:eastAsia="pt-BR"/>
        </w:rPr>
        <w:t xml:space="preserve">ATLAS DIGITAL DAS ÁGUAS DE MINAS, s.d. Disponível em: &lt; http://www.atlasdasaguas.ufv.br/ &gt;. Acesso em: julho 2017. </w:t>
      </w:r>
    </w:p>
    <w:p w:rsidR="00C86BC2" w:rsidRPr="009F71BF" w:rsidRDefault="00C86BC2" w:rsidP="00C86BC2">
      <w:pPr>
        <w:spacing w:before="120" w:after="120"/>
        <w:ind w:left="567" w:hanging="567"/>
        <w:contextualSpacing/>
        <w:jc w:val="both"/>
        <w:rPr>
          <w:rFonts w:cs="Arial"/>
          <w:szCs w:val="24"/>
          <w:lang w:eastAsia="pt-BR"/>
        </w:rPr>
      </w:pPr>
      <w:r w:rsidRPr="009F71BF">
        <w:rPr>
          <w:rFonts w:cs="Arial"/>
          <w:szCs w:val="24"/>
          <w:lang w:eastAsia="pt-BR"/>
        </w:rPr>
        <w:lastRenderedPageBreak/>
        <w:t xml:space="preserve">ATLAS DIGITAL DE MINAS GERAIS, 2006. Projeto FAPEMIG (Fundação de Amparo à Pesquisa do Estado de Minas Gerais). Disponível em: &lt;http://www.iga.mg.gov.br/MAPSERV_IGA/ATLAS/&gt;. Acesso em: fevereiro de 2017. </w:t>
      </w:r>
    </w:p>
    <w:p w:rsidR="00C86BC2" w:rsidRPr="009F71BF" w:rsidRDefault="00C86BC2" w:rsidP="00C86BC2">
      <w:pPr>
        <w:spacing w:before="120" w:after="120"/>
        <w:ind w:left="567" w:hanging="567"/>
        <w:contextualSpacing/>
        <w:jc w:val="both"/>
        <w:rPr>
          <w:rFonts w:cs="Arial"/>
          <w:szCs w:val="24"/>
          <w:lang w:eastAsia="pt-BR"/>
        </w:rPr>
      </w:pPr>
      <w:r w:rsidRPr="009F71BF">
        <w:rPr>
          <w:rFonts w:cs="Arial"/>
          <w:szCs w:val="24"/>
          <w:lang w:eastAsia="pt-BR"/>
        </w:rPr>
        <w:t>BANCO CENTRAL DO BRASIL – BCB, Relação de Agências, Postos e Filiais de Administradoras de Consórcio, março de 2017, disponível em: &lt;https://www.bcb.gov.br/fis/info/agencias.asp&gt;. Acesso em: abril de 2017.</w:t>
      </w:r>
    </w:p>
    <w:p w:rsidR="00C86BC2" w:rsidRPr="009F71BF" w:rsidRDefault="00C86BC2" w:rsidP="00C86BC2">
      <w:pPr>
        <w:spacing w:before="120" w:after="120"/>
        <w:ind w:left="567" w:hanging="567"/>
        <w:contextualSpacing/>
        <w:jc w:val="both"/>
        <w:rPr>
          <w:rFonts w:cs="Arial"/>
          <w:szCs w:val="24"/>
          <w:lang w:eastAsia="pt-BR"/>
        </w:rPr>
      </w:pPr>
      <w:r w:rsidRPr="009F71BF">
        <w:rPr>
          <w:rFonts w:cs="Arial"/>
          <w:szCs w:val="24"/>
          <w:lang w:eastAsia="pt-BR"/>
        </w:rPr>
        <w:t>BAPTISTA M., BARRAUD S.; ALFAKIH E., NASCIMENTO N., FERNANDES W., MOURA P., CASTRO L. Performance-costs evaluation for urban storm drainage. Water Science &amp; Technology 51(2) - 2005, 99-107.</w:t>
      </w:r>
    </w:p>
    <w:p w:rsidR="00C86BC2" w:rsidRPr="009F71BF" w:rsidRDefault="00C86BC2" w:rsidP="00C86BC2">
      <w:pPr>
        <w:spacing w:before="120" w:after="120"/>
        <w:ind w:left="567" w:hanging="567"/>
        <w:contextualSpacing/>
        <w:jc w:val="both"/>
        <w:rPr>
          <w:rFonts w:cs="Arial"/>
          <w:szCs w:val="24"/>
          <w:lang w:eastAsia="pt-BR"/>
        </w:rPr>
      </w:pPr>
      <w:r w:rsidRPr="009F71BF">
        <w:rPr>
          <w:rFonts w:cs="Arial"/>
          <w:szCs w:val="24"/>
          <w:lang w:eastAsia="pt-BR"/>
        </w:rPr>
        <w:t>BAPTISTA, M. Nascimento, N. Barraud, S. Técnicas Compensatórias em Drenagem Urbana, Porto Alegre, ABRH, 2005.</w:t>
      </w:r>
    </w:p>
    <w:p w:rsidR="00C86BC2" w:rsidRPr="00222461" w:rsidRDefault="00C86BC2" w:rsidP="00C86BC2">
      <w:pPr>
        <w:spacing w:before="120" w:after="120"/>
        <w:ind w:left="567" w:hanging="567"/>
        <w:contextualSpacing/>
        <w:jc w:val="both"/>
        <w:rPr>
          <w:rFonts w:cs="Arial"/>
          <w:szCs w:val="24"/>
          <w:lang w:eastAsia="pt-BR"/>
        </w:rPr>
      </w:pPr>
      <w:r w:rsidRPr="00222461">
        <w:rPr>
          <w:rFonts w:cs="Arial"/>
          <w:szCs w:val="24"/>
          <w:lang w:eastAsia="pt-BR"/>
        </w:rPr>
        <w:t>BARROS, R. T. V. et al. Saneamento. Manual de saneamento e proteção ambiental para os municípios – volume 2. Belo Horizonte: Escola de Engenharia da UFMG, 1995.</w:t>
      </w:r>
    </w:p>
    <w:p w:rsidR="00C86BC2" w:rsidRPr="00222461" w:rsidRDefault="00C86BC2" w:rsidP="00C86BC2">
      <w:pPr>
        <w:spacing w:before="120" w:after="120"/>
        <w:ind w:left="567" w:hanging="567"/>
        <w:contextualSpacing/>
        <w:jc w:val="both"/>
        <w:rPr>
          <w:rFonts w:cs="Arial"/>
          <w:szCs w:val="24"/>
          <w:lang w:eastAsia="pt-BR"/>
        </w:rPr>
      </w:pPr>
      <w:r w:rsidRPr="00222461">
        <w:rPr>
          <w:rFonts w:cs="Arial"/>
          <w:szCs w:val="24"/>
          <w:lang w:eastAsia="pt-BR"/>
        </w:rPr>
        <w:t>BASTOS R.K.X; HELLER, L.; PRINCE. A.A; BRANDÃO, C.C.S.; COSTA, S.S.; BEVILACQUA, P.D.; ALVES, R.M.S. Boas práticas no abastecimento de água: procedimentos para a minimização de riscos à saúde – Manual para os responsáveis pela vigilância e controle. Brasília: Ministério da Saúde, 260 p. (Série A. Normas e Manuais Técnicos), 2006.</w:t>
      </w:r>
    </w:p>
    <w:p w:rsidR="00C86BC2" w:rsidRPr="00222461" w:rsidRDefault="00C86BC2" w:rsidP="00C86BC2">
      <w:pPr>
        <w:spacing w:before="120" w:after="120"/>
        <w:ind w:left="567" w:hanging="567"/>
        <w:contextualSpacing/>
        <w:jc w:val="both"/>
        <w:rPr>
          <w:rFonts w:cs="Arial"/>
          <w:szCs w:val="24"/>
          <w:lang w:eastAsia="pt-BR"/>
        </w:rPr>
      </w:pPr>
      <w:r w:rsidRPr="00222461">
        <w:rPr>
          <w:rFonts w:cs="Arial"/>
          <w:szCs w:val="24"/>
          <w:lang w:eastAsia="pt-BR"/>
        </w:rPr>
        <w:t>BATISTA, M.; NASCIMENTO, N. BARRAUD, S. Bacias de Detenção, In: Técnicas Compensatórias em Drenagem Urbana, Porto Alegre: ABRH, 2005.</w:t>
      </w:r>
    </w:p>
    <w:p w:rsidR="00C86BC2" w:rsidRPr="0032032E" w:rsidRDefault="00C86BC2" w:rsidP="00C86BC2">
      <w:pPr>
        <w:spacing w:before="120" w:after="120"/>
        <w:ind w:left="567" w:hanging="567"/>
        <w:contextualSpacing/>
        <w:jc w:val="both"/>
        <w:rPr>
          <w:rFonts w:cs="Arial"/>
          <w:szCs w:val="24"/>
          <w:lang w:eastAsia="pt-BR"/>
        </w:rPr>
      </w:pPr>
      <w:r w:rsidRPr="0032032E">
        <w:rPr>
          <w:rFonts w:cs="Arial"/>
          <w:szCs w:val="24"/>
          <w:lang w:val="en-US" w:eastAsia="pt-BR"/>
        </w:rPr>
        <w:t xml:space="preserve">BESEN, G. R. et al. </w:t>
      </w:r>
      <w:r w:rsidRPr="0032032E">
        <w:rPr>
          <w:rFonts w:cs="Arial"/>
          <w:szCs w:val="24"/>
          <w:lang w:eastAsia="pt-BR"/>
        </w:rPr>
        <w:t>Resíduos sólidos: vulnerabilidades e perspectivas. In: SALDIVA P. et al. Meio ambiente e saúde: o desafio das metrópoles. São Paulo: Ex Libris, 2010.</w:t>
      </w:r>
    </w:p>
    <w:p w:rsidR="00C86BC2" w:rsidRPr="0032032E" w:rsidRDefault="00C86BC2" w:rsidP="00C86BC2">
      <w:pPr>
        <w:spacing w:before="120" w:after="120"/>
        <w:ind w:left="567" w:hanging="567"/>
        <w:contextualSpacing/>
        <w:jc w:val="both"/>
        <w:rPr>
          <w:rFonts w:cs="Arial"/>
          <w:szCs w:val="24"/>
          <w:lang w:eastAsia="pt-BR"/>
        </w:rPr>
      </w:pPr>
      <w:r w:rsidRPr="0032032E">
        <w:rPr>
          <w:rFonts w:cs="Arial"/>
          <w:szCs w:val="24"/>
          <w:lang w:eastAsia="pt-BR"/>
        </w:rPr>
        <w:t xml:space="preserve">BID – BANCO INTERAMERICANO DE DESENVOLVIMENTO. PROCIDADES. Disponível em: &lt;http://www.bidprocidades.org.br/sit/index.do&gt;. Acesso em: dezembro de 2017. </w:t>
      </w:r>
    </w:p>
    <w:p w:rsidR="00BC01B1" w:rsidRDefault="00BC01B1" w:rsidP="00C86BC2">
      <w:pPr>
        <w:spacing w:before="120" w:after="120"/>
        <w:ind w:left="567" w:hanging="567"/>
        <w:contextualSpacing/>
        <w:jc w:val="both"/>
        <w:rPr>
          <w:rFonts w:cs="Arial"/>
          <w:szCs w:val="24"/>
          <w:lang w:eastAsia="pt-BR"/>
        </w:rPr>
      </w:pPr>
    </w:p>
    <w:p w:rsidR="00BC01B1" w:rsidRDefault="00BC01B1" w:rsidP="00C86BC2">
      <w:pPr>
        <w:spacing w:before="120" w:after="120"/>
        <w:ind w:left="567" w:hanging="567"/>
        <w:contextualSpacing/>
        <w:jc w:val="both"/>
        <w:rPr>
          <w:rFonts w:cs="Arial"/>
          <w:szCs w:val="24"/>
          <w:lang w:eastAsia="pt-BR"/>
        </w:rPr>
      </w:pPr>
    </w:p>
    <w:p w:rsidR="00C86BC2" w:rsidRPr="0032032E" w:rsidRDefault="00C86BC2" w:rsidP="00C86BC2">
      <w:pPr>
        <w:spacing w:before="120" w:after="120"/>
        <w:ind w:left="567" w:hanging="567"/>
        <w:contextualSpacing/>
        <w:jc w:val="both"/>
        <w:rPr>
          <w:rFonts w:cs="Arial"/>
          <w:szCs w:val="24"/>
          <w:lang w:eastAsia="pt-BR"/>
        </w:rPr>
      </w:pPr>
      <w:r w:rsidRPr="0032032E">
        <w:rPr>
          <w:rFonts w:cs="Arial"/>
          <w:szCs w:val="24"/>
          <w:lang w:eastAsia="pt-BR"/>
        </w:rPr>
        <w:lastRenderedPageBreak/>
        <w:t xml:space="preserve">BNDES – BANCO NACIONAL DE DESENVOLVIMENTO ECONÔMICO E SOCIAL. Saneamento Ambiental e Recursos Hídricos. Disponível em: </w:t>
      </w:r>
      <w:hyperlink r:id="rId106" w:history="1">
        <w:r w:rsidRPr="0032032E">
          <w:t>http://www.bndes.gov.br/SiteBNDES/bndes/bndes_pt/Institucional/Apoio_Financeiro/Produtos/FINEM/saneamento.html</w:t>
        </w:r>
      </w:hyperlink>
      <w:r w:rsidRPr="0032032E">
        <w:rPr>
          <w:rFonts w:cs="Arial"/>
          <w:szCs w:val="24"/>
          <w:lang w:eastAsia="pt-BR"/>
        </w:rPr>
        <w:t>. Acesso em: dezembro de 2017.</w:t>
      </w:r>
    </w:p>
    <w:p w:rsidR="00C86BC2" w:rsidRPr="0032032E" w:rsidRDefault="00C86BC2" w:rsidP="00C86BC2">
      <w:pPr>
        <w:spacing w:before="120" w:after="120"/>
        <w:ind w:left="567" w:hanging="567"/>
        <w:contextualSpacing/>
        <w:jc w:val="both"/>
        <w:rPr>
          <w:rFonts w:cs="Arial"/>
          <w:szCs w:val="24"/>
          <w:lang w:eastAsia="pt-BR"/>
        </w:rPr>
      </w:pPr>
      <w:r w:rsidRPr="0032032E">
        <w:rPr>
          <w:rFonts w:cs="Arial"/>
          <w:szCs w:val="24"/>
          <w:lang w:eastAsia="pt-BR"/>
        </w:rPr>
        <w:t>BRAGA, R.; CARVALHO, P. F. de (Org.). Recursos Hídricos e Planejamento Urbano e Regional. Rio Claro: Laboratório de Planejamento Municipal – Deplan – UNESP – IGCE, 2003.</w:t>
      </w:r>
    </w:p>
    <w:p w:rsidR="00C86BC2" w:rsidRPr="00405316" w:rsidRDefault="00C86BC2" w:rsidP="00C86BC2">
      <w:pPr>
        <w:spacing w:before="120" w:after="120"/>
        <w:ind w:left="567" w:hanging="567"/>
        <w:contextualSpacing/>
        <w:jc w:val="both"/>
        <w:rPr>
          <w:rFonts w:cs="Arial"/>
          <w:szCs w:val="24"/>
          <w:lang w:eastAsia="pt-BR"/>
        </w:rPr>
      </w:pPr>
      <w:r w:rsidRPr="00405316">
        <w:rPr>
          <w:rFonts w:cs="Arial"/>
          <w:szCs w:val="24"/>
          <w:lang w:eastAsia="pt-BR"/>
        </w:rPr>
        <w:t xml:space="preserve">BRASIL. Fundação Nacional de Saúde. Diretrizes de educação em saúde visando à promoção da saúde: documento base - documento I/Fundação Nacional de Saúde - Brasília: Funasa, 70 p., 2007. Disponível em:&lt; </w:t>
      </w:r>
      <w:hyperlink r:id="rId107" w:history="1">
        <w:r w:rsidRPr="00405316">
          <w:rPr>
            <w:rFonts w:cs="Arial"/>
            <w:szCs w:val="24"/>
            <w:lang w:eastAsia="pt-BR"/>
          </w:rPr>
          <w:t>http://www.funasa.gov.br/site/wp-content/files_mf/dir_ed_sau.pdf</w:t>
        </w:r>
      </w:hyperlink>
      <w:r w:rsidRPr="00405316">
        <w:rPr>
          <w:rFonts w:cs="Arial"/>
          <w:szCs w:val="24"/>
          <w:lang w:eastAsia="pt-BR"/>
        </w:rPr>
        <w:t>&gt;. Acesso em: julho de 2017.</w:t>
      </w:r>
    </w:p>
    <w:p w:rsidR="00C86BC2" w:rsidRPr="00405316" w:rsidRDefault="00C86BC2" w:rsidP="00C86BC2">
      <w:pPr>
        <w:spacing w:before="120" w:after="120"/>
        <w:ind w:left="567" w:hanging="567"/>
        <w:contextualSpacing/>
        <w:jc w:val="both"/>
        <w:rPr>
          <w:rFonts w:cs="Arial"/>
          <w:szCs w:val="24"/>
          <w:lang w:eastAsia="pt-BR"/>
        </w:rPr>
      </w:pPr>
      <w:r w:rsidRPr="00405316">
        <w:rPr>
          <w:rFonts w:cs="Arial"/>
          <w:szCs w:val="24"/>
          <w:lang w:eastAsia="pt-BR"/>
        </w:rPr>
        <w:t>BRASIL. Decreto nº 7.217 de 21 de junho de 2010. Regulamenta a Lei nº 11.445, de 5 de janeiro de 2007 que estabelece diretrizes nacionais para o saneamento básico e dá outras providências.</w:t>
      </w:r>
    </w:p>
    <w:p w:rsidR="00C86BC2" w:rsidRPr="00405316" w:rsidRDefault="00C86BC2" w:rsidP="00C86BC2">
      <w:pPr>
        <w:spacing w:before="120" w:after="120"/>
        <w:ind w:left="567" w:hanging="567"/>
        <w:contextualSpacing/>
        <w:jc w:val="both"/>
        <w:rPr>
          <w:rFonts w:cs="Arial"/>
          <w:szCs w:val="24"/>
          <w:lang w:eastAsia="pt-BR"/>
        </w:rPr>
      </w:pPr>
      <w:r w:rsidRPr="00405316">
        <w:rPr>
          <w:rFonts w:cs="Arial"/>
          <w:szCs w:val="24"/>
          <w:lang w:eastAsia="pt-BR"/>
        </w:rPr>
        <w:t xml:space="preserve">BRASIL. Decreto nº 7.404 de 23 de dezembro de 2010. Regulamenta a Política Nacional de Resíduos Sólidos. </w:t>
      </w:r>
    </w:p>
    <w:p w:rsidR="00C86BC2" w:rsidRPr="00405316" w:rsidRDefault="00C86BC2" w:rsidP="00C86BC2">
      <w:pPr>
        <w:spacing w:before="120" w:after="120"/>
        <w:ind w:left="567" w:hanging="567"/>
        <w:contextualSpacing/>
        <w:jc w:val="both"/>
        <w:rPr>
          <w:rFonts w:cs="Arial"/>
          <w:szCs w:val="24"/>
          <w:lang w:eastAsia="pt-BR"/>
        </w:rPr>
      </w:pPr>
      <w:r w:rsidRPr="00405316">
        <w:rPr>
          <w:rFonts w:cs="Arial"/>
          <w:szCs w:val="24"/>
          <w:lang w:eastAsia="pt-BR"/>
        </w:rPr>
        <w:t>BRASIL. Lei nº 12.305, de 2 de agosto de 2010. Institui a Política Nacional de Resíduos Sólidos; altera a Lei nº 9.605, de 12 de fevereiro de 1998; e dá outras providências. Diário Oficial da União, de 3 de agosto de 2010, Brasília, DF.</w:t>
      </w:r>
    </w:p>
    <w:p w:rsidR="00C86BC2" w:rsidRPr="009F71BF" w:rsidRDefault="00C86BC2" w:rsidP="00C86BC2">
      <w:pPr>
        <w:spacing w:before="120" w:after="120"/>
        <w:ind w:left="567" w:hanging="567"/>
        <w:contextualSpacing/>
        <w:jc w:val="both"/>
        <w:rPr>
          <w:rFonts w:cs="Arial"/>
          <w:szCs w:val="24"/>
          <w:lang w:eastAsia="pt-BR"/>
        </w:rPr>
      </w:pPr>
      <w:r w:rsidRPr="00405316">
        <w:rPr>
          <w:rFonts w:cs="Arial"/>
          <w:szCs w:val="24"/>
          <w:lang w:eastAsia="pt-BR"/>
        </w:rPr>
        <w:t xml:space="preserve">BRASIL. Lei nº 11.445, de 5 de janeiro de 2007. Estabelece diretrizes nacionais para o saneamento básico; altera as Leis nºs 6.766, de 19 de dezembro de 1979, 8.036, de 11 de maio de 1990, 8.666, de 21 de junho de 1993, 8.987, de 13 de fevereiro de 1995; revoga a Lei nº 6.528, de 11 de maio de 1978; e dá outras </w:t>
      </w:r>
      <w:r w:rsidRPr="009F71BF">
        <w:rPr>
          <w:rFonts w:cs="Arial"/>
          <w:szCs w:val="24"/>
          <w:lang w:eastAsia="pt-BR"/>
        </w:rPr>
        <w:t>providências. Diário Oficial [da] República Federativa do Brasil, Brasília, DF.</w:t>
      </w:r>
    </w:p>
    <w:p w:rsidR="00C86BC2" w:rsidRPr="009F71BF" w:rsidRDefault="00C86BC2" w:rsidP="00C86BC2">
      <w:pPr>
        <w:spacing w:before="120" w:after="120"/>
        <w:ind w:left="567" w:hanging="567"/>
        <w:contextualSpacing/>
        <w:jc w:val="both"/>
        <w:rPr>
          <w:rFonts w:cs="Arial"/>
          <w:szCs w:val="24"/>
          <w:lang w:eastAsia="pt-BR"/>
        </w:rPr>
      </w:pPr>
      <w:r w:rsidRPr="009F71BF">
        <w:rPr>
          <w:rFonts w:cs="Arial"/>
          <w:szCs w:val="24"/>
          <w:lang w:eastAsia="pt-BR"/>
        </w:rPr>
        <w:t>BRASIL. Lei nº 10.257, de 10 de julho de 2001. Institui o Estatuto das Cidades. Regulamenta os arts. 182 e 183 da Constituição Federal, estabelece diretrizes gerais da política urbana e dá outras providências. Diário Oficial [da] República Federativa do Brasil, Brasília, DF.</w:t>
      </w:r>
    </w:p>
    <w:p w:rsidR="00BC01B1" w:rsidRDefault="00BC01B1" w:rsidP="00C86BC2">
      <w:pPr>
        <w:spacing w:before="120" w:after="120"/>
        <w:ind w:left="567" w:hanging="567"/>
        <w:contextualSpacing/>
        <w:jc w:val="both"/>
        <w:rPr>
          <w:rFonts w:cs="Arial"/>
          <w:szCs w:val="24"/>
          <w:lang w:eastAsia="pt-BR"/>
        </w:rPr>
      </w:pPr>
    </w:p>
    <w:p w:rsidR="00C86BC2" w:rsidRPr="00405316" w:rsidRDefault="00C86BC2" w:rsidP="00C86BC2">
      <w:pPr>
        <w:spacing w:before="120" w:after="120"/>
        <w:ind w:left="567" w:hanging="567"/>
        <w:contextualSpacing/>
        <w:jc w:val="both"/>
        <w:rPr>
          <w:rFonts w:cs="Arial"/>
          <w:szCs w:val="24"/>
          <w:lang w:eastAsia="pt-BR"/>
        </w:rPr>
      </w:pPr>
      <w:r w:rsidRPr="009F71BF">
        <w:rPr>
          <w:rFonts w:cs="Arial"/>
          <w:szCs w:val="24"/>
          <w:lang w:eastAsia="pt-BR"/>
        </w:rPr>
        <w:lastRenderedPageBreak/>
        <w:t xml:space="preserve">BRASIL. Lei nº 12.340, de 1º de dezembro de 2010. Dispõe sobre as transferências de recursos da União aos órgãos e entidades </w:t>
      </w:r>
      <w:r w:rsidRPr="00405316">
        <w:rPr>
          <w:rFonts w:cs="Arial"/>
          <w:szCs w:val="24"/>
          <w:lang w:eastAsia="pt-BR"/>
        </w:rPr>
        <w:t>dos Estados, Distrito Federal e Municípios para a execução de ações de prevenção em áreas de risco de desastres e de resposta e de recuperação em áreas atingidas por desastres e sobre o Fundo Nacional para Calamidades Públicas, Proteção e Defesa Civil; e dá outras providências.</w:t>
      </w:r>
    </w:p>
    <w:p w:rsidR="00C86BC2" w:rsidRPr="00405316" w:rsidRDefault="00C86BC2" w:rsidP="00C86BC2">
      <w:pPr>
        <w:spacing w:before="120" w:after="120"/>
        <w:ind w:left="567" w:hanging="567"/>
        <w:contextualSpacing/>
        <w:jc w:val="both"/>
        <w:rPr>
          <w:rFonts w:cs="Arial"/>
          <w:szCs w:val="24"/>
          <w:lang w:eastAsia="pt-BR"/>
        </w:rPr>
      </w:pPr>
      <w:r w:rsidRPr="00405316">
        <w:rPr>
          <w:rFonts w:cs="Arial"/>
          <w:szCs w:val="24"/>
          <w:lang w:eastAsia="pt-BR"/>
        </w:rPr>
        <w:t>BRASIL. Lei nº 12.608, de 10 de abril de 2012. Institui a Política Nacional de Proteção e Defesa Civil - PNPDEC; dispõe sobre o Sistema Nacional de Proteção e Defesa Civil - SINPDEC e o Conselho Nacional de Proteção e Defesa Civil - CONPDEC; autoriza a criação de sistema de informações e monitoramento de desastres; altera as Leis nºs 12.340, de 1º de dezembro de 2010, 10.257, de 10 de julho de 2001, 6.766, de 19 de dezembro de 1979, 8.239, de 4 de outubro de 1991, e 9.394, de 20 de dezembro de 1996; e dá outras providências.</w:t>
      </w:r>
    </w:p>
    <w:p w:rsidR="00C86BC2" w:rsidRPr="00405316" w:rsidRDefault="00C86BC2" w:rsidP="00C86BC2">
      <w:pPr>
        <w:spacing w:before="120" w:after="120"/>
        <w:ind w:left="567" w:hanging="567"/>
        <w:contextualSpacing/>
        <w:jc w:val="both"/>
        <w:rPr>
          <w:rFonts w:cs="Arial"/>
          <w:szCs w:val="24"/>
          <w:lang w:eastAsia="pt-BR"/>
        </w:rPr>
      </w:pPr>
      <w:r w:rsidRPr="00405316">
        <w:rPr>
          <w:rFonts w:cs="Arial"/>
          <w:szCs w:val="24"/>
          <w:lang w:eastAsia="pt-BR"/>
        </w:rPr>
        <w:t>BRASIL. Decreto de 25 de janeiro de 2002. Institui o Comitê da Bacia Hidrográfica do Rio Doce, localizada nos Estados de Minas Gerais e Espírito Santo, e dá outras providências.</w:t>
      </w:r>
    </w:p>
    <w:p w:rsidR="00C86BC2" w:rsidRPr="00405316" w:rsidRDefault="00C86BC2" w:rsidP="00C86BC2">
      <w:pPr>
        <w:spacing w:before="120" w:after="120"/>
        <w:ind w:left="567" w:hanging="567"/>
        <w:contextualSpacing/>
        <w:jc w:val="both"/>
        <w:rPr>
          <w:rFonts w:cs="Arial"/>
          <w:szCs w:val="24"/>
          <w:lang w:eastAsia="pt-BR"/>
        </w:rPr>
      </w:pPr>
      <w:r w:rsidRPr="00405316">
        <w:rPr>
          <w:rFonts w:cs="Arial"/>
          <w:szCs w:val="24"/>
          <w:lang w:eastAsia="pt-BR"/>
        </w:rPr>
        <w:t>BRASIL. Decreto de 1º de setembro de 2010. Dá nova redação ao parágrafo único do art. 1º do Decreto de 25 de janeiro de 2002, que institui o Comitê da Bacia Hidrográfica do Rio Doce, localizada nos Estados de Minas Gerais e Espírito Santo.</w:t>
      </w:r>
    </w:p>
    <w:p w:rsidR="00C86BC2" w:rsidRPr="00405316" w:rsidRDefault="00C86BC2" w:rsidP="00C86BC2">
      <w:pPr>
        <w:spacing w:before="120" w:after="120"/>
        <w:ind w:left="567" w:hanging="567"/>
        <w:contextualSpacing/>
        <w:jc w:val="both"/>
        <w:rPr>
          <w:rFonts w:cs="Arial"/>
          <w:szCs w:val="24"/>
          <w:lang w:eastAsia="pt-BR"/>
        </w:rPr>
      </w:pPr>
      <w:r w:rsidRPr="00405316">
        <w:rPr>
          <w:rFonts w:cs="Arial"/>
          <w:szCs w:val="24"/>
          <w:lang w:eastAsia="pt-BR"/>
        </w:rPr>
        <w:t>BRASIL. Lei nº 6.766 de 19 de dezembro de 1979. Dispõe sobre o Parcelamento do Solo Urbano e dá outras providências.</w:t>
      </w:r>
    </w:p>
    <w:p w:rsidR="00C86BC2" w:rsidRPr="00405316" w:rsidRDefault="00C86BC2" w:rsidP="00C86BC2">
      <w:pPr>
        <w:spacing w:before="120" w:after="120"/>
        <w:ind w:left="567" w:hanging="567"/>
        <w:contextualSpacing/>
        <w:jc w:val="both"/>
        <w:rPr>
          <w:rFonts w:cs="Arial"/>
          <w:szCs w:val="24"/>
          <w:lang w:eastAsia="pt-BR"/>
        </w:rPr>
      </w:pPr>
      <w:r w:rsidRPr="00405316">
        <w:rPr>
          <w:rFonts w:cs="Arial"/>
          <w:szCs w:val="24"/>
          <w:lang w:eastAsia="pt-BR"/>
        </w:rPr>
        <w:t>BRASIL. Lei Federal nº 9.985 de 18 de julho de 2000. Regulamenta o art. 225, § 1º, incisos I, II, III e VII da Constituição Federal, institui o Sistema Nacional de Unidades de Conservação da Natureza e dá outras providências.</w:t>
      </w:r>
    </w:p>
    <w:p w:rsidR="00C86BC2" w:rsidRPr="00405316" w:rsidRDefault="00C86BC2" w:rsidP="00C86BC2">
      <w:pPr>
        <w:spacing w:before="120" w:after="120"/>
        <w:ind w:left="567" w:hanging="567"/>
        <w:contextualSpacing/>
        <w:jc w:val="both"/>
        <w:rPr>
          <w:rFonts w:cs="Arial"/>
          <w:szCs w:val="24"/>
          <w:lang w:eastAsia="pt-BR"/>
        </w:rPr>
      </w:pPr>
      <w:r w:rsidRPr="00405316">
        <w:rPr>
          <w:rFonts w:cs="Arial"/>
          <w:szCs w:val="24"/>
          <w:lang w:eastAsia="pt-BR"/>
        </w:rPr>
        <w:t>BRASIL. Lei nº 9.433, de 8 de janeiro de 1997. Institui a Política Nacional de Recursos Hídricos, cria o Sistema Nacional de Gerenciamento de Recursos Hídricos.</w:t>
      </w:r>
    </w:p>
    <w:p w:rsidR="00C86BC2" w:rsidRPr="00405316" w:rsidRDefault="00C86BC2" w:rsidP="00C86BC2">
      <w:pPr>
        <w:spacing w:before="120" w:after="120"/>
        <w:ind w:left="567" w:hanging="567"/>
        <w:contextualSpacing/>
        <w:jc w:val="both"/>
        <w:rPr>
          <w:rFonts w:cs="Arial"/>
          <w:szCs w:val="24"/>
          <w:lang w:eastAsia="pt-BR"/>
        </w:rPr>
      </w:pPr>
      <w:r w:rsidRPr="00405316">
        <w:rPr>
          <w:rFonts w:cs="Arial"/>
          <w:szCs w:val="24"/>
          <w:lang w:eastAsia="pt-BR"/>
        </w:rPr>
        <w:t>BRASIL. Constituição (1988). Constituição da República Federativa do Brasil. Brasília, DF: Senado Federal: Centro Gráfico, 1988. 292 p.</w:t>
      </w:r>
    </w:p>
    <w:p w:rsidR="00C86BC2" w:rsidRPr="00405316" w:rsidRDefault="00C86BC2" w:rsidP="00C86BC2">
      <w:pPr>
        <w:spacing w:before="120" w:after="120"/>
        <w:ind w:left="567" w:hanging="567"/>
        <w:contextualSpacing/>
        <w:jc w:val="both"/>
        <w:rPr>
          <w:rFonts w:cs="Arial"/>
          <w:szCs w:val="24"/>
          <w:lang w:eastAsia="pt-BR"/>
        </w:rPr>
      </w:pPr>
      <w:r w:rsidRPr="00405316">
        <w:rPr>
          <w:rFonts w:cs="Arial"/>
          <w:szCs w:val="24"/>
          <w:lang w:eastAsia="pt-BR"/>
        </w:rPr>
        <w:lastRenderedPageBreak/>
        <w:t>BRASIL. Decreto nº 6.017, de 17 de janeiro de 2007. Regulamenta a Lei nº 11.107, de 6 de abril de 2005, que dispõe sobre normas gerais de contratação de consórcios públicos. DOU, Brasília, 2007.</w:t>
      </w:r>
    </w:p>
    <w:p w:rsidR="00C86BC2" w:rsidRPr="00405316" w:rsidRDefault="00C86BC2" w:rsidP="00C86BC2">
      <w:pPr>
        <w:spacing w:before="120" w:after="120"/>
        <w:ind w:left="567" w:hanging="567"/>
        <w:contextualSpacing/>
        <w:jc w:val="both"/>
        <w:rPr>
          <w:rFonts w:cs="Arial"/>
          <w:szCs w:val="24"/>
          <w:lang w:eastAsia="pt-BR"/>
        </w:rPr>
      </w:pPr>
      <w:r w:rsidRPr="00405316">
        <w:rPr>
          <w:rFonts w:cs="Arial"/>
          <w:szCs w:val="24"/>
          <w:lang w:eastAsia="pt-BR"/>
        </w:rPr>
        <w:t xml:space="preserve">BRASIL. Lei nº 11.107, de 6 de abril de 2005. Dispõe sobre normas gerais de contratação de consórcios públicos e dá outras providências. DOU, Brasília, 2005. </w:t>
      </w:r>
    </w:p>
    <w:p w:rsidR="00C86BC2" w:rsidRPr="00405316" w:rsidRDefault="00C86BC2" w:rsidP="00C86BC2">
      <w:pPr>
        <w:spacing w:before="120" w:after="120"/>
        <w:ind w:left="567" w:hanging="567"/>
        <w:contextualSpacing/>
        <w:jc w:val="both"/>
        <w:rPr>
          <w:rFonts w:cs="Arial"/>
          <w:szCs w:val="24"/>
          <w:lang w:eastAsia="pt-BR"/>
        </w:rPr>
      </w:pPr>
      <w:r w:rsidRPr="00405316">
        <w:rPr>
          <w:rFonts w:cs="Arial"/>
          <w:szCs w:val="24"/>
          <w:lang w:eastAsia="pt-BR"/>
        </w:rPr>
        <w:t xml:space="preserve">BRASIL. Lei nº 8.987, de 13 de fevereiro de 1995. Dispõe sobre o regime de concessão e permissão da prestação de serviços públicos, previsto no art. 175 da Constituição Federal, e dá outras providências. DOU, Brasília, 1995. </w:t>
      </w:r>
    </w:p>
    <w:p w:rsidR="00C86BC2" w:rsidRPr="00405316" w:rsidRDefault="00C86BC2" w:rsidP="00C86BC2">
      <w:pPr>
        <w:spacing w:before="120" w:after="120"/>
        <w:ind w:left="567" w:hanging="567"/>
        <w:contextualSpacing/>
        <w:jc w:val="both"/>
        <w:rPr>
          <w:rFonts w:cs="Arial"/>
          <w:szCs w:val="24"/>
          <w:lang w:eastAsia="pt-BR"/>
        </w:rPr>
      </w:pPr>
      <w:r w:rsidRPr="00405316">
        <w:rPr>
          <w:rFonts w:cs="Arial"/>
          <w:szCs w:val="24"/>
          <w:lang w:eastAsia="pt-BR"/>
        </w:rPr>
        <w:t xml:space="preserve">BRASIL. Lei nº 8.666, de 21 de junho de 1993. Regulamenta o art. 37, inciso XXI, da Constituição Federal, institui normas para licitações e contratos da Administração Pública e dá outras providências. DOU, Brasília, 1993. </w:t>
      </w:r>
    </w:p>
    <w:p w:rsidR="00C86BC2" w:rsidRPr="00405316" w:rsidRDefault="00C86BC2" w:rsidP="00C86BC2">
      <w:pPr>
        <w:spacing w:before="120" w:after="120"/>
        <w:ind w:left="567" w:hanging="567"/>
        <w:contextualSpacing/>
        <w:jc w:val="both"/>
        <w:rPr>
          <w:rFonts w:cs="Arial"/>
          <w:szCs w:val="24"/>
          <w:lang w:eastAsia="pt-BR"/>
        </w:rPr>
      </w:pPr>
      <w:r w:rsidRPr="00405316">
        <w:rPr>
          <w:rFonts w:cs="Arial"/>
          <w:szCs w:val="24"/>
          <w:lang w:eastAsia="pt-BR"/>
        </w:rPr>
        <w:t>BRASIL. Lei nº 9.074, de 7 de julho de 1995.Estabelece normas para outorga e prorrogações das concessões e permissões de serviços públicos e dá outras providências. Disponível em:  &lt;</w:t>
      </w:r>
      <w:hyperlink r:id="rId108" w:history="1">
        <w:r w:rsidRPr="00405316">
          <w:rPr>
            <w:rFonts w:cs="Arial"/>
            <w:szCs w:val="24"/>
            <w:lang w:eastAsia="pt-BR"/>
          </w:rPr>
          <w:t>http://www.planalto.gov.br/ccivil_03/leis/L9074cons.htm</w:t>
        </w:r>
      </w:hyperlink>
      <w:r w:rsidRPr="00405316">
        <w:rPr>
          <w:rFonts w:cs="Arial"/>
          <w:szCs w:val="24"/>
          <w:lang w:eastAsia="pt-BR"/>
        </w:rPr>
        <w:t>&gt;. Acesso em: julho de 2017.</w:t>
      </w:r>
    </w:p>
    <w:p w:rsidR="00C86BC2" w:rsidRDefault="00C86BC2" w:rsidP="00C86BC2">
      <w:pPr>
        <w:spacing w:before="120" w:after="120"/>
        <w:ind w:left="567" w:hanging="567"/>
        <w:contextualSpacing/>
        <w:jc w:val="both"/>
        <w:rPr>
          <w:rFonts w:cs="Arial"/>
          <w:szCs w:val="24"/>
          <w:lang w:eastAsia="pt-BR"/>
        </w:rPr>
      </w:pPr>
      <w:r w:rsidRPr="00405316">
        <w:rPr>
          <w:rFonts w:cs="Arial"/>
          <w:szCs w:val="24"/>
          <w:lang w:eastAsia="pt-BR"/>
        </w:rPr>
        <w:t>BRASIL. Lei nº 11.079, de 30 de dezembro de 2004. Institui normas gerais para licitação e contratação de parceria público-privada no âmbito da administração pública. Disponível em:&lt;</w:t>
      </w:r>
      <w:hyperlink r:id="rId109" w:history="1">
        <w:r w:rsidRPr="00405316">
          <w:rPr>
            <w:rFonts w:cs="Arial"/>
            <w:szCs w:val="24"/>
            <w:lang w:eastAsia="pt-BR"/>
          </w:rPr>
          <w:t>http://www.planalto.gov.br/ccivil_03/_ato2004-2006/2004/lei/l11079.htm</w:t>
        </w:r>
      </w:hyperlink>
      <w:r w:rsidRPr="00405316">
        <w:rPr>
          <w:rFonts w:cs="Arial"/>
          <w:szCs w:val="24"/>
          <w:lang w:eastAsia="pt-BR"/>
        </w:rPr>
        <w:t>&gt;. Acesso em: julho de 2017.</w:t>
      </w:r>
    </w:p>
    <w:p w:rsidR="00C86BC2" w:rsidRPr="009F71BF" w:rsidRDefault="00C86BC2" w:rsidP="00C86BC2">
      <w:pPr>
        <w:spacing w:before="120" w:after="120"/>
        <w:ind w:left="567" w:hanging="567"/>
        <w:contextualSpacing/>
        <w:jc w:val="both"/>
        <w:rPr>
          <w:rFonts w:cs="Arial"/>
          <w:szCs w:val="24"/>
          <w:lang w:eastAsia="pt-BR"/>
        </w:rPr>
      </w:pPr>
      <w:r w:rsidRPr="00444B47">
        <w:rPr>
          <w:rFonts w:cs="Arial"/>
          <w:szCs w:val="24"/>
          <w:lang w:eastAsia="pt-BR"/>
        </w:rPr>
        <w:t xml:space="preserve">BRASIL. Ministério das Cidades. Secretaria Nacional de Saneamento Ambiental, Programa </w:t>
      </w:r>
      <w:r>
        <w:rPr>
          <w:rFonts w:cs="Arial"/>
          <w:szCs w:val="24"/>
          <w:lang w:eastAsia="pt-BR"/>
        </w:rPr>
        <w:t>de</w:t>
      </w:r>
      <w:r w:rsidRPr="00444B47">
        <w:rPr>
          <w:rFonts w:cs="Arial"/>
          <w:szCs w:val="24"/>
          <w:lang w:eastAsia="pt-BR"/>
        </w:rPr>
        <w:t xml:space="preserve"> Educação Ambiental e Mobilização Social em Saneamento. Caderno </w:t>
      </w:r>
      <w:r w:rsidRPr="009F71BF">
        <w:rPr>
          <w:rFonts w:cs="Arial"/>
          <w:szCs w:val="24"/>
          <w:lang w:eastAsia="pt-BR"/>
        </w:rPr>
        <w:t>Metodológico para ações de educação ambiental e mobilização social em saneamento. Brasília, DF: Ministério das Cidades, 2009.</w:t>
      </w:r>
    </w:p>
    <w:p w:rsidR="00C86BC2" w:rsidRPr="009F71BF" w:rsidRDefault="00C86BC2" w:rsidP="00C86BC2">
      <w:pPr>
        <w:spacing w:before="120" w:after="120"/>
        <w:ind w:left="567" w:hanging="567"/>
        <w:contextualSpacing/>
        <w:jc w:val="both"/>
        <w:rPr>
          <w:rFonts w:cs="Arial"/>
          <w:szCs w:val="24"/>
          <w:lang w:eastAsia="pt-BR"/>
        </w:rPr>
      </w:pPr>
      <w:r w:rsidRPr="009F71BF">
        <w:rPr>
          <w:rFonts w:cs="Arial"/>
          <w:szCs w:val="24"/>
          <w:lang w:eastAsia="pt-BR"/>
        </w:rPr>
        <w:t>BRASIL. Ministério das Cidades. Secretaria Nacional de Saneamento Ambiental – SNSA Ministério da Saúde, Fundação Nacional de Saúde – FUNASA. Guia para Elaboração de Planos Municipais de Saneamento do Governo Federal, 2006.</w:t>
      </w:r>
    </w:p>
    <w:p w:rsidR="00C86BC2" w:rsidRPr="009F71BF" w:rsidRDefault="00C86BC2" w:rsidP="00C86BC2">
      <w:pPr>
        <w:spacing w:before="120" w:after="120"/>
        <w:ind w:left="567" w:hanging="567"/>
        <w:contextualSpacing/>
        <w:jc w:val="both"/>
        <w:rPr>
          <w:rFonts w:cs="Arial"/>
          <w:szCs w:val="24"/>
          <w:lang w:eastAsia="pt-BR"/>
        </w:rPr>
      </w:pPr>
      <w:r w:rsidRPr="009F71BF">
        <w:rPr>
          <w:rFonts w:cs="Arial"/>
          <w:szCs w:val="24"/>
          <w:lang w:eastAsia="pt-BR"/>
        </w:rPr>
        <w:t xml:space="preserve">BRASIL. Ministério das Cidades; Ministério da Saúde. Guia para Elaboração de Planos Municipais de Saneamento. 152 p. Brasília (DF), 2011. </w:t>
      </w:r>
    </w:p>
    <w:p w:rsidR="00C86BC2" w:rsidRPr="00C220D0" w:rsidRDefault="00C86BC2" w:rsidP="00C86BC2">
      <w:pPr>
        <w:spacing w:before="120" w:after="120"/>
        <w:ind w:left="567" w:hanging="567"/>
        <w:contextualSpacing/>
        <w:jc w:val="both"/>
        <w:rPr>
          <w:rFonts w:cs="Arial"/>
          <w:szCs w:val="24"/>
          <w:lang w:eastAsia="pt-BR"/>
        </w:rPr>
      </w:pPr>
      <w:r w:rsidRPr="009F71BF">
        <w:rPr>
          <w:rFonts w:cs="Arial"/>
          <w:szCs w:val="24"/>
          <w:lang w:eastAsia="pt-BR"/>
        </w:rPr>
        <w:t xml:space="preserve">BRASIL. Ministério das Cidades; Secretaria Nacional de Saneamento Ambiental. Plano Nacional de Saneamento </w:t>
      </w:r>
      <w:r w:rsidRPr="00C220D0">
        <w:rPr>
          <w:rFonts w:cs="Arial"/>
          <w:szCs w:val="24"/>
          <w:lang w:eastAsia="pt-BR"/>
        </w:rPr>
        <w:t>Básico. 172 p. Brasília (DF), 2013.</w:t>
      </w:r>
    </w:p>
    <w:p w:rsidR="00C86BC2" w:rsidRPr="00C220D0" w:rsidRDefault="00C86BC2" w:rsidP="00C86BC2">
      <w:pPr>
        <w:spacing w:before="120" w:after="120"/>
        <w:ind w:left="567" w:hanging="567"/>
        <w:contextualSpacing/>
        <w:jc w:val="both"/>
        <w:rPr>
          <w:rFonts w:cs="Arial"/>
          <w:szCs w:val="24"/>
          <w:lang w:eastAsia="pt-BR"/>
        </w:rPr>
      </w:pPr>
      <w:r w:rsidRPr="00C220D0">
        <w:rPr>
          <w:rFonts w:cs="Arial"/>
          <w:szCs w:val="24"/>
          <w:lang w:eastAsia="pt-BR"/>
        </w:rPr>
        <w:lastRenderedPageBreak/>
        <w:t>BRASIL. Ministério das Cidades. Notícias, Saneamento. Publicado: Sexta, 08 de dezembro de 2017, 10h26. Disponível em:&lt;</w:t>
      </w:r>
      <w:hyperlink r:id="rId110" w:history="1">
        <w:r w:rsidRPr="00C220D0">
          <w:rPr>
            <w:rFonts w:cs="Arial"/>
            <w:szCs w:val="24"/>
            <w:lang w:eastAsia="pt-BR"/>
          </w:rPr>
          <w:t>http://www.cidades.gov.br/ultimas-noticias/5430-ministerio-das-cidades-divulga-lista-de-propostas-do-avancar-cidades-saneamento</w:t>
        </w:r>
      </w:hyperlink>
      <w:r w:rsidRPr="00C220D0">
        <w:rPr>
          <w:rFonts w:cs="Arial"/>
          <w:szCs w:val="24"/>
          <w:lang w:eastAsia="pt-BR"/>
        </w:rPr>
        <w:t>&gt;. Acesso em: janeiro de 2018.</w:t>
      </w:r>
    </w:p>
    <w:p w:rsidR="00C86BC2" w:rsidRPr="00897899" w:rsidRDefault="00C86BC2" w:rsidP="00C86BC2">
      <w:pPr>
        <w:spacing w:before="120" w:after="120"/>
        <w:ind w:left="567" w:hanging="567"/>
        <w:contextualSpacing/>
        <w:jc w:val="both"/>
        <w:rPr>
          <w:rFonts w:cs="Arial"/>
          <w:szCs w:val="24"/>
          <w:lang w:eastAsia="pt-BR"/>
        </w:rPr>
      </w:pPr>
      <w:r w:rsidRPr="00897899">
        <w:rPr>
          <w:rFonts w:cs="Arial"/>
          <w:szCs w:val="24"/>
          <w:lang w:eastAsia="pt-BR"/>
        </w:rPr>
        <w:t>BRASIL. Ministério das Cidades / Ministério do Meio Ambiente. Elementos para a organização da coleta seletiva e projetos de galpões de triagem, 2008.</w:t>
      </w:r>
    </w:p>
    <w:p w:rsidR="00C86BC2" w:rsidRDefault="00C86BC2" w:rsidP="00C86BC2">
      <w:pPr>
        <w:spacing w:before="120" w:after="120"/>
        <w:ind w:left="567" w:hanging="567"/>
        <w:contextualSpacing/>
        <w:jc w:val="both"/>
        <w:rPr>
          <w:rFonts w:cs="Arial"/>
          <w:szCs w:val="24"/>
          <w:lang w:eastAsia="pt-BR"/>
        </w:rPr>
      </w:pPr>
      <w:r w:rsidRPr="00537473">
        <w:rPr>
          <w:rFonts w:cs="Arial"/>
          <w:szCs w:val="24"/>
          <w:lang w:eastAsia="pt-BR"/>
        </w:rPr>
        <w:t>BRASIL. Ministério do Meio Ambiente / Secretaria de Recursos Hídricos e Ambiente Urbano / Gerência de Resíduos Sólidos – GRS do Departamento de Ambiente Urbano – DAU - Orientações para elaboração de Plano Simplificado de Gestão Integrada de Resíduos Sólidos – PSGIRS para municípios com população inferior a 20 mil habitantes Material de Apoio ao Curso a Distância Brasília, DF. Dezembro / 2013</w:t>
      </w:r>
      <w:r>
        <w:rPr>
          <w:rFonts w:cs="Arial"/>
          <w:szCs w:val="24"/>
          <w:lang w:eastAsia="pt-BR"/>
        </w:rPr>
        <w:t>.</w:t>
      </w:r>
    </w:p>
    <w:p w:rsidR="00C86BC2" w:rsidRPr="00897899" w:rsidRDefault="00C86BC2" w:rsidP="00C86BC2">
      <w:pPr>
        <w:spacing w:before="120" w:after="120"/>
        <w:ind w:left="567" w:hanging="567"/>
        <w:contextualSpacing/>
        <w:jc w:val="both"/>
        <w:rPr>
          <w:rFonts w:cs="Arial"/>
          <w:szCs w:val="24"/>
          <w:lang w:eastAsia="pt-BR"/>
        </w:rPr>
      </w:pPr>
      <w:r w:rsidRPr="00897899">
        <w:rPr>
          <w:rFonts w:cs="Arial"/>
          <w:szCs w:val="24"/>
          <w:lang w:eastAsia="pt-BR"/>
        </w:rPr>
        <w:t>BRASIL. Ministério do Meio Ambiente. Planos de gestão de resíduos sólidos: manual de orientação. Brasília, 2012.</w:t>
      </w:r>
    </w:p>
    <w:p w:rsidR="00C86BC2" w:rsidRPr="00897899" w:rsidRDefault="00C86BC2" w:rsidP="00C86BC2">
      <w:pPr>
        <w:spacing w:before="120" w:after="120"/>
        <w:ind w:left="567" w:hanging="567"/>
        <w:contextualSpacing/>
        <w:jc w:val="both"/>
        <w:rPr>
          <w:rFonts w:cs="Arial"/>
          <w:szCs w:val="24"/>
          <w:lang w:eastAsia="pt-BR"/>
        </w:rPr>
      </w:pPr>
      <w:r w:rsidRPr="00897899">
        <w:rPr>
          <w:rFonts w:cs="Arial"/>
          <w:szCs w:val="24"/>
          <w:lang w:eastAsia="pt-BR"/>
        </w:rPr>
        <w:t>BRASIL. Ministério do Meio Ambiente. Orientações para elaboração de Plano Simplificado de Gestão Integrada de Resíduos Sólidos – PSGIRS para municípios com população inferior a 20 mil habitantes. Brasília, 2013.</w:t>
      </w:r>
    </w:p>
    <w:p w:rsidR="00C86BC2" w:rsidRPr="00897899" w:rsidRDefault="00C86BC2" w:rsidP="00C86BC2">
      <w:pPr>
        <w:spacing w:before="120" w:after="120"/>
        <w:ind w:left="567" w:hanging="567"/>
        <w:contextualSpacing/>
        <w:jc w:val="both"/>
        <w:rPr>
          <w:rFonts w:cs="Arial"/>
          <w:szCs w:val="24"/>
          <w:lang w:eastAsia="pt-BR"/>
        </w:rPr>
      </w:pPr>
      <w:r w:rsidRPr="00897899">
        <w:rPr>
          <w:rFonts w:cs="Arial"/>
          <w:szCs w:val="24"/>
          <w:lang w:eastAsia="pt-BR"/>
        </w:rPr>
        <w:t>BRASIL. Ministério do Meio Ambiente. Plano Nacional de Resíduos Sólidos – Versão pós Audiências e Consulta Pública para Conselhos Nacionais. Brasília – DF, 2012.</w:t>
      </w:r>
    </w:p>
    <w:p w:rsidR="00C86BC2" w:rsidRPr="00897899" w:rsidRDefault="00C86BC2" w:rsidP="00C86BC2">
      <w:pPr>
        <w:spacing w:before="120" w:after="120"/>
        <w:ind w:left="567" w:hanging="567"/>
        <w:contextualSpacing/>
        <w:jc w:val="both"/>
        <w:rPr>
          <w:rFonts w:cs="Arial"/>
          <w:szCs w:val="24"/>
          <w:lang w:eastAsia="pt-BR"/>
        </w:rPr>
      </w:pPr>
      <w:r w:rsidRPr="00897899">
        <w:rPr>
          <w:rFonts w:cs="Arial"/>
          <w:szCs w:val="24"/>
          <w:lang w:eastAsia="pt-BR"/>
        </w:rPr>
        <w:t>BRASIL. Ministério do Meio Ambiente. Coleta seletiva com a inclusão dos catadores de materiais recicláveis. Comitê Interministerial para Inclusão Social e Econômica dos Catadores de Materiais Reutilizáveis e Recicláveis – CIISC. Brasília - DF, 2013.</w:t>
      </w:r>
    </w:p>
    <w:p w:rsidR="00C86BC2" w:rsidRPr="00E80463" w:rsidRDefault="00C86BC2" w:rsidP="00C86BC2">
      <w:pPr>
        <w:spacing w:before="120" w:after="120"/>
        <w:ind w:left="567" w:hanging="567"/>
        <w:contextualSpacing/>
        <w:jc w:val="both"/>
        <w:rPr>
          <w:rFonts w:cs="Arial"/>
          <w:szCs w:val="24"/>
          <w:lang w:eastAsia="pt-BR"/>
        </w:rPr>
      </w:pPr>
      <w:r w:rsidRPr="00E80463">
        <w:rPr>
          <w:rFonts w:cs="Arial"/>
          <w:szCs w:val="24"/>
          <w:lang w:eastAsia="pt-BR"/>
        </w:rPr>
        <w:t>BRASIL. Ministério da Integração Nacional. Secretaria Nacional de Proteção e Defesa Civil. Centro Nacional de Gerenciamento de Riscos e Desastres. Anuário brasileiro de desastres naturais: 2013. Brasília: CENAD; 2014.</w:t>
      </w:r>
    </w:p>
    <w:p w:rsidR="00BC01B1" w:rsidRDefault="00BC01B1" w:rsidP="00C86BC2">
      <w:pPr>
        <w:spacing w:before="120" w:after="120"/>
        <w:ind w:left="567" w:hanging="567"/>
        <w:contextualSpacing/>
        <w:jc w:val="both"/>
        <w:rPr>
          <w:rFonts w:cs="Arial"/>
          <w:szCs w:val="24"/>
          <w:lang w:eastAsia="pt-BR"/>
        </w:rPr>
      </w:pPr>
    </w:p>
    <w:p w:rsidR="00BC01B1" w:rsidRDefault="00BC01B1" w:rsidP="00C86BC2">
      <w:pPr>
        <w:spacing w:before="120" w:after="120"/>
        <w:ind w:left="567" w:hanging="567"/>
        <w:contextualSpacing/>
        <w:jc w:val="both"/>
        <w:rPr>
          <w:rFonts w:cs="Arial"/>
          <w:szCs w:val="24"/>
          <w:lang w:eastAsia="pt-BR"/>
        </w:rPr>
      </w:pPr>
    </w:p>
    <w:p w:rsidR="00BC01B1" w:rsidRDefault="00BC01B1" w:rsidP="00C86BC2">
      <w:pPr>
        <w:spacing w:before="120" w:after="120"/>
        <w:ind w:left="567" w:hanging="567"/>
        <w:contextualSpacing/>
        <w:jc w:val="both"/>
        <w:rPr>
          <w:rFonts w:cs="Arial"/>
          <w:szCs w:val="24"/>
          <w:lang w:eastAsia="pt-BR"/>
        </w:rPr>
      </w:pPr>
    </w:p>
    <w:p w:rsidR="00C86BC2" w:rsidRPr="00E80463" w:rsidRDefault="00C86BC2" w:rsidP="00C86BC2">
      <w:pPr>
        <w:spacing w:before="120" w:after="120"/>
        <w:ind w:left="567" w:hanging="567"/>
        <w:contextualSpacing/>
        <w:jc w:val="both"/>
        <w:rPr>
          <w:rFonts w:cs="Arial"/>
          <w:szCs w:val="24"/>
          <w:lang w:eastAsia="pt-BR"/>
        </w:rPr>
      </w:pPr>
      <w:r w:rsidRPr="00E80463">
        <w:rPr>
          <w:rFonts w:cs="Arial"/>
          <w:szCs w:val="24"/>
          <w:lang w:eastAsia="pt-BR"/>
        </w:rPr>
        <w:lastRenderedPageBreak/>
        <w:t>BRASIL. Ministério da Integração Nacional. Secretaria Nacional de Proteção e Defesa Civil. Departamento de Prevenção e Preparação. Módulo de formação: noções básicas em proteção e defesa civil e em gestão de riscos: livro base / Ministério da Integração Nacional, Secretaria Nacional de Proteção e Defesa Civil, Departamento de Minimização de Desastres. - Brasília: Ministério da Integração Nacional, 2017. Disponível em: &lt;http://www.mi.gov.br/defesacivil/publicacoes&gt;. Acesso em: outubro de 2017.</w:t>
      </w:r>
    </w:p>
    <w:p w:rsidR="00C86BC2" w:rsidRPr="00E80463" w:rsidRDefault="00C86BC2" w:rsidP="00C86BC2">
      <w:pPr>
        <w:spacing w:before="120" w:after="120"/>
        <w:ind w:left="567" w:hanging="567"/>
        <w:contextualSpacing/>
        <w:jc w:val="both"/>
        <w:rPr>
          <w:rFonts w:cs="Arial"/>
          <w:szCs w:val="24"/>
          <w:lang w:eastAsia="pt-BR"/>
        </w:rPr>
      </w:pPr>
      <w:r w:rsidRPr="00E80463">
        <w:rPr>
          <w:rFonts w:cs="Arial"/>
          <w:szCs w:val="24"/>
          <w:lang w:eastAsia="pt-BR"/>
        </w:rPr>
        <w:t>BRASIL. Ministério da Integração Nacional – Secretaria Nacional de Proteção e Defesa Civil – SEDEC Departamento de Prevenção e Preparação – DPP - Módulo de Formação: Apostila do aluno: Noções Básicas em Proteção e Defesa Civil e em Gestão de Riscos, 1ª edição, Brasília, 2017.</w:t>
      </w:r>
    </w:p>
    <w:p w:rsidR="00C86BC2" w:rsidRPr="00E80463" w:rsidRDefault="00C86BC2" w:rsidP="00C86BC2">
      <w:pPr>
        <w:spacing w:before="120" w:after="120"/>
        <w:ind w:left="567" w:hanging="567"/>
        <w:contextualSpacing/>
        <w:jc w:val="both"/>
        <w:rPr>
          <w:rFonts w:cs="Arial"/>
          <w:szCs w:val="24"/>
          <w:lang w:eastAsia="pt-BR"/>
        </w:rPr>
      </w:pPr>
      <w:r w:rsidRPr="00E80463">
        <w:rPr>
          <w:rFonts w:cs="Arial"/>
          <w:szCs w:val="24"/>
          <w:lang w:eastAsia="pt-BR"/>
        </w:rPr>
        <w:t>BRASIL. Ministério da Integração Nacional. Secretaria Nacional de Proteção e Defesa Civil. Departamento de Minimização de Desastres. Módulo de formação: elaboração de plano de contingência: livro base/Ministério da Integração Nacional, Secretaria Nacional de Proteção e Defesa Civil, Departamento de Minimização de Desastres. - Brasília: Ministério da Integração Nacional, 2017. Disponível em: &lt;http://www.mi.gov.br/defesacivil/ publicações&gt;. Acesso em: outubro de 2017.</w:t>
      </w:r>
    </w:p>
    <w:p w:rsidR="00C86BC2" w:rsidRDefault="00C86BC2" w:rsidP="00C86BC2">
      <w:pPr>
        <w:spacing w:before="120" w:after="120"/>
        <w:ind w:left="567" w:hanging="567"/>
        <w:contextualSpacing/>
        <w:jc w:val="both"/>
        <w:rPr>
          <w:rFonts w:cs="Arial"/>
          <w:szCs w:val="24"/>
          <w:lang w:eastAsia="pt-BR"/>
        </w:rPr>
      </w:pPr>
      <w:r w:rsidRPr="00E80463">
        <w:rPr>
          <w:rFonts w:cs="Arial"/>
          <w:szCs w:val="24"/>
          <w:lang w:eastAsia="pt-BR"/>
        </w:rPr>
        <w:t>BRASIL. Ministério da Integração Nacional. Instrução Normativa nº 2, de 20 de dezembro de 2016. Estabelece procedimentos e critérios para a decretação de situação de emergência ou estado de calamidade pública pelos Municípios, Estados e pelo Distrito Federal, e para o reconhecimento federal das situações de anormalidade decretadas pelos entes federativos e dá outras providências.</w:t>
      </w:r>
    </w:p>
    <w:p w:rsidR="00C86BC2" w:rsidRDefault="00C86BC2" w:rsidP="00C86BC2">
      <w:pPr>
        <w:spacing w:before="120" w:after="120"/>
        <w:ind w:left="567" w:hanging="567"/>
        <w:contextualSpacing/>
        <w:jc w:val="both"/>
        <w:rPr>
          <w:rFonts w:cs="Arial"/>
          <w:szCs w:val="24"/>
          <w:lang w:eastAsia="pt-BR"/>
        </w:rPr>
      </w:pPr>
      <w:r w:rsidRPr="00E80463">
        <w:rPr>
          <w:rFonts w:cs="Arial"/>
          <w:szCs w:val="24"/>
          <w:lang w:eastAsia="pt-BR"/>
        </w:rPr>
        <w:t xml:space="preserve">BRASIL. Ministério da Integração Nacional. </w:t>
      </w:r>
      <w:r w:rsidRPr="00BE691F">
        <w:rPr>
          <w:rFonts w:cs="Arial"/>
          <w:szCs w:val="24"/>
          <w:lang w:eastAsia="pt-BR"/>
        </w:rPr>
        <w:t>Sistema Integrado de Informações sobre Desastres. Disponível em: &lt;</w:t>
      </w:r>
      <w:hyperlink r:id="rId111" w:history="1">
        <w:r w:rsidRPr="00BE691F">
          <w:rPr>
            <w:rFonts w:cs="Arial"/>
            <w:szCs w:val="24"/>
            <w:lang w:eastAsia="pt-BR"/>
          </w:rPr>
          <w:t>https://s2id.mi.gov.br/</w:t>
        </w:r>
      </w:hyperlink>
      <w:r w:rsidRPr="00BE691F">
        <w:rPr>
          <w:rFonts w:cs="Arial"/>
          <w:szCs w:val="24"/>
          <w:lang w:eastAsia="pt-BR"/>
        </w:rPr>
        <w:t xml:space="preserve">&gt;. Acesso em: novembro de 2017. </w:t>
      </w:r>
    </w:p>
    <w:p w:rsidR="00C86BC2" w:rsidRPr="00290C25" w:rsidRDefault="00C86BC2" w:rsidP="00C86BC2">
      <w:pPr>
        <w:spacing w:before="120" w:after="120"/>
        <w:ind w:left="567" w:hanging="567"/>
        <w:contextualSpacing/>
        <w:jc w:val="both"/>
        <w:rPr>
          <w:rFonts w:cs="Arial"/>
          <w:szCs w:val="24"/>
          <w:lang w:eastAsia="pt-BR"/>
        </w:rPr>
      </w:pPr>
      <w:r w:rsidRPr="00290C25">
        <w:rPr>
          <w:rFonts w:cs="Arial"/>
          <w:szCs w:val="24"/>
          <w:lang w:eastAsia="pt-BR"/>
        </w:rPr>
        <w:t>BRASIL. Ministério da Saúde. Fundação Nacional de Saúde. Impactos na Saúde e no Sistema Único de Saúde decorrente de Agravos Relacionados ao Saneamento Ambiental Inadequado — Relatório Final. Brasília: Ministério da Saúde, 2010a. 246 p.</w:t>
      </w:r>
    </w:p>
    <w:p w:rsidR="00C86BC2" w:rsidRPr="008250F7" w:rsidRDefault="00C86BC2" w:rsidP="00C86BC2">
      <w:pPr>
        <w:spacing w:before="120" w:after="120"/>
        <w:ind w:left="567" w:hanging="567"/>
        <w:contextualSpacing/>
        <w:jc w:val="both"/>
        <w:rPr>
          <w:rFonts w:cs="Arial"/>
          <w:szCs w:val="24"/>
          <w:lang w:eastAsia="pt-BR"/>
        </w:rPr>
      </w:pPr>
      <w:r w:rsidRPr="008250F7">
        <w:rPr>
          <w:rFonts w:cs="Arial"/>
          <w:szCs w:val="24"/>
          <w:lang w:eastAsia="pt-BR"/>
        </w:rPr>
        <w:lastRenderedPageBreak/>
        <w:t>BRASIL. Ministério da Saúde. Portaria nº 2.914, de 12 de dezembro de 2011. Dispõe sobre os procedimentos de controle e de vigilância da qualidade da água para consumo humano e seu padrão de potabilidade.</w:t>
      </w:r>
    </w:p>
    <w:p w:rsidR="00C86BC2" w:rsidRPr="00FE44C1" w:rsidRDefault="00C86BC2" w:rsidP="00C86BC2">
      <w:pPr>
        <w:spacing w:before="120" w:after="120"/>
        <w:ind w:left="567" w:hanging="567"/>
        <w:contextualSpacing/>
        <w:jc w:val="both"/>
        <w:rPr>
          <w:rFonts w:cs="Arial"/>
          <w:szCs w:val="24"/>
          <w:lang w:eastAsia="pt-BR"/>
        </w:rPr>
      </w:pPr>
      <w:r w:rsidRPr="008250F7">
        <w:rPr>
          <w:rFonts w:cs="Arial"/>
          <w:szCs w:val="24"/>
          <w:lang w:eastAsia="pt-BR"/>
        </w:rPr>
        <w:t>BRASIL. Ministério da Saúde. Conselho Nacional de Saúde. Plano de Segurança da Água: Garantindo a qualidade e promovendo a saúde - Um olhar do SUS / Ministério da Saúde, Conselho Nacional de Saúde. – Brasília: Editora do Ministério da Saúde, 2012.</w:t>
      </w:r>
    </w:p>
    <w:p w:rsidR="00C86BC2" w:rsidRPr="00FE44C1" w:rsidRDefault="00C86BC2" w:rsidP="00C86BC2">
      <w:pPr>
        <w:autoSpaceDE w:val="0"/>
        <w:autoSpaceDN w:val="0"/>
        <w:adjustRightInd w:val="0"/>
        <w:spacing w:line="336" w:lineRule="auto"/>
        <w:ind w:left="851" w:hanging="851"/>
        <w:jc w:val="both"/>
        <w:rPr>
          <w:rFonts w:cs="Arial"/>
          <w:szCs w:val="24"/>
          <w:lang w:eastAsia="pt-BR"/>
        </w:rPr>
      </w:pPr>
      <w:r w:rsidRPr="00FE44C1">
        <w:rPr>
          <w:rFonts w:cs="Arial"/>
          <w:szCs w:val="24"/>
          <w:lang w:eastAsia="pt-BR"/>
        </w:rPr>
        <w:t xml:space="preserve">BRASIL. Ministério da Saúde, Fundação Nacional de Saúde – FUNASA. Saneamento Rural. Disponível em: </w:t>
      </w:r>
      <w:hyperlink r:id="rId112" w:history="1">
        <w:r w:rsidRPr="00FE44C1">
          <w:rPr>
            <w:rStyle w:val="Hyperlink"/>
            <w:rFonts w:cs="Arial"/>
            <w:color w:val="auto"/>
            <w:szCs w:val="24"/>
            <w:lang w:eastAsia="pt-BR"/>
          </w:rPr>
          <w:t>http://www.funasa.gov.br/site/engenharia-de-saude-publica-2/saneamento-rural/</w:t>
        </w:r>
      </w:hyperlink>
      <w:r w:rsidRPr="00FE44C1">
        <w:rPr>
          <w:rFonts w:cs="Arial"/>
          <w:szCs w:val="24"/>
          <w:lang w:eastAsia="pt-BR"/>
        </w:rPr>
        <w:t xml:space="preserve">. Acesso em: dezembro de 2017. </w:t>
      </w:r>
    </w:p>
    <w:p w:rsidR="00C86BC2" w:rsidRPr="00405316" w:rsidRDefault="00C86BC2" w:rsidP="00C86BC2">
      <w:pPr>
        <w:spacing w:before="120" w:after="120"/>
        <w:ind w:left="567" w:hanging="567"/>
        <w:contextualSpacing/>
        <w:jc w:val="both"/>
        <w:rPr>
          <w:rFonts w:cs="Arial"/>
          <w:szCs w:val="24"/>
          <w:lang w:eastAsia="pt-BR"/>
        </w:rPr>
      </w:pPr>
      <w:r w:rsidRPr="00FE44C1">
        <w:rPr>
          <w:rFonts w:cs="Arial"/>
          <w:szCs w:val="24"/>
          <w:lang w:eastAsia="pt-BR"/>
        </w:rPr>
        <w:t xml:space="preserve">BUARQUE, S. C.; Metodologia e técnicas de </w:t>
      </w:r>
      <w:r w:rsidRPr="00405316">
        <w:rPr>
          <w:rFonts w:cs="Arial"/>
          <w:szCs w:val="24"/>
          <w:lang w:eastAsia="pt-BR"/>
        </w:rPr>
        <w:t>construção de cenários globais e regionais. Texto para discussão nº 939. Brasília, IPEA. Fevereiro de 2003. ISSN 1415-4765.</w:t>
      </w:r>
    </w:p>
    <w:p w:rsidR="00C86BC2" w:rsidRPr="00405316" w:rsidRDefault="00C86BC2" w:rsidP="00C86BC2">
      <w:pPr>
        <w:spacing w:before="120" w:after="120"/>
        <w:ind w:left="567" w:hanging="567"/>
        <w:contextualSpacing/>
        <w:jc w:val="both"/>
        <w:rPr>
          <w:rFonts w:cs="Arial"/>
          <w:szCs w:val="24"/>
          <w:lang w:eastAsia="pt-BR"/>
        </w:rPr>
      </w:pPr>
      <w:r w:rsidRPr="00405316">
        <w:rPr>
          <w:rFonts w:cs="Arial"/>
          <w:szCs w:val="24"/>
          <w:lang w:eastAsia="pt-BR"/>
        </w:rPr>
        <w:t xml:space="preserve">CADASTRO INDUSTRIAL DE MINAS GERAIS - </w:t>
      </w:r>
      <w:hyperlink r:id="rId113" w:history="1">
        <w:r w:rsidRPr="00405316">
          <w:rPr>
            <w:rFonts w:cs="Arial"/>
            <w:szCs w:val="24"/>
            <w:lang w:eastAsia="pt-BR"/>
          </w:rPr>
          <w:t>http://www.cadastroindustrialmg.com.br/</w:t>
        </w:r>
      </w:hyperlink>
    </w:p>
    <w:p w:rsidR="00C86BC2" w:rsidRPr="00405316" w:rsidRDefault="00C86BC2" w:rsidP="00C86BC2">
      <w:pPr>
        <w:spacing w:before="120" w:after="120"/>
        <w:ind w:left="567" w:hanging="567"/>
        <w:contextualSpacing/>
        <w:jc w:val="both"/>
        <w:rPr>
          <w:rFonts w:cs="Arial"/>
          <w:szCs w:val="24"/>
          <w:lang w:eastAsia="pt-BR"/>
        </w:rPr>
      </w:pPr>
      <w:r w:rsidRPr="00405316">
        <w:rPr>
          <w:rFonts w:cs="Arial"/>
          <w:szCs w:val="24"/>
          <w:lang w:eastAsia="pt-BR"/>
        </w:rPr>
        <w:t xml:space="preserve">CAIXA ECONÔMICA FEDERAL. Programa Saneamento para Todos. Disponível em: </w:t>
      </w:r>
      <w:hyperlink r:id="rId114" w:history="1">
        <w:r w:rsidRPr="00405316">
          <w:rPr>
            <w:lang w:eastAsia="pt-BR"/>
          </w:rPr>
          <w:t>http://www1.caixa.gov.br/gov/gov_social/municipal/assistencia_tecnica/produtos/financiamento/saneamento_para_todos/index.asp</w:t>
        </w:r>
      </w:hyperlink>
      <w:r w:rsidRPr="00405316">
        <w:rPr>
          <w:rFonts w:cs="Arial"/>
          <w:szCs w:val="24"/>
          <w:lang w:eastAsia="pt-BR"/>
        </w:rPr>
        <w:t>. Acesso em: dezembro de 2017.</w:t>
      </w:r>
    </w:p>
    <w:p w:rsidR="00C86BC2" w:rsidRDefault="00C86BC2" w:rsidP="00C86BC2">
      <w:pPr>
        <w:spacing w:before="120" w:after="120"/>
        <w:ind w:left="567" w:hanging="567"/>
        <w:contextualSpacing/>
        <w:jc w:val="both"/>
        <w:rPr>
          <w:rFonts w:cs="Arial"/>
          <w:szCs w:val="24"/>
          <w:lang w:eastAsia="pt-BR"/>
        </w:rPr>
      </w:pPr>
      <w:r w:rsidRPr="00405316">
        <w:rPr>
          <w:rFonts w:cs="Arial"/>
          <w:szCs w:val="24"/>
          <w:lang w:eastAsia="pt-BR"/>
        </w:rPr>
        <w:t>CANHOLI, A. P. Drenagem urbana e controle de enchentes. São Paulo: Oficina de Textos, 2005.</w:t>
      </w:r>
    </w:p>
    <w:p w:rsidR="00C86BC2" w:rsidRPr="00405316" w:rsidRDefault="00C86BC2" w:rsidP="00C86BC2">
      <w:pPr>
        <w:spacing w:before="120" w:after="120"/>
        <w:ind w:left="567" w:hanging="567"/>
        <w:contextualSpacing/>
        <w:jc w:val="both"/>
        <w:rPr>
          <w:rFonts w:cs="Arial"/>
          <w:szCs w:val="24"/>
          <w:lang w:eastAsia="pt-BR"/>
        </w:rPr>
      </w:pPr>
      <w:r w:rsidRPr="00405316">
        <w:rPr>
          <w:rFonts w:cs="Arial"/>
          <w:szCs w:val="24"/>
          <w:lang w:eastAsia="pt-BR"/>
        </w:rPr>
        <w:t>CARVALHO, N.O. Hidrossedimentologia Prática. CPRM e ELETROBRÁS. Rio de Janeiro, RJ. 384p. 1994.</w:t>
      </w:r>
    </w:p>
    <w:p w:rsidR="00C86BC2" w:rsidRPr="00B119E3" w:rsidRDefault="00C86BC2" w:rsidP="00C86BC2">
      <w:pPr>
        <w:spacing w:before="120" w:after="120"/>
        <w:ind w:left="567" w:hanging="567"/>
        <w:contextualSpacing/>
        <w:jc w:val="both"/>
        <w:rPr>
          <w:rFonts w:cs="Arial"/>
          <w:szCs w:val="24"/>
          <w:lang w:eastAsia="pt-BR"/>
        </w:rPr>
      </w:pPr>
      <w:r w:rsidRPr="00B119E3">
        <w:rPr>
          <w:rFonts w:cs="Arial"/>
          <w:szCs w:val="24"/>
          <w:lang w:eastAsia="pt-BR"/>
        </w:rPr>
        <w:t xml:space="preserve">CBH DOCE - COMITÊ DA BACIA HIDROGRÁFICA DO RIO DOCE. Plano de Ação de Recursos Hídricos da Unidade de Planejamento e Gestão dos Recursos Hídricos </w:t>
      </w:r>
      <w:r w:rsidR="00B119E3" w:rsidRPr="00B119E3">
        <w:rPr>
          <w:rFonts w:cs="Arial"/>
          <w:szCs w:val="24"/>
          <w:lang w:eastAsia="pt-BR"/>
        </w:rPr>
        <w:t>Piranga</w:t>
      </w:r>
      <w:r w:rsidRPr="00B119E3">
        <w:rPr>
          <w:rFonts w:cs="Arial"/>
          <w:szCs w:val="24"/>
          <w:lang w:eastAsia="pt-BR"/>
        </w:rPr>
        <w:t xml:space="preserve"> - PARH </w:t>
      </w:r>
      <w:r w:rsidR="00B119E3" w:rsidRPr="00B119E3">
        <w:rPr>
          <w:rFonts w:cs="Arial"/>
          <w:szCs w:val="24"/>
          <w:lang w:eastAsia="pt-BR"/>
        </w:rPr>
        <w:t>Piranga</w:t>
      </w:r>
      <w:r w:rsidRPr="00B119E3">
        <w:rPr>
          <w:rFonts w:cs="Arial"/>
          <w:szCs w:val="24"/>
          <w:lang w:eastAsia="pt-BR"/>
        </w:rPr>
        <w:t xml:space="preserve"> in Plano Integrado de Recursos Hídricos da Bacia Hidrográfica do Rio Doce e Planos de Ações para as Unidades de Planejamento e Gestão de Recursos Hídricos no Âmbito da Bacia do Rio Doce. Elaborado pelo Consórcio ECOPLAN-LUME. 127 p., 2010.</w:t>
      </w:r>
    </w:p>
    <w:p w:rsidR="00BC01B1" w:rsidRDefault="00BC01B1" w:rsidP="00C86BC2">
      <w:pPr>
        <w:spacing w:before="120" w:after="120"/>
        <w:ind w:left="567" w:hanging="567"/>
        <w:contextualSpacing/>
        <w:jc w:val="both"/>
        <w:rPr>
          <w:rFonts w:cs="Arial"/>
          <w:szCs w:val="24"/>
          <w:lang w:eastAsia="pt-BR"/>
        </w:rPr>
      </w:pPr>
    </w:p>
    <w:p w:rsidR="00BC01B1" w:rsidRDefault="00BC01B1" w:rsidP="00C86BC2">
      <w:pPr>
        <w:spacing w:before="120" w:after="120"/>
        <w:ind w:left="567" w:hanging="567"/>
        <w:contextualSpacing/>
        <w:jc w:val="both"/>
        <w:rPr>
          <w:rFonts w:cs="Arial"/>
          <w:szCs w:val="24"/>
          <w:lang w:eastAsia="pt-BR"/>
        </w:rPr>
      </w:pPr>
    </w:p>
    <w:p w:rsidR="00BC01B1" w:rsidRDefault="00BC01B1" w:rsidP="00C86BC2">
      <w:pPr>
        <w:spacing w:before="120" w:after="120"/>
        <w:ind w:left="567" w:hanging="567"/>
        <w:contextualSpacing/>
        <w:jc w:val="both"/>
        <w:rPr>
          <w:rFonts w:cs="Arial"/>
          <w:szCs w:val="24"/>
          <w:lang w:eastAsia="pt-BR"/>
        </w:rPr>
      </w:pPr>
    </w:p>
    <w:p w:rsidR="00C86BC2" w:rsidRPr="009F71BF" w:rsidRDefault="00C86BC2" w:rsidP="00C86BC2">
      <w:pPr>
        <w:spacing w:before="120" w:after="120"/>
        <w:ind w:left="567" w:hanging="567"/>
        <w:contextualSpacing/>
        <w:jc w:val="both"/>
        <w:rPr>
          <w:rFonts w:cs="Arial"/>
          <w:b/>
          <w:szCs w:val="24"/>
          <w:lang w:eastAsia="pt-BR"/>
        </w:rPr>
      </w:pPr>
      <w:r w:rsidRPr="009F71BF">
        <w:rPr>
          <w:rFonts w:cs="Arial"/>
          <w:szCs w:val="24"/>
          <w:lang w:eastAsia="pt-BR"/>
        </w:rPr>
        <w:lastRenderedPageBreak/>
        <w:t xml:space="preserve">CBH DOCE – COMITÊ DA BACIA HIDROGRÁFICA DO RIO DOCE. Plano Integrado de Recursos Hídricos da Bacia Hidrográfica do Rio Doce e Planos de Ações para as Unidades de Planejamento e Gestão de Recursos Hídricos no Âmbito da Bacia do Rio Doce. Volume I, Relatório Final. Elaborado pelo Consórcio ECOPLAN-LUME. 472 p., 2010. </w:t>
      </w:r>
    </w:p>
    <w:p w:rsidR="00C86BC2" w:rsidRPr="001228A5" w:rsidRDefault="00C86BC2" w:rsidP="00C86BC2">
      <w:pPr>
        <w:spacing w:before="120" w:after="120"/>
        <w:ind w:left="567" w:hanging="567"/>
        <w:contextualSpacing/>
        <w:jc w:val="both"/>
        <w:rPr>
          <w:rFonts w:cs="Arial"/>
          <w:szCs w:val="24"/>
          <w:lang w:eastAsia="pt-BR"/>
        </w:rPr>
      </w:pPr>
      <w:r w:rsidRPr="001228A5">
        <w:rPr>
          <w:rFonts w:cs="Arial"/>
          <w:szCs w:val="24"/>
          <w:lang w:eastAsia="pt-BR"/>
        </w:rPr>
        <w:t xml:space="preserve">CBH </w:t>
      </w:r>
      <w:r w:rsidR="001228A5" w:rsidRPr="001228A5">
        <w:rPr>
          <w:rFonts w:cs="Arial"/>
          <w:szCs w:val="24"/>
          <w:lang w:eastAsia="pt-BR"/>
        </w:rPr>
        <w:t>PIRANGA</w:t>
      </w:r>
      <w:r w:rsidRPr="001228A5">
        <w:rPr>
          <w:rFonts w:cs="Arial"/>
          <w:szCs w:val="24"/>
          <w:lang w:eastAsia="pt-BR"/>
        </w:rPr>
        <w:t>, 2017. Disponível em: &lt;http://www.ibioagbdoce.org.br/a-bacia/&gt;. Acesso em: fevereiro de 2017.</w:t>
      </w:r>
    </w:p>
    <w:p w:rsidR="00C86BC2" w:rsidRPr="00076C00" w:rsidRDefault="00C86BC2" w:rsidP="00C86BC2">
      <w:pPr>
        <w:spacing w:before="120" w:after="120"/>
        <w:ind w:left="567" w:hanging="567"/>
        <w:contextualSpacing/>
        <w:jc w:val="both"/>
        <w:rPr>
          <w:rFonts w:cs="Arial"/>
          <w:szCs w:val="24"/>
          <w:lang w:eastAsia="pt-BR"/>
        </w:rPr>
      </w:pPr>
      <w:r w:rsidRPr="00076C00">
        <w:rPr>
          <w:rFonts w:cs="Arial"/>
          <w:szCs w:val="24"/>
          <w:lang w:eastAsia="pt-BR"/>
        </w:rPr>
        <w:t>CBHSF – Comitê da Bacia Hidrográfica do Rio São Francisco. Disponível em: &lt;</w:t>
      </w:r>
      <w:hyperlink r:id="rId115" w:history="1">
        <w:r w:rsidRPr="00076C00">
          <w:rPr>
            <w:rFonts w:cs="Arial"/>
            <w:szCs w:val="24"/>
            <w:lang w:eastAsia="pt-BR"/>
          </w:rPr>
          <w:t>https://sosgisbr.com/2011/07/11/shapes-disponibilizados-pelo-comite-da-bh-do-rio-sao-francisco/</w:t>
        </w:r>
      </w:hyperlink>
      <w:r w:rsidRPr="00076C00">
        <w:rPr>
          <w:rFonts w:cs="Arial"/>
          <w:szCs w:val="24"/>
          <w:lang w:eastAsia="pt-BR"/>
        </w:rPr>
        <w:t xml:space="preserve">&gt;. Acesso em: fevereiro de 2017. </w:t>
      </w:r>
    </w:p>
    <w:p w:rsidR="00C86BC2" w:rsidRPr="00076C00" w:rsidRDefault="00C86BC2" w:rsidP="00C86BC2">
      <w:pPr>
        <w:spacing w:before="120" w:after="120"/>
        <w:ind w:left="567" w:hanging="567"/>
        <w:contextualSpacing/>
        <w:jc w:val="both"/>
        <w:rPr>
          <w:rFonts w:cs="Arial"/>
          <w:szCs w:val="24"/>
          <w:lang w:eastAsia="pt-BR"/>
        </w:rPr>
      </w:pPr>
      <w:r w:rsidRPr="00076C00">
        <w:rPr>
          <w:rFonts w:cs="Arial"/>
          <w:szCs w:val="24"/>
          <w:lang w:eastAsia="pt-BR"/>
        </w:rPr>
        <w:t>CENTRO DE REFERÊNCIA EM EDUCAÇÃO INTEGRAL. Conceito de Oficina. Disponível em: &lt;</w:t>
      </w:r>
      <w:hyperlink r:id="rId116" w:history="1">
        <w:r w:rsidRPr="00076C00">
          <w:rPr>
            <w:rFonts w:cs="Arial"/>
            <w:szCs w:val="24"/>
            <w:lang w:eastAsia="pt-BR"/>
          </w:rPr>
          <w:t>http://educacaointegral.org.br/glossario/oficinas/</w:t>
        </w:r>
      </w:hyperlink>
      <w:r w:rsidRPr="00076C00">
        <w:rPr>
          <w:rFonts w:cs="Arial"/>
          <w:szCs w:val="24"/>
          <w:lang w:eastAsia="pt-BR"/>
        </w:rPr>
        <w:t>&gt;. Acesso em: março de 2017.</w:t>
      </w:r>
    </w:p>
    <w:p w:rsidR="00C86BC2" w:rsidRPr="00376DEA" w:rsidRDefault="00C86BC2" w:rsidP="00C86BC2">
      <w:pPr>
        <w:tabs>
          <w:tab w:val="left" w:pos="4395"/>
        </w:tabs>
        <w:spacing w:before="120" w:after="120"/>
        <w:ind w:left="567" w:hanging="567"/>
        <w:contextualSpacing/>
        <w:jc w:val="both"/>
        <w:rPr>
          <w:rFonts w:cs="Arial"/>
          <w:szCs w:val="24"/>
        </w:rPr>
      </w:pPr>
      <w:r w:rsidRPr="00376DEA">
        <w:rPr>
          <w:rFonts w:cs="Arial"/>
          <w:szCs w:val="24"/>
        </w:rPr>
        <w:t>CI FLORESTAS – Centro de Inteligência em Florestas, 2015. Disponível em: &lt;http://www.ciflorestas.com.br/texto.php?p=eucalipto&gt;. Acesso em: março de 2017.</w:t>
      </w:r>
    </w:p>
    <w:p w:rsidR="00C86BC2" w:rsidRPr="00076C00" w:rsidRDefault="00C86BC2" w:rsidP="00C86BC2">
      <w:pPr>
        <w:spacing w:line="240" w:lineRule="auto"/>
        <w:ind w:left="567" w:hanging="567"/>
        <w:contextualSpacing/>
        <w:jc w:val="both"/>
        <w:rPr>
          <w:rFonts w:cs="Arial"/>
          <w:szCs w:val="24"/>
        </w:rPr>
      </w:pPr>
      <w:r w:rsidRPr="00076C00">
        <w:rPr>
          <w:rFonts w:cs="Arial"/>
          <w:szCs w:val="24"/>
        </w:rPr>
        <w:t>CIDADE</w:t>
      </w:r>
      <w:r>
        <w:rPr>
          <w:rFonts w:cs="Arial"/>
          <w:szCs w:val="24"/>
        </w:rPr>
        <w:t>S</w:t>
      </w:r>
      <w:r w:rsidRPr="00076C00">
        <w:rPr>
          <w:rFonts w:cs="Arial"/>
          <w:szCs w:val="24"/>
        </w:rPr>
        <w:t>-BRASIL, 2017. Disponível em: &lt;http://www.cidade-brasil.com.br/municipio-belo-oriente.html&gt;. Acesso em: janeiro de 2017.</w:t>
      </w:r>
      <w:r w:rsidRPr="00076C00">
        <w:rPr>
          <w:rFonts w:cs="Arial"/>
          <w:highlight w:val="yellow"/>
        </w:rPr>
        <w:t xml:space="preserve"> </w:t>
      </w:r>
    </w:p>
    <w:p w:rsidR="00C86BC2" w:rsidRPr="001A2038" w:rsidRDefault="00C86BC2" w:rsidP="00C86BC2">
      <w:pPr>
        <w:spacing w:line="240" w:lineRule="auto"/>
        <w:ind w:left="567" w:hanging="567"/>
        <w:jc w:val="both"/>
        <w:rPr>
          <w:rFonts w:cs="Arial"/>
          <w:color w:val="00B050"/>
          <w:szCs w:val="24"/>
        </w:rPr>
      </w:pPr>
    </w:p>
    <w:p w:rsidR="00C86BC2" w:rsidRPr="009F71BF" w:rsidRDefault="00C86BC2" w:rsidP="00C86BC2">
      <w:pPr>
        <w:spacing w:before="120" w:after="120"/>
        <w:ind w:left="567" w:hanging="567"/>
        <w:contextualSpacing/>
        <w:jc w:val="both"/>
        <w:rPr>
          <w:rFonts w:cs="Arial"/>
          <w:szCs w:val="24"/>
          <w:lang w:eastAsia="pt-BR"/>
        </w:rPr>
      </w:pPr>
      <w:r w:rsidRPr="009F71BF">
        <w:rPr>
          <w:rFonts w:cs="Arial"/>
          <w:szCs w:val="24"/>
          <w:lang w:eastAsia="pt-BR"/>
        </w:rPr>
        <w:t>CISAB - Consórcio Intermunicipal de Saneamento Básico da Zona da Mata de Minas Gerais</w:t>
      </w:r>
      <w:r>
        <w:rPr>
          <w:rFonts w:cs="Arial"/>
          <w:szCs w:val="24"/>
          <w:lang w:eastAsia="pt-BR"/>
        </w:rPr>
        <w:t>. Disponível em: &lt;</w:t>
      </w:r>
      <w:hyperlink r:id="rId117" w:history="1">
        <w:r w:rsidRPr="009F71BF">
          <w:rPr>
            <w:lang w:eastAsia="pt-BR"/>
          </w:rPr>
          <w:t>http://www.cisab.com.br/</w:t>
        </w:r>
      </w:hyperlink>
      <w:r>
        <w:rPr>
          <w:lang w:eastAsia="pt-BR"/>
        </w:rPr>
        <w:t>&gt; Acesso em: fevereiro de 2017.</w:t>
      </w:r>
    </w:p>
    <w:p w:rsidR="00C86BC2" w:rsidRPr="005D7F74" w:rsidRDefault="00C86BC2" w:rsidP="00C86BC2">
      <w:pPr>
        <w:tabs>
          <w:tab w:val="left" w:pos="4395"/>
        </w:tabs>
        <w:spacing w:before="120" w:after="120"/>
        <w:ind w:left="567" w:hanging="567"/>
        <w:contextualSpacing/>
        <w:jc w:val="both"/>
        <w:rPr>
          <w:rFonts w:cs="Arial"/>
          <w:szCs w:val="24"/>
        </w:rPr>
      </w:pPr>
      <w:r w:rsidRPr="005D7F74">
        <w:rPr>
          <w:rFonts w:cs="Arial"/>
          <w:szCs w:val="24"/>
        </w:rPr>
        <w:t xml:space="preserve">CLIMATE-DATA, 2017. Disponível em: &lt;https://pt.climate-data.org/location/176151/.&gt;. Aceso em: janeiro de 2017. </w:t>
      </w:r>
    </w:p>
    <w:p w:rsidR="00C86BC2" w:rsidRDefault="00C86BC2" w:rsidP="00C86BC2">
      <w:pPr>
        <w:tabs>
          <w:tab w:val="left" w:pos="4395"/>
        </w:tabs>
        <w:spacing w:before="120" w:after="120"/>
        <w:ind w:left="567" w:hanging="567"/>
        <w:contextualSpacing/>
        <w:jc w:val="both"/>
        <w:rPr>
          <w:rFonts w:cs="Arial"/>
          <w:szCs w:val="24"/>
        </w:rPr>
      </w:pPr>
      <w:r w:rsidRPr="005D7F74">
        <w:rPr>
          <w:rFonts w:cs="Arial"/>
          <w:szCs w:val="24"/>
        </w:rPr>
        <w:t>CNES – Cadastro Nacional de Estabelecimentos de Saúde, 2017. Disponível em: &lt;http://cnes.datasus.gov.br/pages/consultas.jsp&gt;. Acesso em: janeiro de 2017.</w:t>
      </w:r>
    </w:p>
    <w:p w:rsidR="00C86BC2" w:rsidRPr="003D60DE" w:rsidRDefault="00C86BC2" w:rsidP="00C86BC2">
      <w:pPr>
        <w:tabs>
          <w:tab w:val="left" w:pos="4395"/>
        </w:tabs>
        <w:spacing w:before="120" w:after="120"/>
        <w:ind w:left="567" w:hanging="567"/>
        <w:contextualSpacing/>
        <w:jc w:val="both"/>
        <w:rPr>
          <w:rFonts w:cs="Arial"/>
          <w:szCs w:val="24"/>
        </w:rPr>
      </w:pPr>
      <w:r w:rsidRPr="003D60DE">
        <w:rPr>
          <w:rFonts w:cs="Arial"/>
          <w:szCs w:val="24"/>
        </w:rPr>
        <w:t>CONSELHO NACIONAL DO MEIO AMBIENTE. Resolução CONAMA nº 357, de 17 de março de 2005. Dispõe sobre a classificação dos corpos de água e diretrizes ambientais para o seu enquadramento, bem como estabelece as condições e padrões de lançamento de efluentes, e dá outras providências.</w:t>
      </w:r>
    </w:p>
    <w:p w:rsidR="00BC01B1" w:rsidRDefault="00BC01B1" w:rsidP="00C86BC2">
      <w:pPr>
        <w:tabs>
          <w:tab w:val="left" w:pos="4395"/>
        </w:tabs>
        <w:spacing w:before="120" w:after="120"/>
        <w:ind w:left="567" w:hanging="567"/>
        <w:contextualSpacing/>
        <w:jc w:val="both"/>
        <w:rPr>
          <w:rFonts w:cs="Arial"/>
          <w:szCs w:val="24"/>
        </w:rPr>
      </w:pPr>
    </w:p>
    <w:p w:rsidR="00BC01B1" w:rsidRDefault="00BC01B1" w:rsidP="00C86BC2">
      <w:pPr>
        <w:tabs>
          <w:tab w:val="left" w:pos="4395"/>
        </w:tabs>
        <w:spacing w:before="120" w:after="120"/>
        <w:ind w:left="567" w:hanging="567"/>
        <w:contextualSpacing/>
        <w:jc w:val="both"/>
        <w:rPr>
          <w:rFonts w:cs="Arial"/>
          <w:szCs w:val="24"/>
        </w:rPr>
      </w:pPr>
    </w:p>
    <w:p w:rsidR="00BC01B1" w:rsidRDefault="00BC01B1" w:rsidP="00C86BC2">
      <w:pPr>
        <w:tabs>
          <w:tab w:val="left" w:pos="4395"/>
        </w:tabs>
        <w:spacing w:before="120" w:after="120"/>
        <w:ind w:left="567" w:hanging="567"/>
        <w:contextualSpacing/>
        <w:jc w:val="both"/>
        <w:rPr>
          <w:rFonts w:cs="Arial"/>
          <w:szCs w:val="24"/>
        </w:rPr>
      </w:pPr>
    </w:p>
    <w:p w:rsidR="00C86BC2" w:rsidRPr="003D60DE" w:rsidRDefault="00C86BC2" w:rsidP="00C86BC2">
      <w:pPr>
        <w:tabs>
          <w:tab w:val="left" w:pos="4395"/>
        </w:tabs>
        <w:spacing w:before="120" w:after="120"/>
        <w:ind w:left="567" w:hanging="567"/>
        <w:contextualSpacing/>
        <w:jc w:val="both"/>
        <w:rPr>
          <w:rFonts w:cs="Arial"/>
          <w:szCs w:val="24"/>
        </w:rPr>
      </w:pPr>
      <w:r w:rsidRPr="003D60DE">
        <w:rPr>
          <w:rFonts w:cs="Arial"/>
          <w:szCs w:val="24"/>
        </w:rPr>
        <w:lastRenderedPageBreak/>
        <w:t>CONSELHO NACIONAL DO MEIO AMBIENTE. Resolução CONAMA nº 375/2006. Define critérios e procedimentos, para o uso agrícola de lodos de esgoto gerados em estações de tratamento de esgoto sanitário e seus produtos derivados, e dá outras providências.</w:t>
      </w:r>
    </w:p>
    <w:p w:rsidR="00C86BC2" w:rsidRPr="003D60DE" w:rsidRDefault="00C86BC2" w:rsidP="00C86BC2">
      <w:pPr>
        <w:tabs>
          <w:tab w:val="left" w:pos="4395"/>
        </w:tabs>
        <w:spacing w:before="120" w:after="120"/>
        <w:ind w:left="567" w:hanging="567"/>
        <w:contextualSpacing/>
        <w:jc w:val="both"/>
        <w:rPr>
          <w:rFonts w:cs="Arial"/>
          <w:szCs w:val="24"/>
        </w:rPr>
      </w:pPr>
      <w:r w:rsidRPr="003D60DE">
        <w:rPr>
          <w:rFonts w:cs="Arial"/>
          <w:szCs w:val="24"/>
        </w:rPr>
        <w:t>CONSELHO NACIONAL DO MEIO AMBIENTE. Resolução CONAMA nº 307/2002. Estabelece diretrizes, critérios e procedimentos para a gestão dos resíduos da construção civil.</w:t>
      </w:r>
    </w:p>
    <w:p w:rsidR="00C86BC2" w:rsidRPr="003D60DE" w:rsidRDefault="00C86BC2" w:rsidP="00C86BC2">
      <w:pPr>
        <w:spacing w:before="120" w:after="120"/>
        <w:ind w:left="567" w:hanging="567"/>
        <w:contextualSpacing/>
        <w:jc w:val="both"/>
        <w:rPr>
          <w:rFonts w:cs="Arial"/>
          <w:szCs w:val="24"/>
          <w:lang w:eastAsia="pt-BR"/>
        </w:rPr>
      </w:pPr>
      <w:r w:rsidRPr="003D60DE">
        <w:rPr>
          <w:rFonts w:cs="Arial"/>
          <w:szCs w:val="24"/>
        </w:rPr>
        <w:t xml:space="preserve">CONSELHO NACIONAL DO MEIO AMBIENTE. Resolução CONAMA nº </w:t>
      </w:r>
      <w:r w:rsidRPr="003D60DE">
        <w:rPr>
          <w:rFonts w:cs="Arial"/>
          <w:szCs w:val="24"/>
          <w:lang w:eastAsia="pt-BR"/>
        </w:rPr>
        <w:t>005 de 1993 – Dispõe sobre o gerenciamento de resíduos sólidos gerados nos portos, aeroportos, terminais ferroviários e rodoviários.</w:t>
      </w:r>
    </w:p>
    <w:p w:rsidR="00C86BC2" w:rsidRPr="003D60DE" w:rsidRDefault="00C86BC2" w:rsidP="00C86BC2">
      <w:pPr>
        <w:spacing w:before="120" w:after="120"/>
        <w:ind w:left="567" w:hanging="567"/>
        <w:contextualSpacing/>
        <w:jc w:val="both"/>
        <w:rPr>
          <w:rFonts w:cs="Arial"/>
          <w:szCs w:val="24"/>
          <w:lang w:eastAsia="pt-BR"/>
        </w:rPr>
      </w:pPr>
      <w:r w:rsidRPr="003D60DE">
        <w:rPr>
          <w:rFonts w:cs="Arial"/>
          <w:szCs w:val="24"/>
        </w:rPr>
        <w:t xml:space="preserve">CONSELHO NACIONAL DO MEIO AMBIENTE. Resolução CONAMA nº </w:t>
      </w:r>
      <w:r w:rsidRPr="003D60DE">
        <w:rPr>
          <w:rFonts w:cs="Arial"/>
          <w:szCs w:val="24"/>
          <w:lang w:eastAsia="pt-BR"/>
        </w:rPr>
        <w:t>358 de 2005 – Dispõe sobre o tratamento e a disposição final dos resíduos dos serviços de saúde e dá outras providências.</w:t>
      </w:r>
    </w:p>
    <w:p w:rsidR="00C86BC2" w:rsidRPr="003D60DE" w:rsidRDefault="00C86BC2" w:rsidP="00C86BC2">
      <w:pPr>
        <w:spacing w:before="120" w:after="120"/>
        <w:ind w:left="567" w:hanging="567"/>
        <w:contextualSpacing/>
        <w:jc w:val="both"/>
        <w:rPr>
          <w:rFonts w:cs="Arial"/>
          <w:szCs w:val="24"/>
          <w:lang w:eastAsia="pt-BR"/>
        </w:rPr>
      </w:pPr>
      <w:r w:rsidRPr="003D60DE">
        <w:rPr>
          <w:rFonts w:cs="Arial"/>
          <w:szCs w:val="24"/>
        </w:rPr>
        <w:t xml:space="preserve">CONSELHO NACIONAL DO MEIO AMBIENTE. Resolução CONAMA nº </w:t>
      </w:r>
      <w:r w:rsidRPr="003D60DE">
        <w:rPr>
          <w:rFonts w:cs="Arial"/>
          <w:szCs w:val="24"/>
          <w:lang w:eastAsia="pt-BR"/>
        </w:rPr>
        <w:t>283 de 2001 – Dispõe sobre o tratamento e a destinação final dos resíduos dos serviços de saúde.</w:t>
      </w:r>
    </w:p>
    <w:p w:rsidR="00C86BC2" w:rsidRPr="003D60DE" w:rsidRDefault="00C86BC2" w:rsidP="00C86BC2">
      <w:pPr>
        <w:spacing w:before="120" w:after="120"/>
        <w:ind w:left="567" w:hanging="567"/>
        <w:contextualSpacing/>
        <w:jc w:val="both"/>
        <w:rPr>
          <w:rFonts w:cs="Arial"/>
          <w:szCs w:val="24"/>
          <w:lang w:eastAsia="pt-BR"/>
        </w:rPr>
      </w:pPr>
      <w:r w:rsidRPr="003D60DE">
        <w:rPr>
          <w:rFonts w:cs="Arial"/>
          <w:szCs w:val="24"/>
        </w:rPr>
        <w:t>CONSELHO NACIONAL DO MEIO AMBIENTE. Resolução CONAMA nº</w:t>
      </w:r>
      <w:r w:rsidRPr="003D60DE">
        <w:rPr>
          <w:rFonts w:cs="Arial"/>
          <w:szCs w:val="24"/>
          <w:lang w:eastAsia="pt-BR"/>
        </w:rPr>
        <w:t xml:space="preserve"> 334 de 2003 – Dispõe sobre os procedimentos de licenciamento ambiental de estabelecimentos destinados ao recebimento de embalagens vazias de agrotóxicos.</w:t>
      </w:r>
    </w:p>
    <w:p w:rsidR="00C86BC2" w:rsidRPr="009F71BF" w:rsidRDefault="00C86BC2" w:rsidP="00C86BC2">
      <w:pPr>
        <w:spacing w:before="120" w:after="120"/>
        <w:ind w:left="567" w:hanging="567"/>
        <w:contextualSpacing/>
        <w:jc w:val="both"/>
        <w:rPr>
          <w:rFonts w:cs="Arial"/>
          <w:szCs w:val="24"/>
        </w:rPr>
      </w:pPr>
      <w:r w:rsidRPr="003D60DE">
        <w:rPr>
          <w:rFonts w:cs="Arial"/>
          <w:szCs w:val="24"/>
        </w:rPr>
        <w:t xml:space="preserve">CONSELHO NACIONAL DO MEIO AMBIENTE. Resolução CONAMA nº 313 </w:t>
      </w:r>
      <w:r w:rsidRPr="009F71BF">
        <w:rPr>
          <w:rFonts w:cs="Arial"/>
          <w:szCs w:val="24"/>
        </w:rPr>
        <w:t>de 2002 – Dispõe sobre o Inventário Nacional de Resíduos Sólidos Industriais.</w:t>
      </w:r>
    </w:p>
    <w:p w:rsidR="00C86BC2" w:rsidRPr="009F71BF" w:rsidRDefault="00C86BC2" w:rsidP="00C86BC2">
      <w:pPr>
        <w:spacing w:before="120" w:after="120"/>
        <w:ind w:left="567" w:hanging="567"/>
        <w:contextualSpacing/>
        <w:jc w:val="both"/>
        <w:rPr>
          <w:rFonts w:cs="Arial"/>
          <w:szCs w:val="24"/>
        </w:rPr>
      </w:pPr>
      <w:r w:rsidRPr="009F71BF">
        <w:rPr>
          <w:rFonts w:cs="Arial"/>
          <w:szCs w:val="24"/>
        </w:rPr>
        <w:t>CONSELHO NACIONAL DO MEIO AMBIENTE. Resolução CONAMA nº 348, de 16 de agosto de 2004. Altera a Resolução CONAMA nº 307, incluindo o amianto na classe de resíduos perigosos.</w:t>
      </w:r>
    </w:p>
    <w:p w:rsidR="00C86BC2" w:rsidRPr="009F71BF" w:rsidRDefault="00C86BC2" w:rsidP="00C86BC2">
      <w:pPr>
        <w:spacing w:before="120" w:after="120"/>
        <w:ind w:left="567" w:hanging="567"/>
        <w:contextualSpacing/>
        <w:jc w:val="both"/>
        <w:rPr>
          <w:rFonts w:cs="Arial"/>
          <w:szCs w:val="24"/>
        </w:rPr>
      </w:pPr>
      <w:r w:rsidRPr="009F71BF">
        <w:rPr>
          <w:rFonts w:cs="Arial"/>
          <w:szCs w:val="24"/>
        </w:rPr>
        <w:t>CONSELHO NACIONAL DO MEIO AMBIENTE. Resolução CONAMA nº 430, de 13 de maio de 2010. Dispõe sobre as condições e padrões de lançamento de efluentes, complementa e altera a Resolução nº 357, de 17 de março de 2005.</w:t>
      </w:r>
    </w:p>
    <w:p w:rsidR="00C86BC2" w:rsidRPr="00C7409B" w:rsidRDefault="00C86BC2" w:rsidP="00C86BC2">
      <w:pPr>
        <w:spacing w:before="120" w:after="120"/>
        <w:ind w:left="567" w:hanging="567"/>
        <w:contextualSpacing/>
        <w:jc w:val="both"/>
        <w:rPr>
          <w:rFonts w:cs="Arial"/>
          <w:szCs w:val="24"/>
        </w:rPr>
      </w:pPr>
      <w:r w:rsidRPr="00C7409B">
        <w:rPr>
          <w:rFonts w:cs="Arial"/>
          <w:szCs w:val="24"/>
        </w:rPr>
        <w:t xml:space="preserve">CONSONI et al. Origem e Composição do Lixo. </w:t>
      </w:r>
      <w:r w:rsidRPr="00E82952">
        <w:rPr>
          <w:rFonts w:cs="Arial"/>
          <w:szCs w:val="24"/>
          <w:lang w:val="en-US"/>
        </w:rPr>
        <w:t xml:space="preserve">In: JARDIM. N.S., Coord. </w:t>
      </w:r>
      <w:r w:rsidRPr="00C7409B">
        <w:rPr>
          <w:rFonts w:cs="Arial"/>
          <w:szCs w:val="24"/>
        </w:rPr>
        <w:t>Lixo Municipal: Manual de Gerenciamento Integrado. São Paulo: IPT/CEMPRE, 1995.</w:t>
      </w:r>
    </w:p>
    <w:p w:rsidR="00C86BC2" w:rsidRDefault="00C86BC2" w:rsidP="00C86BC2">
      <w:pPr>
        <w:spacing w:before="120" w:after="120"/>
        <w:ind w:left="567" w:hanging="567"/>
        <w:contextualSpacing/>
        <w:jc w:val="both"/>
        <w:rPr>
          <w:rFonts w:cs="Arial"/>
          <w:szCs w:val="24"/>
        </w:rPr>
      </w:pPr>
      <w:r w:rsidRPr="00C7409B">
        <w:rPr>
          <w:rFonts w:cs="Arial"/>
          <w:szCs w:val="24"/>
        </w:rPr>
        <w:t>COPASA. Companhia de Saneamento de Minas Gerais, 2015. Dados recolhidos em campo.</w:t>
      </w:r>
    </w:p>
    <w:p w:rsidR="00C86BC2" w:rsidRPr="00C7409B" w:rsidRDefault="00C86BC2" w:rsidP="00C86BC2">
      <w:pPr>
        <w:spacing w:before="120" w:after="120"/>
        <w:ind w:left="567" w:hanging="567"/>
        <w:contextualSpacing/>
        <w:jc w:val="both"/>
        <w:rPr>
          <w:rFonts w:cs="Arial"/>
          <w:szCs w:val="24"/>
        </w:rPr>
      </w:pPr>
      <w:r w:rsidRPr="00C7409B">
        <w:rPr>
          <w:rFonts w:cs="Arial"/>
          <w:szCs w:val="24"/>
        </w:rPr>
        <w:lastRenderedPageBreak/>
        <w:t>CORRÊA, R. S.; CORRÊA, A. S. Valoração de biossólidos como fertilizantes e condicionadores de solos. Sanare, v. 16, p. 49-56, 2001.</w:t>
      </w:r>
    </w:p>
    <w:p w:rsidR="00C86BC2" w:rsidRPr="001228A5" w:rsidRDefault="00C86BC2" w:rsidP="00C86BC2">
      <w:pPr>
        <w:tabs>
          <w:tab w:val="left" w:pos="4395"/>
        </w:tabs>
        <w:spacing w:before="120" w:after="120"/>
        <w:ind w:left="567" w:hanging="567"/>
        <w:contextualSpacing/>
        <w:jc w:val="both"/>
        <w:rPr>
          <w:rFonts w:cs="Arial"/>
          <w:szCs w:val="24"/>
        </w:rPr>
      </w:pPr>
      <w:r w:rsidRPr="001228A5">
        <w:rPr>
          <w:rFonts w:cs="Arial"/>
          <w:szCs w:val="24"/>
        </w:rPr>
        <w:t xml:space="preserve">CPRM – Serviço Geológico do Brasil, 2010. Geodiversidades do Estado de Minas Gerais. Marcely Ferreira Marchado; Sandra Fernandes da Silva - Belo Horizonte. </w:t>
      </w:r>
    </w:p>
    <w:p w:rsidR="00C86BC2" w:rsidRPr="001228A5" w:rsidRDefault="00C86BC2" w:rsidP="00C86BC2">
      <w:pPr>
        <w:tabs>
          <w:tab w:val="left" w:pos="4395"/>
        </w:tabs>
        <w:spacing w:before="120" w:after="120"/>
        <w:ind w:left="567" w:hanging="567"/>
        <w:contextualSpacing/>
        <w:jc w:val="both"/>
        <w:rPr>
          <w:rFonts w:cs="Arial"/>
          <w:szCs w:val="24"/>
        </w:rPr>
      </w:pPr>
      <w:r w:rsidRPr="001228A5">
        <w:rPr>
          <w:rFonts w:cs="Arial"/>
          <w:szCs w:val="24"/>
        </w:rPr>
        <w:t xml:space="preserve">CPRM – Serviço Geológico do Brasil, 2014. CPRM - GEOBANK - Download de arquivos vetoriais. Disponível em: &lt; http://geosgb.cprm.gov.br/&gt;. </w:t>
      </w:r>
      <w:r w:rsidRPr="001228A5">
        <w:rPr>
          <w:lang w:eastAsia="pt-BR"/>
        </w:rPr>
        <w:t>Acesso em: fevereiro de 2017.</w:t>
      </w:r>
    </w:p>
    <w:p w:rsidR="00C86BC2" w:rsidRPr="001228A5" w:rsidRDefault="00C86BC2" w:rsidP="00C86BC2">
      <w:pPr>
        <w:tabs>
          <w:tab w:val="left" w:pos="4395"/>
        </w:tabs>
        <w:spacing w:before="120" w:after="120"/>
        <w:ind w:left="567" w:hanging="567"/>
        <w:contextualSpacing/>
        <w:jc w:val="both"/>
        <w:rPr>
          <w:rFonts w:cs="Arial"/>
          <w:szCs w:val="24"/>
        </w:rPr>
      </w:pPr>
      <w:r w:rsidRPr="001228A5">
        <w:rPr>
          <w:rFonts w:cs="Arial"/>
          <w:szCs w:val="24"/>
        </w:rPr>
        <w:t xml:space="preserve">CPRM – Serviço Geológico do Brasil, 2014. Manual de cartografia hidrogeológica. João Alberto Oliveira Diniz; Adson Brito Monteiro, Robson de Carlo da Silva; Thiago Luiz Feijó de Paula. Superintendência Regional de Recife, 119p. </w:t>
      </w:r>
    </w:p>
    <w:p w:rsidR="00C86BC2" w:rsidRDefault="00C86BC2" w:rsidP="00C86BC2">
      <w:pPr>
        <w:spacing w:before="120" w:after="120"/>
        <w:ind w:left="567" w:hanging="567"/>
        <w:contextualSpacing/>
        <w:jc w:val="both"/>
      </w:pPr>
      <w:r w:rsidRPr="003D60DE">
        <w:t>CRETELLA JÚNIOR, José. Administração indireta brasileira. Rio de Janeiro: Forense, 1980.</w:t>
      </w:r>
    </w:p>
    <w:p w:rsidR="00C86BC2" w:rsidRPr="003D60DE" w:rsidRDefault="00C86BC2" w:rsidP="00C86BC2">
      <w:pPr>
        <w:tabs>
          <w:tab w:val="left" w:pos="4395"/>
        </w:tabs>
        <w:spacing w:before="120" w:after="120"/>
        <w:ind w:left="567" w:hanging="567"/>
        <w:contextualSpacing/>
        <w:jc w:val="both"/>
        <w:rPr>
          <w:rFonts w:cs="Arial"/>
          <w:szCs w:val="24"/>
        </w:rPr>
      </w:pPr>
      <w:r w:rsidRPr="003D60DE">
        <w:rPr>
          <w:rFonts w:cs="Arial"/>
          <w:szCs w:val="24"/>
        </w:rPr>
        <w:t>DAL PONT, C. B.; VALVASSORI, M. L.; GUADAGNIN, M. R.; MILIOLI, B. V.; GALATTO, S. L. Metodologia para Elaboração de Plano Municipal de Gestão Integrada de Resíduos Sólidos. In 4º. Fórum Internacional de Resíduos Sólidos. Porto Alegre/RS – Brasil, 2013.</w:t>
      </w:r>
    </w:p>
    <w:p w:rsidR="00C86BC2" w:rsidRPr="003D60DE" w:rsidRDefault="00C86BC2" w:rsidP="00C86BC2">
      <w:pPr>
        <w:spacing w:before="120" w:after="120"/>
        <w:ind w:left="567" w:hanging="567"/>
        <w:contextualSpacing/>
        <w:jc w:val="both"/>
        <w:rPr>
          <w:rFonts w:cs="Arial"/>
          <w:szCs w:val="24"/>
          <w:lang w:eastAsia="pt-BR"/>
        </w:rPr>
      </w:pPr>
      <w:r w:rsidRPr="003D60DE">
        <w:rPr>
          <w:rFonts w:cs="Arial"/>
          <w:szCs w:val="24"/>
          <w:lang w:eastAsia="pt-BR"/>
        </w:rPr>
        <w:t xml:space="preserve">DATASUS, 2010. Cadernos de informações de Saúde de Minas Gerais. Disponível em: </w:t>
      </w:r>
      <w:hyperlink r:id="rId118" w:history="1">
        <w:r w:rsidRPr="003D60DE">
          <w:rPr>
            <w:rFonts w:cs="Arial"/>
            <w:szCs w:val="24"/>
            <w:lang w:eastAsia="pt-BR"/>
          </w:rPr>
          <w:t>http://tabnet.datasus.gov.br/tabdata/cadernos/mg.htm</w:t>
        </w:r>
      </w:hyperlink>
      <w:r w:rsidRPr="003D60DE">
        <w:rPr>
          <w:rFonts w:cs="Arial"/>
          <w:szCs w:val="24"/>
          <w:lang w:eastAsia="pt-BR"/>
        </w:rPr>
        <w:t>. Acesso em: janeiro de 2017.</w:t>
      </w:r>
    </w:p>
    <w:p w:rsidR="00C86BC2" w:rsidRPr="003D60DE" w:rsidRDefault="00C86BC2" w:rsidP="00C86BC2">
      <w:pPr>
        <w:spacing w:before="120" w:after="120"/>
        <w:ind w:left="567" w:hanging="567"/>
        <w:contextualSpacing/>
        <w:jc w:val="both"/>
        <w:rPr>
          <w:rFonts w:cs="Arial"/>
          <w:szCs w:val="24"/>
          <w:lang w:eastAsia="pt-BR"/>
        </w:rPr>
      </w:pPr>
      <w:r w:rsidRPr="003D60DE">
        <w:rPr>
          <w:rFonts w:cs="Arial"/>
          <w:szCs w:val="24"/>
          <w:lang w:eastAsia="pt-BR"/>
        </w:rPr>
        <w:t>DATASUS – Departamento de Informática do SUS, 2014. Morbidades hospitalares. Disponível em: &lt; http://cidades.ibge.gov.br/xtras/temas.php?lang=&amp;codmun=310630&amp;idtema=146&amp;search=minas-gerais|belo-oriente|morbidades-hospitalares-2014&gt;. Acesso em: janeiro de 2017.</w:t>
      </w:r>
    </w:p>
    <w:p w:rsidR="00C86BC2" w:rsidRPr="003D60DE" w:rsidRDefault="00C86BC2" w:rsidP="00C86BC2">
      <w:pPr>
        <w:spacing w:before="120" w:after="120"/>
        <w:ind w:left="567" w:hanging="567"/>
        <w:contextualSpacing/>
        <w:jc w:val="both"/>
        <w:rPr>
          <w:rFonts w:cs="Arial"/>
          <w:szCs w:val="24"/>
          <w:lang w:eastAsia="pt-BR"/>
        </w:rPr>
      </w:pPr>
      <w:r w:rsidRPr="003D60DE">
        <w:rPr>
          <w:rFonts w:cs="Arial"/>
          <w:szCs w:val="24"/>
          <w:lang w:eastAsia="pt-BR"/>
        </w:rPr>
        <w:t>DATASUS – Departamento de Informática do SUS, 2015. SARGSUS - Sistema de Apoio ao Relatório de Gestão. Disponível em: &lt;http://aplicacao.saude.gov.br/sargsus/login!carregarMunicipios.action&gt;. Acesso em: fevereiro de 2017.</w:t>
      </w:r>
    </w:p>
    <w:p w:rsidR="00BC01B1" w:rsidRDefault="00BC01B1" w:rsidP="00C86BC2">
      <w:pPr>
        <w:tabs>
          <w:tab w:val="left" w:pos="4395"/>
        </w:tabs>
        <w:spacing w:before="120" w:after="120"/>
        <w:ind w:left="567" w:hanging="567"/>
        <w:contextualSpacing/>
        <w:jc w:val="both"/>
        <w:rPr>
          <w:rFonts w:cs="Arial"/>
          <w:szCs w:val="24"/>
        </w:rPr>
      </w:pPr>
    </w:p>
    <w:p w:rsidR="00BC01B1" w:rsidRDefault="00BC01B1" w:rsidP="00C86BC2">
      <w:pPr>
        <w:tabs>
          <w:tab w:val="left" w:pos="4395"/>
        </w:tabs>
        <w:spacing w:before="120" w:after="120"/>
        <w:ind w:left="567" w:hanging="567"/>
        <w:contextualSpacing/>
        <w:jc w:val="both"/>
        <w:rPr>
          <w:rFonts w:cs="Arial"/>
          <w:szCs w:val="24"/>
        </w:rPr>
      </w:pPr>
    </w:p>
    <w:p w:rsidR="00BC01B1" w:rsidRDefault="00BC01B1" w:rsidP="00C86BC2">
      <w:pPr>
        <w:tabs>
          <w:tab w:val="left" w:pos="4395"/>
        </w:tabs>
        <w:spacing w:before="120" w:after="120"/>
        <w:ind w:left="567" w:hanging="567"/>
        <w:contextualSpacing/>
        <w:jc w:val="both"/>
        <w:rPr>
          <w:rFonts w:cs="Arial"/>
          <w:szCs w:val="24"/>
        </w:rPr>
      </w:pPr>
    </w:p>
    <w:p w:rsidR="00C86BC2" w:rsidRPr="003D60DE" w:rsidRDefault="00C86BC2" w:rsidP="00C86BC2">
      <w:pPr>
        <w:tabs>
          <w:tab w:val="left" w:pos="4395"/>
        </w:tabs>
        <w:spacing w:before="120" w:after="120"/>
        <w:ind w:left="567" w:hanging="567"/>
        <w:contextualSpacing/>
        <w:jc w:val="both"/>
        <w:rPr>
          <w:rFonts w:cs="Arial"/>
          <w:szCs w:val="24"/>
        </w:rPr>
      </w:pPr>
      <w:r w:rsidRPr="003D60DE">
        <w:rPr>
          <w:rFonts w:cs="Arial"/>
          <w:szCs w:val="24"/>
        </w:rPr>
        <w:lastRenderedPageBreak/>
        <w:t>DEGANI, Clarice Menezes. Sistemas de gestão ambiental em empresas construtoras de edifícios. 2003. Dissertação (Mestrado em Engenharia de Construção Civil e Urbana) - Escola Politécnica, Universidade de São Paulo, São Paulo, 2003. Disponível em: &lt;http://www.teses.usp.br/teses/disponiveis/3/3146/tde-28082003-161920/&gt;. Acesso em: maio de 2017.</w:t>
      </w:r>
    </w:p>
    <w:p w:rsidR="00C86BC2" w:rsidRPr="003D60DE" w:rsidRDefault="00C86BC2" w:rsidP="00C86BC2">
      <w:pPr>
        <w:spacing w:before="120" w:after="120"/>
        <w:ind w:left="567" w:hanging="567"/>
        <w:contextualSpacing/>
        <w:jc w:val="both"/>
        <w:rPr>
          <w:rFonts w:cs="Arial"/>
          <w:szCs w:val="24"/>
          <w:lang w:eastAsia="pt-BR"/>
        </w:rPr>
      </w:pPr>
      <w:r w:rsidRPr="003D60DE">
        <w:rPr>
          <w:rFonts w:cs="Arial"/>
          <w:szCs w:val="24"/>
          <w:lang w:eastAsia="pt-BR"/>
        </w:rPr>
        <w:t>D’ELLA, D. M. C. Relação entre utilização de água e geração de resíduos sólidos domiciliares. Revista de saneamento ambiental, São Paulo, no. 65, p.38-41, maio de 2000.</w:t>
      </w:r>
    </w:p>
    <w:p w:rsidR="00C86BC2" w:rsidRPr="00F51C3D" w:rsidRDefault="00C86BC2" w:rsidP="00C86BC2">
      <w:pPr>
        <w:spacing w:before="120" w:after="120"/>
        <w:ind w:left="567" w:hanging="567"/>
        <w:contextualSpacing/>
        <w:jc w:val="both"/>
        <w:rPr>
          <w:rFonts w:cs="Arial"/>
          <w:szCs w:val="24"/>
          <w:lang w:eastAsia="pt-BR"/>
        </w:rPr>
      </w:pPr>
      <w:r w:rsidRPr="00F51C3D">
        <w:rPr>
          <w:rFonts w:cs="Arial"/>
          <w:szCs w:val="24"/>
          <w:lang w:eastAsia="pt-BR"/>
        </w:rPr>
        <w:t>DER-MG – Departamento de Estradas e Rodagem de Minas Gerais, 2017. Disponível em: &lt;http://der.mg.gov.br/mapa-rodoviario&gt;. Acesso em fevereiro de 2017.</w:t>
      </w:r>
    </w:p>
    <w:p w:rsidR="00C86BC2" w:rsidRPr="00E954DA" w:rsidRDefault="00C86BC2" w:rsidP="00C86BC2">
      <w:pPr>
        <w:spacing w:before="120" w:after="120"/>
        <w:ind w:left="567" w:hanging="567"/>
        <w:contextualSpacing/>
        <w:jc w:val="both"/>
        <w:rPr>
          <w:rFonts w:cs="Arial"/>
          <w:szCs w:val="24"/>
          <w:lang w:eastAsia="pt-BR"/>
        </w:rPr>
      </w:pPr>
      <w:r w:rsidRPr="00E954DA">
        <w:rPr>
          <w:rFonts w:cs="Arial"/>
          <w:szCs w:val="24"/>
          <w:lang w:eastAsia="pt-BR"/>
        </w:rPr>
        <w:t>DNIT Norma 022/2006 - Drenagem – Dissipadores de energia – Especificação de serviço. Rio de janeiro, 2006.</w:t>
      </w:r>
    </w:p>
    <w:p w:rsidR="00C86BC2" w:rsidRPr="00E954DA" w:rsidRDefault="00C86BC2" w:rsidP="00C86BC2">
      <w:pPr>
        <w:spacing w:before="120" w:after="120"/>
        <w:ind w:left="567" w:hanging="567"/>
        <w:contextualSpacing/>
        <w:jc w:val="both"/>
        <w:rPr>
          <w:rFonts w:cs="Arial"/>
          <w:szCs w:val="24"/>
          <w:lang w:eastAsia="pt-BR"/>
        </w:rPr>
      </w:pPr>
      <w:r w:rsidRPr="00E954DA">
        <w:rPr>
          <w:rFonts w:cs="Arial"/>
          <w:szCs w:val="24"/>
          <w:lang w:eastAsia="pt-BR"/>
        </w:rPr>
        <w:t>DUARTE, Vânia Maria do Nascimento.</w:t>
      </w:r>
      <w:r w:rsidRPr="00E954DA">
        <w:rPr>
          <w:rFonts w:cs="Arial"/>
          <w:szCs w:val="24"/>
          <w:lang w:eastAsia="pt-BR"/>
        </w:rPr>
        <w:tab/>
        <w:t>O Seminário - O que é e como realizá-lo?, Brasil Escola. Disponível em: &lt;</w:t>
      </w:r>
      <w:hyperlink r:id="rId119" w:history="1">
        <w:r w:rsidRPr="00E954DA">
          <w:rPr>
            <w:rFonts w:cs="Arial"/>
            <w:szCs w:val="24"/>
            <w:lang w:eastAsia="pt-BR"/>
          </w:rPr>
          <w:t>http://brasilescola.uol.com.br/redacao/o-seminarioque-e-como-realizalo.htm</w:t>
        </w:r>
      </w:hyperlink>
      <w:r w:rsidRPr="00E954DA">
        <w:rPr>
          <w:rFonts w:cs="Arial"/>
          <w:szCs w:val="24"/>
          <w:lang w:eastAsia="pt-BR"/>
        </w:rPr>
        <w:t>&gt;. Acesso em: março de 2017.</w:t>
      </w:r>
    </w:p>
    <w:p w:rsidR="00C86BC2" w:rsidRPr="00F51C3D" w:rsidRDefault="00C86BC2" w:rsidP="00C86BC2">
      <w:pPr>
        <w:spacing w:before="120" w:after="120"/>
        <w:ind w:left="567" w:hanging="567"/>
        <w:contextualSpacing/>
        <w:jc w:val="both"/>
        <w:rPr>
          <w:rFonts w:cs="Arial"/>
          <w:szCs w:val="24"/>
          <w:lang w:eastAsia="pt-BR"/>
        </w:rPr>
      </w:pPr>
      <w:r w:rsidRPr="00F51C3D">
        <w:rPr>
          <w:rFonts w:cs="Arial"/>
          <w:szCs w:val="24"/>
          <w:lang w:eastAsia="pt-BR"/>
        </w:rPr>
        <w:t>EMBRAPA – Empresa Brasileira de Pesquisa Agropecuária. Tecnologias de Saneamento Básico Rural desenvolvidas pela Embrapa. IV Seminário Internacional de Engenharia de Saúde Pública. Belo Horizonte, MG. 2013.</w:t>
      </w:r>
    </w:p>
    <w:p w:rsidR="00C86BC2" w:rsidRPr="00F51C3D" w:rsidRDefault="00C86BC2" w:rsidP="00C86BC2">
      <w:pPr>
        <w:spacing w:before="120" w:after="120"/>
        <w:ind w:left="567" w:hanging="567"/>
        <w:contextualSpacing/>
        <w:jc w:val="both"/>
        <w:rPr>
          <w:rFonts w:cs="Arial"/>
          <w:szCs w:val="24"/>
          <w:lang w:eastAsia="pt-BR"/>
        </w:rPr>
      </w:pPr>
      <w:r w:rsidRPr="00F51C3D">
        <w:rPr>
          <w:rFonts w:cs="Arial"/>
          <w:szCs w:val="24"/>
          <w:lang w:eastAsia="pt-BR"/>
        </w:rPr>
        <w:t>FEAM - Fundação Estadual do Meio Ambiente - Orientações básicas para a operação de aterro sanitário. Belo Horizonte: FEAM, 2006. 36p.</w:t>
      </w:r>
    </w:p>
    <w:p w:rsidR="00C86BC2" w:rsidRPr="00F51C3D" w:rsidRDefault="00C86BC2" w:rsidP="00C86BC2">
      <w:pPr>
        <w:spacing w:before="120" w:after="120"/>
        <w:ind w:left="567" w:hanging="567"/>
        <w:contextualSpacing/>
        <w:jc w:val="both"/>
        <w:rPr>
          <w:rFonts w:cs="Arial"/>
          <w:szCs w:val="24"/>
          <w:lang w:eastAsia="pt-BR"/>
        </w:rPr>
      </w:pPr>
      <w:r w:rsidRPr="00F51C3D">
        <w:rPr>
          <w:rFonts w:cs="Arial"/>
          <w:szCs w:val="24"/>
          <w:lang w:eastAsia="pt-BR"/>
        </w:rPr>
        <w:t>FEAM - Orientações</w:t>
      </w:r>
      <w:r w:rsidRPr="00F51C3D">
        <w:rPr>
          <w:rFonts w:cs="Arial"/>
          <w:szCs w:val="24"/>
          <w:lang w:eastAsia="pt-BR"/>
        </w:rPr>
        <w:tab/>
        <w:t xml:space="preserve"> técnicas para atendimento à deliberação Normativa 118/ 2008 do Conselho Estadual de Política Ambiental. 3ª ed. - Belo Horizonte. 2008.</w:t>
      </w:r>
    </w:p>
    <w:p w:rsidR="00C86BC2" w:rsidRPr="00F51C3D" w:rsidRDefault="00C86BC2" w:rsidP="00C86BC2">
      <w:pPr>
        <w:spacing w:before="120" w:after="120"/>
        <w:ind w:left="567" w:hanging="567"/>
        <w:contextualSpacing/>
        <w:jc w:val="both"/>
        <w:rPr>
          <w:rFonts w:cs="Arial"/>
          <w:szCs w:val="24"/>
          <w:lang w:eastAsia="pt-BR"/>
        </w:rPr>
      </w:pPr>
      <w:r w:rsidRPr="00F51C3D">
        <w:rPr>
          <w:rFonts w:cs="Arial"/>
          <w:szCs w:val="24"/>
          <w:lang w:eastAsia="pt-BR"/>
        </w:rPr>
        <w:t>FEAM - Orientações básicas para drenagem urbana- Belo Horizonte: FEAM, 2006.</w:t>
      </w:r>
    </w:p>
    <w:p w:rsidR="00C86BC2" w:rsidRPr="00F51C3D" w:rsidRDefault="00C86BC2" w:rsidP="00C86BC2">
      <w:pPr>
        <w:spacing w:before="120" w:after="120"/>
        <w:ind w:left="567" w:hanging="567"/>
        <w:contextualSpacing/>
        <w:jc w:val="both"/>
        <w:rPr>
          <w:rFonts w:cs="Arial"/>
          <w:szCs w:val="24"/>
          <w:lang w:eastAsia="pt-BR"/>
        </w:rPr>
      </w:pPr>
      <w:r w:rsidRPr="00F51C3D">
        <w:rPr>
          <w:rFonts w:cs="Arial"/>
          <w:szCs w:val="24"/>
          <w:lang w:eastAsia="pt-BR"/>
        </w:rPr>
        <w:t>FEAM – FUNDAÇÃO ESTADUAL DO MEIO AMBIENTE. Áreas Contaminadas e Áreas Reabilitadas no Estado de Minas Gerais. Fundação Estadual do Meio Ambiente – Belo Horizonte: FEAM, 2016.</w:t>
      </w:r>
    </w:p>
    <w:p w:rsidR="00C86BC2" w:rsidRPr="00F51C3D" w:rsidRDefault="00C86BC2" w:rsidP="00C86BC2">
      <w:pPr>
        <w:spacing w:before="120" w:after="120"/>
        <w:ind w:left="567" w:hanging="567"/>
        <w:contextualSpacing/>
        <w:jc w:val="both"/>
        <w:rPr>
          <w:rFonts w:cs="Arial"/>
          <w:szCs w:val="24"/>
          <w:lang w:eastAsia="pt-BR"/>
        </w:rPr>
      </w:pPr>
      <w:r w:rsidRPr="00F51C3D">
        <w:rPr>
          <w:rFonts w:cs="Arial"/>
          <w:szCs w:val="24"/>
          <w:lang w:eastAsia="pt-BR"/>
        </w:rPr>
        <w:t>FEAM – FUNDAÇÃO ESTADUAL DO MEIO AMBIENTE. Minas Trata Esgoto. Fundação Estadual do Meio Ambiente – Belo Horizonte: FEAM, 2015. 141 p.</w:t>
      </w:r>
    </w:p>
    <w:p w:rsidR="00C86BC2" w:rsidRPr="00F51C3D" w:rsidRDefault="00C86BC2" w:rsidP="00C86BC2">
      <w:pPr>
        <w:spacing w:before="120" w:after="120"/>
        <w:ind w:left="567" w:hanging="567"/>
        <w:contextualSpacing/>
        <w:jc w:val="both"/>
        <w:rPr>
          <w:rFonts w:cs="Arial"/>
          <w:szCs w:val="24"/>
          <w:lang w:eastAsia="pt-BR"/>
        </w:rPr>
      </w:pPr>
      <w:r w:rsidRPr="00F51C3D">
        <w:rPr>
          <w:rFonts w:cs="Arial"/>
          <w:szCs w:val="24"/>
          <w:lang w:eastAsia="pt-BR"/>
        </w:rPr>
        <w:t xml:space="preserve">FEAM – Fundação Estadual do Meio Ambiente. Panorama da Destinação dos Resíduos Sólidos Urbanos no Estado de Minas Gerais em 2015. Fundação Estadual do Meio Ambiente – Belo Horizonte: FEAM, 2016. 73 p. </w:t>
      </w:r>
    </w:p>
    <w:p w:rsidR="00C86BC2" w:rsidRPr="00F51C3D" w:rsidRDefault="00C86BC2" w:rsidP="00C86BC2">
      <w:pPr>
        <w:spacing w:before="120" w:after="120"/>
        <w:ind w:left="567" w:hanging="567"/>
        <w:contextualSpacing/>
        <w:jc w:val="both"/>
        <w:rPr>
          <w:rFonts w:cs="Arial"/>
          <w:szCs w:val="24"/>
          <w:lang w:eastAsia="pt-BR"/>
        </w:rPr>
      </w:pPr>
      <w:r w:rsidRPr="00F51C3D">
        <w:rPr>
          <w:rFonts w:cs="Arial"/>
          <w:szCs w:val="24"/>
          <w:lang w:eastAsia="pt-BR"/>
        </w:rPr>
        <w:lastRenderedPageBreak/>
        <w:t>FEAM - Fundação Estadual do Meio Ambiente. Reabilitação de áreas degradadas por resíduos sólidos urbanos / Fundação Estadual do Meio Ambiente; Fundação Israel Pinheiro. Belo Horizonte: FEAM, 2010. 36p.</w:t>
      </w:r>
    </w:p>
    <w:p w:rsidR="00C86BC2" w:rsidRPr="00E954DA" w:rsidRDefault="00C86BC2" w:rsidP="00C86BC2">
      <w:pPr>
        <w:spacing w:before="120" w:after="120"/>
        <w:ind w:left="567" w:hanging="567"/>
        <w:contextualSpacing/>
        <w:jc w:val="both"/>
        <w:rPr>
          <w:rFonts w:cs="Arial"/>
          <w:szCs w:val="24"/>
          <w:lang w:eastAsia="pt-BR"/>
        </w:rPr>
      </w:pPr>
      <w:r w:rsidRPr="00F51C3D">
        <w:rPr>
          <w:rFonts w:cs="Arial"/>
          <w:szCs w:val="24"/>
          <w:lang w:eastAsia="pt-BR"/>
        </w:rPr>
        <w:t xml:space="preserve">FIORIO, P. R; DUARTE, S. N; RODRIGUES, G. </w:t>
      </w:r>
      <w:r w:rsidRPr="00E954DA">
        <w:rPr>
          <w:rFonts w:cs="Arial"/>
          <w:szCs w:val="24"/>
          <w:lang w:eastAsia="pt-BR"/>
        </w:rPr>
        <w:t>O; MIRANDA, J. H; COOKE, R. A. Comparação de Equações de Chuvas Intensas para Localidades do Estado de São Paulo. Jaboticabal, v.32, n.6, p.1080-1088, nov./dez. 2012.</w:t>
      </w:r>
    </w:p>
    <w:p w:rsidR="00C86BC2" w:rsidRPr="00F51C3D" w:rsidRDefault="00C86BC2" w:rsidP="00C86BC2">
      <w:pPr>
        <w:spacing w:before="120" w:after="120"/>
        <w:ind w:left="567" w:hanging="567"/>
        <w:contextualSpacing/>
        <w:jc w:val="both"/>
        <w:rPr>
          <w:rFonts w:cs="Arial"/>
          <w:szCs w:val="24"/>
        </w:rPr>
      </w:pPr>
      <w:r w:rsidRPr="00E954DA">
        <w:rPr>
          <w:rFonts w:cs="Arial"/>
          <w:szCs w:val="24"/>
        </w:rPr>
        <w:t xml:space="preserve">FJP – </w:t>
      </w:r>
      <w:r w:rsidRPr="00F51C3D">
        <w:rPr>
          <w:rFonts w:cs="Arial"/>
          <w:szCs w:val="24"/>
        </w:rPr>
        <w:t>Fundação João Pinheiro. Sistema Estadual de Informações Sobre o Saneamento. 2011. Disponível em: &lt;</w:t>
      </w:r>
      <w:hyperlink r:id="rId120" w:history="1">
        <w:r w:rsidRPr="00F51C3D">
          <w:rPr>
            <w:rFonts w:cs="Arial"/>
            <w:szCs w:val="24"/>
          </w:rPr>
          <w:t>http://datagerais.fjp.mg.gov.br/home/index</w:t>
        </w:r>
      </w:hyperlink>
      <w:r w:rsidRPr="00F51C3D">
        <w:rPr>
          <w:rFonts w:cs="Arial"/>
          <w:szCs w:val="24"/>
        </w:rPr>
        <w:t>&gt;. Acesso em: março de 2017.</w:t>
      </w:r>
    </w:p>
    <w:p w:rsidR="00C86BC2" w:rsidRPr="00F51C3D" w:rsidRDefault="00C86BC2" w:rsidP="00C86BC2">
      <w:pPr>
        <w:spacing w:before="120" w:after="120"/>
        <w:ind w:left="567" w:hanging="567"/>
        <w:contextualSpacing/>
        <w:jc w:val="both"/>
        <w:rPr>
          <w:rFonts w:cs="Arial"/>
          <w:szCs w:val="24"/>
          <w:lang w:eastAsia="pt-BR"/>
        </w:rPr>
      </w:pPr>
      <w:r w:rsidRPr="00F51C3D">
        <w:rPr>
          <w:rFonts w:cs="Arial"/>
          <w:szCs w:val="24"/>
          <w:lang w:eastAsia="pt-BR"/>
        </w:rPr>
        <w:t>GEOFABRIK. Disponível em: download.geofabrik.de/south-america/brazil.html. Acesso em março de 2017.</w:t>
      </w:r>
    </w:p>
    <w:p w:rsidR="00C86BC2" w:rsidRPr="00C7136C" w:rsidRDefault="00C86BC2" w:rsidP="00C86BC2">
      <w:pPr>
        <w:spacing w:before="120" w:after="120"/>
        <w:ind w:left="567" w:hanging="567"/>
        <w:contextualSpacing/>
        <w:jc w:val="both"/>
        <w:rPr>
          <w:rFonts w:cs="Arial"/>
          <w:szCs w:val="24"/>
          <w:lang w:eastAsia="pt-BR"/>
        </w:rPr>
      </w:pPr>
      <w:r w:rsidRPr="00F51C3D">
        <w:rPr>
          <w:rFonts w:cs="Arial"/>
          <w:szCs w:val="24"/>
          <w:lang w:eastAsia="pt-BR"/>
        </w:rPr>
        <w:t xml:space="preserve">GONÇALVES, J. L. de M.; NOGUEIRA JR., L. R.; DUCATTI, F. Recuperação de Solos Degradados, In: Kageyama, P. Y. et al. (org). Restauração ecológica de ecossistemas </w:t>
      </w:r>
      <w:r w:rsidRPr="00C7136C">
        <w:rPr>
          <w:rFonts w:cs="Arial"/>
          <w:szCs w:val="24"/>
          <w:lang w:eastAsia="pt-BR"/>
        </w:rPr>
        <w:t>naturais. Botucatu: FEPAF, 1ª ed. Revisada: 2008.</w:t>
      </w:r>
    </w:p>
    <w:p w:rsidR="00C86BC2" w:rsidRPr="00F51C3D" w:rsidRDefault="00C86BC2" w:rsidP="00C86BC2">
      <w:pPr>
        <w:spacing w:before="120" w:after="120"/>
        <w:ind w:left="567" w:hanging="567"/>
        <w:contextualSpacing/>
        <w:jc w:val="both"/>
        <w:rPr>
          <w:rFonts w:cs="Arial"/>
          <w:szCs w:val="24"/>
          <w:lang w:eastAsia="pt-BR"/>
        </w:rPr>
      </w:pPr>
      <w:r w:rsidRPr="00F51C3D">
        <w:rPr>
          <w:rFonts w:cs="Arial"/>
          <w:szCs w:val="24"/>
          <w:lang w:eastAsia="pt-BR"/>
        </w:rPr>
        <w:t>GOOGLE EARTH (2017). Imagem de satélite capturada em fevereiro de 2017.</w:t>
      </w:r>
    </w:p>
    <w:p w:rsidR="00C86BC2" w:rsidRPr="00C7136C" w:rsidRDefault="00C86BC2" w:rsidP="00C86BC2">
      <w:pPr>
        <w:spacing w:before="120" w:after="120"/>
        <w:ind w:left="567" w:hanging="567"/>
        <w:contextualSpacing/>
        <w:jc w:val="both"/>
        <w:rPr>
          <w:rFonts w:cs="Arial"/>
          <w:szCs w:val="24"/>
          <w:lang w:eastAsia="pt-BR"/>
        </w:rPr>
      </w:pPr>
      <w:r w:rsidRPr="00C7136C">
        <w:rPr>
          <w:rFonts w:cs="Arial"/>
          <w:szCs w:val="24"/>
          <w:lang w:eastAsia="pt-BR"/>
        </w:rPr>
        <w:t>GOVERNO DO BRASIL. Economia e Emprego. P</w:t>
      </w:r>
      <w:r w:rsidRPr="00895D0A">
        <w:rPr>
          <w:rFonts w:cs="Arial"/>
          <w:szCs w:val="24"/>
          <w:lang w:eastAsia="pt-BR"/>
        </w:rPr>
        <w:t xml:space="preserve">ublicado: 29/06/2017, 10h47. </w:t>
      </w:r>
      <w:r w:rsidRPr="00C7136C">
        <w:rPr>
          <w:rFonts w:cs="Arial"/>
          <w:szCs w:val="24"/>
          <w:lang w:eastAsia="pt-BR"/>
        </w:rPr>
        <w:t>Disponível em: &lt;</w:t>
      </w:r>
      <w:hyperlink r:id="rId121" w:history="1">
        <w:r w:rsidRPr="00C7136C">
          <w:rPr>
            <w:rFonts w:cs="Arial"/>
            <w:szCs w:val="24"/>
            <w:lang w:eastAsia="pt-BR"/>
          </w:rPr>
          <w:t>http://www.brasil.gov.br/economia-e-emprego/2017/06/conselho-monetario-reduz-meta-de-inflacao-para-2019-e-2020</w:t>
        </w:r>
      </w:hyperlink>
      <w:r w:rsidRPr="00C7136C">
        <w:rPr>
          <w:rFonts w:cs="Arial"/>
          <w:szCs w:val="24"/>
          <w:lang w:eastAsia="pt-BR"/>
        </w:rPr>
        <w:t>&gt;. Acesso em: janeiro de 2018.</w:t>
      </w:r>
    </w:p>
    <w:p w:rsidR="00C86BC2" w:rsidRPr="00C7136C" w:rsidRDefault="00C86BC2" w:rsidP="00C86BC2">
      <w:pPr>
        <w:spacing w:before="120" w:after="120"/>
        <w:ind w:left="567" w:hanging="567"/>
        <w:contextualSpacing/>
        <w:jc w:val="both"/>
        <w:rPr>
          <w:rFonts w:cs="Arial"/>
          <w:szCs w:val="24"/>
          <w:lang w:eastAsia="pt-BR"/>
        </w:rPr>
      </w:pPr>
      <w:r w:rsidRPr="00C7136C">
        <w:rPr>
          <w:rFonts w:cs="Arial"/>
          <w:szCs w:val="24"/>
          <w:lang w:eastAsia="pt-BR"/>
        </w:rPr>
        <w:t xml:space="preserve">HELLER, Coutinho e Mingoti – Artigo Técnico - Diferentes modelos de gestão de serviços de saneamento produzem os mesmos resultados? Um estudo comparativo em Minas Gerais com base em indicadores, Revista Eng. sanit. ambient. Vol.11 - Nº 4 - out/dez 2006. Disponível em: </w:t>
      </w:r>
      <w:hyperlink r:id="rId122" w:history="1">
        <w:r w:rsidRPr="00C7136C">
          <w:rPr>
            <w:rFonts w:cs="Arial"/>
            <w:szCs w:val="24"/>
            <w:lang w:eastAsia="pt-BR"/>
          </w:rPr>
          <w:t>https://www.abes-dn.org.br/publicacoes/engenharia/resaonline/v11n04/v11n04a03_060_%2006.pdf</w:t>
        </w:r>
      </w:hyperlink>
      <w:r w:rsidRPr="00C7136C">
        <w:rPr>
          <w:rFonts w:cs="Arial"/>
          <w:szCs w:val="24"/>
          <w:lang w:eastAsia="pt-BR"/>
        </w:rPr>
        <w:t>. Acesso em: abril 2017.</w:t>
      </w:r>
    </w:p>
    <w:p w:rsidR="00C86BC2" w:rsidRDefault="00C86BC2" w:rsidP="00C86BC2">
      <w:pPr>
        <w:spacing w:before="120" w:after="120"/>
        <w:ind w:left="567" w:hanging="567"/>
        <w:contextualSpacing/>
        <w:jc w:val="both"/>
        <w:rPr>
          <w:rFonts w:cs="Arial"/>
          <w:szCs w:val="24"/>
          <w:lang w:eastAsia="pt-BR"/>
        </w:rPr>
      </w:pPr>
      <w:r w:rsidRPr="00C7136C">
        <w:rPr>
          <w:rFonts w:cs="Arial"/>
          <w:szCs w:val="24"/>
          <w:lang w:eastAsia="pt-BR"/>
        </w:rPr>
        <w:t>HELLER, Pedro Gasparini Barbosa.  Universidade Federal de Minas Gerais - Programa de Pós-graduação em Saneamento, Meio Ambiente e Recursos Hídricos - Avaliação dos serviços de saneamento de quatro municípios da bacia hidrográfica do rio das Velhas - MG. Uma abordagem da dimensão tecnológica. Belo Horizonte, 2007.</w:t>
      </w:r>
    </w:p>
    <w:p w:rsidR="00C86BC2" w:rsidRPr="00C7136C" w:rsidRDefault="00C86BC2" w:rsidP="00C86BC2">
      <w:pPr>
        <w:spacing w:before="120" w:after="120"/>
        <w:ind w:left="567" w:hanging="567"/>
        <w:contextualSpacing/>
        <w:jc w:val="both"/>
        <w:rPr>
          <w:rFonts w:cs="Arial"/>
          <w:szCs w:val="24"/>
          <w:lang w:eastAsia="pt-BR"/>
        </w:rPr>
      </w:pPr>
      <w:r w:rsidRPr="00C7136C">
        <w:rPr>
          <w:rFonts w:cs="Arial"/>
          <w:szCs w:val="24"/>
          <w:lang w:eastAsia="pt-BR"/>
        </w:rPr>
        <w:lastRenderedPageBreak/>
        <w:t>IBAM. Manual de Gerenciamento Integrado de resíduos sólidos / José Henrique Penido Monteiro [et al.]; coordenação técnica Victor Zular Zveibil. Rio de Janeiro: IBAM, 2001.</w:t>
      </w:r>
    </w:p>
    <w:p w:rsidR="00C86BC2" w:rsidRPr="00C7136C" w:rsidRDefault="00C86BC2" w:rsidP="00C86BC2">
      <w:pPr>
        <w:spacing w:before="120" w:after="120"/>
        <w:ind w:left="567" w:hanging="567"/>
        <w:contextualSpacing/>
        <w:jc w:val="both"/>
        <w:rPr>
          <w:rFonts w:cs="Arial"/>
          <w:szCs w:val="24"/>
          <w:lang w:eastAsia="pt-BR"/>
        </w:rPr>
      </w:pPr>
      <w:r w:rsidRPr="00C7136C">
        <w:rPr>
          <w:rFonts w:cs="Arial"/>
          <w:szCs w:val="24"/>
          <w:lang w:eastAsia="pt-BR"/>
        </w:rPr>
        <w:t>IBAM. Instituto brasileiro de administração municipal. Limpeza Urbana, 2010.</w:t>
      </w:r>
    </w:p>
    <w:p w:rsidR="00C86BC2" w:rsidRPr="008170A2" w:rsidRDefault="00C86BC2" w:rsidP="00C86BC2">
      <w:pPr>
        <w:spacing w:before="120" w:after="120"/>
        <w:ind w:left="567" w:hanging="567"/>
        <w:contextualSpacing/>
        <w:jc w:val="both"/>
        <w:rPr>
          <w:rFonts w:cs="Arial"/>
          <w:szCs w:val="24"/>
          <w:lang w:eastAsia="pt-BR"/>
        </w:rPr>
      </w:pPr>
      <w:r w:rsidRPr="008170A2">
        <w:rPr>
          <w:rFonts w:cs="Arial"/>
          <w:szCs w:val="24"/>
          <w:lang w:eastAsia="pt-BR"/>
        </w:rPr>
        <w:t xml:space="preserve">IBGE – Instituto Brasileiro de Geografia e Estatística, 2010. IBGE Cidades - Censo demográfico. </w:t>
      </w:r>
    </w:p>
    <w:p w:rsidR="00C86BC2" w:rsidRPr="008170A2" w:rsidRDefault="00C86BC2" w:rsidP="00C86BC2">
      <w:pPr>
        <w:spacing w:before="120" w:after="120"/>
        <w:ind w:left="567" w:hanging="567"/>
        <w:contextualSpacing/>
        <w:jc w:val="both"/>
        <w:rPr>
          <w:rFonts w:cs="Arial"/>
          <w:szCs w:val="24"/>
          <w:lang w:eastAsia="pt-BR"/>
        </w:rPr>
      </w:pPr>
      <w:r w:rsidRPr="008170A2">
        <w:rPr>
          <w:rFonts w:cs="Arial"/>
          <w:szCs w:val="24"/>
          <w:lang w:eastAsia="pt-BR"/>
        </w:rPr>
        <w:t>IBGE – Instituto Brasileiro de Geografia e Estatística, 2010. IBGE Cidades. Fundações Privadas e Associações sem Fins Lucrativos no Brasil.</w:t>
      </w:r>
    </w:p>
    <w:p w:rsidR="00C86BC2" w:rsidRPr="008170A2" w:rsidRDefault="00C86BC2" w:rsidP="00C86BC2">
      <w:pPr>
        <w:spacing w:before="120" w:after="120"/>
        <w:ind w:left="567" w:hanging="567"/>
        <w:contextualSpacing/>
        <w:jc w:val="both"/>
        <w:rPr>
          <w:rFonts w:cs="Arial"/>
          <w:szCs w:val="24"/>
          <w:lang w:eastAsia="pt-BR"/>
        </w:rPr>
      </w:pPr>
      <w:r w:rsidRPr="008170A2">
        <w:rPr>
          <w:rFonts w:cs="Arial"/>
          <w:szCs w:val="24"/>
          <w:lang w:eastAsia="pt-BR"/>
        </w:rPr>
        <w:t>IBGE – Instituto Brasileiro de Geografia e Estatística, 2012. Manual Técnico da Vegetação Brasileira. Disponível em: &lt;ftp://geoftp.ibge.gov.br/documentos /recursos_naturais/manuais_tecnicos/manual_tecnico_vegetacao_brasileira.pdf&gt;. Acesso em: março de 2017.</w:t>
      </w:r>
    </w:p>
    <w:p w:rsidR="00C86BC2" w:rsidRPr="008170A2" w:rsidRDefault="00C86BC2" w:rsidP="00C86BC2">
      <w:pPr>
        <w:spacing w:before="120" w:after="120"/>
        <w:ind w:left="567" w:hanging="567"/>
        <w:contextualSpacing/>
        <w:jc w:val="both"/>
        <w:rPr>
          <w:rFonts w:cs="Arial"/>
          <w:szCs w:val="24"/>
          <w:lang w:eastAsia="pt-BR"/>
        </w:rPr>
      </w:pPr>
      <w:r w:rsidRPr="008170A2">
        <w:rPr>
          <w:rFonts w:cs="Arial"/>
          <w:szCs w:val="24"/>
          <w:lang w:eastAsia="pt-BR"/>
        </w:rPr>
        <w:t>IBGE – Instituto Brasileiro de Geografia e Estatística, 2014. IBGE Cidades. Estatísticas do Cadastro Central de Empresas.</w:t>
      </w:r>
    </w:p>
    <w:p w:rsidR="00C86BC2" w:rsidRPr="008170A2" w:rsidRDefault="00C86BC2" w:rsidP="00C86BC2">
      <w:pPr>
        <w:spacing w:before="120" w:after="120"/>
        <w:ind w:left="567" w:hanging="567"/>
        <w:contextualSpacing/>
        <w:jc w:val="both"/>
        <w:rPr>
          <w:rFonts w:cs="Arial"/>
          <w:szCs w:val="24"/>
          <w:lang w:eastAsia="pt-BR"/>
        </w:rPr>
      </w:pPr>
      <w:r w:rsidRPr="008170A2">
        <w:rPr>
          <w:rFonts w:cs="Arial"/>
          <w:szCs w:val="24"/>
          <w:lang w:eastAsia="pt-BR"/>
        </w:rPr>
        <w:t xml:space="preserve">IBGE – Instituto Brasileiro de Geografia e Estatística, 2015. IBGE Cidades - Frota. </w:t>
      </w:r>
    </w:p>
    <w:p w:rsidR="00C86BC2" w:rsidRPr="008170A2" w:rsidRDefault="00C86BC2" w:rsidP="00C86BC2">
      <w:pPr>
        <w:spacing w:before="120" w:after="120"/>
        <w:ind w:left="567" w:hanging="567"/>
        <w:contextualSpacing/>
        <w:jc w:val="both"/>
        <w:rPr>
          <w:rFonts w:cs="Arial"/>
          <w:szCs w:val="24"/>
          <w:lang w:eastAsia="pt-BR"/>
        </w:rPr>
      </w:pPr>
      <w:r w:rsidRPr="008170A2">
        <w:rPr>
          <w:rFonts w:cs="Arial"/>
          <w:szCs w:val="24"/>
          <w:lang w:eastAsia="pt-BR"/>
        </w:rPr>
        <w:t>IBGE – Instituto Brasileiro de Geografia e Estatística, 2014. IBGE Cidades. Produto Interno Bruto dos Municípios.</w:t>
      </w:r>
    </w:p>
    <w:p w:rsidR="00C86BC2" w:rsidRPr="008170A2" w:rsidRDefault="00C86BC2" w:rsidP="00C86BC2">
      <w:pPr>
        <w:spacing w:before="120" w:after="120"/>
        <w:ind w:left="567" w:hanging="567"/>
        <w:contextualSpacing/>
        <w:jc w:val="both"/>
        <w:rPr>
          <w:rFonts w:cs="Arial"/>
          <w:szCs w:val="24"/>
          <w:lang w:eastAsia="pt-BR"/>
        </w:rPr>
      </w:pPr>
      <w:r w:rsidRPr="008170A2">
        <w:rPr>
          <w:rFonts w:cs="Arial"/>
          <w:szCs w:val="24"/>
          <w:lang w:eastAsia="pt-BR"/>
        </w:rPr>
        <w:t>IBGE – Instituto Brasileiro de Geografia e Estatística, 2015. IBGE Cidades. Produção Agrícola Municipal - Lavoura Permanente.</w:t>
      </w:r>
    </w:p>
    <w:p w:rsidR="00C86BC2" w:rsidRPr="008170A2" w:rsidRDefault="00C86BC2" w:rsidP="00C86BC2">
      <w:pPr>
        <w:spacing w:before="120" w:after="120"/>
        <w:ind w:left="567" w:hanging="567"/>
        <w:contextualSpacing/>
        <w:jc w:val="both"/>
        <w:rPr>
          <w:rFonts w:cs="Arial"/>
          <w:szCs w:val="24"/>
          <w:lang w:eastAsia="pt-BR"/>
        </w:rPr>
      </w:pPr>
      <w:r w:rsidRPr="008170A2">
        <w:rPr>
          <w:rFonts w:cs="Arial"/>
          <w:szCs w:val="24"/>
          <w:lang w:eastAsia="pt-BR"/>
        </w:rPr>
        <w:t xml:space="preserve">IBGE – Instituto Brasileiro de Geografia e Estatística, 2015. IBGE Cidades. Ensino - Matrículas, Docentes e Rede Escolar. </w:t>
      </w:r>
    </w:p>
    <w:p w:rsidR="00C86BC2" w:rsidRPr="008170A2" w:rsidRDefault="00C86BC2" w:rsidP="00C86BC2">
      <w:pPr>
        <w:spacing w:before="120" w:after="120"/>
        <w:ind w:left="567" w:hanging="567"/>
        <w:contextualSpacing/>
        <w:jc w:val="both"/>
        <w:rPr>
          <w:rFonts w:cs="Arial"/>
          <w:szCs w:val="24"/>
          <w:lang w:eastAsia="pt-BR"/>
        </w:rPr>
      </w:pPr>
      <w:r w:rsidRPr="008170A2">
        <w:rPr>
          <w:rFonts w:cs="Arial"/>
          <w:szCs w:val="24"/>
          <w:lang w:eastAsia="pt-BR"/>
        </w:rPr>
        <w:t>IBGE - Instituto Brasileiro de Geografia e Estatística. Banco de Dados: IBGE Países, 2012. Disponível em: &lt;http://paises.ibge.gov.br/#/pt/pais/brasil/info/populacao&gt;. Acesso em: abril de 2017.</w:t>
      </w:r>
    </w:p>
    <w:p w:rsidR="00C86BC2" w:rsidRPr="008170A2" w:rsidRDefault="00C86BC2" w:rsidP="00C86BC2">
      <w:pPr>
        <w:spacing w:before="120" w:after="120"/>
        <w:ind w:left="567" w:hanging="567"/>
        <w:contextualSpacing/>
        <w:jc w:val="both"/>
        <w:rPr>
          <w:rFonts w:cs="Arial"/>
          <w:szCs w:val="24"/>
          <w:lang w:eastAsia="pt-BR"/>
        </w:rPr>
      </w:pPr>
      <w:r w:rsidRPr="008170A2">
        <w:rPr>
          <w:rFonts w:cs="Arial"/>
          <w:szCs w:val="24"/>
          <w:lang w:eastAsia="pt-BR"/>
        </w:rPr>
        <w:t>IBGE - Instituto Brasileiro de Geografia e Estatística: redução da desigualdade no Brasil estaciona nos níveis de 2011, Júlia Dias Carneiro da BBC Brasil no Rio de Janeiro, 18 setembro 2014. Disponível em:&lt;http://www.bbc.com/portuguese/noticias/2014/09/140918_desigualdade_ibge_brasil_pnad_rb. Acesso em: junho de 2017.</w:t>
      </w:r>
    </w:p>
    <w:p w:rsidR="00BC01B1" w:rsidRDefault="00BC01B1" w:rsidP="00C86BC2">
      <w:pPr>
        <w:spacing w:before="120" w:after="120"/>
        <w:ind w:left="567" w:hanging="567"/>
        <w:contextualSpacing/>
        <w:jc w:val="both"/>
        <w:rPr>
          <w:rFonts w:cs="Arial"/>
          <w:szCs w:val="24"/>
          <w:lang w:eastAsia="pt-BR"/>
        </w:rPr>
      </w:pPr>
    </w:p>
    <w:p w:rsidR="00BC01B1" w:rsidRDefault="00BC01B1" w:rsidP="00C86BC2">
      <w:pPr>
        <w:spacing w:before="120" w:after="120"/>
        <w:ind w:left="567" w:hanging="567"/>
        <w:contextualSpacing/>
        <w:jc w:val="both"/>
        <w:rPr>
          <w:rFonts w:cs="Arial"/>
          <w:szCs w:val="24"/>
          <w:lang w:eastAsia="pt-BR"/>
        </w:rPr>
      </w:pPr>
    </w:p>
    <w:p w:rsidR="00C86BC2" w:rsidRPr="008170A2" w:rsidRDefault="00C86BC2" w:rsidP="00C86BC2">
      <w:pPr>
        <w:spacing w:before="120" w:after="120"/>
        <w:ind w:left="567" w:hanging="567"/>
        <w:contextualSpacing/>
        <w:jc w:val="both"/>
        <w:rPr>
          <w:rFonts w:cs="Arial"/>
          <w:szCs w:val="24"/>
          <w:lang w:eastAsia="pt-BR"/>
        </w:rPr>
      </w:pPr>
      <w:r w:rsidRPr="008170A2">
        <w:rPr>
          <w:rFonts w:cs="Arial"/>
          <w:szCs w:val="24"/>
          <w:lang w:eastAsia="pt-BR"/>
        </w:rPr>
        <w:lastRenderedPageBreak/>
        <w:t>IBGE – Instituto Brasileiro de Geografia e Estatística, 2012. IBGE Cidades. Disponível em: &lt;</w:t>
      </w:r>
      <w:hyperlink r:id="rId123" w:history="1">
        <w:r w:rsidRPr="008170A2">
          <w:rPr>
            <w:rFonts w:cs="Arial"/>
            <w:szCs w:val="24"/>
            <w:lang w:eastAsia="pt-BR"/>
          </w:rPr>
          <w:t>http://www.cidades.ibge.gov.br/xtras/perfil.php?lang=_EN&amp;codmun=310630&amp;search=minas-gerais|belo-oriente|infograficos:-informacoes-completas</w:t>
        </w:r>
      </w:hyperlink>
      <w:r w:rsidRPr="008170A2">
        <w:rPr>
          <w:rFonts w:cs="Arial"/>
          <w:szCs w:val="24"/>
          <w:lang w:eastAsia="pt-BR"/>
        </w:rPr>
        <w:t>&gt;. Acesso em: fevereiro de 2017.</w:t>
      </w:r>
    </w:p>
    <w:p w:rsidR="00C86BC2" w:rsidRPr="008170A2" w:rsidRDefault="00C86BC2" w:rsidP="00C86BC2">
      <w:pPr>
        <w:spacing w:before="120" w:after="120"/>
        <w:ind w:left="567" w:hanging="567"/>
        <w:contextualSpacing/>
        <w:jc w:val="both"/>
        <w:rPr>
          <w:rFonts w:cs="Arial"/>
          <w:szCs w:val="24"/>
          <w:lang w:eastAsia="pt-BR"/>
        </w:rPr>
      </w:pPr>
      <w:r w:rsidRPr="008170A2">
        <w:rPr>
          <w:rFonts w:cs="Arial"/>
          <w:szCs w:val="24"/>
          <w:lang w:eastAsia="pt-BR"/>
        </w:rPr>
        <w:t xml:space="preserve">IBGE - Instituto Brasileiro de Geografia e Estatística, 2010. Portal de mapas do IBGE. Disponível em: </w:t>
      </w:r>
      <w:hyperlink r:id="rId124" w:anchor="mapa201739" w:history="1">
        <w:r w:rsidRPr="008170A2">
          <w:rPr>
            <w:rFonts w:cs="Arial"/>
            <w:szCs w:val="24"/>
            <w:lang w:eastAsia="pt-BR"/>
          </w:rPr>
          <w:t>http://portaldemapas.ibge.gov.br/portal.php#mapa201739</w:t>
        </w:r>
      </w:hyperlink>
      <w:r w:rsidRPr="008170A2">
        <w:rPr>
          <w:rFonts w:cs="Arial"/>
          <w:szCs w:val="24"/>
          <w:lang w:eastAsia="pt-BR"/>
        </w:rPr>
        <w:t>. Acesso em: março de 2017.</w:t>
      </w:r>
    </w:p>
    <w:p w:rsidR="00C86BC2" w:rsidRPr="008170A2" w:rsidRDefault="00C86BC2" w:rsidP="00C86BC2">
      <w:pPr>
        <w:spacing w:before="120" w:after="120"/>
        <w:ind w:left="567" w:hanging="567"/>
        <w:contextualSpacing/>
        <w:jc w:val="both"/>
        <w:rPr>
          <w:rFonts w:cs="Arial"/>
          <w:szCs w:val="24"/>
          <w:lang w:eastAsia="pt-BR"/>
        </w:rPr>
      </w:pPr>
      <w:r w:rsidRPr="008170A2">
        <w:rPr>
          <w:rFonts w:cs="Arial"/>
          <w:szCs w:val="24"/>
          <w:lang w:eastAsia="pt-BR"/>
        </w:rPr>
        <w:t>IBGE - Instituto Brasileiro de Geografia e Estatística, 2013. Geomorfologia. Disponível em: http://mapas.ibge.gov.br/interativos/arquivos/downloads. Acesso em: março de 2017.</w:t>
      </w:r>
    </w:p>
    <w:p w:rsidR="00C86BC2" w:rsidRPr="00F51C3D" w:rsidRDefault="00C86BC2" w:rsidP="00C86BC2">
      <w:pPr>
        <w:spacing w:before="120" w:after="120"/>
        <w:ind w:left="567" w:hanging="567"/>
        <w:contextualSpacing/>
        <w:jc w:val="both"/>
        <w:rPr>
          <w:rFonts w:cs="Arial"/>
          <w:szCs w:val="24"/>
          <w:lang w:eastAsia="pt-BR"/>
        </w:rPr>
      </w:pPr>
      <w:r w:rsidRPr="004B576C">
        <w:rPr>
          <w:rFonts w:cs="Arial"/>
          <w:szCs w:val="24"/>
          <w:lang w:eastAsia="pt-BR"/>
        </w:rPr>
        <w:t xml:space="preserve">IBIO AGB Doce. Termo de Referência para elaboração de Plano Municipal de Saneamento Básico – Bacia Hidrográfica do Rio Doce / UGRH 1 Piranga, UGRH 2 Piracicaba, UGRH 3 Santo Antônio e UGRH 5 Caratinga. Ato </w:t>
      </w:r>
      <w:r w:rsidRPr="00F51C3D">
        <w:rPr>
          <w:rFonts w:cs="Arial"/>
          <w:szCs w:val="24"/>
          <w:lang w:eastAsia="pt-BR"/>
        </w:rPr>
        <w:t>Convocatório 08/2016. IBIO AGB Doce.</w:t>
      </w:r>
    </w:p>
    <w:p w:rsidR="00C86BC2" w:rsidRPr="00F51C3D" w:rsidRDefault="00C86BC2" w:rsidP="00C86BC2">
      <w:pPr>
        <w:spacing w:before="120" w:after="120"/>
        <w:ind w:left="567" w:hanging="567"/>
        <w:contextualSpacing/>
        <w:jc w:val="both"/>
        <w:rPr>
          <w:rFonts w:cs="Arial"/>
          <w:szCs w:val="24"/>
          <w:lang w:eastAsia="pt-BR"/>
        </w:rPr>
      </w:pPr>
      <w:r w:rsidRPr="00F51C3D">
        <w:rPr>
          <w:rFonts w:cs="Arial"/>
          <w:szCs w:val="24"/>
          <w:lang w:eastAsia="pt-BR"/>
        </w:rPr>
        <w:t>IGAM – Instituto Mineiro de Gestão das Águas. Dados de Outorga. 2016a. Disponível em: http://www.semad.mg.gov.br/outorga/relacao-deferidos-indeferidos-cancelados-e-outros. Acesso em: fevereiro de 2017.</w:t>
      </w:r>
    </w:p>
    <w:p w:rsidR="00C86BC2" w:rsidRPr="004B576C" w:rsidRDefault="00C86BC2" w:rsidP="00C86BC2">
      <w:pPr>
        <w:spacing w:before="120" w:after="120"/>
        <w:ind w:left="567" w:hanging="567"/>
        <w:contextualSpacing/>
        <w:jc w:val="both"/>
        <w:rPr>
          <w:rFonts w:cs="Arial"/>
          <w:szCs w:val="24"/>
          <w:lang w:eastAsia="pt-BR"/>
        </w:rPr>
      </w:pPr>
      <w:r w:rsidRPr="004B576C">
        <w:rPr>
          <w:rFonts w:cs="Arial"/>
          <w:szCs w:val="24"/>
          <w:lang w:eastAsia="pt-BR"/>
        </w:rPr>
        <w:t>IMRS – Índice Mineiro de Responsabilidade Social. Série histórica. Disponível em: &lt;http://imrs.fjp.mg.gov.br/Consultas&gt;. Acesso em: fevereiro de 2017.</w:t>
      </w:r>
    </w:p>
    <w:p w:rsidR="00C86BC2" w:rsidRPr="004B576C" w:rsidRDefault="00C86BC2" w:rsidP="00C86BC2">
      <w:pPr>
        <w:spacing w:before="120" w:after="120"/>
        <w:ind w:left="567" w:hanging="567"/>
        <w:contextualSpacing/>
        <w:jc w:val="both"/>
        <w:rPr>
          <w:rFonts w:cs="Arial"/>
          <w:szCs w:val="24"/>
          <w:lang w:eastAsia="pt-BR"/>
        </w:rPr>
      </w:pPr>
      <w:r w:rsidRPr="004B576C">
        <w:rPr>
          <w:rFonts w:cs="Arial"/>
          <w:szCs w:val="24"/>
          <w:lang w:eastAsia="pt-BR"/>
        </w:rPr>
        <w:t>INOUYE, K. P. Drenagem – terminologia e aspectos relevantes ao entendimento de seu custo em empreendimentos habitacionais horizontais– São Paulo. EPUSP, 2009.</w:t>
      </w:r>
    </w:p>
    <w:p w:rsidR="00C86BC2" w:rsidRPr="00F51C3D" w:rsidRDefault="00C86BC2" w:rsidP="00C86BC2">
      <w:pPr>
        <w:spacing w:before="120" w:after="120"/>
        <w:ind w:left="567" w:hanging="567"/>
        <w:contextualSpacing/>
        <w:jc w:val="both"/>
        <w:rPr>
          <w:rFonts w:cs="Arial"/>
          <w:szCs w:val="24"/>
          <w:lang w:eastAsia="pt-BR"/>
        </w:rPr>
      </w:pPr>
      <w:r w:rsidRPr="004B576C">
        <w:rPr>
          <w:rFonts w:cs="Arial"/>
          <w:szCs w:val="24"/>
          <w:lang w:eastAsia="pt-BR"/>
        </w:rPr>
        <w:t xml:space="preserve">INSTITUTO MINEIRO DE GESTÃO DAS ÁGUAS. Qualidade das águas superficiais de Minas Gerais em 2014: </w:t>
      </w:r>
      <w:r w:rsidRPr="00F51C3D">
        <w:rPr>
          <w:rFonts w:cs="Arial"/>
          <w:szCs w:val="24"/>
          <w:lang w:eastAsia="pt-BR"/>
        </w:rPr>
        <w:t xml:space="preserve">resumo executivo. Belo Horizonte: Instituto Mineiro de Gestão das Águas, 2015. 175p. </w:t>
      </w:r>
    </w:p>
    <w:p w:rsidR="00C86BC2" w:rsidRPr="00F51C3D" w:rsidRDefault="00C86BC2" w:rsidP="00C86BC2">
      <w:pPr>
        <w:spacing w:before="120" w:after="120"/>
        <w:ind w:left="567" w:hanging="567"/>
        <w:contextualSpacing/>
        <w:jc w:val="both"/>
        <w:rPr>
          <w:rFonts w:cs="Arial"/>
          <w:szCs w:val="24"/>
          <w:lang w:eastAsia="pt-BR"/>
        </w:rPr>
      </w:pPr>
      <w:r w:rsidRPr="00F51C3D">
        <w:rPr>
          <w:rFonts w:cs="Arial"/>
          <w:szCs w:val="24"/>
          <w:lang w:eastAsia="pt-BR"/>
        </w:rPr>
        <w:t xml:space="preserve">INVENTÁRIO FLORESTAL DE MINAS GERAIS, 2009. Disponível em: </w:t>
      </w:r>
      <w:hyperlink r:id="rId125" w:history="1">
        <w:r w:rsidRPr="00F51C3D">
          <w:rPr>
            <w:rFonts w:cs="Arial"/>
            <w:szCs w:val="24"/>
            <w:lang w:eastAsia="pt-BR"/>
          </w:rPr>
          <w:t>http://geosisemanet.meioambiente.mg.gov.br/inventarioFlorestal/</w:t>
        </w:r>
      </w:hyperlink>
      <w:r w:rsidRPr="00F51C3D">
        <w:rPr>
          <w:rFonts w:cs="Arial"/>
          <w:szCs w:val="24"/>
          <w:lang w:eastAsia="pt-BR"/>
        </w:rPr>
        <w:t>. Acesso em: fevereiro de 2017.</w:t>
      </w:r>
    </w:p>
    <w:p w:rsidR="00BC01B1" w:rsidRDefault="00BC01B1" w:rsidP="00C86BC2">
      <w:pPr>
        <w:spacing w:before="120" w:after="120"/>
        <w:ind w:left="567" w:hanging="567"/>
        <w:contextualSpacing/>
        <w:jc w:val="both"/>
        <w:rPr>
          <w:rFonts w:cs="Arial"/>
          <w:szCs w:val="24"/>
          <w:lang w:eastAsia="pt-BR"/>
        </w:rPr>
      </w:pPr>
    </w:p>
    <w:p w:rsidR="00C86BC2" w:rsidRPr="00B42F06" w:rsidRDefault="00C86BC2" w:rsidP="00C86BC2">
      <w:pPr>
        <w:spacing w:before="120" w:after="120"/>
        <w:ind w:left="567" w:hanging="567"/>
        <w:contextualSpacing/>
        <w:jc w:val="both"/>
        <w:rPr>
          <w:rFonts w:cs="Arial"/>
          <w:szCs w:val="24"/>
          <w:lang w:eastAsia="pt-BR"/>
        </w:rPr>
      </w:pPr>
      <w:r w:rsidRPr="00F51C3D">
        <w:rPr>
          <w:rFonts w:cs="Arial"/>
          <w:szCs w:val="24"/>
          <w:lang w:eastAsia="pt-BR"/>
        </w:rPr>
        <w:lastRenderedPageBreak/>
        <w:t>JADOVSKI, I. Diretrizes Técnicas e Econômicas para Usinas de Reciclagem de Resíduos de Construção e Demolição. 2005</w:t>
      </w:r>
      <w:r w:rsidRPr="00B42F06">
        <w:rPr>
          <w:rFonts w:cs="Arial"/>
          <w:szCs w:val="24"/>
          <w:lang w:eastAsia="pt-BR"/>
        </w:rPr>
        <w:t>. 182 f. Trabalho de Conclusão (Mestrado em Engenharia) – Curso de Mestrado Profissionalizante em Engenharia, Escola de Engenharia, UFRGS, Porto Alegre, 2006.</w:t>
      </w:r>
    </w:p>
    <w:p w:rsidR="00C86BC2" w:rsidRPr="00B42F06" w:rsidRDefault="00C86BC2" w:rsidP="00C86BC2">
      <w:pPr>
        <w:spacing w:before="120" w:after="120"/>
        <w:ind w:left="567" w:hanging="567"/>
        <w:contextualSpacing/>
        <w:jc w:val="both"/>
        <w:rPr>
          <w:rFonts w:cs="Arial"/>
          <w:szCs w:val="24"/>
          <w:lang w:eastAsia="pt-BR"/>
        </w:rPr>
      </w:pPr>
      <w:r w:rsidRPr="00B42F06">
        <w:rPr>
          <w:rFonts w:cs="Arial"/>
          <w:szCs w:val="24"/>
          <w:lang w:eastAsia="pt-BR"/>
        </w:rPr>
        <w:t>JARDIM, Niza Silva et al. Lixo Municipal: Manual de Gerenciamento Integrado. São Paulo.  IPT: CEMPRE, 1995.</w:t>
      </w:r>
    </w:p>
    <w:p w:rsidR="00C86BC2" w:rsidRPr="00B42F06" w:rsidRDefault="00C86BC2" w:rsidP="00C86BC2">
      <w:pPr>
        <w:spacing w:before="120" w:after="120"/>
        <w:ind w:left="567" w:hanging="567"/>
        <w:contextualSpacing/>
        <w:jc w:val="both"/>
        <w:rPr>
          <w:rFonts w:cs="Arial"/>
          <w:szCs w:val="24"/>
          <w:lang w:eastAsia="pt-BR"/>
        </w:rPr>
      </w:pPr>
      <w:r w:rsidRPr="00B42F06">
        <w:rPr>
          <w:rFonts w:cs="Arial"/>
          <w:szCs w:val="24"/>
          <w:lang w:eastAsia="pt-BR"/>
        </w:rPr>
        <w:t>JORDÃO, E. P.; PESSÔA, C. A.; Tratamento de Esgotos Domésticos. 4ª edição. Rio de Janeiro. 2005.</w:t>
      </w:r>
    </w:p>
    <w:p w:rsidR="00C86BC2" w:rsidRPr="00C86BC2" w:rsidRDefault="00C86BC2" w:rsidP="00C86BC2">
      <w:pPr>
        <w:spacing w:before="120" w:after="120"/>
        <w:ind w:left="567" w:hanging="567"/>
        <w:contextualSpacing/>
        <w:jc w:val="both"/>
        <w:rPr>
          <w:rFonts w:cs="Arial"/>
          <w:szCs w:val="24"/>
          <w:lang w:val="en-US" w:eastAsia="pt-BR"/>
        </w:rPr>
      </w:pPr>
      <w:r w:rsidRPr="00B42F06">
        <w:rPr>
          <w:rFonts w:cs="Arial"/>
          <w:szCs w:val="24"/>
          <w:lang w:eastAsia="pt-BR"/>
        </w:rPr>
        <w:t xml:space="preserve">LEAL, Jane Terezinha da Costa Pereira. Água para consumo na propriedade rural. </w:t>
      </w:r>
      <w:r w:rsidRPr="00C86BC2">
        <w:rPr>
          <w:rFonts w:cs="Arial"/>
          <w:szCs w:val="24"/>
          <w:lang w:val="en-US" w:eastAsia="pt-BR"/>
        </w:rPr>
        <w:t xml:space="preserve">Belo Horizonte: EMATER-MG, 2012. 18p. </w:t>
      </w:r>
    </w:p>
    <w:p w:rsidR="00C86BC2" w:rsidRPr="00B42F06" w:rsidRDefault="00C86BC2" w:rsidP="00C86BC2">
      <w:pPr>
        <w:spacing w:before="120" w:after="120"/>
        <w:ind w:left="567" w:hanging="567"/>
        <w:contextualSpacing/>
        <w:jc w:val="both"/>
        <w:rPr>
          <w:rFonts w:cs="Arial"/>
          <w:szCs w:val="24"/>
          <w:lang w:eastAsia="pt-BR"/>
        </w:rPr>
      </w:pPr>
      <w:r w:rsidRPr="004B7F59">
        <w:rPr>
          <w:rFonts w:cs="Arial"/>
          <w:szCs w:val="24"/>
          <w:lang w:val="en-US" w:eastAsia="pt-BR"/>
        </w:rPr>
        <w:t xml:space="preserve">LEOPOLD, L.B.,1968. Hydrology  for Urban Planning - A Guide Book on the Hydrologic Effects on Urban Land Use. </w:t>
      </w:r>
      <w:r w:rsidRPr="00B42F06">
        <w:rPr>
          <w:rFonts w:cs="Arial"/>
          <w:szCs w:val="24"/>
          <w:lang w:eastAsia="pt-BR"/>
        </w:rPr>
        <w:t>USGS circ. 554, 18p.</w:t>
      </w:r>
    </w:p>
    <w:p w:rsidR="00C86BC2" w:rsidRPr="00B42F06" w:rsidRDefault="00C86BC2" w:rsidP="00C86BC2">
      <w:pPr>
        <w:spacing w:before="120" w:after="120"/>
        <w:ind w:left="567" w:hanging="567"/>
        <w:contextualSpacing/>
        <w:jc w:val="both"/>
        <w:rPr>
          <w:rFonts w:cs="Arial"/>
          <w:szCs w:val="24"/>
          <w:lang w:eastAsia="pt-BR"/>
        </w:rPr>
      </w:pPr>
      <w:r w:rsidRPr="00B42F06">
        <w:rPr>
          <w:rFonts w:cs="Arial"/>
          <w:szCs w:val="24"/>
          <w:lang w:eastAsia="pt-BR"/>
        </w:rPr>
        <w:t>MAGALHÃES, R. C. Erosão: definições, tipos e formas de controle. VII Simpósio Nacional de Controle de Erosão. Goiânia, 2001.</w:t>
      </w:r>
    </w:p>
    <w:p w:rsidR="00C86BC2" w:rsidRDefault="00C86BC2" w:rsidP="00C86BC2">
      <w:pPr>
        <w:spacing w:before="120" w:after="120"/>
        <w:ind w:left="567" w:hanging="567"/>
        <w:contextualSpacing/>
        <w:jc w:val="both"/>
        <w:rPr>
          <w:rFonts w:cs="Arial"/>
          <w:szCs w:val="24"/>
          <w:lang w:eastAsia="pt-BR"/>
        </w:rPr>
      </w:pPr>
      <w:r w:rsidRPr="00B42F06">
        <w:rPr>
          <w:rFonts w:cs="Arial"/>
          <w:szCs w:val="24"/>
          <w:lang w:eastAsia="pt-BR"/>
        </w:rPr>
        <w:t>MARTINS, J. R. S. Gestão da drenagem urbana: só tecnologia será suficiente? São Paulo, 2012.</w:t>
      </w:r>
    </w:p>
    <w:p w:rsidR="00C86BC2" w:rsidRDefault="00C86BC2" w:rsidP="00C86BC2">
      <w:pPr>
        <w:spacing w:before="120" w:after="120"/>
        <w:ind w:left="567" w:hanging="567"/>
        <w:contextualSpacing/>
        <w:jc w:val="both"/>
        <w:rPr>
          <w:rFonts w:cs="Arial"/>
          <w:szCs w:val="24"/>
          <w:lang w:eastAsia="pt-BR"/>
        </w:rPr>
      </w:pPr>
      <w:r w:rsidRPr="00B42F06">
        <w:rPr>
          <w:rFonts w:cs="Arial"/>
          <w:szCs w:val="24"/>
          <w:lang w:eastAsia="pt-BR"/>
        </w:rPr>
        <w:t xml:space="preserve">MATOS, Tássio F. L; SCHALCH, Valdir. Composição dos Resíduos Poliméricos, Pós-consumo, Gerados no Município de São Carlos, SP. EESC, USP, 2007. </w:t>
      </w:r>
    </w:p>
    <w:p w:rsidR="00C86BC2" w:rsidRPr="004B576C" w:rsidRDefault="00C86BC2" w:rsidP="00C86BC2">
      <w:pPr>
        <w:spacing w:before="120" w:after="120"/>
        <w:ind w:left="567" w:hanging="567"/>
        <w:contextualSpacing/>
        <w:jc w:val="both"/>
        <w:rPr>
          <w:rFonts w:cs="Arial"/>
          <w:szCs w:val="24"/>
          <w:lang w:eastAsia="pt-BR"/>
        </w:rPr>
      </w:pPr>
      <w:r w:rsidRPr="00F51C3D">
        <w:rPr>
          <w:rFonts w:cs="Arial"/>
          <w:szCs w:val="24"/>
          <w:lang w:eastAsia="pt-BR"/>
        </w:rPr>
        <w:t xml:space="preserve">MINAS GERAIS. Resolução conjunta SEMAD-IGAM nº 1548, de 29 de </w:t>
      </w:r>
      <w:r w:rsidRPr="004B576C">
        <w:rPr>
          <w:rFonts w:cs="Arial"/>
          <w:szCs w:val="24"/>
          <w:lang w:eastAsia="pt-BR"/>
        </w:rPr>
        <w:t>março 2012. Dispõe sobre a vazão de referência para o cálculo da disponibilidade hídrica superficial nas bacias hidrográficas do Estado. Belo Horizonte: Diário do Executivo, 2012.</w:t>
      </w:r>
    </w:p>
    <w:p w:rsidR="00C86BC2" w:rsidRPr="00B42F06" w:rsidRDefault="00C86BC2" w:rsidP="00C86BC2">
      <w:pPr>
        <w:spacing w:before="120" w:after="120"/>
        <w:ind w:left="567" w:hanging="567"/>
        <w:contextualSpacing/>
        <w:jc w:val="both"/>
        <w:rPr>
          <w:rFonts w:cs="Arial"/>
          <w:szCs w:val="24"/>
          <w:lang w:eastAsia="pt-BR"/>
        </w:rPr>
      </w:pPr>
      <w:r w:rsidRPr="00B42F06">
        <w:rPr>
          <w:rFonts w:cs="Arial"/>
          <w:szCs w:val="24"/>
          <w:lang w:eastAsia="pt-BR"/>
        </w:rPr>
        <w:t xml:space="preserve">MINAS GERAIS. Lei </w:t>
      </w:r>
      <w:r>
        <w:rPr>
          <w:rFonts w:cs="Arial"/>
          <w:szCs w:val="24"/>
          <w:lang w:eastAsia="pt-BR"/>
        </w:rPr>
        <w:t xml:space="preserve">nº </w:t>
      </w:r>
      <w:r w:rsidRPr="00B42F06">
        <w:rPr>
          <w:rFonts w:cs="Arial"/>
          <w:szCs w:val="24"/>
          <w:lang w:eastAsia="pt-BR"/>
        </w:rPr>
        <w:t>13.199, de 29 de janeiro de 1999 – Política Estadual de Recursos Hídricos. Belo Horizonte, 1999.</w:t>
      </w:r>
    </w:p>
    <w:p w:rsidR="00C86BC2" w:rsidRDefault="00C86BC2" w:rsidP="00C86BC2">
      <w:pPr>
        <w:spacing w:before="120" w:after="120"/>
        <w:ind w:left="567" w:hanging="567"/>
        <w:contextualSpacing/>
        <w:jc w:val="both"/>
        <w:rPr>
          <w:rFonts w:cs="Arial"/>
          <w:szCs w:val="24"/>
          <w:lang w:eastAsia="pt-BR"/>
        </w:rPr>
      </w:pPr>
      <w:r w:rsidRPr="00B42F06">
        <w:rPr>
          <w:rFonts w:cs="Arial"/>
          <w:szCs w:val="24"/>
          <w:lang w:eastAsia="pt-BR"/>
        </w:rPr>
        <w:t>MINAS GERAIS. Lei Delegada nº 180, de 20 de janeiro de 2011. Dispõe sobre a estrutura orgânica da Administração Pública do Poder Executivo do Estado de Minas Gerais e dá outras providências.</w:t>
      </w:r>
    </w:p>
    <w:p w:rsidR="00C86BC2" w:rsidRPr="00BA4A80" w:rsidRDefault="00C86BC2" w:rsidP="00C86BC2">
      <w:pPr>
        <w:spacing w:before="120" w:after="120"/>
        <w:ind w:left="567" w:hanging="567"/>
        <w:contextualSpacing/>
        <w:jc w:val="both"/>
        <w:rPr>
          <w:rFonts w:cs="Arial"/>
          <w:szCs w:val="24"/>
          <w:lang w:eastAsia="pt-BR"/>
        </w:rPr>
      </w:pPr>
      <w:r w:rsidRPr="00BA4A80">
        <w:rPr>
          <w:rFonts w:cs="Arial"/>
          <w:szCs w:val="24"/>
          <w:lang w:eastAsia="pt-BR"/>
        </w:rPr>
        <w:t>MIRANDA, L.F.R.; ANGULO, S.C.; CARELI, E.D. A reciclagem de resíduos de construção e demolição no Brasil: 1986-2008. Revista Ambiente Construído. Porto Alegre. v. 9, n. 1, p. 57-71, jan/mar 2009.</w:t>
      </w:r>
    </w:p>
    <w:p w:rsidR="00C86BC2" w:rsidRPr="00BA4A80" w:rsidRDefault="00C86BC2" w:rsidP="00C86BC2">
      <w:pPr>
        <w:spacing w:before="120" w:after="120"/>
        <w:ind w:left="567" w:hanging="567"/>
        <w:contextualSpacing/>
        <w:jc w:val="both"/>
        <w:rPr>
          <w:rFonts w:cs="Arial"/>
          <w:szCs w:val="24"/>
          <w:lang w:eastAsia="pt-BR"/>
        </w:rPr>
      </w:pPr>
      <w:r w:rsidRPr="00BA4A80">
        <w:rPr>
          <w:rFonts w:cs="Arial"/>
          <w:szCs w:val="24"/>
          <w:lang w:eastAsia="pt-BR"/>
        </w:rPr>
        <w:t>MOTA, Suetônio. Urbanização e meio ambiente. Rio de Janeiro [RJ]: ABES, 1999.</w:t>
      </w:r>
    </w:p>
    <w:p w:rsidR="00C86BC2" w:rsidRDefault="00C86BC2" w:rsidP="00C86BC2">
      <w:pPr>
        <w:spacing w:before="120" w:after="120"/>
        <w:ind w:left="567" w:hanging="567"/>
        <w:contextualSpacing/>
        <w:jc w:val="both"/>
        <w:rPr>
          <w:rFonts w:cs="Arial"/>
          <w:szCs w:val="24"/>
          <w:lang w:eastAsia="pt-BR"/>
        </w:rPr>
      </w:pPr>
      <w:r w:rsidRPr="00BA4A80">
        <w:rPr>
          <w:rFonts w:cs="Arial"/>
          <w:szCs w:val="24"/>
          <w:lang w:eastAsia="pt-BR"/>
        </w:rPr>
        <w:lastRenderedPageBreak/>
        <w:t>MOTA, Suetônio. Urbanização e meio ambiente 3ª ed. Rio de Janeiro [RJ]: ABES, 2003.</w:t>
      </w:r>
    </w:p>
    <w:p w:rsidR="00C86BC2" w:rsidRDefault="00C86BC2" w:rsidP="00C86BC2">
      <w:pPr>
        <w:spacing w:before="120" w:after="120"/>
        <w:ind w:left="567" w:hanging="567"/>
        <w:contextualSpacing/>
        <w:jc w:val="both"/>
        <w:rPr>
          <w:rFonts w:cs="Arial"/>
          <w:szCs w:val="24"/>
          <w:lang w:eastAsia="pt-BR"/>
        </w:rPr>
      </w:pPr>
      <w:r w:rsidRPr="00BA4A80">
        <w:rPr>
          <w:rFonts w:cs="Arial"/>
          <w:szCs w:val="24"/>
          <w:lang w:eastAsia="pt-BR"/>
        </w:rPr>
        <w:t>ONOFRE, F.L. Estimativa da geração de resíduos domiciliares. Dissertação (Mestrado em Engenharia Ambiental). UFPA, 2011.</w:t>
      </w:r>
    </w:p>
    <w:p w:rsidR="00C86BC2" w:rsidRPr="00BA4A80" w:rsidRDefault="00C86BC2" w:rsidP="00C86BC2">
      <w:pPr>
        <w:spacing w:before="120" w:after="120"/>
        <w:ind w:left="567" w:hanging="567"/>
        <w:contextualSpacing/>
        <w:jc w:val="both"/>
        <w:rPr>
          <w:rFonts w:cs="Arial"/>
          <w:szCs w:val="24"/>
          <w:lang w:eastAsia="pt-BR"/>
        </w:rPr>
      </w:pPr>
      <w:r w:rsidRPr="00BA4A80">
        <w:rPr>
          <w:rFonts w:cs="Arial"/>
          <w:szCs w:val="24"/>
          <w:lang w:eastAsia="pt-BR"/>
        </w:rPr>
        <w:t>PAULINO, P. F. Estudo sobre a Sensibilidade dos Parâmetros do Método SCS na Determinação de Hidrogramas de Cheia em Bacias Urbanas. Dissertação [Mestrado em Engenharia Civil (Hidráulica e Saneamento)] – Escola de Engenharia de São Carlos, Universidade de São Paulo, São Carlos, 2014.</w:t>
      </w:r>
    </w:p>
    <w:p w:rsidR="00C86BC2" w:rsidRPr="00BA4A80" w:rsidRDefault="00C86BC2" w:rsidP="00C86BC2">
      <w:pPr>
        <w:spacing w:before="120" w:after="120"/>
        <w:ind w:left="567" w:hanging="567"/>
        <w:contextualSpacing/>
        <w:jc w:val="both"/>
        <w:rPr>
          <w:rFonts w:cs="Arial"/>
          <w:szCs w:val="24"/>
          <w:lang w:eastAsia="pt-BR"/>
        </w:rPr>
      </w:pPr>
      <w:r w:rsidRPr="00BA4A80">
        <w:rPr>
          <w:rFonts w:cs="Arial"/>
          <w:szCs w:val="24"/>
          <w:lang w:eastAsia="pt-BR"/>
        </w:rPr>
        <w:t>PEIXOTO, João Batista. O barulho da água: os municípios e a gestão dos serviços de saneamento. São Paulo; Água e Vida; 1994. 94 p. Livrotab.</w:t>
      </w:r>
    </w:p>
    <w:p w:rsidR="00C86BC2" w:rsidRPr="00BA4A80" w:rsidRDefault="00C86BC2" w:rsidP="00C86BC2">
      <w:pPr>
        <w:spacing w:before="120" w:after="120"/>
        <w:ind w:left="567" w:hanging="567"/>
        <w:contextualSpacing/>
        <w:jc w:val="both"/>
        <w:rPr>
          <w:rFonts w:cs="Arial"/>
          <w:szCs w:val="24"/>
          <w:lang w:eastAsia="pt-BR"/>
        </w:rPr>
      </w:pPr>
      <w:r w:rsidRPr="00BA4A80">
        <w:rPr>
          <w:rFonts w:cs="Arial"/>
          <w:szCs w:val="24"/>
          <w:lang w:eastAsia="pt-BR"/>
        </w:rPr>
        <w:t>PEREIRA, Luiz Carlos Bresser - Uma reforma gerencial da Administração Pública no Brasil. Revista do Serviço Público Ano 49 Número 1 Jan-Mar, 1998.</w:t>
      </w:r>
    </w:p>
    <w:p w:rsidR="00C86BC2" w:rsidRPr="00BA4A80" w:rsidRDefault="00C86BC2" w:rsidP="00C86BC2">
      <w:pPr>
        <w:spacing w:before="120" w:after="120"/>
        <w:ind w:left="567" w:hanging="567"/>
        <w:contextualSpacing/>
        <w:jc w:val="both"/>
        <w:rPr>
          <w:rFonts w:cs="Arial"/>
          <w:szCs w:val="24"/>
          <w:lang w:eastAsia="pt-BR"/>
        </w:rPr>
      </w:pPr>
      <w:r w:rsidRPr="00BA4A80">
        <w:rPr>
          <w:rFonts w:cs="Arial"/>
          <w:szCs w:val="24"/>
          <w:lang w:eastAsia="pt-BR"/>
        </w:rPr>
        <w:t>PINTO, T.P. Metodologia para a gestão diferenciada de resíduos sólidos da construção urbana. 1999. 189 f. Tese (Doutorado em Engenharia Civil) – Escola Politécnica da Universidade de São Paulo, São Paulo, 1999.</w:t>
      </w:r>
    </w:p>
    <w:p w:rsidR="00C86BC2" w:rsidRPr="00BA4A80" w:rsidRDefault="00C86BC2" w:rsidP="00C86BC2">
      <w:pPr>
        <w:spacing w:before="120" w:after="120"/>
        <w:ind w:left="567" w:hanging="567"/>
        <w:contextualSpacing/>
        <w:jc w:val="both"/>
        <w:rPr>
          <w:rFonts w:cs="Arial"/>
          <w:szCs w:val="24"/>
          <w:lang w:eastAsia="pt-BR"/>
        </w:rPr>
      </w:pPr>
      <w:r w:rsidRPr="00BA4A80">
        <w:rPr>
          <w:rFonts w:cs="Arial"/>
          <w:szCs w:val="24"/>
          <w:lang w:eastAsia="pt-BR"/>
        </w:rPr>
        <w:t>PINTO, T.P.; GONZALEZ, J.L.R. Manejo e gestão de resíduos da construção civil. Volume 1 - Manual de orientação: como implantar um sistema de manejo e gestão nos municípios. Brasil, 2005.</w:t>
      </w:r>
    </w:p>
    <w:p w:rsidR="00C86BC2" w:rsidRPr="00BA4A80" w:rsidRDefault="00C86BC2" w:rsidP="00C86BC2">
      <w:pPr>
        <w:spacing w:before="120" w:after="120"/>
        <w:ind w:left="567" w:hanging="567"/>
        <w:contextualSpacing/>
        <w:jc w:val="both"/>
        <w:rPr>
          <w:rFonts w:cs="Arial"/>
          <w:szCs w:val="24"/>
          <w:lang w:eastAsia="pt-BR"/>
        </w:rPr>
      </w:pPr>
      <w:r w:rsidRPr="00BA4A80">
        <w:rPr>
          <w:rFonts w:cs="Arial"/>
          <w:szCs w:val="24"/>
          <w:lang w:eastAsia="pt-BR"/>
        </w:rPr>
        <w:t>PLANO de Gerenciamento Integrado de Resíduos da Construção Civil – PGIRCC / Ana Lúcia Maia... [et al.]. -- Belo Horizonte: Fundação Estadual do Meio Ambiente: Fundação Israel Pinheiro, 2009. 44 p. ; il.</w:t>
      </w:r>
    </w:p>
    <w:p w:rsidR="00C86BC2" w:rsidRPr="00BA4A80" w:rsidRDefault="00C86BC2" w:rsidP="00C86BC2">
      <w:pPr>
        <w:spacing w:before="120" w:after="120"/>
        <w:ind w:left="567" w:hanging="567"/>
        <w:contextualSpacing/>
        <w:jc w:val="both"/>
        <w:rPr>
          <w:rFonts w:cs="Arial"/>
          <w:szCs w:val="24"/>
          <w:lang w:eastAsia="pt-BR"/>
        </w:rPr>
      </w:pPr>
      <w:r w:rsidRPr="00BA4A80">
        <w:rPr>
          <w:rFonts w:cs="Arial"/>
          <w:szCs w:val="24"/>
          <w:lang w:eastAsia="pt-BR"/>
        </w:rPr>
        <w:t>PNUD – Programa das Nações Unidas para o Desenvolvimento, 2010. Desenvolvimento Humano e IDH. Disponível em: &lt;http://www.br.undp.org/content/brazil/pt/home/idh0.html&gt;. Acesso em fevereiro de 2017.</w:t>
      </w:r>
    </w:p>
    <w:p w:rsidR="00C86BC2" w:rsidRPr="00BA4A80" w:rsidRDefault="00C86BC2" w:rsidP="00C86BC2">
      <w:pPr>
        <w:spacing w:before="120" w:after="120"/>
        <w:ind w:left="567" w:hanging="567"/>
        <w:contextualSpacing/>
        <w:jc w:val="both"/>
        <w:rPr>
          <w:rFonts w:cs="Arial"/>
          <w:szCs w:val="24"/>
          <w:lang w:eastAsia="pt-BR"/>
        </w:rPr>
      </w:pPr>
      <w:r w:rsidRPr="00BA4A80">
        <w:rPr>
          <w:rFonts w:cs="Arial"/>
          <w:szCs w:val="24"/>
          <w:lang w:eastAsia="pt-BR"/>
        </w:rPr>
        <w:t>PNUD, IPEA E FJP, 2013. Atlas do Desenvolvimento Humano no Brasil. Disponível em: &lt;http://atlasbrasil.org.br/2013/&gt;. Acesso em: janeiro de 2017.</w:t>
      </w:r>
    </w:p>
    <w:p w:rsidR="00C86BC2" w:rsidRPr="00BA4A80" w:rsidRDefault="00C86BC2" w:rsidP="00C86BC2">
      <w:pPr>
        <w:spacing w:before="120" w:after="120"/>
        <w:ind w:left="567" w:hanging="567"/>
        <w:contextualSpacing/>
        <w:jc w:val="both"/>
        <w:rPr>
          <w:rFonts w:cs="Arial"/>
          <w:szCs w:val="24"/>
          <w:lang w:eastAsia="pt-BR"/>
        </w:rPr>
      </w:pPr>
      <w:r w:rsidRPr="00BA4A80">
        <w:rPr>
          <w:rFonts w:cs="Arial"/>
          <w:szCs w:val="24"/>
          <w:lang w:eastAsia="pt-BR"/>
        </w:rPr>
        <w:t>PORTO, M.F.A. Aspectos Qualitativos do Escoamento Superficial em Áreas Urbanas. In: TUCCI, C.E.M.; PORTO, R.L.L.; BARROS, M.T. Drenagem Urbana. Porto Alegre: Ed. Universidade/UFRGS/ABRH, 1995, V.5, p.387-414.</w:t>
      </w:r>
    </w:p>
    <w:p w:rsidR="00C86BC2" w:rsidRPr="00066ACA" w:rsidRDefault="00C86BC2" w:rsidP="00C86BC2">
      <w:pPr>
        <w:spacing w:before="120" w:after="120"/>
        <w:ind w:left="567" w:hanging="567"/>
        <w:contextualSpacing/>
        <w:jc w:val="both"/>
        <w:rPr>
          <w:rFonts w:cs="Arial"/>
          <w:color w:val="00B050"/>
          <w:szCs w:val="24"/>
          <w:lang w:eastAsia="pt-BR"/>
        </w:rPr>
      </w:pPr>
      <w:r w:rsidRPr="00BA4A80">
        <w:rPr>
          <w:rFonts w:cs="Arial"/>
          <w:szCs w:val="24"/>
          <w:lang w:eastAsia="pt-BR"/>
        </w:rPr>
        <w:t>PORTO, R. M. Hidráulica básica. São Carlos: EESC/USP, 1998.</w:t>
      </w:r>
    </w:p>
    <w:p w:rsidR="00C86BC2" w:rsidRPr="00BA4A80" w:rsidRDefault="00C86BC2" w:rsidP="00C86BC2">
      <w:pPr>
        <w:spacing w:before="120" w:after="120"/>
        <w:ind w:left="567" w:hanging="567"/>
        <w:contextualSpacing/>
        <w:jc w:val="both"/>
        <w:rPr>
          <w:rFonts w:cs="Arial"/>
          <w:szCs w:val="24"/>
          <w:lang w:eastAsia="pt-BR"/>
        </w:rPr>
      </w:pPr>
      <w:r w:rsidRPr="00BA4A80">
        <w:rPr>
          <w:rFonts w:cs="Arial"/>
          <w:szCs w:val="24"/>
          <w:lang w:eastAsia="pt-BR"/>
        </w:rPr>
        <w:lastRenderedPageBreak/>
        <w:t>PREFEITURA MUNICIPAL DE BELO HORIZONTE, 1995. Plano Diretor de Belo Horizonte: Lei de uso e ocupação do solo: estudos básicos.</w:t>
      </w:r>
    </w:p>
    <w:p w:rsidR="00C86BC2" w:rsidRPr="001228A5" w:rsidRDefault="00C86BC2" w:rsidP="001228A5">
      <w:pPr>
        <w:spacing w:before="120" w:after="120"/>
        <w:ind w:left="567" w:hanging="567"/>
        <w:contextualSpacing/>
        <w:jc w:val="both"/>
        <w:rPr>
          <w:rFonts w:cs="Arial"/>
          <w:szCs w:val="24"/>
          <w:lang w:eastAsia="pt-BR"/>
        </w:rPr>
      </w:pPr>
      <w:r w:rsidRPr="001228A5">
        <w:rPr>
          <w:rFonts w:cs="Arial"/>
          <w:szCs w:val="24"/>
          <w:lang w:eastAsia="pt-BR"/>
        </w:rPr>
        <w:t xml:space="preserve">PREFEITURA MUNICIPAL DE </w:t>
      </w:r>
      <w:r w:rsidR="001228A5" w:rsidRPr="001228A5">
        <w:rPr>
          <w:rFonts w:cs="Arial"/>
          <w:szCs w:val="24"/>
          <w:lang w:eastAsia="pt-BR"/>
        </w:rPr>
        <w:t>CÓRREGO NOVO</w:t>
      </w:r>
      <w:r w:rsidRPr="001228A5">
        <w:rPr>
          <w:rFonts w:cs="Arial"/>
          <w:szCs w:val="24"/>
          <w:lang w:eastAsia="pt-BR"/>
        </w:rPr>
        <w:t>-MG. Disponível em: &lt;</w:t>
      </w:r>
      <w:hyperlink r:id="rId126" w:history="1">
        <w:r w:rsidR="001228A5" w:rsidRPr="001228A5">
          <w:rPr>
            <w:rStyle w:val="Hyperlink"/>
            <w:rFonts w:cs="Arial"/>
            <w:color w:val="auto"/>
            <w:szCs w:val="24"/>
            <w:lang w:eastAsia="pt-BR"/>
          </w:rPr>
          <w:t>http://www.corregonovo.mg.gov.br/</w:t>
        </w:r>
      </w:hyperlink>
      <w:r w:rsidRPr="001228A5">
        <w:rPr>
          <w:rFonts w:cs="Arial"/>
          <w:szCs w:val="24"/>
          <w:lang w:eastAsia="pt-BR"/>
        </w:rPr>
        <w:t>&gt;</w:t>
      </w:r>
      <w:r w:rsidR="001228A5">
        <w:rPr>
          <w:rFonts w:cs="Arial"/>
          <w:szCs w:val="24"/>
          <w:lang w:eastAsia="pt-BR"/>
        </w:rPr>
        <w:t>. Acesso em: fevereiro de 2017.</w:t>
      </w:r>
    </w:p>
    <w:p w:rsidR="00C86BC2" w:rsidRPr="00BA4A80" w:rsidRDefault="00C86BC2" w:rsidP="00C86BC2">
      <w:pPr>
        <w:spacing w:before="120" w:after="120"/>
        <w:ind w:left="567" w:hanging="567"/>
        <w:contextualSpacing/>
        <w:jc w:val="both"/>
        <w:rPr>
          <w:rFonts w:cs="Arial"/>
          <w:szCs w:val="24"/>
          <w:lang w:eastAsia="pt-BR"/>
        </w:rPr>
      </w:pPr>
      <w:r w:rsidRPr="00BA4A80">
        <w:rPr>
          <w:rFonts w:cs="Arial"/>
          <w:szCs w:val="24"/>
          <w:lang w:eastAsia="pt-BR"/>
        </w:rPr>
        <w:t xml:space="preserve">PROGRAMA CIDADES SUSTENTÁVEIS – PCS, 2012 – Plataforma criada pela </w:t>
      </w:r>
      <w:hyperlink r:id="rId127" w:history="1">
        <w:r w:rsidRPr="00BA4A80">
          <w:rPr>
            <w:rFonts w:cs="Arial"/>
            <w:szCs w:val="24"/>
            <w:lang w:eastAsia="pt-BR"/>
          </w:rPr>
          <w:t>Rede Nossa São Paulo</w:t>
        </w:r>
      </w:hyperlink>
      <w:r w:rsidRPr="00BA4A80">
        <w:rPr>
          <w:rFonts w:cs="Arial"/>
          <w:szCs w:val="24"/>
          <w:lang w:eastAsia="pt-BR"/>
        </w:rPr>
        <w:t xml:space="preserve">, </w:t>
      </w:r>
      <w:hyperlink r:id="rId128" w:history="1">
        <w:r w:rsidRPr="00BA4A80">
          <w:rPr>
            <w:rFonts w:cs="Arial"/>
            <w:szCs w:val="24"/>
            <w:lang w:eastAsia="pt-BR"/>
          </w:rPr>
          <w:t>Rede Social Brasileira por Cidades Justas e Sustentáveis</w:t>
        </w:r>
      </w:hyperlink>
      <w:r w:rsidRPr="00BA4A80">
        <w:rPr>
          <w:rFonts w:cs="Arial"/>
          <w:szCs w:val="24"/>
          <w:lang w:eastAsia="pt-BR"/>
        </w:rPr>
        <w:t xml:space="preserve"> e </w:t>
      </w:r>
      <w:hyperlink r:id="rId129" w:history="1">
        <w:r w:rsidRPr="00BA4A80">
          <w:rPr>
            <w:rFonts w:cs="Arial"/>
            <w:szCs w:val="24"/>
            <w:lang w:eastAsia="pt-BR"/>
          </w:rPr>
          <w:t>Instituto Ethos</w:t>
        </w:r>
      </w:hyperlink>
      <w:r w:rsidRPr="00BA4A80">
        <w:rPr>
          <w:rFonts w:cs="Arial"/>
          <w:szCs w:val="24"/>
          <w:lang w:eastAsia="pt-BR"/>
        </w:rPr>
        <w:t xml:space="preserve">, 2012. Disponível em:&lt; </w:t>
      </w:r>
      <w:hyperlink r:id="rId130" w:history="1">
        <w:r w:rsidRPr="00BA4A80">
          <w:rPr>
            <w:rFonts w:cs="Arial"/>
            <w:szCs w:val="24"/>
            <w:lang w:eastAsia="pt-BR"/>
          </w:rPr>
          <w:t>http://www.cidadessustentaveis.org.br/noticias/premio-cidades-sustentaveis-e-entregue-municipios-que-promovem-politicas-publicas-exitosas</w:t>
        </w:r>
      </w:hyperlink>
      <w:r w:rsidRPr="00BA4A80">
        <w:rPr>
          <w:rFonts w:cs="Arial"/>
          <w:szCs w:val="24"/>
          <w:lang w:eastAsia="pt-BR"/>
        </w:rPr>
        <w:t>&gt;. Acesso em março de 2017.</w:t>
      </w:r>
    </w:p>
    <w:p w:rsidR="00C86BC2" w:rsidRPr="00BA4A80" w:rsidRDefault="00C86BC2" w:rsidP="00C86BC2">
      <w:pPr>
        <w:spacing w:before="120" w:after="120"/>
        <w:ind w:left="567" w:hanging="567"/>
        <w:contextualSpacing/>
        <w:jc w:val="both"/>
        <w:rPr>
          <w:rFonts w:cs="Arial"/>
          <w:szCs w:val="24"/>
          <w:lang w:eastAsia="pt-BR"/>
        </w:rPr>
      </w:pPr>
      <w:r w:rsidRPr="00BA4A80">
        <w:rPr>
          <w:rFonts w:cs="Arial"/>
          <w:szCs w:val="24"/>
          <w:lang w:eastAsia="pt-BR"/>
        </w:rPr>
        <w:t>PROGRAMA CIDADES SUSTENTÁVEIS. Rede Nossa São Paulo Rede Social Brasileira por Cidades Justas e Sustentáveis. Abril de 2013.</w:t>
      </w:r>
    </w:p>
    <w:p w:rsidR="00C86BC2" w:rsidRPr="008D1FE9" w:rsidRDefault="00C86BC2" w:rsidP="00C86BC2">
      <w:pPr>
        <w:spacing w:before="120" w:after="120"/>
        <w:ind w:left="567" w:hanging="567"/>
        <w:contextualSpacing/>
        <w:jc w:val="both"/>
        <w:rPr>
          <w:rFonts w:cs="Arial"/>
          <w:szCs w:val="24"/>
          <w:lang w:eastAsia="pt-BR"/>
        </w:rPr>
      </w:pPr>
      <w:r w:rsidRPr="008D1FE9">
        <w:rPr>
          <w:rFonts w:cs="Arial"/>
          <w:szCs w:val="24"/>
          <w:lang w:eastAsia="pt-BR"/>
        </w:rPr>
        <w:t>RAVANELLI, Paula. Consórcios públicos: os desafios do fortalecimento de mecanismos de cooperação e colaboração entre os entes federados. In: CONGRESSO CONSAD DE GESTÃO PÚBLICA, III, Brasília, 2010. Disponível em: &lt;</w:t>
      </w:r>
      <w:hyperlink r:id="rId131" w:tgtFrame="_blank" w:history="1">
        <w:r w:rsidRPr="008D1FE9">
          <w:rPr>
            <w:rFonts w:cs="Arial"/>
            <w:szCs w:val="24"/>
            <w:lang w:eastAsia="pt-BR"/>
          </w:rPr>
          <w:t>www.consad.org.br/sites/1500/1504/00002002.pdf</w:t>
        </w:r>
      </w:hyperlink>
      <w:r w:rsidRPr="008D1FE9">
        <w:rPr>
          <w:rFonts w:cs="Arial"/>
          <w:szCs w:val="24"/>
          <w:lang w:eastAsia="pt-BR"/>
        </w:rPr>
        <w:t>&gt;. Acesso em: março de 2017.</w:t>
      </w:r>
    </w:p>
    <w:p w:rsidR="00C86BC2" w:rsidRPr="00C75E0E" w:rsidRDefault="00C86BC2" w:rsidP="00C86BC2">
      <w:pPr>
        <w:spacing w:before="120" w:after="120"/>
        <w:ind w:left="567" w:hanging="567"/>
        <w:contextualSpacing/>
        <w:jc w:val="both"/>
        <w:rPr>
          <w:rFonts w:cs="Arial"/>
          <w:szCs w:val="24"/>
          <w:lang w:eastAsia="pt-BR"/>
        </w:rPr>
      </w:pPr>
      <w:r w:rsidRPr="00C75E0E">
        <w:rPr>
          <w:rFonts w:cs="Arial"/>
          <w:szCs w:val="24"/>
          <w:lang w:eastAsia="pt-BR"/>
        </w:rPr>
        <w:t>ReCESA - Rede Nacional de Capacitação e Extensão Tecnológica em Saneamento Ambiental - Planos municipais de saneamento básico/ org. Juliano Rodrigues Gimenez, Vania Elisabete Schneider e Sérgio Faoro Tieppo – Brasília, 2013.</w:t>
      </w:r>
    </w:p>
    <w:p w:rsidR="00C86BC2" w:rsidRPr="00C75E0E" w:rsidRDefault="00C86BC2" w:rsidP="00C86BC2">
      <w:pPr>
        <w:spacing w:before="120" w:after="120"/>
        <w:ind w:left="567" w:hanging="567"/>
        <w:contextualSpacing/>
        <w:jc w:val="both"/>
        <w:rPr>
          <w:rFonts w:cs="Arial"/>
          <w:szCs w:val="24"/>
          <w:lang w:eastAsia="pt-BR"/>
        </w:rPr>
      </w:pPr>
      <w:r w:rsidRPr="00C75E0E">
        <w:rPr>
          <w:rFonts w:cs="Arial"/>
          <w:szCs w:val="24"/>
          <w:lang w:eastAsia="pt-BR"/>
        </w:rPr>
        <w:t>REPENTE, Audiências Públicas. PÓLIS - Instituto de Estudos, Formação e Assessoria em Políticas Sociais, nº 24, Dez/2005. Disponível em: &lt;</w:t>
      </w:r>
      <w:hyperlink r:id="rId132" w:history="1">
        <w:r w:rsidRPr="00C75E0E">
          <w:rPr>
            <w:rFonts w:cs="Arial"/>
            <w:szCs w:val="24"/>
            <w:lang w:eastAsia="pt-BR"/>
          </w:rPr>
          <w:t>http://www.polis.org.br/uploads/1042/1042.pdf</w:t>
        </w:r>
      </w:hyperlink>
      <w:r w:rsidRPr="00C75E0E">
        <w:rPr>
          <w:rFonts w:cs="Arial"/>
          <w:szCs w:val="24"/>
          <w:lang w:eastAsia="pt-BR"/>
        </w:rPr>
        <w:t xml:space="preserve"> &gt;. Acesso em: fevereiro de 2017.</w:t>
      </w:r>
    </w:p>
    <w:p w:rsidR="00C86BC2" w:rsidRPr="00C75E0E" w:rsidRDefault="00C86BC2" w:rsidP="00C86BC2">
      <w:pPr>
        <w:spacing w:before="120" w:after="120"/>
        <w:ind w:left="567" w:hanging="567"/>
        <w:contextualSpacing/>
        <w:jc w:val="both"/>
        <w:rPr>
          <w:rFonts w:cs="Arial"/>
          <w:szCs w:val="24"/>
          <w:lang w:eastAsia="pt-BR"/>
        </w:rPr>
      </w:pPr>
      <w:r w:rsidRPr="00C75E0E">
        <w:rPr>
          <w:rFonts w:cs="Arial"/>
          <w:szCs w:val="24"/>
          <w:lang w:eastAsia="pt-BR"/>
        </w:rPr>
        <w:t>REZENDE, Sonaly et. al. - Integrando oferta e demanda de serviços de saneamento: Análise hierárquica do panorama urbano brasileiro no ano 2000. Revista Eng. sanit. ambient., Vol.12 - Nº 1 - jan/mar 2007.</w:t>
      </w:r>
    </w:p>
    <w:p w:rsidR="00C86BC2" w:rsidRPr="00C75E0E" w:rsidRDefault="00C86BC2" w:rsidP="00C86BC2">
      <w:pPr>
        <w:spacing w:before="120" w:after="120"/>
        <w:ind w:left="567" w:hanging="567"/>
        <w:contextualSpacing/>
        <w:jc w:val="both"/>
        <w:rPr>
          <w:rFonts w:cs="Arial"/>
          <w:szCs w:val="24"/>
          <w:lang w:eastAsia="pt-BR"/>
        </w:rPr>
      </w:pPr>
      <w:r w:rsidRPr="00C75E0E">
        <w:rPr>
          <w:rFonts w:cs="Arial"/>
          <w:szCs w:val="24"/>
          <w:lang w:eastAsia="pt-BR"/>
        </w:rPr>
        <w:t>RIBEIRO, W. Gestão Associada de Serviços Públicos de Saneamento Básico. Brasília: SNSA/MCIDADES, 2007. Apresentação em PowerPoint.</w:t>
      </w:r>
    </w:p>
    <w:p w:rsidR="00C86BC2" w:rsidRPr="004E2190" w:rsidRDefault="00C86BC2" w:rsidP="00C86BC2">
      <w:pPr>
        <w:spacing w:before="120" w:after="120"/>
        <w:ind w:left="567" w:hanging="567"/>
        <w:contextualSpacing/>
        <w:jc w:val="both"/>
        <w:rPr>
          <w:rFonts w:cs="Arial"/>
          <w:szCs w:val="24"/>
          <w:lang w:eastAsia="pt-BR"/>
        </w:rPr>
      </w:pPr>
      <w:r w:rsidRPr="004E2190">
        <w:rPr>
          <w:rFonts w:cs="Arial"/>
          <w:szCs w:val="24"/>
          <w:lang w:eastAsia="pt-BR"/>
        </w:rPr>
        <w:t>RIGHETTO, A. M. (coordenador). Manejo de Águas Pluviais Urbanas. Projeto PROSAB – Programa de Pesquisas em Saneamento Básico. Rio de Janeiro, ABES: 2009.</w:t>
      </w:r>
    </w:p>
    <w:p w:rsidR="00C86BC2" w:rsidRPr="004E2190" w:rsidRDefault="00C86BC2" w:rsidP="00C86BC2">
      <w:pPr>
        <w:spacing w:after="200" w:line="276" w:lineRule="auto"/>
        <w:ind w:left="567" w:hanging="567"/>
        <w:jc w:val="both"/>
        <w:rPr>
          <w:rFonts w:cs="Arial"/>
          <w:szCs w:val="24"/>
        </w:rPr>
      </w:pPr>
      <w:r w:rsidRPr="004E2190">
        <w:rPr>
          <w:rFonts w:cs="Arial"/>
          <w:szCs w:val="24"/>
        </w:rPr>
        <w:t>RIGHETTO, A. M., PORTO, R. M., VILLELA, S. M. - Adequação de Metodologia para Estudos Hidrológicos de Macrodrenagem Urbana: aplicação para a Cidade de São Carlos In: X Simpósio Brasileiro.</w:t>
      </w:r>
    </w:p>
    <w:p w:rsidR="00C86BC2" w:rsidRPr="00C75E0E" w:rsidRDefault="00C86BC2" w:rsidP="00C86BC2">
      <w:pPr>
        <w:spacing w:before="120" w:after="120"/>
        <w:ind w:left="567" w:hanging="567"/>
        <w:contextualSpacing/>
        <w:jc w:val="both"/>
        <w:rPr>
          <w:rFonts w:cs="Arial"/>
          <w:szCs w:val="24"/>
          <w:lang w:eastAsia="pt-BR"/>
        </w:rPr>
      </w:pPr>
      <w:r w:rsidRPr="00C75E0E">
        <w:rPr>
          <w:rFonts w:cs="Arial"/>
          <w:szCs w:val="24"/>
          <w:lang w:eastAsia="pt-BR"/>
        </w:rPr>
        <w:lastRenderedPageBreak/>
        <w:t>ROSA, M. O. Gerenciamento de projetos de governo – PMI-DF – PMInforma, n.V, 10 mai. 2007.</w:t>
      </w:r>
    </w:p>
    <w:p w:rsidR="00C86BC2" w:rsidRDefault="00C86BC2" w:rsidP="00C86BC2">
      <w:pPr>
        <w:spacing w:before="120" w:after="120"/>
        <w:ind w:left="567" w:hanging="567"/>
        <w:contextualSpacing/>
        <w:jc w:val="both"/>
        <w:rPr>
          <w:rFonts w:cs="Arial"/>
          <w:szCs w:val="24"/>
          <w:lang w:eastAsia="pt-BR"/>
        </w:rPr>
      </w:pPr>
      <w:r w:rsidRPr="00C75E0E">
        <w:rPr>
          <w:rFonts w:cs="Arial"/>
          <w:szCs w:val="24"/>
          <w:lang w:eastAsia="pt-BR"/>
        </w:rPr>
        <w:t>ROTTA, C. M. S. Estudo da recuperação de áreas degradadas por processos erosivos: procedimentos e eficiência dos métodos, 2012. 166p. Dissertação (Mestrado em Geotecnia), Escola de Engenharia de São Carlos, Universidade de São Paulo, 2012.</w:t>
      </w:r>
    </w:p>
    <w:p w:rsidR="00C86BC2" w:rsidRDefault="00C86BC2" w:rsidP="00C86BC2">
      <w:pPr>
        <w:spacing w:before="120" w:after="120"/>
        <w:ind w:left="567" w:hanging="567"/>
        <w:contextualSpacing/>
        <w:jc w:val="both"/>
        <w:rPr>
          <w:rFonts w:cs="Arial"/>
          <w:szCs w:val="24"/>
          <w:lang w:eastAsia="pt-BR"/>
        </w:rPr>
      </w:pPr>
      <w:r w:rsidRPr="006162CB">
        <w:rPr>
          <w:rFonts w:cs="Arial"/>
          <w:szCs w:val="24"/>
          <w:lang w:eastAsia="pt-BR"/>
        </w:rPr>
        <w:t xml:space="preserve">SÃO PAULO (cidade). </w:t>
      </w:r>
      <w:r>
        <w:rPr>
          <w:rFonts w:cs="Arial"/>
          <w:szCs w:val="24"/>
          <w:lang w:eastAsia="pt-BR"/>
        </w:rPr>
        <w:t xml:space="preserve">SMDU - </w:t>
      </w:r>
      <w:r w:rsidRPr="006162CB">
        <w:rPr>
          <w:rFonts w:cs="Arial"/>
          <w:szCs w:val="24"/>
          <w:lang w:eastAsia="pt-BR"/>
        </w:rPr>
        <w:t>Secretaria Municipal de Desenvolvimento Urbano. Manual de drenagem e manejo de águas pluviais: aspectos tecnológicos; diretrizes para projetos. São Paulo: 2012, 128p.</w:t>
      </w:r>
    </w:p>
    <w:p w:rsidR="00C86BC2" w:rsidRPr="006162CB" w:rsidRDefault="00C86BC2" w:rsidP="00C86BC2">
      <w:pPr>
        <w:spacing w:before="120" w:after="120"/>
        <w:ind w:left="567" w:hanging="567"/>
        <w:contextualSpacing/>
        <w:jc w:val="both"/>
        <w:rPr>
          <w:rFonts w:cs="Arial"/>
          <w:szCs w:val="24"/>
          <w:lang w:eastAsia="pt-BR"/>
        </w:rPr>
      </w:pPr>
      <w:r w:rsidRPr="006162CB">
        <w:rPr>
          <w:rFonts w:cs="Arial"/>
          <w:szCs w:val="24"/>
          <w:lang w:eastAsia="pt-BR"/>
        </w:rPr>
        <w:t>SÃO PAULO (cidade). SMDU - Secretaria Municipal de Desenvolvimento Urbano. Gerenciamento de operação In: Manual de drenagem e manejo de águas pluviais: gerenciamento do sistema de drenagem urbana. São Paulo: SMDU, 2012.</w:t>
      </w:r>
    </w:p>
    <w:p w:rsidR="00C86BC2" w:rsidRDefault="00C86BC2" w:rsidP="00C86BC2">
      <w:pPr>
        <w:spacing w:before="120" w:after="120"/>
        <w:ind w:left="567" w:hanging="567"/>
        <w:contextualSpacing/>
        <w:jc w:val="both"/>
        <w:rPr>
          <w:rFonts w:cs="Arial"/>
          <w:szCs w:val="24"/>
          <w:lang w:eastAsia="pt-BR"/>
        </w:rPr>
      </w:pPr>
      <w:r w:rsidRPr="00C75E0E">
        <w:rPr>
          <w:rFonts w:cs="Arial"/>
          <w:szCs w:val="24"/>
          <w:lang w:eastAsia="pt-BR"/>
        </w:rPr>
        <w:t>SCHALCH, V., LEITE, W. C. A., FERNANDES JR., J. L., CASTRO, M. C. A. A. Gestão e gerenciamento de resíduos sólidos. 91 p., 2002. Escola de Engenharia de São Carlos – Universidade de São Paulo.</w:t>
      </w:r>
    </w:p>
    <w:p w:rsidR="00C86BC2" w:rsidRPr="006162CB" w:rsidRDefault="00C86BC2" w:rsidP="00C86BC2">
      <w:pPr>
        <w:spacing w:before="120" w:after="120"/>
        <w:ind w:left="567" w:hanging="567"/>
        <w:contextualSpacing/>
        <w:jc w:val="both"/>
        <w:rPr>
          <w:rFonts w:cs="Arial"/>
          <w:szCs w:val="24"/>
          <w:lang w:eastAsia="pt-BR"/>
        </w:rPr>
      </w:pPr>
      <w:r w:rsidRPr="006162CB">
        <w:rPr>
          <w:rFonts w:cs="Arial"/>
          <w:szCs w:val="24"/>
          <w:lang w:eastAsia="pt-BR"/>
        </w:rPr>
        <w:t>SECRETARIA DO MEIO AMBIENTE – Coordenadoria de Educação Ambiental – Coleta Seletiva para Prefeituras – Guia de Implantação, 7ª ed., 2014.</w:t>
      </w:r>
    </w:p>
    <w:p w:rsidR="00C86BC2" w:rsidRPr="006162CB" w:rsidRDefault="00C86BC2" w:rsidP="00C86BC2">
      <w:pPr>
        <w:spacing w:before="120" w:after="120"/>
        <w:ind w:left="567" w:hanging="567"/>
        <w:contextualSpacing/>
        <w:jc w:val="both"/>
        <w:rPr>
          <w:rFonts w:cs="Arial"/>
          <w:szCs w:val="24"/>
          <w:lang w:eastAsia="pt-BR"/>
        </w:rPr>
      </w:pPr>
      <w:r w:rsidRPr="006162CB">
        <w:rPr>
          <w:rFonts w:cs="Arial"/>
          <w:szCs w:val="24"/>
          <w:lang w:eastAsia="pt-BR"/>
        </w:rPr>
        <w:t>SEMAD - Secretaria de Estado de Meio Ambiente e Desenvolvimento Sustentável - Fundação Estadual do Meio Ambiente. Classificação e panorama da destinação dos resíduos sólidos urbanos em Minas Gerais ANO BASE 2014.</w:t>
      </w:r>
    </w:p>
    <w:p w:rsidR="00C86BC2" w:rsidRPr="00846BFE" w:rsidRDefault="00C86BC2" w:rsidP="00C86BC2">
      <w:pPr>
        <w:spacing w:before="120" w:after="120"/>
        <w:ind w:left="567" w:hanging="567"/>
        <w:contextualSpacing/>
        <w:jc w:val="both"/>
        <w:rPr>
          <w:rFonts w:cs="Arial"/>
          <w:szCs w:val="24"/>
          <w:lang w:eastAsia="pt-BR"/>
        </w:rPr>
      </w:pPr>
      <w:r w:rsidRPr="006162CB">
        <w:rPr>
          <w:rFonts w:cs="Arial"/>
          <w:szCs w:val="24"/>
          <w:lang w:eastAsia="pt-BR"/>
        </w:rPr>
        <w:t xml:space="preserve">SEMAD - Secretaria de Estado de Meio Ambiente e Desenvolvimento Sustentável, 2008. Zoneamento Ecológico Econômico do Estado de Minas Gerais - ZEE-MG. Disponível em: &lt;http://www.zee.mg.gov.br/&gt;. Acesso em </w:t>
      </w:r>
      <w:r w:rsidRPr="00846BFE">
        <w:rPr>
          <w:rFonts w:cs="Arial"/>
          <w:szCs w:val="24"/>
          <w:lang w:eastAsia="pt-BR"/>
        </w:rPr>
        <w:t>março de 2017.</w:t>
      </w:r>
    </w:p>
    <w:p w:rsidR="00C86BC2" w:rsidRPr="00846BFE" w:rsidRDefault="00C86BC2" w:rsidP="00C86BC2">
      <w:pPr>
        <w:spacing w:before="120" w:after="120"/>
        <w:ind w:left="567" w:hanging="567"/>
        <w:contextualSpacing/>
        <w:jc w:val="both"/>
        <w:rPr>
          <w:rFonts w:cs="Arial"/>
          <w:szCs w:val="24"/>
          <w:lang w:eastAsia="pt-BR"/>
        </w:rPr>
      </w:pPr>
      <w:r w:rsidRPr="00846BFE">
        <w:rPr>
          <w:rFonts w:cs="Arial"/>
          <w:szCs w:val="24"/>
          <w:lang w:eastAsia="pt-BR"/>
        </w:rPr>
        <w:t>SHS CONSULTORIA E PROJETOS DE ENGENHARIA LTDA. EPP. Fotografias, estudos e dados levantados em campo ou por meio de questionários, 2017.</w:t>
      </w:r>
    </w:p>
    <w:p w:rsidR="00C86BC2" w:rsidRPr="008B2F46" w:rsidRDefault="00C86BC2" w:rsidP="00C86BC2">
      <w:pPr>
        <w:spacing w:before="120" w:after="120"/>
        <w:ind w:left="567" w:hanging="567"/>
        <w:contextualSpacing/>
        <w:jc w:val="both"/>
        <w:rPr>
          <w:rFonts w:cs="Arial"/>
          <w:szCs w:val="24"/>
          <w:lang w:eastAsia="pt-BR"/>
        </w:rPr>
      </w:pPr>
      <w:r w:rsidRPr="00846BFE">
        <w:rPr>
          <w:rFonts w:cs="Arial"/>
          <w:szCs w:val="24"/>
          <w:lang w:eastAsia="pt-BR"/>
        </w:rPr>
        <w:t xml:space="preserve">SILVA, Maiara Macedo. A participação </w:t>
      </w:r>
      <w:r w:rsidRPr="006162CB">
        <w:rPr>
          <w:rFonts w:cs="Arial"/>
          <w:szCs w:val="24"/>
          <w:lang w:eastAsia="pt-BR"/>
        </w:rPr>
        <w:t xml:space="preserve">da sociedade civil em diferentes modelos de prestação dos serviços públicos de abastecimento de água e esgotamento sanitário: estudo em quatro municípios no Brasil, Universidade Federal da Bahia - Escola Politécnica - Mestrado em </w:t>
      </w:r>
      <w:r w:rsidRPr="008B2F46">
        <w:rPr>
          <w:rFonts w:cs="Arial"/>
          <w:szCs w:val="24"/>
          <w:lang w:eastAsia="pt-BR"/>
        </w:rPr>
        <w:t>Engenharia Ambiental Urbana. Salvador, 2010.</w:t>
      </w:r>
    </w:p>
    <w:p w:rsidR="00C86BC2" w:rsidRPr="008B2F46" w:rsidRDefault="00C86BC2" w:rsidP="00C86BC2">
      <w:pPr>
        <w:spacing w:before="120" w:after="120"/>
        <w:ind w:left="567" w:hanging="567"/>
        <w:contextualSpacing/>
        <w:jc w:val="both"/>
        <w:rPr>
          <w:rFonts w:cs="Arial"/>
          <w:szCs w:val="24"/>
          <w:lang w:eastAsia="pt-BR"/>
        </w:rPr>
      </w:pPr>
      <w:r w:rsidRPr="008B2F46">
        <w:rPr>
          <w:rFonts w:cs="Arial"/>
          <w:szCs w:val="24"/>
          <w:lang w:eastAsia="pt-BR"/>
        </w:rPr>
        <w:lastRenderedPageBreak/>
        <w:t xml:space="preserve">SIM - Sistema de Informações de Mortalidade, 2009. Disponível em: </w:t>
      </w:r>
      <w:hyperlink r:id="rId133" w:history="1">
        <w:r w:rsidRPr="00895D0A">
          <w:rPr>
            <w:lang w:eastAsia="pt-BR"/>
          </w:rPr>
          <w:t>http://www2.datasus.gov.br/DATASUS/index.php?area=060701</w:t>
        </w:r>
      </w:hyperlink>
      <w:r w:rsidRPr="008B2F46">
        <w:rPr>
          <w:rFonts w:cs="Arial"/>
          <w:szCs w:val="24"/>
          <w:lang w:eastAsia="pt-BR"/>
        </w:rPr>
        <w:t>. Acesso em: fevereiro de 2017.</w:t>
      </w:r>
    </w:p>
    <w:p w:rsidR="00C86BC2" w:rsidRPr="008B2F46" w:rsidRDefault="00C86BC2" w:rsidP="00C86BC2">
      <w:pPr>
        <w:spacing w:before="120" w:after="120"/>
        <w:ind w:left="567" w:hanging="567"/>
        <w:contextualSpacing/>
        <w:jc w:val="both"/>
        <w:rPr>
          <w:rFonts w:cs="Arial"/>
          <w:szCs w:val="24"/>
          <w:lang w:eastAsia="pt-BR"/>
        </w:rPr>
      </w:pPr>
      <w:r w:rsidRPr="006162CB">
        <w:rPr>
          <w:rFonts w:cs="Arial"/>
          <w:szCs w:val="24"/>
          <w:lang w:eastAsia="pt-BR"/>
        </w:rPr>
        <w:t xml:space="preserve">SISEMA – Sistema Estadual do Meio Ambiente e Recursos Hídricos; SEMAD – Secretaria de Estado de Meio Ambiente e Desenvolvimento Sustentável; FEAM – Fundação Estadual do Meio Ambiente; IEF – Instituto Estadual de </w:t>
      </w:r>
      <w:r w:rsidRPr="008B2F46">
        <w:rPr>
          <w:rFonts w:cs="Arial"/>
          <w:szCs w:val="24"/>
          <w:lang w:eastAsia="pt-BR"/>
        </w:rPr>
        <w:t>Florestas; IGAM - Instituto Mineiro de Gestão das Águas e outros. Disponível em: &lt;http://geosisemanet.meioambiente.mg.gov.br/zee/&gt;.</w:t>
      </w:r>
    </w:p>
    <w:p w:rsidR="00C86BC2" w:rsidRPr="008B2F46" w:rsidRDefault="00C86BC2" w:rsidP="00C86BC2">
      <w:pPr>
        <w:spacing w:before="120" w:after="120"/>
        <w:ind w:left="567" w:hanging="567"/>
        <w:contextualSpacing/>
        <w:jc w:val="both"/>
        <w:rPr>
          <w:rFonts w:cs="Arial"/>
          <w:szCs w:val="24"/>
          <w:lang w:eastAsia="pt-BR"/>
        </w:rPr>
      </w:pPr>
      <w:r w:rsidRPr="008B2F46">
        <w:rPr>
          <w:rFonts w:cs="Arial"/>
          <w:szCs w:val="24"/>
          <w:lang w:eastAsia="pt-BR"/>
        </w:rPr>
        <w:t xml:space="preserve">SNIS - </w:t>
      </w:r>
      <w:hyperlink r:id="rId134" w:tooltip="SNIS" w:history="1">
        <w:r w:rsidRPr="008B2F46">
          <w:rPr>
            <w:rFonts w:cs="Arial"/>
            <w:szCs w:val="24"/>
            <w:lang w:eastAsia="pt-BR"/>
          </w:rPr>
          <w:t>Sistema Nacional de Informações sobre Saneamento</w:t>
        </w:r>
      </w:hyperlink>
      <w:r w:rsidRPr="008B2F46">
        <w:rPr>
          <w:rFonts w:cs="Arial"/>
          <w:szCs w:val="24"/>
          <w:lang w:eastAsia="pt-BR"/>
        </w:rPr>
        <w:t xml:space="preserve">. </w:t>
      </w:r>
      <w:hyperlink r:id="rId135" w:history="1">
        <w:r w:rsidRPr="008B2F46">
          <w:rPr>
            <w:rFonts w:cs="Arial"/>
            <w:szCs w:val="24"/>
            <w:lang w:eastAsia="pt-BR"/>
          </w:rPr>
          <w:t>Diagnóstico dos Serviços de Água e Esgotos - 2015</w:t>
        </w:r>
      </w:hyperlink>
      <w:r w:rsidRPr="008B2F46">
        <w:rPr>
          <w:rFonts w:cs="Arial"/>
          <w:szCs w:val="24"/>
          <w:lang w:eastAsia="pt-BR"/>
        </w:rPr>
        <w:t xml:space="preserve">. Disponível em: </w:t>
      </w:r>
      <w:hyperlink r:id="rId136" w:history="1">
        <w:r w:rsidRPr="008B2F46">
          <w:rPr>
            <w:rFonts w:cs="Arial"/>
            <w:szCs w:val="24"/>
            <w:lang w:eastAsia="pt-BR"/>
          </w:rPr>
          <w:t>http://www.snis.gov.br/diagnostico-agua-e-esgotos</w:t>
        </w:r>
      </w:hyperlink>
      <w:r w:rsidRPr="008B2F46">
        <w:rPr>
          <w:rFonts w:cs="Arial"/>
          <w:szCs w:val="24"/>
          <w:lang w:eastAsia="pt-BR"/>
        </w:rPr>
        <w:t>. Acesso em: fevereiro de 2017.</w:t>
      </w:r>
    </w:p>
    <w:p w:rsidR="00BC01B1" w:rsidRDefault="00C86BC2" w:rsidP="00C86BC2">
      <w:pPr>
        <w:spacing w:before="120" w:after="120"/>
        <w:ind w:left="567" w:hanging="567"/>
        <w:contextualSpacing/>
        <w:jc w:val="both"/>
        <w:rPr>
          <w:rFonts w:cs="Arial"/>
          <w:szCs w:val="24"/>
          <w:lang w:eastAsia="pt-BR"/>
        </w:rPr>
      </w:pPr>
      <w:r w:rsidRPr="008B2F46">
        <w:rPr>
          <w:rFonts w:cs="Arial"/>
          <w:szCs w:val="24"/>
          <w:lang w:eastAsia="pt-BR"/>
        </w:rPr>
        <w:t xml:space="preserve">SNIS - </w:t>
      </w:r>
      <w:hyperlink r:id="rId137" w:tooltip="SNIS" w:history="1">
        <w:r w:rsidRPr="008B2F46">
          <w:rPr>
            <w:rFonts w:cs="Arial"/>
            <w:szCs w:val="24"/>
            <w:lang w:eastAsia="pt-BR"/>
          </w:rPr>
          <w:t>Sistema Nacional de Informações sobre Saneamento</w:t>
        </w:r>
      </w:hyperlink>
      <w:r w:rsidRPr="008B2F46">
        <w:rPr>
          <w:rFonts w:cs="Arial"/>
          <w:szCs w:val="24"/>
          <w:lang w:eastAsia="pt-BR"/>
        </w:rPr>
        <w:t xml:space="preserve">. </w:t>
      </w:r>
      <w:hyperlink r:id="rId138" w:history="1">
        <w:r w:rsidRPr="008B2F46">
          <w:rPr>
            <w:rFonts w:cs="Arial"/>
            <w:szCs w:val="24"/>
            <w:lang w:eastAsia="pt-BR"/>
          </w:rPr>
          <w:t>Diagnóstico do manejo de Resíduos Sólidos Urbanos - 2015</w:t>
        </w:r>
      </w:hyperlink>
      <w:r w:rsidRPr="008B2F46">
        <w:rPr>
          <w:rFonts w:cs="Arial"/>
          <w:szCs w:val="24"/>
          <w:lang w:eastAsia="pt-BR"/>
        </w:rPr>
        <w:t>. Disponível em: http://www.snis.gov.br/diagnostico-residuos-solidos</w:t>
      </w:r>
      <w:hyperlink r:id="rId139" w:history="1">
        <w:r w:rsidRPr="008B2F46">
          <w:rPr>
            <w:rFonts w:cs="Arial"/>
            <w:szCs w:val="24"/>
            <w:lang w:eastAsia="pt-BR"/>
          </w:rPr>
          <w:t>Diagnóstico do manejo de Resíduos Sólidos Urbanos - 2015</w:t>
        </w:r>
      </w:hyperlink>
      <w:r w:rsidRPr="008B2F46">
        <w:rPr>
          <w:rFonts w:cs="Arial"/>
          <w:szCs w:val="24"/>
          <w:lang w:eastAsia="pt-BR"/>
        </w:rPr>
        <w:t>. Acesso em: fevereiro de 2017.</w:t>
      </w:r>
    </w:p>
    <w:p w:rsidR="00C86BC2" w:rsidRPr="008B2F46" w:rsidRDefault="00C86BC2" w:rsidP="00C86BC2">
      <w:pPr>
        <w:spacing w:before="120" w:after="120"/>
        <w:ind w:left="567" w:hanging="567"/>
        <w:contextualSpacing/>
        <w:jc w:val="both"/>
        <w:rPr>
          <w:rFonts w:cs="Arial"/>
          <w:szCs w:val="24"/>
          <w:lang w:eastAsia="pt-BR"/>
        </w:rPr>
      </w:pPr>
      <w:r w:rsidRPr="008B2F46">
        <w:rPr>
          <w:rFonts w:cs="Arial"/>
          <w:szCs w:val="24"/>
          <w:lang w:eastAsia="pt-BR"/>
        </w:rPr>
        <w:t xml:space="preserve">SNIS - </w:t>
      </w:r>
      <w:hyperlink r:id="rId140" w:tooltip="SNIS" w:history="1">
        <w:r w:rsidRPr="008B2F46">
          <w:rPr>
            <w:rFonts w:cs="Arial"/>
            <w:szCs w:val="24"/>
            <w:lang w:eastAsia="pt-BR"/>
          </w:rPr>
          <w:t>Sistema Nacional de Informações sobre Saneamento</w:t>
        </w:r>
      </w:hyperlink>
      <w:r w:rsidRPr="008B2F46">
        <w:rPr>
          <w:rFonts w:cs="Arial"/>
          <w:szCs w:val="24"/>
          <w:lang w:eastAsia="pt-BR"/>
        </w:rPr>
        <w:t xml:space="preserve">. </w:t>
      </w:r>
      <w:hyperlink r:id="rId141" w:history="1">
        <w:r w:rsidRPr="008B2F46">
          <w:rPr>
            <w:rFonts w:cs="Arial"/>
            <w:szCs w:val="24"/>
            <w:lang w:eastAsia="pt-BR"/>
          </w:rPr>
          <w:t>Glossários de informações e indicadores de água e esgotos e resíduos sólidos</w:t>
        </w:r>
      </w:hyperlink>
      <w:r w:rsidRPr="008B2F46">
        <w:rPr>
          <w:rFonts w:cs="Arial"/>
          <w:szCs w:val="24"/>
          <w:lang w:eastAsia="pt-BR"/>
        </w:rPr>
        <w:t xml:space="preserve">. Disponível em: </w:t>
      </w:r>
      <w:hyperlink r:id="rId142" w:history="1">
        <w:r w:rsidRPr="008B2F46">
          <w:rPr>
            <w:szCs w:val="24"/>
            <w:lang w:eastAsia="pt-BR"/>
          </w:rPr>
          <w:t>http://www.snis.gov.br/glossarios</w:t>
        </w:r>
      </w:hyperlink>
      <w:r w:rsidRPr="008B2F46">
        <w:rPr>
          <w:rFonts w:cs="Arial"/>
          <w:szCs w:val="24"/>
          <w:lang w:eastAsia="pt-BR"/>
        </w:rPr>
        <w:t>. Acesso em: fevereiro de 2017.</w:t>
      </w:r>
    </w:p>
    <w:p w:rsidR="00C86BC2" w:rsidRPr="00042C5E" w:rsidRDefault="00C86BC2" w:rsidP="00C86BC2">
      <w:pPr>
        <w:spacing w:before="120" w:after="120"/>
        <w:ind w:left="567" w:hanging="567"/>
        <w:contextualSpacing/>
        <w:jc w:val="both"/>
        <w:rPr>
          <w:rFonts w:cs="Arial"/>
          <w:szCs w:val="24"/>
          <w:lang w:eastAsia="pt-BR"/>
        </w:rPr>
      </w:pPr>
      <w:r w:rsidRPr="00042C5E">
        <w:rPr>
          <w:rFonts w:cs="Arial"/>
          <w:szCs w:val="24"/>
          <w:lang w:eastAsia="pt-BR"/>
        </w:rPr>
        <w:t>TOMAZ, P., Cap. 5 - Microdrenagem. Curso de Manejo de águas pluviais, 2012.</w:t>
      </w:r>
    </w:p>
    <w:p w:rsidR="00C86BC2" w:rsidRPr="00042C5E" w:rsidRDefault="00C86BC2" w:rsidP="00C86BC2">
      <w:pPr>
        <w:spacing w:before="120" w:after="120"/>
        <w:ind w:left="567" w:hanging="567"/>
        <w:contextualSpacing/>
        <w:jc w:val="both"/>
        <w:rPr>
          <w:rFonts w:cs="Arial"/>
          <w:szCs w:val="24"/>
          <w:lang w:eastAsia="pt-BR"/>
        </w:rPr>
      </w:pPr>
      <w:r w:rsidRPr="00042C5E">
        <w:rPr>
          <w:rFonts w:cs="Arial"/>
          <w:szCs w:val="24"/>
          <w:lang w:eastAsia="pt-BR"/>
        </w:rPr>
        <w:t>TOMINAGA, L. K.; SANTORO, J.; AMARAL, R. Desastres Naturais, conhecer para prevenir. Instituto Geológico. São Paulo, 2009.</w:t>
      </w:r>
    </w:p>
    <w:p w:rsidR="00C86BC2" w:rsidRPr="008B2F46" w:rsidRDefault="00C86BC2" w:rsidP="00C86BC2">
      <w:pPr>
        <w:spacing w:before="120" w:after="120"/>
        <w:ind w:left="567" w:hanging="567"/>
        <w:contextualSpacing/>
        <w:jc w:val="both"/>
        <w:rPr>
          <w:rFonts w:cs="Arial"/>
          <w:szCs w:val="24"/>
          <w:lang w:eastAsia="pt-BR"/>
        </w:rPr>
      </w:pPr>
      <w:r w:rsidRPr="00042C5E">
        <w:rPr>
          <w:rFonts w:cs="Arial"/>
          <w:szCs w:val="24"/>
          <w:lang w:eastAsia="pt-BR"/>
        </w:rPr>
        <w:t xml:space="preserve">TUCCI, C. E. </w:t>
      </w:r>
      <w:r w:rsidRPr="008B2F46">
        <w:rPr>
          <w:rFonts w:cs="Arial"/>
          <w:szCs w:val="24"/>
          <w:lang w:eastAsia="pt-BR"/>
        </w:rPr>
        <w:t>M. Hidrologia: ciência e aplicação. Organizado por: Carlos E. M. Tucci, André L. L. da Silveira... [et al.] – 3ª ed., primeira reimpressão. Porto Alegre: Editora da UFRGS/ABRH, 2004. 1ª ed. 1993.</w:t>
      </w:r>
    </w:p>
    <w:p w:rsidR="00C86BC2" w:rsidRPr="008B2F46" w:rsidRDefault="00C86BC2" w:rsidP="00C86BC2">
      <w:pPr>
        <w:spacing w:before="120" w:after="120"/>
        <w:ind w:left="567" w:hanging="567"/>
        <w:contextualSpacing/>
        <w:jc w:val="both"/>
        <w:rPr>
          <w:rFonts w:cs="Arial"/>
          <w:szCs w:val="24"/>
          <w:lang w:eastAsia="pt-BR"/>
        </w:rPr>
      </w:pPr>
      <w:r w:rsidRPr="008B2F46">
        <w:rPr>
          <w:rFonts w:cs="Arial"/>
          <w:szCs w:val="24"/>
          <w:lang w:eastAsia="pt-BR"/>
        </w:rPr>
        <w:t>TUCCI, C. E. M. Inundações Urbanas. Porto Alegre: ABRH/RHAMA, 2007. 393p.</w:t>
      </w:r>
    </w:p>
    <w:p w:rsidR="00C86BC2" w:rsidRPr="008B2F46" w:rsidRDefault="00C86BC2" w:rsidP="00C86BC2">
      <w:pPr>
        <w:spacing w:before="120" w:after="120"/>
        <w:ind w:left="567" w:hanging="567"/>
        <w:contextualSpacing/>
        <w:jc w:val="both"/>
        <w:rPr>
          <w:rFonts w:cs="Arial"/>
          <w:szCs w:val="24"/>
          <w:lang w:eastAsia="pt-BR"/>
        </w:rPr>
      </w:pPr>
      <w:r w:rsidRPr="008B2F46">
        <w:rPr>
          <w:rFonts w:cs="Arial"/>
          <w:szCs w:val="24"/>
          <w:lang w:eastAsia="pt-BR"/>
        </w:rPr>
        <w:t>TUCCI, C. E. M.; NEVES, M. G. F. P. Resíduos sólidos na drenagem urbana: Aspectos Conceituais. Revista Brasileira de Recursos Hídricos, v. 13, p. 125-136, 2009.</w:t>
      </w:r>
    </w:p>
    <w:p w:rsidR="00C86BC2" w:rsidRPr="008B2F46" w:rsidRDefault="00C86BC2" w:rsidP="00C86BC2">
      <w:pPr>
        <w:spacing w:before="120" w:after="120"/>
        <w:ind w:left="567" w:hanging="567"/>
        <w:contextualSpacing/>
        <w:jc w:val="both"/>
        <w:rPr>
          <w:rFonts w:cs="Arial"/>
          <w:szCs w:val="24"/>
          <w:lang w:eastAsia="pt-BR"/>
        </w:rPr>
      </w:pPr>
      <w:r w:rsidRPr="008B2F46">
        <w:rPr>
          <w:rFonts w:cs="Arial"/>
          <w:szCs w:val="24"/>
          <w:lang w:eastAsia="pt-BR"/>
        </w:rPr>
        <w:t>TUCCI, C. E. M. Gestão de Águas Pluviais Urbanas/ Carlos E. M. Tucci – Ministério das Cidades – Global Water Partnership - Wolrd Bank – Unesco, 2005.</w:t>
      </w:r>
    </w:p>
    <w:p w:rsidR="00C86BC2" w:rsidRPr="00E82952" w:rsidRDefault="00C86BC2" w:rsidP="00C86BC2">
      <w:pPr>
        <w:spacing w:before="120" w:after="120"/>
        <w:ind w:left="567" w:hanging="567"/>
        <w:contextualSpacing/>
        <w:jc w:val="both"/>
        <w:rPr>
          <w:rFonts w:cs="Arial"/>
          <w:szCs w:val="24"/>
          <w:lang w:val="en-US" w:eastAsia="pt-BR"/>
        </w:rPr>
      </w:pPr>
      <w:r w:rsidRPr="008B2F46">
        <w:rPr>
          <w:rFonts w:cs="Arial"/>
          <w:szCs w:val="24"/>
          <w:lang w:eastAsia="pt-BR"/>
        </w:rPr>
        <w:lastRenderedPageBreak/>
        <w:t xml:space="preserve">TUCCI, C. E. M. Águas urbanas. Estudos Avançados, São Paulo, v. 22, n. 63, p. 97-112, jan. 2008. ISSN 1806-9592. Disponível em: &lt;http://www.revistas.usp.br/eav/article/view/10295&gt;. </w:t>
      </w:r>
      <w:r w:rsidRPr="00E82952">
        <w:rPr>
          <w:rFonts w:cs="Arial"/>
          <w:szCs w:val="24"/>
          <w:lang w:val="en-US" w:eastAsia="pt-BR"/>
        </w:rPr>
        <w:t>Acesso em: março de 2017.</w:t>
      </w:r>
    </w:p>
    <w:p w:rsidR="00C86BC2" w:rsidRPr="00AB165D" w:rsidRDefault="00C86BC2" w:rsidP="00C86BC2">
      <w:pPr>
        <w:spacing w:before="120" w:after="120"/>
        <w:ind w:left="567" w:hanging="567"/>
        <w:contextualSpacing/>
        <w:jc w:val="both"/>
        <w:rPr>
          <w:rFonts w:cs="Arial"/>
          <w:szCs w:val="24"/>
          <w:lang w:eastAsia="pt-BR"/>
        </w:rPr>
      </w:pPr>
      <w:r w:rsidRPr="008B2F46">
        <w:rPr>
          <w:rFonts w:cs="Arial"/>
          <w:szCs w:val="24"/>
          <w:lang w:val="en-US" w:eastAsia="pt-BR"/>
        </w:rPr>
        <w:t>USBR U. S. Bureau of Reclamation – United States Department of the interior – Design of Small Dams</w:t>
      </w:r>
      <w:r w:rsidRPr="00AB165D">
        <w:rPr>
          <w:rFonts w:cs="Arial"/>
          <w:szCs w:val="24"/>
          <w:lang w:val="en-US" w:eastAsia="pt-BR"/>
        </w:rPr>
        <w:t xml:space="preserve">. </w:t>
      </w:r>
      <w:r w:rsidRPr="00AB165D">
        <w:rPr>
          <w:rFonts w:cs="Arial"/>
          <w:szCs w:val="24"/>
          <w:lang w:eastAsia="pt-BR"/>
        </w:rPr>
        <w:t>Companhia Editorial Continental S.A México, D. F. 1977. 639 p.</w:t>
      </w:r>
    </w:p>
    <w:p w:rsidR="00C86BC2" w:rsidRPr="00C86BC2" w:rsidRDefault="00C86BC2" w:rsidP="00C86BC2">
      <w:pPr>
        <w:spacing w:before="120" w:after="120"/>
        <w:ind w:left="567" w:hanging="567"/>
        <w:contextualSpacing/>
        <w:jc w:val="both"/>
        <w:rPr>
          <w:rFonts w:cs="Arial"/>
          <w:szCs w:val="24"/>
          <w:lang w:val="en-US" w:eastAsia="pt-BR"/>
        </w:rPr>
      </w:pPr>
      <w:r w:rsidRPr="00AB165D">
        <w:rPr>
          <w:rFonts w:cs="Arial"/>
          <w:szCs w:val="24"/>
          <w:lang w:eastAsia="pt-BR"/>
        </w:rPr>
        <w:t xml:space="preserve">VON SPERLING, M.; Introdução à qualidade das águas e ao tratamento de esgotos. Belo Horizonte: Departamento de Engenharia Sanitária e Ambiental; Universidade Federal de Minas Gerais. </w:t>
      </w:r>
      <w:r w:rsidRPr="00C86BC2">
        <w:rPr>
          <w:rFonts w:cs="Arial"/>
          <w:szCs w:val="24"/>
          <w:lang w:val="en-US" w:eastAsia="pt-BR"/>
        </w:rPr>
        <w:t>4ªed., 2014.</w:t>
      </w:r>
    </w:p>
    <w:p w:rsidR="00C86BC2" w:rsidRPr="00C86BC2" w:rsidRDefault="00C86BC2" w:rsidP="00C86BC2">
      <w:pPr>
        <w:spacing w:before="120" w:after="120"/>
        <w:ind w:left="567" w:hanging="567"/>
        <w:contextualSpacing/>
        <w:jc w:val="both"/>
        <w:rPr>
          <w:rFonts w:cs="Arial"/>
          <w:szCs w:val="24"/>
          <w:lang w:val="en-US" w:eastAsia="pt-BR"/>
        </w:rPr>
      </w:pPr>
      <w:r w:rsidRPr="00AB165D">
        <w:rPr>
          <w:rFonts w:cs="Arial"/>
          <w:szCs w:val="24"/>
          <w:lang w:val="en-US" w:eastAsia="pt-BR"/>
        </w:rPr>
        <w:t xml:space="preserve">WHO. World Health Organization. Guidelines for drinking-water quality. </w:t>
      </w:r>
      <w:r w:rsidRPr="00C86BC2">
        <w:rPr>
          <w:rFonts w:cs="Arial"/>
          <w:szCs w:val="24"/>
          <w:lang w:val="en-US" w:eastAsia="pt-BR"/>
        </w:rPr>
        <w:t>Geneva: WHO. Fourth edition. 2011.</w:t>
      </w:r>
    </w:p>
    <w:p w:rsidR="00C86BC2" w:rsidRPr="00AB165D" w:rsidRDefault="00C86BC2" w:rsidP="00C86BC2">
      <w:pPr>
        <w:spacing w:before="120" w:after="120"/>
        <w:ind w:left="567" w:hanging="567"/>
        <w:contextualSpacing/>
        <w:jc w:val="both"/>
        <w:rPr>
          <w:rFonts w:cs="Arial"/>
          <w:szCs w:val="24"/>
          <w:lang w:eastAsia="pt-BR"/>
        </w:rPr>
      </w:pPr>
      <w:r w:rsidRPr="00AB165D">
        <w:rPr>
          <w:rFonts w:cs="Arial"/>
          <w:szCs w:val="24"/>
          <w:lang w:val="en-US" w:eastAsia="pt-BR"/>
        </w:rPr>
        <w:t xml:space="preserve">WHO. World Health Organization. Guidelines for Drinking-Water Quality. </w:t>
      </w:r>
      <w:r w:rsidRPr="00AB165D">
        <w:rPr>
          <w:rFonts w:cs="Arial"/>
          <w:szCs w:val="24"/>
          <w:lang w:eastAsia="pt-BR"/>
        </w:rPr>
        <w:t>Geneva: WHO. Second Edition. 1998.</w:t>
      </w:r>
    </w:p>
    <w:p w:rsidR="00C86BC2" w:rsidRPr="004B7F59" w:rsidRDefault="00C86BC2" w:rsidP="00C86BC2">
      <w:pPr>
        <w:spacing w:before="120" w:after="120"/>
        <w:ind w:left="567" w:hanging="567"/>
        <w:contextualSpacing/>
        <w:jc w:val="both"/>
        <w:rPr>
          <w:rFonts w:cs="Arial"/>
          <w:szCs w:val="24"/>
        </w:rPr>
      </w:pPr>
      <w:r w:rsidRPr="00AB165D">
        <w:rPr>
          <w:rFonts w:cs="Arial"/>
          <w:szCs w:val="24"/>
          <w:lang w:eastAsia="pt-BR"/>
        </w:rPr>
        <w:t>WILKEN, P.S. Engenharia de Drenagem Superficial. São Paulo, Companhia de Tecnologia de Saneamento Ambiental (CETESB), 1978. 478p. IN: PAIVA, J. B. D. de; PAIVA, E. M. C. D. de (organizadores). Hidrologia aplicada à gestão de pequenas bacias hidrográficas. Porto Alegre: ABRH, 2001.</w:t>
      </w:r>
    </w:p>
    <w:p w:rsidR="00C86BC2" w:rsidRPr="00AB165D" w:rsidRDefault="00C86BC2" w:rsidP="00C86BC2">
      <w:pPr>
        <w:spacing w:before="120" w:after="120"/>
        <w:ind w:left="567" w:hanging="567"/>
        <w:contextualSpacing/>
        <w:jc w:val="both"/>
        <w:rPr>
          <w:rFonts w:cs="Arial"/>
          <w:szCs w:val="24"/>
          <w:lang w:eastAsia="pt-BR"/>
        </w:rPr>
      </w:pPr>
      <w:r w:rsidRPr="00AB165D">
        <w:rPr>
          <w:rFonts w:cs="Arial"/>
          <w:szCs w:val="24"/>
          <w:lang w:val="en-US" w:eastAsia="pt-BR"/>
        </w:rPr>
        <w:t xml:space="preserve">WU, I-PAI. Design hydrographs for small watersheds in Indiana. </w:t>
      </w:r>
      <w:r w:rsidRPr="00AB165D">
        <w:rPr>
          <w:rFonts w:cs="Arial"/>
          <w:szCs w:val="24"/>
          <w:lang w:eastAsia="pt-BR"/>
        </w:rPr>
        <w:t>ASCE, 1963. IN: PAIVA, J. B. D. de; PAIVA, E. M. C. D. de (organizadores). Hidrologia aplicada à gestão de pequenas bacias hidrográficas. Porto Alegre: ABRH, 2001.</w:t>
      </w:r>
    </w:p>
    <w:p w:rsidR="00C86BC2" w:rsidRPr="003B46D6" w:rsidRDefault="00C86BC2" w:rsidP="00C86BC2">
      <w:pPr>
        <w:spacing w:after="200" w:line="276" w:lineRule="auto"/>
        <w:ind w:left="567" w:hanging="567"/>
        <w:jc w:val="both"/>
        <w:rPr>
          <w:rFonts w:cs="Arial"/>
          <w:szCs w:val="24"/>
        </w:rPr>
      </w:pPr>
    </w:p>
    <w:p w:rsidR="00C86BC2" w:rsidRDefault="00C86BC2" w:rsidP="00C86BC2">
      <w:pPr>
        <w:spacing w:after="200" w:line="276" w:lineRule="auto"/>
        <w:ind w:left="567" w:hanging="567"/>
        <w:jc w:val="both"/>
        <w:rPr>
          <w:rFonts w:cs="Arial"/>
          <w:szCs w:val="24"/>
        </w:rPr>
      </w:pPr>
    </w:p>
    <w:p w:rsidR="001228A5" w:rsidRDefault="001228A5" w:rsidP="00C86BC2">
      <w:pPr>
        <w:spacing w:after="200" w:line="276" w:lineRule="auto"/>
        <w:ind w:left="567" w:hanging="567"/>
        <w:jc w:val="both"/>
        <w:rPr>
          <w:rFonts w:cs="Arial"/>
          <w:szCs w:val="24"/>
        </w:rPr>
      </w:pPr>
    </w:p>
    <w:p w:rsidR="001228A5" w:rsidRDefault="001228A5" w:rsidP="00C86BC2">
      <w:pPr>
        <w:spacing w:after="200" w:line="276" w:lineRule="auto"/>
        <w:ind w:left="567" w:hanging="567"/>
        <w:jc w:val="both"/>
        <w:rPr>
          <w:rFonts w:cs="Arial"/>
          <w:szCs w:val="24"/>
        </w:rPr>
      </w:pPr>
    </w:p>
    <w:p w:rsidR="001228A5" w:rsidRDefault="001228A5" w:rsidP="00C86BC2">
      <w:pPr>
        <w:spacing w:after="200" w:line="276" w:lineRule="auto"/>
        <w:ind w:left="567" w:hanging="567"/>
        <w:jc w:val="both"/>
        <w:rPr>
          <w:rFonts w:cs="Arial"/>
          <w:szCs w:val="24"/>
        </w:rPr>
      </w:pPr>
    </w:p>
    <w:p w:rsidR="001228A5" w:rsidRDefault="001228A5" w:rsidP="00C86BC2">
      <w:pPr>
        <w:spacing w:after="200" w:line="276" w:lineRule="auto"/>
        <w:ind w:left="567" w:hanging="567"/>
        <w:jc w:val="both"/>
        <w:rPr>
          <w:rFonts w:cs="Arial"/>
          <w:szCs w:val="24"/>
        </w:rPr>
      </w:pPr>
    </w:p>
    <w:p w:rsidR="001228A5" w:rsidRDefault="001228A5" w:rsidP="00C86BC2">
      <w:pPr>
        <w:spacing w:after="200" w:line="276" w:lineRule="auto"/>
        <w:ind w:left="567" w:hanging="567"/>
        <w:jc w:val="both"/>
        <w:rPr>
          <w:rFonts w:cs="Arial"/>
          <w:szCs w:val="24"/>
        </w:rPr>
      </w:pPr>
    </w:p>
    <w:p w:rsidR="001228A5" w:rsidRDefault="001228A5" w:rsidP="00C86BC2">
      <w:pPr>
        <w:spacing w:after="200" w:line="276" w:lineRule="auto"/>
        <w:ind w:left="567" w:hanging="567"/>
        <w:jc w:val="both"/>
        <w:rPr>
          <w:rFonts w:cs="Arial"/>
          <w:szCs w:val="24"/>
        </w:rPr>
      </w:pPr>
    </w:p>
    <w:p w:rsidR="001228A5" w:rsidRDefault="001228A5" w:rsidP="00C86BC2">
      <w:pPr>
        <w:spacing w:after="200" w:line="276" w:lineRule="auto"/>
        <w:ind w:left="567" w:hanging="567"/>
        <w:jc w:val="both"/>
        <w:rPr>
          <w:rFonts w:cs="Arial"/>
          <w:szCs w:val="24"/>
        </w:rPr>
      </w:pPr>
    </w:p>
    <w:p w:rsidR="001228A5" w:rsidRDefault="001228A5" w:rsidP="00C86BC2">
      <w:pPr>
        <w:spacing w:after="200" w:line="276" w:lineRule="auto"/>
        <w:ind w:left="567" w:hanging="567"/>
        <w:jc w:val="both"/>
        <w:rPr>
          <w:rFonts w:cs="Arial"/>
          <w:szCs w:val="24"/>
        </w:rPr>
      </w:pPr>
    </w:p>
    <w:p w:rsidR="009E3C34" w:rsidRDefault="003E5877" w:rsidP="00BC01B1">
      <w:pPr>
        <w:pStyle w:val="SHS-Ttulo01"/>
      </w:pPr>
      <w:bookmarkStart w:id="3035" w:name="_Toc509935765"/>
      <w:r w:rsidRPr="000A56AA">
        <w:lastRenderedPageBreak/>
        <w:t>Anexos</w:t>
      </w:r>
      <w:bookmarkStart w:id="3036" w:name="_Ref428870119"/>
      <w:bookmarkStart w:id="3037" w:name="_Ref432169211"/>
      <w:bookmarkStart w:id="3038" w:name="_Toc441073527"/>
      <w:bookmarkEnd w:id="3036"/>
      <w:bookmarkEnd w:id="3037"/>
      <w:bookmarkEnd w:id="3038"/>
      <w:bookmarkEnd w:id="3035"/>
    </w:p>
    <w:p w:rsidR="00C2108C" w:rsidRDefault="00C2108C" w:rsidP="00C2108C">
      <w:pPr>
        <w:rPr>
          <w:lang w:eastAsia="pt-BR"/>
        </w:rPr>
      </w:pPr>
      <w:r>
        <w:rPr>
          <w:lang w:eastAsia="pt-BR"/>
        </w:rPr>
        <w:br w:type="page"/>
      </w:r>
    </w:p>
    <w:p w:rsidR="00676FE7" w:rsidRPr="002B48F9" w:rsidRDefault="00676FE7" w:rsidP="00E95583">
      <w:pPr>
        <w:pStyle w:val="Legenda"/>
      </w:pPr>
      <w:bookmarkStart w:id="3039" w:name="_Ref505849196"/>
      <w:bookmarkStart w:id="3040" w:name="_Toc498594159"/>
      <w:bookmarkStart w:id="3041" w:name="_Toc509935880"/>
      <w:r>
        <w:lastRenderedPageBreak/>
        <w:t xml:space="preserve">Anexo </w:t>
      </w:r>
      <w:r w:rsidR="000A1C78">
        <w:fldChar w:fldCharType="begin"/>
      </w:r>
      <w:r w:rsidR="000A1C78">
        <w:instrText xml:space="preserve"> SEQ Anexo \* ARABIC </w:instrText>
      </w:r>
      <w:r w:rsidR="000A1C78">
        <w:fldChar w:fldCharType="separate"/>
      </w:r>
      <w:r w:rsidR="001B481B">
        <w:rPr>
          <w:noProof/>
        </w:rPr>
        <w:t>1</w:t>
      </w:r>
      <w:r w:rsidR="000A1C78">
        <w:rPr>
          <w:noProof/>
        </w:rPr>
        <w:fldChar w:fldCharType="end"/>
      </w:r>
      <w:bookmarkEnd w:id="3039"/>
      <w:r>
        <w:rPr>
          <w:lang w:val="pt-BR"/>
        </w:rPr>
        <w:t xml:space="preserve"> - </w:t>
      </w:r>
      <w:r w:rsidRPr="002B48F9">
        <w:t>Código Brasileiro de Desastres – COBRADE</w:t>
      </w:r>
      <w:bookmarkEnd w:id="3040"/>
      <w:bookmarkEnd w:id="3041"/>
    </w:p>
    <w:p w:rsidR="00676FE7" w:rsidRDefault="00676FE7" w:rsidP="00676FE7">
      <w:pPr>
        <w:pStyle w:val="figura"/>
      </w:pPr>
      <w:r>
        <w:rPr>
          <w:noProof/>
        </w:rPr>
        <w:drawing>
          <wp:inline distT="0" distB="0" distL="0" distR="0" wp14:anchorId="45DD602A" wp14:editId="58BF11D5">
            <wp:extent cx="5391150" cy="7267575"/>
            <wp:effectExtent l="0" t="0" r="0" b="952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391150" cy="7267575"/>
                    </a:xfrm>
                    <a:prstGeom prst="rect">
                      <a:avLst/>
                    </a:prstGeom>
                    <a:noFill/>
                    <a:ln>
                      <a:noFill/>
                    </a:ln>
                  </pic:spPr>
                </pic:pic>
              </a:graphicData>
            </a:graphic>
          </wp:inline>
        </w:drawing>
      </w:r>
    </w:p>
    <w:p w:rsidR="00676FE7" w:rsidRDefault="00676FE7" w:rsidP="00676FE7">
      <w:pPr>
        <w:jc w:val="both"/>
        <w:rPr>
          <w:rFonts w:cs="Arial"/>
        </w:rPr>
      </w:pPr>
    </w:p>
    <w:p w:rsidR="00676FE7" w:rsidRDefault="00676FE7" w:rsidP="00676FE7">
      <w:pPr>
        <w:jc w:val="both"/>
        <w:rPr>
          <w:rFonts w:cs="Arial"/>
        </w:rPr>
      </w:pPr>
    </w:p>
    <w:p w:rsidR="00676FE7" w:rsidRDefault="00676FE7" w:rsidP="00676FE7">
      <w:pPr>
        <w:pStyle w:val="figura"/>
      </w:pPr>
      <w:r>
        <w:rPr>
          <w:noProof/>
        </w:rPr>
        <w:lastRenderedPageBreak/>
        <w:drawing>
          <wp:inline distT="0" distB="0" distL="0" distR="0" wp14:anchorId="351C0BC5" wp14:editId="0FFC53EB">
            <wp:extent cx="5400675" cy="6105525"/>
            <wp:effectExtent l="0" t="0" r="9525" b="952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400675" cy="6105525"/>
                    </a:xfrm>
                    <a:prstGeom prst="rect">
                      <a:avLst/>
                    </a:prstGeom>
                    <a:noFill/>
                    <a:ln>
                      <a:noFill/>
                    </a:ln>
                  </pic:spPr>
                </pic:pic>
              </a:graphicData>
            </a:graphic>
          </wp:inline>
        </w:drawing>
      </w:r>
    </w:p>
    <w:p w:rsidR="00E95583" w:rsidRDefault="00E95583" w:rsidP="00676FE7">
      <w:pPr>
        <w:rPr>
          <w:highlight w:val="yellow"/>
          <w:lang w:eastAsia="pt-BR"/>
        </w:rPr>
      </w:pPr>
      <w:r>
        <w:rPr>
          <w:highlight w:val="yellow"/>
          <w:lang w:eastAsia="pt-BR"/>
        </w:rPr>
        <w:br w:type="page"/>
      </w:r>
    </w:p>
    <w:p w:rsidR="004C267D" w:rsidRDefault="004C267D" w:rsidP="00E95583">
      <w:pPr>
        <w:pStyle w:val="Legenda"/>
        <w:rPr>
          <w:lang w:val="pt-BR"/>
        </w:rPr>
      </w:pPr>
      <w:bookmarkStart w:id="3042" w:name="_Ref505841326"/>
      <w:bookmarkStart w:id="3043" w:name="_Toc509935881"/>
      <w:r>
        <w:lastRenderedPageBreak/>
        <w:t xml:space="preserve">Anexo </w:t>
      </w:r>
      <w:r w:rsidR="000A1C78">
        <w:fldChar w:fldCharType="begin"/>
      </w:r>
      <w:r w:rsidR="000A1C78">
        <w:instrText xml:space="preserve"> SEQ Anexo \* ARABIC </w:instrText>
      </w:r>
      <w:r w:rsidR="000A1C78">
        <w:fldChar w:fldCharType="separate"/>
      </w:r>
      <w:r w:rsidR="001B481B">
        <w:rPr>
          <w:noProof/>
        </w:rPr>
        <w:t>2</w:t>
      </w:r>
      <w:r w:rsidR="000A1C78">
        <w:rPr>
          <w:noProof/>
        </w:rPr>
        <w:fldChar w:fldCharType="end"/>
      </w:r>
      <w:bookmarkEnd w:id="3042"/>
      <w:r>
        <w:rPr>
          <w:lang w:val="pt-BR"/>
        </w:rPr>
        <w:t xml:space="preserve"> - </w:t>
      </w:r>
      <w:r w:rsidRPr="002D245A">
        <w:t>Projeção da sustentabilidade econômica dos setores de abastecimento de água e esgotamento sanitário</w:t>
      </w:r>
      <w:bookmarkEnd w:id="3043"/>
    </w:p>
    <w:p w:rsidR="00E95583" w:rsidRDefault="00E95583" w:rsidP="00E95583">
      <w:pPr>
        <w:rPr>
          <w:lang w:eastAsia="x-none"/>
        </w:rPr>
      </w:pPr>
    </w:p>
    <w:p w:rsidR="00E95583" w:rsidRDefault="00E95583" w:rsidP="00E95583">
      <w:pPr>
        <w:rPr>
          <w:lang w:eastAsia="x-none"/>
        </w:rPr>
      </w:pPr>
      <w:r>
        <w:rPr>
          <w:lang w:eastAsia="x-none"/>
        </w:rPr>
        <w:br w:type="page"/>
      </w:r>
    </w:p>
    <w:p w:rsidR="009B7D8E" w:rsidRDefault="009B7D8E" w:rsidP="00E95583">
      <w:pPr>
        <w:pStyle w:val="Legenda"/>
        <w:rPr>
          <w:lang w:val="pt-BR"/>
        </w:rPr>
      </w:pPr>
      <w:bookmarkStart w:id="3044" w:name="_Ref505841429"/>
      <w:bookmarkStart w:id="3045" w:name="_Toc509935882"/>
      <w:r>
        <w:lastRenderedPageBreak/>
        <w:t xml:space="preserve">Anexo </w:t>
      </w:r>
      <w:r w:rsidR="000A1C78">
        <w:fldChar w:fldCharType="begin"/>
      </w:r>
      <w:r w:rsidR="000A1C78">
        <w:instrText xml:space="preserve"> SEQ Anexo \* ARABIC </w:instrText>
      </w:r>
      <w:r w:rsidR="000A1C78">
        <w:fldChar w:fldCharType="separate"/>
      </w:r>
      <w:r w:rsidR="001B481B">
        <w:rPr>
          <w:noProof/>
        </w:rPr>
        <w:t>3</w:t>
      </w:r>
      <w:r w:rsidR="000A1C78">
        <w:rPr>
          <w:noProof/>
        </w:rPr>
        <w:fldChar w:fldCharType="end"/>
      </w:r>
      <w:bookmarkEnd w:id="3044"/>
      <w:r>
        <w:rPr>
          <w:lang w:val="pt-BR"/>
        </w:rPr>
        <w:t xml:space="preserve"> - </w:t>
      </w:r>
      <w:r w:rsidRPr="002D245A">
        <w:t xml:space="preserve">Projeção da sustentabilidade econômica do setor de </w:t>
      </w:r>
      <w:r>
        <w:rPr>
          <w:lang w:val="pt-BR"/>
        </w:rPr>
        <w:t>resíduos sólidos</w:t>
      </w:r>
      <w:bookmarkEnd w:id="3045"/>
    </w:p>
    <w:p w:rsidR="00E95583" w:rsidRDefault="00E95583" w:rsidP="00E95583">
      <w:pPr>
        <w:rPr>
          <w:lang w:eastAsia="x-none"/>
        </w:rPr>
      </w:pPr>
    </w:p>
    <w:p w:rsidR="00E95583" w:rsidRDefault="00E95583" w:rsidP="00E95583">
      <w:pPr>
        <w:rPr>
          <w:lang w:eastAsia="x-none"/>
        </w:rPr>
      </w:pPr>
      <w:r>
        <w:rPr>
          <w:lang w:eastAsia="x-none"/>
        </w:rPr>
        <w:br w:type="page"/>
      </w:r>
    </w:p>
    <w:p w:rsidR="009B7D8E" w:rsidRDefault="009B7D8E" w:rsidP="00E95583">
      <w:pPr>
        <w:pStyle w:val="Legenda"/>
        <w:rPr>
          <w:lang w:val="pt-BR"/>
        </w:rPr>
      </w:pPr>
      <w:bookmarkStart w:id="3046" w:name="_Ref505841899"/>
      <w:bookmarkStart w:id="3047" w:name="_Toc509935883"/>
      <w:r>
        <w:lastRenderedPageBreak/>
        <w:t xml:space="preserve">Anexo </w:t>
      </w:r>
      <w:r w:rsidR="000A1C78">
        <w:fldChar w:fldCharType="begin"/>
      </w:r>
      <w:r w:rsidR="000A1C78">
        <w:instrText xml:space="preserve"> SEQ Anexo \* ARABIC </w:instrText>
      </w:r>
      <w:r w:rsidR="000A1C78">
        <w:fldChar w:fldCharType="separate"/>
      </w:r>
      <w:r w:rsidR="001B481B">
        <w:rPr>
          <w:noProof/>
        </w:rPr>
        <w:t>4</w:t>
      </w:r>
      <w:r w:rsidR="000A1C78">
        <w:rPr>
          <w:noProof/>
        </w:rPr>
        <w:fldChar w:fldCharType="end"/>
      </w:r>
      <w:bookmarkEnd w:id="3046"/>
      <w:r>
        <w:rPr>
          <w:lang w:val="pt-BR"/>
        </w:rPr>
        <w:t xml:space="preserve"> - </w:t>
      </w:r>
      <w:r w:rsidRPr="009B7D8E">
        <w:t xml:space="preserve">Formulários para coleta de dados e composição dos indicadores </w:t>
      </w:r>
      <w:r w:rsidR="003B66BD">
        <w:t>–</w:t>
      </w:r>
      <w:r w:rsidRPr="009B7D8E">
        <w:t xml:space="preserve"> SAA</w:t>
      </w:r>
      <w:bookmarkEnd w:id="3047"/>
    </w:p>
    <w:p w:rsidR="00E95583" w:rsidRDefault="00E95583" w:rsidP="00E95583">
      <w:pPr>
        <w:rPr>
          <w:lang w:eastAsia="x-none"/>
        </w:rPr>
      </w:pPr>
    </w:p>
    <w:p w:rsidR="00E95583" w:rsidRDefault="00E95583" w:rsidP="00E95583">
      <w:pPr>
        <w:rPr>
          <w:lang w:eastAsia="x-none"/>
        </w:rPr>
      </w:pPr>
      <w:r>
        <w:rPr>
          <w:lang w:eastAsia="x-none"/>
        </w:rPr>
        <w:br w:type="page"/>
      </w:r>
    </w:p>
    <w:p w:rsidR="003B66BD" w:rsidRDefault="003B66BD" w:rsidP="00E95583">
      <w:pPr>
        <w:pStyle w:val="Legenda"/>
        <w:rPr>
          <w:lang w:val="pt-BR"/>
        </w:rPr>
      </w:pPr>
      <w:bookmarkStart w:id="3048" w:name="_Ref505841901"/>
      <w:bookmarkStart w:id="3049" w:name="_Toc509935884"/>
      <w:r>
        <w:lastRenderedPageBreak/>
        <w:t xml:space="preserve">Anexo </w:t>
      </w:r>
      <w:r w:rsidR="000A1C78">
        <w:fldChar w:fldCharType="begin"/>
      </w:r>
      <w:r w:rsidR="000A1C78">
        <w:instrText xml:space="preserve"> SEQ Anexo \* ARABIC </w:instrText>
      </w:r>
      <w:r w:rsidR="000A1C78">
        <w:fldChar w:fldCharType="separate"/>
      </w:r>
      <w:r w:rsidR="001B481B">
        <w:rPr>
          <w:noProof/>
        </w:rPr>
        <w:t>5</w:t>
      </w:r>
      <w:r w:rsidR="000A1C78">
        <w:rPr>
          <w:noProof/>
        </w:rPr>
        <w:fldChar w:fldCharType="end"/>
      </w:r>
      <w:bookmarkEnd w:id="3048"/>
      <w:r>
        <w:rPr>
          <w:lang w:val="pt-BR"/>
        </w:rPr>
        <w:t xml:space="preserve"> - </w:t>
      </w:r>
      <w:r w:rsidRPr="003B66BD">
        <w:t xml:space="preserve">Formulários para coleta de dados e composição dos indicadores </w:t>
      </w:r>
      <w:r>
        <w:t>–</w:t>
      </w:r>
      <w:r w:rsidRPr="003B66BD">
        <w:t xml:space="preserve"> SES</w:t>
      </w:r>
      <w:bookmarkEnd w:id="3049"/>
    </w:p>
    <w:p w:rsidR="00E95583" w:rsidRDefault="00E95583" w:rsidP="00E95583">
      <w:pPr>
        <w:rPr>
          <w:lang w:eastAsia="x-none"/>
        </w:rPr>
      </w:pPr>
    </w:p>
    <w:p w:rsidR="00E95583" w:rsidRDefault="00E95583" w:rsidP="00E95583">
      <w:pPr>
        <w:rPr>
          <w:lang w:eastAsia="x-none"/>
        </w:rPr>
      </w:pPr>
      <w:r>
        <w:rPr>
          <w:lang w:eastAsia="x-none"/>
        </w:rPr>
        <w:br w:type="page"/>
      </w:r>
    </w:p>
    <w:p w:rsidR="003B66BD" w:rsidRDefault="003B66BD" w:rsidP="00E95583">
      <w:pPr>
        <w:pStyle w:val="Legenda"/>
        <w:rPr>
          <w:lang w:val="pt-BR"/>
        </w:rPr>
      </w:pPr>
      <w:bookmarkStart w:id="3050" w:name="_Ref505841902"/>
      <w:bookmarkStart w:id="3051" w:name="_Toc509935885"/>
      <w:r>
        <w:lastRenderedPageBreak/>
        <w:t xml:space="preserve">Anexo </w:t>
      </w:r>
      <w:r w:rsidR="000A1C78">
        <w:fldChar w:fldCharType="begin"/>
      </w:r>
      <w:r w:rsidR="000A1C78">
        <w:instrText xml:space="preserve"> SEQ Anexo \* ARABIC </w:instrText>
      </w:r>
      <w:r w:rsidR="000A1C78">
        <w:fldChar w:fldCharType="separate"/>
      </w:r>
      <w:r w:rsidR="001B481B">
        <w:rPr>
          <w:noProof/>
        </w:rPr>
        <w:t>6</w:t>
      </w:r>
      <w:r w:rsidR="000A1C78">
        <w:rPr>
          <w:noProof/>
        </w:rPr>
        <w:fldChar w:fldCharType="end"/>
      </w:r>
      <w:bookmarkEnd w:id="3050"/>
      <w:r>
        <w:rPr>
          <w:lang w:val="pt-BR"/>
        </w:rPr>
        <w:t xml:space="preserve"> - </w:t>
      </w:r>
      <w:r w:rsidRPr="003B66BD">
        <w:t xml:space="preserve">Formulários para coleta de dados e composição dos indicadores </w:t>
      </w:r>
      <w:r>
        <w:t>–</w:t>
      </w:r>
      <w:r w:rsidRPr="003B66BD">
        <w:t xml:space="preserve"> SDU</w:t>
      </w:r>
      <w:bookmarkEnd w:id="3051"/>
    </w:p>
    <w:p w:rsidR="00E95583" w:rsidRDefault="00E95583" w:rsidP="00E95583">
      <w:pPr>
        <w:rPr>
          <w:lang w:eastAsia="x-none"/>
        </w:rPr>
      </w:pPr>
    </w:p>
    <w:p w:rsidR="00E95583" w:rsidRDefault="00E95583" w:rsidP="00E95583">
      <w:pPr>
        <w:rPr>
          <w:lang w:eastAsia="x-none"/>
        </w:rPr>
      </w:pPr>
      <w:r>
        <w:rPr>
          <w:lang w:eastAsia="x-none"/>
        </w:rPr>
        <w:br w:type="page"/>
      </w:r>
    </w:p>
    <w:p w:rsidR="003B66BD" w:rsidRDefault="003B66BD" w:rsidP="00E95583">
      <w:pPr>
        <w:pStyle w:val="Legenda"/>
        <w:rPr>
          <w:lang w:val="pt-BR"/>
        </w:rPr>
      </w:pPr>
      <w:bookmarkStart w:id="3052" w:name="_Ref505841904"/>
      <w:bookmarkStart w:id="3053" w:name="_Toc509935886"/>
      <w:r>
        <w:lastRenderedPageBreak/>
        <w:t xml:space="preserve">Anexo </w:t>
      </w:r>
      <w:r w:rsidR="000A1C78">
        <w:fldChar w:fldCharType="begin"/>
      </w:r>
      <w:r w:rsidR="000A1C78">
        <w:instrText xml:space="preserve"> SEQ Anexo \* ARABIC </w:instrText>
      </w:r>
      <w:r w:rsidR="000A1C78">
        <w:fldChar w:fldCharType="separate"/>
      </w:r>
      <w:r w:rsidR="001B481B">
        <w:rPr>
          <w:noProof/>
        </w:rPr>
        <w:t>7</w:t>
      </w:r>
      <w:r w:rsidR="000A1C78">
        <w:rPr>
          <w:noProof/>
        </w:rPr>
        <w:fldChar w:fldCharType="end"/>
      </w:r>
      <w:bookmarkEnd w:id="3052"/>
      <w:r>
        <w:rPr>
          <w:lang w:val="pt-BR"/>
        </w:rPr>
        <w:t xml:space="preserve"> - </w:t>
      </w:r>
      <w:r w:rsidRPr="003B66BD">
        <w:t xml:space="preserve">Formulários para coleta de dados e composição dos indicadores </w:t>
      </w:r>
      <w:r>
        <w:t>–</w:t>
      </w:r>
      <w:r w:rsidRPr="003B66BD">
        <w:t xml:space="preserve"> SMR</w:t>
      </w:r>
      <w:bookmarkEnd w:id="3053"/>
    </w:p>
    <w:p w:rsidR="00E95583" w:rsidRDefault="00E95583" w:rsidP="00E95583">
      <w:pPr>
        <w:rPr>
          <w:lang w:eastAsia="x-none"/>
        </w:rPr>
      </w:pPr>
    </w:p>
    <w:p w:rsidR="00E95583" w:rsidRDefault="00E95583" w:rsidP="00E95583">
      <w:pPr>
        <w:rPr>
          <w:lang w:eastAsia="x-none"/>
        </w:rPr>
      </w:pPr>
      <w:r>
        <w:rPr>
          <w:lang w:eastAsia="x-none"/>
        </w:rPr>
        <w:br w:type="page"/>
      </w:r>
    </w:p>
    <w:p w:rsidR="003B66BD" w:rsidRDefault="003B66BD" w:rsidP="00E95583">
      <w:pPr>
        <w:pStyle w:val="Legenda"/>
        <w:rPr>
          <w:lang w:val="pt-BR"/>
        </w:rPr>
      </w:pPr>
      <w:bookmarkStart w:id="3054" w:name="_Ref505841924"/>
      <w:bookmarkStart w:id="3055" w:name="_Toc509935887"/>
      <w:r>
        <w:lastRenderedPageBreak/>
        <w:t xml:space="preserve">Anexo </w:t>
      </w:r>
      <w:r w:rsidR="000A1C78">
        <w:fldChar w:fldCharType="begin"/>
      </w:r>
      <w:r w:rsidR="000A1C78">
        <w:instrText xml:space="preserve"> SEQ Anexo \* ARABIC </w:instrText>
      </w:r>
      <w:r w:rsidR="000A1C78">
        <w:fldChar w:fldCharType="separate"/>
      </w:r>
      <w:r w:rsidR="001B481B">
        <w:rPr>
          <w:noProof/>
        </w:rPr>
        <w:t>8</w:t>
      </w:r>
      <w:r w:rsidR="000A1C78">
        <w:rPr>
          <w:noProof/>
        </w:rPr>
        <w:fldChar w:fldCharType="end"/>
      </w:r>
      <w:bookmarkEnd w:id="3054"/>
      <w:r>
        <w:rPr>
          <w:lang w:val="pt-BR"/>
        </w:rPr>
        <w:t xml:space="preserve"> - </w:t>
      </w:r>
      <w:r w:rsidRPr="003B66BD">
        <w:t>Manual de instruções de uso do SMIS</w:t>
      </w:r>
      <w:bookmarkEnd w:id="3055"/>
    </w:p>
    <w:p w:rsidR="00E95583" w:rsidRDefault="00E95583" w:rsidP="00E95583">
      <w:pPr>
        <w:rPr>
          <w:lang w:eastAsia="x-none"/>
        </w:rPr>
      </w:pPr>
    </w:p>
    <w:p w:rsidR="00E95583" w:rsidRDefault="00E95583" w:rsidP="00E95583">
      <w:pPr>
        <w:rPr>
          <w:lang w:eastAsia="x-none"/>
        </w:rPr>
      </w:pPr>
      <w:r>
        <w:rPr>
          <w:lang w:eastAsia="x-none"/>
        </w:rPr>
        <w:br w:type="page"/>
      </w:r>
    </w:p>
    <w:p w:rsidR="000758DE" w:rsidRDefault="000758DE" w:rsidP="00E95583">
      <w:pPr>
        <w:pStyle w:val="Legenda"/>
        <w:rPr>
          <w:lang w:val="pt-BR"/>
        </w:rPr>
      </w:pPr>
      <w:bookmarkStart w:id="3056" w:name="_Ref505843505"/>
      <w:bookmarkStart w:id="3057" w:name="_Toc509935888"/>
      <w:r>
        <w:lastRenderedPageBreak/>
        <w:t xml:space="preserve">Anexo </w:t>
      </w:r>
      <w:r w:rsidR="000A1C78">
        <w:fldChar w:fldCharType="begin"/>
      </w:r>
      <w:r w:rsidR="000A1C78">
        <w:instrText xml:space="preserve"> SEQ Anexo \* ARABIC </w:instrText>
      </w:r>
      <w:r w:rsidR="000A1C78">
        <w:fldChar w:fldCharType="separate"/>
      </w:r>
      <w:r w:rsidR="001B481B">
        <w:rPr>
          <w:noProof/>
        </w:rPr>
        <w:t>9</w:t>
      </w:r>
      <w:r w:rsidR="000A1C78">
        <w:rPr>
          <w:noProof/>
        </w:rPr>
        <w:fldChar w:fldCharType="end"/>
      </w:r>
      <w:bookmarkEnd w:id="3056"/>
      <w:r>
        <w:rPr>
          <w:lang w:val="pt-BR"/>
        </w:rPr>
        <w:t xml:space="preserve"> - </w:t>
      </w:r>
      <w:r w:rsidRPr="000758DE">
        <w:t>Mapas da Base Cartográfica</w:t>
      </w:r>
      <w:bookmarkEnd w:id="3057"/>
    </w:p>
    <w:p w:rsidR="00E95583" w:rsidRDefault="00E95583" w:rsidP="00E95583">
      <w:pPr>
        <w:rPr>
          <w:lang w:eastAsia="x-none"/>
        </w:rPr>
      </w:pPr>
    </w:p>
    <w:p w:rsidR="00E95583" w:rsidRDefault="00E95583" w:rsidP="00E95583">
      <w:pPr>
        <w:rPr>
          <w:lang w:eastAsia="x-none"/>
        </w:rPr>
      </w:pPr>
      <w:r>
        <w:rPr>
          <w:lang w:eastAsia="x-none"/>
        </w:rPr>
        <w:br w:type="page"/>
      </w:r>
    </w:p>
    <w:p w:rsidR="00BA64F4" w:rsidRDefault="00BA64F4" w:rsidP="00E95583">
      <w:pPr>
        <w:pStyle w:val="Legenda"/>
        <w:rPr>
          <w:lang w:val="pt-BR"/>
        </w:rPr>
      </w:pPr>
      <w:bookmarkStart w:id="3058" w:name="_Ref505843506"/>
      <w:bookmarkStart w:id="3059" w:name="_Toc509935889"/>
      <w:r>
        <w:lastRenderedPageBreak/>
        <w:t xml:space="preserve">Anexo </w:t>
      </w:r>
      <w:r w:rsidR="000A1C78">
        <w:fldChar w:fldCharType="begin"/>
      </w:r>
      <w:r w:rsidR="000A1C78">
        <w:instrText xml:space="preserve"> SEQ Anexo \* ARABIC </w:instrText>
      </w:r>
      <w:r w:rsidR="000A1C78">
        <w:fldChar w:fldCharType="separate"/>
      </w:r>
      <w:r w:rsidR="001B481B">
        <w:rPr>
          <w:noProof/>
        </w:rPr>
        <w:t>10</w:t>
      </w:r>
      <w:r w:rsidR="000A1C78">
        <w:rPr>
          <w:noProof/>
        </w:rPr>
        <w:fldChar w:fldCharType="end"/>
      </w:r>
      <w:bookmarkEnd w:id="3058"/>
      <w:r>
        <w:rPr>
          <w:lang w:val="pt-BR"/>
        </w:rPr>
        <w:t xml:space="preserve"> - </w:t>
      </w:r>
      <w:r w:rsidRPr="00BA64F4">
        <w:t>Dicionário de Dados da Base Cartográfica</w:t>
      </w:r>
      <w:bookmarkEnd w:id="3059"/>
    </w:p>
    <w:p w:rsidR="00E95583" w:rsidRDefault="00E95583" w:rsidP="00E95583">
      <w:pPr>
        <w:rPr>
          <w:lang w:eastAsia="x-none"/>
        </w:rPr>
      </w:pPr>
    </w:p>
    <w:p w:rsidR="00E95583" w:rsidRDefault="00E95583" w:rsidP="00E95583">
      <w:pPr>
        <w:rPr>
          <w:lang w:eastAsia="x-none"/>
        </w:rPr>
      </w:pPr>
      <w:r>
        <w:rPr>
          <w:lang w:eastAsia="x-none"/>
        </w:rPr>
        <w:br w:type="page"/>
      </w:r>
    </w:p>
    <w:p w:rsidR="00472CC5" w:rsidRDefault="00472CC5" w:rsidP="00E95583">
      <w:pPr>
        <w:pStyle w:val="Legenda"/>
        <w:rPr>
          <w:lang w:val="pt-BR"/>
        </w:rPr>
      </w:pPr>
      <w:bookmarkStart w:id="3060" w:name="_Ref505843568"/>
      <w:bookmarkStart w:id="3061" w:name="_Toc509935890"/>
      <w:r>
        <w:lastRenderedPageBreak/>
        <w:t xml:space="preserve">Anexo </w:t>
      </w:r>
      <w:r w:rsidR="000A1C78">
        <w:fldChar w:fldCharType="begin"/>
      </w:r>
      <w:r w:rsidR="000A1C78">
        <w:instrText xml:space="preserve"> SEQ Anexo \* ARABIC </w:instrText>
      </w:r>
      <w:r w:rsidR="000A1C78">
        <w:fldChar w:fldCharType="separate"/>
      </w:r>
      <w:r w:rsidR="001B481B">
        <w:rPr>
          <w:noProof/>
        </w:rPr>
        <w:t>11</w:t>
      </w:r>
      <w:r w:rsidR="000A1C78">
        <w:rPr>
          <w:noProof/>
        </w:rPr>
        <w:fldChar w:fldCharType="end"/>
      </w:r>
      <w:bookmarkEnd w:id="3060"/>
      <w:r>
        <w:rPr>
          <w:lang w:val="pt-BR"/>
        </w:rPr>
        <w:t xml:space="preserve"> - </w:t>
      </w:r>
      <w:r w:rsidRPr="00472CC5">
        <w:t>Dicas para a utilização do QGIS</w:t>
      </w:r>
      <w:bookmarkEnd w:id="3061"/>
    </w:p>
    <w:p w:rsidR="00E95583" w:rsidRDefault="00E95583" w:rsidP="00E95583">
      <w:pPr>
        <w:rPr>
          <w:lang w:eastAsia="x-none"/>
        </w:rPr>
      </w:pPr>
    </w:p>
    <w:p w:rsidR="00E95583" w:rsidRDefault="00E95583" w:rsidP="00E95583">
      <w:pPr>
        <w:rPr>
          <w:lang w:eastAsia="x-none"/>
        </w:rPr>
      </w:pPr>
      <w:r>
        <w:rPr>
          <w:lang w:eastAsia="x-none"/>
        </w:rPr>
        <w:br w:type="page"/>
      </w:r>
    </w:p>
    <w:p w:rsidR="00472CC5" w:rsidRPr="00472CC5" w:rsidRDefault="00472CC5" w:rsidP="00E95583">
      <w:pPr>
        <w:pStyle w:val="Legenda"/>
        <w:rPr>
          <w:highlight w:val="yellow"/>
          <w:lang w:val="pt-BR"/>
        </w:rPr>
      </w:pPr>
      <w:bookmarkStart w:id="3062" w:name="_Ref505843570"/>
      <w:bookmarkStart w:id="3063" w:name="_Toc509935891"/>
      <w:r>
        <w:lastRenderedPageBreak/>
        <w:t xml:space="preserve">Anexo </w:t>
      </w:r>
      <w:r w:rsidR="000A1C78">
        <w:fldChar w:fldCharType="begin"/>
      </w:r>
      <w:r w:rsidR="000A1C78">
        <w:instrText xml:space="preserve"> SEQ Anexo \* ARABIC </w:instrText>
      </w:r>
      <w:r w:rsidR="000A1C78">
        <w:fldChar w:fldCharType="separate"/>
      </w:r>
      <w:r w:rsidR="001B481B">
        <w:rPr>
          <w:noProof/>
        </w:rPr>
        <w:t>12</w:t>
      </w:r>
      <w:r w:rsidR="000A1C78">
        <w:rPr>
          <w:noProof/>
        </w:rPr>
        <w:fldChar w:fldCharType="end"/>
      </w:r>
      <w:bookmarkEnd w:id="3062"/>
      <w:r>
        <w:rPr>
          <w:lang w:val="pt-BR"/>
        </w:rPr>
        <w:t xml:space="preserve"> - </w:t>
      </w:r>
      <w:r w:rsidRPr="00472CC5">
        <w:t>Dicas para instalação do programa QGIS</w:t>
      </w:r>
      <w:bookmarkEnd w:id="3063"/>
    </w:p>
    <w:sectPr w:rsidR="00472CC5" w:rsidRPr="00472CC5" w:rsidSect="001B431A">
      <w:footerReference w:type="default" r:id="rId145"/>
      <w:pgSz w:w="11906" w:h="16838"/>
      <w:pgMar w:top="1134" w:right="1134"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A1C78" w:rsidRDefault="000A1C78" w:rsidP="008F3022">
      <w:pPr>
        <w:spacing w:line="240" w:lineRule="auto"/>
      </w:pPr>
      <w:r>
        <w:separator/>
      </w:r>
    </w:p>
  </w:endnote>
  <w:endnote w:type="continuationSeparator" w:id="0">
    <w:p w:rsidR="000A1C78" w:rsidRDefault="000A1C78" w:rsidP="008F302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gency FB">
    <w:panose1 w:val="020B0503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ha">
    <w:altName w:val="Vrinda"/>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Helvetica-Bold">
    <w:altName w:val="Times New Roman"/>
    <w:panose1 w:val="00000000000000000000"/>
    <w:charset w:val="00"/>
    <w:family w:val="roman"/>
    <w:notTrueType/>
    <w:pitch w:val="default"/>
  </w:font>
  <w:font w:name="Times-Roman">
    <w:altName w:val="Times New Roman"/>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rPr>
      <w:t>________________________________________________________________________________________</w:t>
    </w:r>
  </w:p>
  <w:p w:rsidR="000A1C78" w:rsidRDefault="000A1C78" w:rsidP="00810C89">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1B481B">
      <w:rPr>
        <w:noProof/>
        <w:color w:val="808080" w:themeColor="background1" w:themeShade="80"/>
        <w:lang w:val="en-US"/>
      </w:rPr>
      <w:t>60</w:t>
    </w:r>
    <w:r>
      <w:rPr>
        <w:color w:val="808080" w:themeColor="background1" w:themeShade="80"/>
      </w:rPr>
      <w:fldChar w:fldCharType="end"/>
    </w:r>
  </w:p>
  <w:p w:rsidR="000A1C78" w:rsidRDefault="000A1C78" w:rsidP="00810C89">
    <w:pPr>
      <w:pStyle w:val="Rodap"/>
      <w:tabs>
        <w:tab w:val="left" w:pos="2773"/>
      </w:tabs>
      <w:rPr>
        <w:color w:val="808080" w:themeColor="background1" w:themeShade="80"/>
        <w:lang w:val="en-US"/>
      </w:rPr>
    </w:pPr>
    <w:r>
      <w:rPr>
        <w:color w:val="808080" w:themeColor="background1" w:themeShade="80"/>
        <w:lang w:val="en-US"/>
      </w:rPr>
      <w:t>www.shs.com.br</w: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rPr>
      <w:t>________________________________________________________________________________________</w:t>
    </w:r>
  </w:p>
  <w:p w:rsidR="000A1C78" w:rsidRDefault="000A1C78" w:rsidP="00810C89">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1B481B">
      <w:rPr>
        <w:noProof/>
        <w:color w:val="808080" w:themeColor="background1" w:themeShade="80"/>
        <w:lang w:val="en-US"/>
      </w:rPr>
      <w:t>129</w:t>
    </w:r>
    <w:r>
      <w:rPr>
        <w:color w:val="808080" w:themeColor="background1" w:themeShade="80"/>
      </w:rPr>
      <w:fldChar w:fldCharType="end"/>
    </w:r>
  </w:p>
  <w:p w:rsidR="000A1C78" w:rsidRDefault="000A1C78" w:rsidP="00810C89">
    <w:pPr>
      <w:pStyle w:val="Rodap"/>
      <w:tabs>
        <w:tab w:val="left" w:pos="2773"/>
      </w:tabs>
      <w:rPr>
        <w:color w:val="808080" w:themeColor="background1" w:themeShade="80"/>
        <w:lang w:val="en-US"/>
      </w:rPr>
    </w:pPr>
    <w:r>
      <w:rPr>
        <w:color w:val="808080" w:themeColor="background1" w:themeShade="80"/>
        <w:lang w:val="en-US"/>
      </w:rPr>
      <w:t>www.shs.com.br</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lang w:val="pt-BR"/>
      </w:rPr>
      <w:t>__________________________________________________</w:t>
    </w:r>
    <w:r>
      <w:rPr>
        <w:color w:val="808080" w:themeColor="background1" w:themeShade="80"/>
      </w:rPr>
      <w:t>________________________________________________________________________________________</w:t>
    </w:r>
  </w:p>
  <w:p w:rsidR="000A1C78" w:rsidRPr="00810C89" w:rsidRDefault="000A1C78" w:rsidP="00810C89">
    <w:pPr>
      <w:pStyle w:val="Rodap"/>
      <w:rPr>
        <w:color w:val="808080" w:themeColor="background1" w:themeShade="80"/>
        <w:lang w:val="pt-BR"/>
      </w:rPr>
    </w:pPr>
    <w:r>
      <w:rPr>
        <w:color w:val="808080" w:themeColor="background1" w:themeShade="80"/>
      </w:rPr>
      <w:t xml:space="preserve">SHS Consultoria e Projetos de Engenharia Ltda.- </w:t>
    </w:r>
    <w:r w:rsidRPr="00810C89">
      <w:rPr>
        <w:color w:val="808080" w:themeColor="background1" w:themeShade="80"/>
        <w:lang w:val="pt-BR"/>
      </w:rPr>
      <w:t xml:space="preserve">EPP </w:t>
    </w:r>
    <w:r w:rsidRPr="00810C89">
      <w:rPr>
        <w:color w:val="808080" w:themeColor="background1" w:themeShade="80"/>
        <w:lang w:val="pt-BR"/>
      </w:rPr>
      <w:tab/>
      <w:t xml:space="preserve">                               </w:t>
    </w:r>
    <w:r w:rsidRPr="00810C89">
      <w:rPr>
        <w:color w:val="808080" w:themeColor="background1" w:themeShade="80"/>
        <w:lang w:val="pt-BR"/>
      </w:rPr>
      <w:tab/>
    </w:r>
    <w:r>
      <w:rPr>
        <w:color w:val="808080" w:themeColor="background1" w:themeShade="80"/>
        <w:lang w:val="pt-BR"/>
      </w:rPr>
      <w:tab/>
    </w:r>
    <w:r>
      <w:rPr>
        <w:color w:val="808080" w:themeColor="background1" w:themeShade="80"/>
        <w:lang w:val="pt-BR"/>
      </w:rPr>
      <w:tab/>
    </w:r>
    <w:r>
      <w:rPr>
        <w:color w:val="808080" w:themeColor="background1" w:themeShade="80"/>
      </w:rPr>
      <w:fldChar w:fldCharType="begin"/>
    </w:r>
    <w:r w:rsidRPr="00810C89">
      <w:rPr>
        <w:color w:val="808080" w:themeColor="background1" w:themeShade="80"/>
        <w:lang w:val="pt-BR"/>
      </w:rPr>
      <w:instrText>PAGE   \* MERGEFORMAT</w:instrText>
    </w:r>
    <w:r>
      <w:rPr>
        <w:color w:val="808080" w:themeColor="background1" w:themeShade="80"/>
      </w:rPr>
      <w:fldChar w:fldCharType="separate"/>
    </w:r>
    <w:r w:rsidR="001B481B">
      <w:rPr>
        <w:noProof/>
        <w:color w:val="808080" w:themeColor="background1" w:themeShade="80"/>
        <w:lang w:val="pt-BR"/>
      </w:rPr>
      <w:t>131</w:t>
    </w:r>
    <w:r>
      <w:rPr>
        <w:color w:val="808080" w:themeColor="background1" w:themeShade="80"/>
      </w:rPr>
      <w:fldChar w:fldCharType="end"/>
    </w:r>
  </w:p>
  <w:p w:rsidR="000A1C78" w:rsidRPr="00810C89" w:rsidRDefault="000A1C78" w:rsidP="00810C89">
    <w:pPr>
      <w:pStyle w:val="Rodap"/>
      <w:tabs>
        <w:tab w:val="left" w:pos="2773"/>
      </w:tabs>
      <w:rPr>
        <w:color w:val="808080" w:themeColor="background1" w:themeShade="80"/>
        <w:lang w:val="pt-BR"/>
      </w:rPr>
    </w:pPr>
    <w:r w:rsidRPr="00810C89">
      <w:rPr>
        <w:color w:val="808080" w:themeColor="background1" w:themeShade="80"/>
        <w:lang w:val="pt-BR"/>
      </w:rPr>
      <w:t>www.shs.com.br</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rPr>
      <w:t>________________________________________________________________________________________</w:t>
    </w:r>
  </w:p>
  <w:p w:rsidR="000A1C78" w:rsidRDefault="000A1C78" w:rsidP="00810C89">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1B481B">
      <w:rPr>
        <w:noProof/>
        <w:color w:val="808080" w:themeColor="background1" w:themeShade="80"/>
        <w:lang w:val="en-US"/>
      </w:rPr>
      <w:t>132</w:t>
    </w:r>
    <w:r>
      <w:rPr>
        <w:color w:val="808080" w:themeColor="background1" w:themeShade="80"/>
      </w:rPr>
      <w:fldChar w:fldCharType="end"/>
    </w:r>
  </w:p>
  <w:p w:rsidR="000A1C78" w:rsidRDefault="000A1C78" w:rsidP="00810C89">
    <w:pPr>
      <w:pStyle w:val="Rodap"/>
      <w:tabs>
        <w:tab w:val="left" w:pos="2773"/>
      </w:tabs>
      <w:rPr>
        <w:color w:val="808080" w:themeColor="background1" w:themeShade="80"/>
        <w:lang w:val="en-US"/>
      </w:rPr>
    </w:pPr>
    <w:r>
      <w:rPr>
        <w:color w:val="808080" w:themeColor="background1" w:themeShade="80"/>
        <w:lang w:val="en-US"/>
      </w:rPr>
      <w:t>www.shs.com.br</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lang w:val="pt-BR"/>
      </w:rPr>
      <w:t>__________________________________________________</w:t>
    </w:r>
    <w:r>
      <w:rPr>
        <w:color w:val="808080" w:themeColor="background1" w:themeShade="80"/>
      </w:rPr>
      <w:t>________________________________________________________________________________________</w:t>
    </w:r>
  </w:p>
  <w:p w:rsidR="000A1C78" w:rsidRPr="00810C89" w:rsidRDefault="000A1C78" w:rsidP="00810C89">
    <w:pPr>
      <w:pStyle w:val="Rodap"/>
      <w:rPr>
        <w:color w:val="808080" w:themeColor="background1" w:themeShade="80"/>
        <w:lang w:val="pt-BR"/>
      </w:rPr>
    </w:pPr>
    <w:r>
      <w:rPr>
        <w:color w:val="808080" w:themeColor="background1" w:themeShade="80"/>
      </w:rPr>
      <w:t xml:space="preserve">SHS Consultoria e Projetos de Engenharia Ltda.- </w:t>
    </w:r>
    <w:r w:rsidRPr="00810C89">
      <w:rPr>
        <w:color w:val="808080" w:themeColor="background1" w:themeShade="80"/>
        <w:lang w:val="pt-BR"/>
      </w:rPr>
      <w:t xml:space="preserve">EPP </w:t>
    </w:r>
    <w:r w:rsidRPr="00810C89">
      <w:rPr>
        <w:color w:val="808080" w:themeColor="background1" w:themeShade="80"/>
        <w:lang w:val="pt-BR"/>
      </w:rPr>
      <w:tab/>
      <w:t xml:space="preserve">                               </w:t>
    </w:r>
    <w:r w:rsidRPr="00810C89">
      <w:rPr>
        <w:color w:val="808080" w:themeColor="background1" w:themeShade="80"/>
        <w:lang w:val="pt-BR"/>
      </w:rPr>
      <w:tab/>
    </w:r>
    <w:r>
      <w:rPr>
        <w:color w:val="808080" w:themeColor="background1" w:themeShade="80"/>
        <w:lang w:val="pt-BR"/>
      </w:rPr>
      <w:tab/>
    </w:r>
    <w:r>
      <w:rPr>
        <w:color w:val="808080" w:themeColor="background1" w:themeShade="80"/>
        <w:lang w:val="pt-BR"/>
      </w:rPr>
      <w:tab/>
    </w:r>
    <w:r>
      <w:rPr>
        <w:color w:val="808080" w:themeColor="background1" w:themeShade="80"/>
      </w:rPr>
      <w:fldChar w:fldCharType="begin"/>
    </w:r>
    <w:r w:rsidRPr="00810C89">
      <w:rPr>
        <w:color w:val="808080" w:themeColor="background1" w:themeShade="80"/>
        <w:lang w:val="pt-BR"/>
      </w:rPr>
      <w:instrText>PAGE   \* MERGEFORMAT</w:instrText>
    </w:r>
    <w:r>
      <w:rPr>
        <w:color w:val="808080" w:themeColor="background1" w:themeShade="80"/>
      </w:rPr>
      <w:fldChar w:fldCharType="separate"/>
    </w:r>
    <w:r w:rsidR="001B481B">
      <w:rPr>
        <w:noProof/>
        <w:color w:val="808080" w:themeColor="background1" w:themeShade="80"/>
        <w:lang w:val="pt-BR"/>
      </w:rPr>
      <w:t>143</w:t>
    </w:r>
    <w:r>
      <w:rPr>
        <w:color w:val="808080" w:themeColor="background1" w:themeShade="80"/>
      </w:rPr>
      <w:fldChar w:fldCharType="end"/>
    </w:r>
  </w:p>
  <w:p w:rsidR="000A1C78" w:rsidRPr="00810C89" w:rsidRDefault="000A1C78" w:rsidP="00810C89">
    <w:pPr>
      <w:pStyle w:val="Rodap"/>
      <w:tabs>
        <w:tab w:val="left" w:pos="2773"/>
      </w:tabs>
      <w:rPr>
        <w:color w:val="808080" w:themeColor="background1" w:themeShade="80"/>
        <w:lang w:val="pt-BR"/>
      </w:rPr>
    </w:pPr>
    <w:r w:rsidRPr="00810C89">
      <w:rPr>
        <w:color w:val="808080" w:themeColor="background1" w:themeShade="80"/>
        <w:lang w:val="pt-BR"/>
      </w:rPr>
      <w:t>www.shs.com.br</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rPr>
      <w:t>________________________________________________________________________________________</w:t>
    </w:r>
  </w:p>
  <w:p w:rsidR="000A1C78" w:rsidRDefault="000A1C78" w:rsidP="00810C89">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1B481B">
      <w:rPr>
        <w:noProof/>
        <w:color w:val="808080" w:themeColor="background1" w:themeShade="80"/>
        <w:lang w:val="en-US"/>
      </w:rPr>
      <w:t>151</w:t>
    </w:r>
    <w:r>
      <w:rPr>
        <w:color w:val="808080" w:themeColor="background1" w:themeShade="80"/>
      </w:rPr>
      <w:fldChar w:fldCharType="end"/>
    </w:r>
  </w:p>
  <w:p w:rsidR="000A1C78" w:rsidRDefault="000A1C78" w:rsidP="00810C89">
    <w:pPr>
      <w:pStyle w:val="Rodap"/>
      <w:tabs>
        <w:tab w:val="left" w:pos="2773"/>
      </w:tabs>
      <w:rPr>
        <w:color w:val="808080" w:themeColor="background1" w:themeShade="80"/>
        <w:lang w:val="en-US"/>
      </w:rPr>
    </w:pPr>
    <w:r>
      <w:rPr>
        <w:color w:val="808080" w:themeColor="background1" w:themeShade="80"/>
        <w:lang w:val="en-US"/>
      </w:rPr>
      <w:t>www.shs.com.br</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lang w:val="pt-BR"/>
      </w:rPr>
      <w:t>__________________________________________________</w:t>
    </w:r>
    <w:r>
      <w:rPr>
        <w:color w:val="808080" w:themeColor="background1" w:themeShade="80"/>
      </w:rPr>
      <w:t>________________________________________________________________________________________</w:t>
    </w:r>
  </w:p>
  <w:p w:rsidR="000A1C78" w:rsidRPr="00810C89" w:rsidRDefault="000A1C78" w:rsidP="00810C89">
    <w:pPr>
      <w:pStyle w:val="Rodap"/>
      <w:rPr>
        <w:color w:val="808080" w:themeColor="background1" w:themeShade="80"/>
        <w:lang w:val="pt-BR"/>
      </w:rPr>
    </w:pPr>
    <w:r>
      <w:rPr>
        <w:color w:val="808080" w:themeColor="background1" w:themeShade="80"/>
      </w:rPr>
      <w:t xml:space="preserve">SHS Consultoria e Projetos de Engenharia Ltda.- </w:t>
    </w:r>
    <w:r w:rsidRPr="00810C89">
      <w:rPr>
        <w:color w:val="808080" w:themeColor="background1" w:themeShade="80"/>
        <w:lang w:val="pt-BR"/>
      </w:rPr>
      <w:t xml:space="preserve">EPP </w:t>
    </w:r>
    <w:r w:rsidRPr="00810C89">
      <w:rPr>
        <w:color w:val="808080" w:themeColor="background1" w:themeShade="80"/>
        <w:lang w:val="pt-BR"/>
      </w:rPr>
      <w:tab/>
      <w:t xml:space="preserve">                               </w:t>
    </w:r>
    <w:r w:rsidRPr="00810C89">
      <w:rPr>
        <w:color w:val="808080" w:themeColor="background1" w:themeShade="80"/>
        <w:lang w:val="pt-BR"/>
      </w:rPr>
      <w:tab/>
    </w:r>
    <w:r>
      <w:rPr>
        <w:color w:val="808080" w:themeColor="background1" w:themeShade="80"/>
        <w:lang w:val="pt-BR"/>
      </w:rPr>
      <w:tab/>
    </w:r>
    <w:r>
      <w:rPr>
        <w:color w:val="808080" w:themeColor="background1" w:themeShade="80"/>
        <w:lang w:val="pt-BR"/>
      </w:rPr>
      <w:tab/>
    </w:r>
    <w:r>
      <w:rPr>
        <w:color w:val="808080" w:themeColor="background1" w:themeShade="80"/>
      </w:rPr>
      <w:fldChar w:fldCharType="begin"/>
    </w:r>
    <w:r w:rsidRPr="00810C89">
      <w:rPr>
        <w:color w:val="808080" w:themeColor="background1" w:themeShade="80"/>
        <w:lang w:val="pt-BR"/>
      </w:rPr>
      <w:instrText>PAGE   \* MERGEFORMAT</w:instrText>
    </w:r>
    <w:r>
      <w:rPr>
        <w:color w:val="808080" w:themeColor="background1" w:themeShade="80"/>
      </w:rPr>
      <w:fldChar w:fldCharType="separate"/>
    </w:r>
    <w:r w:rsidR="001B481B">
      <w:rPr>
        <w:noProof/>
        <w:color w:val="808080" w:themeColor="background1" w:themeShade="80"/>
        <w:lang w:val="pt-BR"/>
      </w:rPr>
      <w:t>153</w:t>
    </w:r>
    <w:r>
      <w:rPr>
        <w:color w:val="808080" w:themeColor="background1" w:themeShade="80"/>
      </w:rPr>
      <w:fldChar w:fldCharType="end"/>
    </w:r>
  </w:p>
  <w:p w:rsidR="000A1C78" w:rsidRPr="00810C89" w:rsidRDefault="000A1C78" w:rsidP="00810C89">
    <w:pPr>
      <w:pStyle w:val="Rodap"/>
      <w:tabs>
        <w:tab w:val="left" w:pos="2773"/>
      </w:tabs>
      <w:rPr>
        <w:color w:val="808080" w:themeColor="background1" w:themeShade="80"/>
        <w:lang w:val="pt-BR"/>
      </w:rPr>
    </w:pPr>
    <w:r w:rsidRPr="00810C89">
      <w:rPr>
        <w:color w:val="808080" w:themeColor="background1" w:themeShade="80"/>
        <w:lang w:val="pt-BR"/>
      </w:rPr>
      <w:t>www.shs.com.br</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rPr>
      <w:t>________________________________________________________________________________________</w:t>
    </w:r>
  </w:p>
  <w:p w:rsidR="000A1C78" w:rsidRDefault="000A1C78" w:rsidP="00810C89">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1B481B">
      <w:rPr>
        <w:noProof/>
        <w:color w:val="808080" w:themeColor="background1" w:themeShade="80"/>
        <w:lang w:val="en-US"/>
      </w:rPr>
      <w:t>155</w:t>
    </w:r>
    <w:r>
      <w:rPr>
        <w:color w:val="808080" w:themeColor="background1" w:themeShade="80"/>
      </w:rPr>
      <w:fldChar w:fldCharType="end"/>
    </w:r>
  </w:p>
  <w:p w:rsidR="000A1C78" w:rsidRDefault="000A1C78" w:rsidP="00810C89">
    <w:pPr>
      <w:pStyle w:val="Rodap"/>
      <w:tabs>
        <w:tab w:val="left" w:pos="2773"/>
      </w:tabs>
      <w:rPr>
        <w:color w:val="808080" w:themeColor="background1" w:themeShade="80"/>
        <w:lang w:val="en-US"/>
      </w:rPr>
    </w:pPr>
    <w:r>
      <w:rPr>
        <w:color w:val="808080" w:themeColor="background1" w:themeShade="80"/>
        <w:lang w:val="en-US"/>
      </w:rPr>
      <w:t>www.shs.com.br</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lang w:val="pt-BR"/>
      </w:rPr>
      <w:t>__________________________________________________</w:t>
    </w:r>
    <w:r>
      <w:rPr>
        <w:color w:val="808080" w:themeColor="background1" w:themeShade="80"/>
      </w:rPr>
      <w:t>________________________________________________________________________________________</w:t>
    </w:r>
  </w:p>
  <w:p w:rsidR="000A1C78" w:rsidRPr="00810C89" w:rsidRDefault="000A1C78" w:rsidP="00810C89">
    <w:pPr>
      <w:pStyle w:val="Rodap"/>
      <w:rPr>
        <w:color w:val="808080" w:themeColor="background1" w:themeShade="80"/>
        <w:lang w:val="pt-BR"/>
      </w:rPr>
    </w:pPr>
    <w:r>
      <w:rPr>
        <w:color w:val="808080" w:themeColor="background1" w:themeShade="80"/>
      </w:rPr>
      <w:t xml:space="preserve">SHS Consultoria e Projetos de Engenharia Ltda.- </w:t>
    </w:r>
    <w:r w:rsidRPr="00810C89">
      <w:rPr>
        <w:color w:val="808080" w:themeColor="background1" w:themeShade="80"/>
        <w:lang w:val="pt-BR"/>
      </w:rPr>
      <w:t xml:space="preserve">EPP </w:t>
    </w:r>
    <w:r w:rsidRPr="00810C89">
      <w:rPr>
        <w:color w:val="808080" w:themeColor="background1" w:themeShade="80"/>
        <w:lang w:val="pt-BR"/>
      </w:rPr>
      <w:tab/>
      <w:t xml:space="preserve">                               </w:t>
    </w:r>
    <w:r w:rsidRPr="00810C89">
      <w:rPr>
        <w:color w:val="808080" w:themeColor="background1" w:themeShade="80"/>
        <w:lang w:val="pt-BR"/>
      </w:rPr>
      <w:tab/>
    </w:r>
    <w:r>
      <w:rPr>
        <w:color w:val="808080" w:themeColor="background1" w:themeShade="80"/>
        <w:lang w:val="pt-BR"/>
      </w:rPr>
      <w:tab/>
    </w:r>
    <w:r>
      <w:rPr>
        <w:color w:val="808080" w:themeColor="background1" w:themeShade="80"/>
        <w:lang w:val="pt-BR"/>
      </w:rPr>
      <w:tab/>
    </w:r>
    <w:r>
      <w:rPr>
        <w:color w:val="808080" w:themeColor="background1" w:themeShade="80"/>
      </w:rPr>
      <w:fldChar w:fldCharType="begin"/>
    </w:r>
    <w:r w:rsidRPr="00810C89">
      <w:rPr>
        <w:color w:val="808080" w:themeColor="background1" w:themeShade="80"/>
        <w:lang w:val="pt-BR"/>
      </w:rPr>
      <w:instrText>PAGE   \* MERGEFORMAT</w:instrText>
    </w:r>
    <w:r>
      <w:rPr>
        <w:color w:val="808080" w:themeColor="background1" w:themeShade="80"/>
      </w:rPr>
      <w:fldChar w:fldCharType="separate"/>
    </w:r>
    <w:r w:rsidR="001B481B">
      <w:rPr>
        <w:noProof/>
        <w:color w:val="808080" w:themeColor="background1" w:themeShade="80"/>
        <w:lang w:val="pt-BR"/>
      </w:rPr>
      <w:t>157</w:t>
    </w:r>
    <w:r>
      <w:rPr>
        <w:color w:val="808080" w:themeColor="background1" w:themeShade="80"/>
      </w:rPr>
      <w:fldChar w:fldCharType="end"/>
    </w:r>
  </w:p>
  <w:p w:rsidR="000A1C78" w:rsidRPr="00810C89" w:rsidRDefault="000A1C78" w:rsidP="00810C89">
    <w:pPr>
      <w:pStyle w:val="Rodap"/>
      <w:tabs>
        <w:tab w:val="left" w:pos="2773"/>
      </w:tabs>
      <w:rPr>
        <w:color w:val="808080" w:themeColor="background1" w:themeShade="80"/>
        <w:lang w:val="pt-BR"/>
      </w:rPr>
    </w:pPr>
    <w:r w:rsidRPr="00810C89">
      <w:rPr>
        <w:color w:val="808080" w:themeColor="background1" w:themeShade="80"/>
        <w:lang w:val="pt-BR"/>
      </w:rPr>
      <w:t>www.shs.com.br</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rPr>
      <w:t>________________________________________________________________________________________</w:t>
    </w:r>
  </w:p>
  <w:p w:rsidR="000A1C78" w:rsidRDefault="000A1C78" w:rsidP="00810C89">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1B481B">
      <w:rPr>
        <w:noProof/>
        <w:color w:val="808080" w:themeColor="background1" w:themeShade="80"/>
        <w:lang w:val="en-US"/>
      </w:rPr>
      <w:t>158</w:t>
    </w:r>
    <w:r>
      <w:rPr>
        <w:color w:val="808080" w:themeColor="background1" w:themeShade="80"/>
      </w:rPr>
      <w:fldChar w:fldCharType="end"/>
    </w:r>
  </w:p>
  <w:p w:rsidR="000A1C78" w:rsidRDefault="000A1C78" w:rsidP="00810C89">
    <w:pPr>
      <w:pStyle w:val="Rodap"/>
      <w:tabs>
        <w:tab w:val="left" w:pos="2773"/>
      </w:tabs>
      <w:rPr>
        <w:color w:val="808080" w:themeColor="background1" w:themeShade="80"/>
        <w:lang w:val="en-US"/>
      </w:rPr>
    </w:pPr>
    <w:r>
      <w:rPr>
        <w:color w:val="808080" w:themeColor="background1" w:themeShade="80"/>
        <w:lang w:val="en-US"/>
      </w:rPr>
      <w:t>www.shs.com.br</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lang w:val="pt-BR"/>
      </w:rPr>
      <w:t>__________________________________________________</w:t>
    </w:r>
    <w:r>
      <w:rPr>
        <w:color w:val="808080" w:themeColor="background1" w:themeShade="80"/>
      </w:rPr>
      <w:t>________________________________________________________________________________________</w:t>
    </w:r>
  </w:p>
  <w:p w:rsidR="000A1C78" w:rsidRPr="00810C89" w:rsidRDefault="000A1C78" w:rsidP="00810C89">
    <w:pPr>
      <w:pStyle w:val="Rodap"/>
      <w:rPr>
        <w:color w:val="808080" w:themeColor="background1" w:themeShade="80"/>
        <w:lang w:val="pt-BR"/>
      </w:rPr>
    </w:pPr>
    <w:r>
      <w:rPr>
        <w:color w:val="808080" w:themeColor="background1" w:themeShade="80"/>
      </w:rPr>
      <w:t xml:space="preserve">SHS Consultoria e Projetos de Engenharia Ltda.- </w:t>
    </w:r>
    <w:r w:rsidRPr="00810C89">
      <w:rPr>
        <w:color w:val="808080" w:themeColor="background1" w:themeShade="80"/>
        <w:lang w:val="pt-BR"/>
      </w:rPr>
      <w:t xml:space="preserve">EPP </w:t>
    </w:r>
    <w:r w:rsidRPr="00810C89">
      <w:rPr>
        <w:color w:val="808080" w:themeColor="background1" w:themeShade="80"/>
        <w:lang w:val="pt-BR"/>
      </w:rPr>
      <w:tab/>
      <w:t xml:space="preserve">                               </w:t>
    </w:r>
    <w:r w:rsidRPr="00810C89">
      <w:rPr>
        <w:color w:val="808080" w:themeColor="background1" w:themeShade="80"/>
        <w:lang w:val="pt-BR"/>
      </w:rPr>
      <w:tab/>
    </w:r>
    <w:r>
      <w:rPr>
        <w:color w:val="808080" w:themeColor="background1" w:themeShade="80"/>
        <w:lang w:val="pt-BR"/>
      </w:rPr>
      <w:tab/>
    </w:r>
    <w:r>
      <w:rPr>
        <w:color w:val="808080" w:themeColor="background1" w:themeShade="80"/>
        <w:lang w:val="pt-BR"/>
      </w:rPr>
      <w:tab/>
    </w:r>
    <w:r>
      <w:rPr>
        <w:color w:val="808080" w:themeColor="background1" w:themeShade="80"/>
      </w:rPr>
      <w:fldChar w:fldCharType="begin"/>
    </w:r>
    <w:r w:rsidRPr="00810C89">
      <w:rPr>
        <w:color w:val="808080" w:themeColor="background1" w:themeShade="80"/>
        <w:lang w:val="pt-BR"/>
      </w:rPr>
      <w:instrText>PAGE   \* MERGEFORMAT</w:instrText>
    </w:r>
    <w:r>
      <w:rPr>
        <w:color w:val="808080" w:themeColor="background1" w:themeShade="80"/>
      </w:rPr>
      <w:fldChar w:fldCharType="separate"/>
    </w:r>
    <w:r w:rsidR="001B481B">
      <w:rPr>
        <w:noProof/>
        <w:color w:val="808080" w:themeColor="background1" w:themeShade="80"/>
        <w:lang w:val="pt-BR"/>
      </w:rPr>
      <w:t>170</w:t>
    </w:r>
    <w:r>
      <w:rPr>
        <w:color w:val="808080" w:themeColor="background1" w:themeShade="80"/>
      </w:rPr>
      <w:fldChar w:fldCharType="end"/>
    </w:r>
  </w:p>
  <w:p w:rsidR="000A1C78" w:rsidRPr="00810C89" w:rsidRDefault="000A1C78" w:rsidP="00810C89">
    <w:pPr>
      <w:pStyle w:val="Rodap"/>
      <w:tabs>
        <w:tab w:val="left" w:pos="2773"/>
      </w:tabs>
      <w:rPr>
        <w:color w:val="808080" w:themeColor="background1" w:themeShade="80"/>
        <w:lang w:val="pt-BR"/>
      </w:rPr>
    </w:pPr>
    <w:r w:rsidRPr="00810C89">
      <w:rPr>
        <w:color w:val="808080" w:themeColor="background1" w:themeShade="80"/>
        <w:lang w:val="pt-BR"/>
      </w:rPr>
      <w:t>www.shs.com.br</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rPr>
      <w:t>________________________________________________________________________________________</w:t>
    </w:r>
  </w:p>
  <w:p w:rsidR="000A1C78" w:rsidRPr="00810C89" w:rsidRDefault="000A1C78" w:rsidP="00810C89">
    <w:pPr>
      <w:pStyle w:val="Rodap"/>
      <w:rPr>
        <w:color w:val="808080" w:themeColor="background1" w:themeShade="80"/>
        <w:lang w:val="pt-BR"/>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p>
  <w:p w:rsidR="000A1C78" w:rsidRDefault="000A1C78" w:rsidP="00810C89">
    <w:pPr>
      <w:pStyle w:val="Rodap"/>
      <w:tabs>
        <w:tab w:val="left" w:pos="2773"/>
      </w:tabs>
      <w:rPr>
        <w:color w:val="808080" w:themeColor="background1" w:themeShade="80"/>
        <w:lang w:val="en-US"/>
      </w:rPr>
    </w:pPr>
    <w:r>
      <w:rPr>
        <w:color w:val="808080" w:themeColor="background1" w:themeShade="80"/>
        <w:lang w:val="en-US"/>
      </w:rPr>
      <w:t>www.shs.com.br</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rPr>
      <w:t>________________________________________________________________________________________</w:t>
    </w:r>
  </w:p>
  <w:p w:rsidR="000A1C78" w:rsidRDefault="000A1C78" w:rsidP="00810C89">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1B481B">
      <w:rPr>
        <w:noProof/>
        <w:color w:val="808080" w:themeColor="background1" w:themeShade="80"/>
        <w:lang w:val="en-US"/>
      </w:rPr>
      <w:t>183</w:t>
    </w:r>
    <w:r>
      <w:rPr>
        <w:color w:val="808080" w:themeColor="background1" w:themeShade="80"/>
      </w:rPr>
      <w:fldChar w:fldCharType="end"/>
    </w:r>
  </w:p>
  <w:p w:rsidR="000A1C78" w:rsidRDefault="000A1C78" w:rsidP="00810C89">
    <w:pPr>
      <w:pStyle w:val="Rodap"/>
      <w:tabs>
        <w:tab w:val="left" w:pos="2773"/>
      </w:tabs>
      <w:rPr>
        <w:color w:val="808080" w:themeColor="background1" w:themeShade="80"/>
        <w:lang w:val="en-US"/>
      </w:rPr>
    </w:pPr>
    <w:r>
      <w:rPr>
        <w:color w:val="808080" w:themeColor="background1" w:themeShade="80"/>
        <w:lang w:val="en-US"/>
      </w:rPr>
      <w:t>www.shs.com.br</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lang w:val="pt-BR"/>
      </w:rPr>
      <w:t>__________________________________________________</w:t>
    </w:r>
    <w:r>
      <w:rPr>
        <w:color w:val="808080" w:themeColor="background1" w:themeShade="80"/>
      </w:rPr>
      <w:t>________________________________________________________________________________________</w:t>
    </w:r>
  </w:p>
  <w:p w:rsidR="000A1C78" w:rsidRPr="00810C89" w:rsidRDefault="000A1C78" w:rsidP="00810C89">
    <w:pPr>
      <w:pStyle w:val="Rodap"/>
      <w:rPr>
        <w:color w:val="808080" w:themeColor="background1" w:themeShade="80"/>
        <w:lang w:val="pt-BR"/>
      </w:rPr>
    </w:pPr>
    <w:r>
      <w:rPr>
        <w:color w:val="808080" w:themeColor="background1" w:themeShade="80"/>
      </w:rPr>
      <w:t xml:space="preserve">SHS Consultoria e Projetos de Engenharia Ltda.- </w:t>
    </w:r>
    <w:r w:rsidRPr="00810C89">
      <w:rPr>
        <w:color w:val="808080" w:themeColor="background1" w:themeShade="80"/>
        <w:lang w:val="pt-BR"/>
      </w:rPr>
      <w:t xml:space="preserve">EPP </w:t>
    </w:r>
    <w:r w:rsidRPr="00810C89">
      <w:rPr>
        <w:color w:val="808080" w:themeColor="background1" w:themeShade="80"/>
        <w:lang w:val="pt-BR"/>
      </w:rPr>
      <w:tab/>
      <w:t xml:space="preserve">                               </w:t>
    </w:r>
    <w:r w:rsidRPr="00810C89">
      <w:rPr>
        <w:color w:val="808080" w:themeColor="background1" w:themeShade="80"/>
        <w:lang w:val="pt-BR"/>
      </w:rPr>
      <w:tab/>
    </w:r>
    <w:r>
      <w:rPr>
        <w:color w:val="808080" w:themeColor="background1" w:themeShade="80"/>
        <w:lang w:val="pt-BR"/>
      </w:rPr>
      <w:tab/>
    </w:r>
    <w:r>
      <w:rPr>
        <w:color w:val="808080" w:themeColor="background1" w:themeShade="80"/>
        <w:lang w:val="pt-BR"/>
      </w:rPr>
      <w:tab/>
    </w:r>
    <w:r>
      <w:rPr>
        <w:color w:val="808080" w:themeColor="background1" w:themeShade="80"/>
      </w:rPr>
      <w:fldChar w:fldCharType="begin"/>
    </w:r>
    <w:r w:rsidRPr="00810C89">
      <w:rPr>
        <w:color w:val="808080" w:themeColor="background1" w:themeShade="80"/>
        <w:lang w:val="pt-BR"/>
      </w:rPr>
      <w:instrText>PAGE   \* MERGEFORMAT</w:instrText>
    </w:r>
    <w:r>
      <w:rPr>
        <w:color w:val="808080" w:themeColor="background1" w:themeShade="80"/>
      </w:rPr>
      <w:fldChar w:fldCharType="separate"/>
    </w:r>
    <w:r w:rsidR="001B481B">
      <w:rPr>
        <w:noProof/>
        <w:color w:val="808080" w:themeColor="background1" w:themeShade="80"/>
        <w:lang w:val="pt-BR"/>
      </w:rPr>
      <w:t>185</w:t>
    </w:r>
    <w:r>
      <w:rPr>
        <w:color w:val="808080" w:themeColor="background1" w:themeShade="80"/>
      </w:rPr>
      <w:fldChar w:fldCharType="end"/>
    </w:r>
  </w:p>
  <w:p w:rsidR="000A1C78" w:rsidRPr="00810C89" w:rsidRDefault="000A1C78" w:rsidP="00810C89">
    <w:pPr>
      <w:pStyle w:val="Rodap"/>
      <w:tabs>
        <w:tab w:val="left" w:pos="2773"/>
      </w:tabs>
      <w:rPr>
        <w:color w:val="808080" w:themeColor="background1" w:themeShade="80"/>
        <w:lang w:val="pt-BR"/>
      </w:rPr>
    </w:pPr>
    <w:r w:rsidRPr="00810C89">
      <w:rPr>
        <w:color w:val="808080" w:themeColor="background1" w:themeShade="80"/>
        <w:lang w:val="pt-BR"/>
      </w:rPr>
      <w:t>www.shs.com.br</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rPr>
      <w:t>________________________________________________________________________________________</w:t>
    </w:r>
  </w:p>
  <w:p w:rsidR="000A1C78" w:rsidRDefault="000A1C78" w:rsidP="00810C89">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1B481B">
      <w:rPr>
        <w:noProof/>
        <w:color w:val="808080" w:themeColor="background1" w:themeShade="80"/>
        <w:lang w:val="en-US"/>
      </w:rPr>
      <w:t>187</w:t>
    </w:r>
    <w:r>
      <w:rPr>
        <w:color w:val="808080" w:themeColor="background1" w:themeShade="80"/>
      </w:rPr>
      <w:fldChar w:fldCharType="end"/>
    </w:r>
  </w:p>
  <w:p w:rsidR="000A1C78" w:rsidRDefault="000A1C78" w:rsidP="00810C89">
    <w:pPr>
      <w:pStyle w:val="Rodap"/>
      <w:tabs>
        <w:tab w:val="left" w:pos="2773"/>
      </w:tabs>
      <w:rPr>
        <w:color w:val="808080" w:themeColor="background1" w:themeShade="80"/>
        <w:lang w:val="en-US"/>
      </w:rPr>
    </w:pPr>
    <w:r>
      <w:rPr>
        <w:color w:val="808080" w:themeColor="background1" w:themeShade="80"/>
        <w:lang w:val="en-US"/>
      </w:rPr>
      <w:t>www.shs.com.br</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lang w:val="pt-BR"/>
      </w:rPr>
      <w:t>__________________________________________________</w:t>
    </w:r>
    <w:r>
      <w:rPr>
        <w:color w:val="808080" w:themeColor="background1" w:themeShade="80"/>
      </w:rPr>
      <w:t>________________________________________________________________________________________</w:t>
    </w:r>
  </w:p>
  <w:p w:rsidR="000A1C78" w:rsidRPr="00810C89" w:rsidRDefault="000A1C78" w:rsidP="00810C89">
    <w:pPr>
      <w:pStyle w:val="Rodap"/>
      <w:rPr>
        <w:color w:val="808080" w:themeColor="background1" w:themeShade="80"/>
        <w:lang w:val="pt-BR"/>
      </w:rPr>
    </w:pPr>
    <w:r>
      <w:rPr>
        <w:color w:val="808080" w:themeColor="background1" w:themeShade="80"/>
      </w:rPr>
      <w:t xml:space="preserve">SHS Consultoria e Projetos de Engenharia Ltda.- </w:t>
    </w:r>
    <w:r w:rsidRPr="00810C89">
      <w:rPr>
        <w:color w:val="808080" w:themeColor="background1" w:themeShade="80"/>
        <w:lang w:val="pt-BR"/>
      </w:rPr>
      <w:t xml:space="preserve">EPP </w:t>
    </w:r>
    <w:r w:rsidRPr="00810C89">
      <w:rPr>
        <w:color w:val="808080" w:themeColor="background1" w:themeShade="80"/>
        <w:lang w:val="pt-BR"/>
      </w:rPr>
      <w:tab/>
      <w:t xml:space="preserve">                               </w:t>
    </w:r>
    <w:r w:rsidRPr="00810C89">
      <w:rPr>
        <w:color w:val="808080" w:themeColor="background1" w:themeShade="80"/>
        <w:lang w:val="pt-BR"/>
      </w:rPr>
      <w:tab/>
    </w:r>
    <w:r>
      <w:rPr>
        <w:color w:val="808080" w:themeColor="background1" w:themeShade="80"/>
        <w:lang w:val="pt-BR"/>
      </w:rPr>
      <w:tab/>
    </w:r>
    <w:r>
      <w:rPr>
        <w:color w:val="808080" w:themeColor="background1" w:themeShade="80"/>
        <w:lang w:val="pt-BR"/>
      </w:rPr>
      <w:tab/>
    </w:r>
    <w:r>
      <w:rPr>
        <w:color w:val="808080" w:themeColor="background1" w:themeShade="80"/>
      </w:rPr>
      <w:fldChar w:fldCharType="begin"/>
    </w:r>
    <w:r w:rsidRPr="00810C89">
      <w:rPr>
        <w:color w:val="808080" w:themeColor="background1" w:themeShade="80"/>
        <w:lang w:val="pt-BR"/>
      </w:rPr>
      <w:instrText>PAGE   \* MERGEFORMAT</w:instrText>
    </w:r>
    <w:r>
      <w:rPr>
        <w:color w:val="808080" w:themeColor="background1" w:themeShade="80"/>
      </w:rPr>
      <w:fldChar w:fldCharType="separate"/>
    </w:r>
    <w:r w:rsidR="001B481B">
      <w:rPr>
        <w:noProof/>
        <w:color w:val="808080" w:themeColor="background1" w:themeShade="80"/>
        <w:lang w:val="pt-BR"/>
      </w:rPr>
      <w:t>188</w:t>
    </w:r>
    <w:r>
      <w:rPr>
        <w:color w:val="808080" w:themeColor="background1" w:themeShade="80"/>
      </w:rPr>
      <w:fldChar w:fldCharType="end"/>
    </w:r>
  </w:p>
  <w:p w:rsidR="000A1C78" w:rsidRPr="00810C89" w:rsidRDefault="000A1C78" w:rsidP="00810C89">
    <w:pPr>
      <w:pStyle w:val="Rodap"/>
      <w:tabs>
        <w:tab w:val="left" w:pos="2773"/>
      </w:tabs>
      <w:rPr>
        <w:color w:val="808080" w:themeColor="background1" w:themeShade="80"/>
        <w:lang w:val="pt-BR"/>
      </w:rPr>
    </w:pPr>
    <w:r w:rsidRPr="00810C89">
      <w:rPr>
        <w:color w:val="808080" w:themeColor="background1" w:themeShade="80"/>
        <w:lang w:val="pt-BR"/>
      </w:rPr>
      <w:t>www.shs.com.br</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rPr>
      <w:t>________________________________________________________________________________________</w:t>
    </w:r>
  </w:p>
  <w:p w:rsidR="000A1C78" w:rsidRDefault="000A1C78" w:rsidP="00810C89">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1B481B">
      <w:rPr>
        <w:noProof/>
        <w:color w:val="808080" w:themeColor="background1" w:themeShade="80"/>
        <w:lang w:val="en-US"/>
      </w:rPr>
      <w:t>189</w:t>
    </w:r>
    <w:r>
      <w:rPr>
        <w:color w:val="808080" w:themeColor="background1" w:themeShade="80"/>
      </w:rPr>
      <w:fldChar w:fldCharType="end"/>
    </w:r>
  </w:p>
  <w:p w:rsidR="000A1C78" w:rsidRDefault="000A1C78" w:rsidP="00810C89">
    <w:pPr>
      <w:pStyle w:val="Rodap"/>
      <w:tabs>
        <w:tab w:val="left" w:pos="2773"/>
      </w:tabs>
      <w:rPr>
        <w:color w:val="808080" w:themeColor="background1" w:themeShade="80"/>
        <w:lang w:val="en-US"/>
      </w:rPr>
    </w:pPr>
    <w:r>
      <w:rPr>
        <w:color w:val="808080" w:themeColor="background1" w:themeShade="80"/>
        <w:lang w:val="en-US"/>
      </w:rPr>
      <w:t>www.shs.com.br</w: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lang w:val="pt-BR"/>
      </w:rPr>
      <w:t>__________________________________________________</w:t>
    </w:r>
    <w:r>
      <w:rPr>
        <w:color w:val="808080" w:themeColor="background1" w:themeShade="80"/>
      </w:rPr>
      <w:t>________________________________________________________________________________________</w:t>
    </w:r>
  </w:p>
  <w:p w:rsidR="000A1C78" w:rsidRPr="00810C89" w:rsidRDefault="000A1C78" w:rsidP="00810C89">
    <w:pPr>
      <w:pStyle w:val="Rodap"/>
      <w:rPr>
        <w:color w:val="808080" w:themeColor="background1" w:themeShade="80"/>
        <w:lang w:val="pt-BR"/>
      </w:rPr>
    </w:pPr>
    <w:r>
      <w:rPr>
        <w:color w:val="808080" w:themeColor="background1" w:themeShade="80"/>
      </w:rPr>
      <w:t xml:space="preserve">SHS Consultoria e Projetos de Engenharia Ltda.- </w:t>
    </w:r>
    <w:r w:rsidRPr="00810C89">
      <w:rPr>
        <w:color w:val="808080" w:themeColor="background1" w:themeShade="80"/>
        <w:lang w:val="pt-BR"/>
      </w:rPr>
      <w:t xml:space="preserve">EPP </w:t>
    </w:r>
    <w:r w:rsidRPr="00810C89">
      <w:rPr>
        <w:color w:val="808080" w:themeColor="background1" w:themeShade="80"/>
        <w:lang w:val="pt-BR"/>
      </w:rPr>
      <w:tab/>
      <w:t xml:space="preserve">                               </w:t>
    </w:r>
    <w:r w:rsidRPr="00810C89">
      <w:rPr>
        <w:color w:val="808080" w:themeColor="background1" w:themeShade="80"/>
        <w:lang w:val="pt-BR"/>
      </w:rPr>
      <w:tab/>
    </w:r>
    <w:r>
      <w:rPr>
        <w:color w:val="808080" w:themeColor="background1" w:themeShade="80"/>
        <w:lang w:val="pt-BR"/>
      </w:rPr>
      <w:tab/>
    </w:r>
    <w:r>
      <w:rPr>
        <w:color w:val="808080" w:themeColor="background1" w:themeShade="80"/>
        <w:lang w:val="pt-BR"/>
      </w:rPr>
      <w:tab/>
    </w:r>
    <w:r>
      <w:rPr>
        <w:color w:val="808080" w:themeColor="background1" w:themeShade="80"/>
      </w:rPr>
      <w:fldChar w:fldCharType="begin"/>
    </w:r>
    <w:r w:rsidRPr="00810C89">
      <w:rPr>
        <w:color w:val="808080" w:themeColor="background1" w:themeShade="80"/>
        <w:lang w:val="pt-BR"/>
      </w:rPr>
      <w:instrText>PAGE   \* MERGEFORMAT</w:instrText>
    </w:r>
    <w:r>
      <w:rPr>
        <w:color w:val="808080" w:themeColor="background1" w:themeShade="80"/>
      </w:rPr>
      <w:fldChar w:fldCharType="separate"/>
    </w:r>
    <w:r w:rsidR="001B481B">
      <w:rPr>
        <w:noProof/>
        <w:color w:val="808080" w:themeColor="background1" w:themeShade="80"/>
        <w:lang w:val="pt-BR"/>
      </w:rPr>
      <w:t>200</w:t>
    </w:r>
    <w:r>
      <w:rPr>
        <w:color w:val="808080" w:themeColor="background1" w:themeShade="80"/>
      </w:rPr>
      <w:fldChar w:fldCharType="end"/>
    </w:r>
  </w:p>
  <w:p w:rsidR="000A1C78" w:rsidRPr="00810C89" w:rsidRDefault="000A1C78" w:rsidP="00810C89">
    <w:pPr>
      <w:pStyle w:val="Rodap"/>
      <w:tabs>
        <w:tab w:val="left" w:pos="2773"/>
      </w:tabs>
      <w:rPr>
        <w:color w:val="808080" w:themeColor="background1" w:themeShade="80"/>
        <w:lang w:val="pt-BR"/>
      </w:rPr>
    </w:pPr>
    <w:r w:rsidRPr="00810C89">
      <w:rPr>
        <w:color w:val="808080" w:themeColor="background1" w:themeShade="80"/>
        <w:lang w:val="pt-BR"/>
      </w:rPr>
      <w:t>www.shs.com.br</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rPr>
      <w:t>________________________________________________________________________________________</w:t>
    </w:r>
  </w:p>
  <w:p w:rsidR="000A1C78" w:rsidRDefault="000A1C78" w:rsidP="00810C89">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1B481B">
      <w:rPr>
        <w:noProof/>
        <w:color w:val="808080" w:themeColor="background1" w:themeShade="80"/>
        <w:lang w:val="en-US"/>
      </w:rPr>
      <w:t>207</w:t>
    </w:r>
    <w:r>
      <w:rPr>
        <w:color w:val="808080" w:themeColor="background1" w:themeShade="80"/>
      </w:rPr>
      <w:fldChar w:fldCharType="end"/>
    </w:r>
  </w:p>
  <w:p w:rsidR="000A1C78" w:rsidRDefault="000A1C78" w:rsidP="00810C89">
    <w:pPr>
      <w:pStyle w:val="Rodap"/>
      <w:tabs>
        <w:tab w:val="left" w:pos="2773"/>
      </w:tabs>
      <w:rPr>
        <w:color w:val="808080" w:themeColor="background1" w:themeShade="80"/>
        <w:lang w:val="en-US"/>
      </w:rPr>
    </w:pPr>
    <w:r>
      <w:rPr>
        <w:color w:val="808080" w:themeColor="background1" w:themeShade="80"/>
        <w:lang w:val="en-US"/>
      </w:rPr>
      <w:t>www.shs.com.br</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lang w:val="pt-BR"/>
      </w:rPr>
      <w:t>__________________________________________________</w:t>
    </w:r>
    <w:r>
      <w:rPr>
        <w:color w:val="808080" w:themeColor="background1" w:themeShade="80"/>
      </w:rPr>
      <w:t>________________________________________________________________________________________</w:t>
    </w:r>
  </w:p>
  <w:p w:rsidR="000A1C78" w:rsidRPr="00810C89" w:rsidRDefault="000A1C78" w:rsidP="00810C89">
    <w:pPr>
      <w:pStyle w:val="Rodap"/>
      <w:rPr>
        <w:color w:val="808080" w:themeColor="background1" w:themeShade="80"/>
        <w:lang w:val="pt-BR"/>
      </w:rPr>
    </w:pPr>
    <w:r>
      <w:rPr>
        <w:color w:val="808080" w:themeColor="background1" w:themeShade="80"/>
      </w:rPr>
      <w:t xml:space="preserve">SHS Consultoria e Projetos de Engenharia Ltda.- </w:t>
    </w:r>
    <w:r w:rsidRPr="00810C89">
      <w:rPr>
        <w:color w:val="808080" w:themeColor="background1" w:themeShade="80"/>
        <w:lang w:val="pt-BR"/>
      </w:rPr>
      <w:t xml:space="preserve">EPP </w:t>
    </w:r>
    <w:r w:rsidRPr="00810C89">
      <w:rPr>
        <w:color w:val="808080" w:themeColor="background1" w:themeShade="80"/>
        <w:lang w:val="pt-BR"/>
      </w:rPr>
      <w:tab/>
      <w:t xml:space="preserve">                               </w:t>
    </w:r>
    <w:r w:rsidRPr="00810C89">
      <w:rPr>
        <w:color w:val="808080" w:themeColor="background1" w:themeShade="80"/>
        <w:lang w:val="pt-BR"/>
      </w:rPr>
      <w:tab/>
    </w:r>
    <w:r>
      <w:rPr>
        <w:color w:val="808080" w:themeColor="background1" w:themeShade="80"/>
        <w:lang w:val="pt-BR"/>
      </w:rPr>
      <w:tab/>
    </w:r>
    <w:r>
      <w:rPr>
        <w:color w:val="808080" w:themeColor="background1" w:themeShade="80"/>
        <w:lang w:val="pt-BR"/>
      </w:rPr>
      <w:tab/>
    </w:r>
    <w:r>
      <w:rPr>
        <w:color w:val="808080" w:themeColor="background1" w:themeShade="80"/>
      </w:rPr>
      <w:fldChar w:fldCharType="begin"/>
    </w:r>
    <w:r w:rsidRPr="00810C89">
      <w:rPr>
        <w:color w:val="808080" w:themeColor="background1" w:themeShade="80"/>
        <w:lang w:val="pt-BR"/>
      </w:rPr>
      <w:instrText>PAGE   \* MERGEFORMAT</w:instrText>
    </w:r>
    <w:r>
      <w:rPr>
        <w:color w:val="808080" w:themeColor="background1" w:themeShade="80"/>
      </w:rPr>
      <w:fldChar w:fldCharType="separate"/>
    </w:r>
    <w:r w:rsidR="001B481B">
      <w:rPr>
        <w:noProof/>
        <w:color w:val="808080" w:themeColor="background1" w:themeShade="80"/>
        <w:lang w:val="pt-BR"/>
      </w:rPr>
      <w:t>209</w:t>
    </w:r>
    <w:r>
      <w:rPr>
        <w:color w:val="808080" w:themeColor="background1" w:themeShade="80"/>
      </w:rPr>
      <w:fldChar w:fldCharType="end"/>
    </w:r>
  </w:p>
  <w:p w:rsidR="000A1C78" w:rsidRPr="00810C89" w:rsidRDefault="000A1C78" w:rsidP="00810C89">
    <w:pPr>
      <w:pStyle w:val="Rodap"/>
      <w:tabs>
        <w:tab w:val="left" w:pos="2773"/>
      </w:tabs>
      <w:rPr>
        <w:color w:val="808080" w:themeColor="background1" w:themeShade="80"/>
        <w:lang w:val="pt-BR"/>
      </w:rPr>
    </w:pPr>
    <w:r w:rsidRPr="00810C89">
      <w:rPr>
        <w:color w:val="808080" w:themeColor="background1" w:themeShade="80"/>
        <w:lang w:val="pt-BR"/>
      </w:rPr>
      <w:t>www.shs.com.br</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rPr>
      <w:t>________________________________________________________________________________________</w:t>
    </w:r>
  </w:p>
  <w:p w:rsidR="000A1C78" w:rsidRDefault="000A1C78" w:rsidP="00810C89">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1B481B">
      <w:rPr>
        <w:noProof/>
        <w:color w:val="808080" w:themeColor="background1" w:themeShade="80"/>
        <w:lang w:val="en-US"/>
      </w:rPr>
      <w:t>211</w:t>
    </w:r>
    <w:r>
      <w:rPr>
        <w:color w:val="808080" w:themeColor="background1" w:themeShade="80"/>
      </w:rPr>
      <w:fldChar w:fldCharType="end"/>
    </w:r>
  </w:p>
  <w:p w:rsidR="000A1C78" w:rsidRDefault="000A1C78" w:rsidP="00810C89">
    <w:pPr>
      <w:pStyle w:val="Rodap"/>
      <w:tabs>
        <w:tab w:val="left" w:pos="2773"/>
      </w:tabs>
      <w:rPr>
        <w:color w:val="808080" w:themeColor="background1" w:themeShade="80"/>
        <w:lang w:val="en-US"/>
      </w:rPr>
    </w:pPr>
    <w:r>
      <w:rPr>
        <w:color w:val="808080" w:themeColor="background1" w:themeShade="80"/>
        <w:lang w:val="en-US"/>
      </w:rPr>
      <w:t>www.shs.com.br</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lang w:val="pt-BR"/>
      </w:rPr>
      <w:t>__________________________________________________</w:t>
    </w:r>
    <w:r>
      <w:rPr>
        <w:color w:val="808080" w:themeColor="background1" w:themeShade="80"/>
      </w:rPr>
      <w:t>________________________________________________________________________________________</w:t>
    </w:r>
  </w:p>
  <w:p w:rsidR="000A1C78" w:rsidRPr="00810C89" w:rsidRDefault="000A1C78" w:rsidP="00810C89">
    <w:pPr>
      <w:pStyle w:val="Rodap"/>
      <w:rPr>
        <w:color w:val="808080" w:themeColor="background1" w:themeShade="80"/>
        <w:lang w:val="pt-BR"/>
      </w:rPr>
    </w:pPr>
    <w:r>
      <w:rPr>
        <w:color w:val="808080" w:themeColor="background1" w:themeShade="80"/>
      </w:rPr>
      <w:t xml:space="preserve">SHS Consultoria e Projetos de Engenharia Ltda.- </w:t>
    </w:r>
    <w:r w:rsidRPr="00810C89">
      <w:rPr>
        <w:color w:val="808080" w:themeColor="background1" w:themeShade="80"/>
        <w:lang w:val="pt-BR"/>
      </w:rPr>
      <w:t xml:space="preserve">EPP </w:t>
    </w:r>
    <w:r w:rsidRPr="00810C89">
      <w:rPr>
        <w:color w:val="808080" w:themeColor="background1" w:themeShade="80"/>
        <w:lang w:val="pt-BR"/>
      </w:rPr>
      <w:tab/>
      <w:t xml:space="preserve">                               </w:t>
    </w:r>
    <w:r w:rsidRPr="00810C89">
      <w:rPr>
        <w:color w:val="808080" w:themeColor="background1" w:themeShade="80"/>
        <w:lang w:val="pt-BR"/>
      </w:rPr>
      <w:tab/>
    </w:r>
    <w:r>
      <w:rPr>
        <w:color w:val="808080" w:themeColor="background1" w:themeShade="80"/>
        <w:lang w:val="pt-BR"/>
      </w:rPr>
      <w:tab/>
    </w:r>
    <w:r>
      <w:rPr>
        <w:color w:val="808080" w:themeColor="background1" w:themeShade="80"/>
        <w:lang w:val="pt-BR"/>
      </w:rPr>
      <w:tab/>
    </w:r>
    <w:r>
      <w:rPr>
        <w:color w:val="808080" w:themeColor="background1" w:themeShade="80"/>
      </w:rPr>
      <w:fldChar w:fldCharType="begin"/>
    </w:r>
    <w:r w:rsidRPr="00810C89">
      <w:rPr>
        <w:color w:val="808080" w:themeColor="background1" w:themeShade="80"/>
        <w:lang w:val="pt-BR"/>
      </w:rPr>
      <w:instrText>PAGE   \* MERGEFORMAT</w:instrText>
    </w:r>
    <w:r>
      <w:rPr>
        <w:color w:val="808080" w:themeColor="background1" w:themeShade="80"/>
      </w:rPr>
      <w:fldChar w:fldCharType="separate"/>
    </w:r>
    <w:r w:rsidR="001B481B">
      <w:rPr>
        <w:noProof/>
        <w:color w:val="808080" w:themeColor="background1" w:themeShade="80"/>
        <w:lang w:val="pt-BR"/>
      </w:rPr>
      <w:t>213</w:t>
    </w:r>
    <w:r>
      <w:rPr>
        <w:color w:val="808080" w:themeColor="background1" w:themeShade="80"/>
      </w:rPr>
      <w:fldChar w:fldCharType="end"/>
    </w:r>
  </w:p>
  <w:p w:rsidR="000A1C78" w:rsidRPr="00810C89" w:rsidRDefault="000A1C78" w:rsidP="00810C89">
    <w:pPr>
      <w:pStyle w:val="Rodap"/>
      <w:tabs>
        <w:tab w:val="left" w:pos="2773"/>
      </w:tabs>
      <w:rPr>
        <w:color w:val="808080" w:themeColor="background1" w:themeShade="80"/>
        <w:lang w:val="pt-BR"/>
      </w:rPr>
    </w:pPr>
    <w:r w:rsidRPr="00810C89">
      <w:rPr>
        <w:color w:val="808080" w:themeColor="background1" w:themeShade="80"/>
        <w:lang w:val="pt-BR"/>
      </w:rPr>
      <w:t>www.shs.com.br</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0332" w:rsidRPr="009B0332" w:rsidRDefault="009B0332" w:rsidP="009B0332">
    <w:pPr>
      <w:pStyle w:val="Rodap"/>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rPr>
      <w:t>________________________________________________________________________________________</w:t>
    </w:r>
  </w:p>
  <w:p w:rsidR="000A1C78" w:rsidRDefault="000A1C78" w:rsidP="00810C89">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1B481B">
      <w:rPr>
        <w:noProof/>
        <w:color w:val="808080" w:themeColor="background1" w:themeShade="80"/>
        <w:lang w:val="en-US"/>
      </w:rPr>
      <w:t>214</w:t>
    </w:r>
    <w:r>
      <w:rPr>
        <w:color w:val="808080" w:themeColor="background1" w:themeShade="80"/>
      </w:rPr>
      <w:fldChar w:fldCharType="end"/>
    </w:r>
  </w:p>
  <w:p w:rsidR="000A1C78" w:rsidRDefault="000A1C78" w:rsidP="00810C89">
    <w:pPr>
      <w:pStyle w:val="Rodap"/>
      <w:tabs>
        <w:tab w:val="left" w:pos="2773"/>
      </w:tabs>
      <w:rPr>
        <w:color w:val="808080" w:themeColor="background1" w:themeShade="80"/>
        <w:lang w:val="en-US"/>
      </w:rPr>
    </w:pPr>
    <w:r>
      <w:rPr>
        <w:color w:val="808080" w:themeColor="background1" w:themeShade="80"/>
        <w:lang w:val="en-US"/>
      </w:rPr>
      <w:t>www.shs.com.br</w: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lang w:val="pt-BR"/>
      </w:rPr>
      <w:t>__________________________________________________</w:t>
    </w:r>
    <w:r>
      <w:rPr>
        <w:color w:val="808080" w:themeColor="background1" w:themeShade="80"/>
      </w:rPr>
      <w:t>________________________________________________________________________________________</w:t>
    </w:r>
  </w:p>
  <w:p w:rsidR="000A1C78" w:rsidRPr="00810C89" w:rsidRDefault="000A1C78" w:rsidP="00810C89">
    <w:pPr>
      <w:pStyle w:val="Rodap"/>
      <w:rPr>
        <w:color w:val="808080" w:themeColor="background1" w:themeShade="80"/>
        <w:lang w:val="pt-BR"/>
      </w:rPr>
    </w:pPr>
    <w:r>
      <w:rPr>
        <w:color w:val="808080" w:themeColor="background1" w:themeShade="80"/>
      </w:rPr>
      <w:t xml:space="preserve">SHS Consultoria e Projetos de Engenharia Ltda.- </w:t>
    </w:r>
    <w:r w:rsidRPr="00810C89">
      <w:rPr>
        <w:color w:val="808080" w:themeColor="background1" w:themeShade="80"/>
        <w:lang w:val="pt-BR"/>
      </w:rPr>
      <w:t xml:space="preserve">EPP </w:t>
    </w:r>
    <w:r w:rsidRPr="00810C89">
      <w:rPr>
        <w:color w:val="808080" w:themeColor="background1" w:themeShade="80"/>
        <w:lang w:val="pt-BR"/>
      </w:rPr>
      <w:tab/>
      <w:t xml:space="preserve">                               </w:t>
    </w:r>
    <w:r w:rsidRPr="00810C89">
      <w:rPr>
        <w:color w:val="808080" w:themeColor="background1" w:themeShade="80"/>
        <w:lang w:val="pt-BR"/>
      </w:rPr>
      <w:tab/>
    </w:r>
    <w:r>
      <w:rPr>
        <w:color w:val="808080" w:themeColor="background1" w:themeShade="80"/>
        <w:lang w:val="pt-BR"/>
      </w:rPr>
      <w:tab/>
    </w:r>
    <w:r>
      <w:rPr>
        <w:color w:val="808080" w:themeColor="background1" w:themeShade="80"/>
        <w:lang w:val="pt-BR"/>
      </w:rPr>
      <w:tab/>
    </w:r>
    <w:r>
      <w:rPr>
        <w:color w:val="808080" w:themeColor="background1" w:themeShade="80"/>
      </w:rPr>
      <w:fldChar w:fldCharType="begin"/>
    </w:r>
    <w:r w:rsidRPr="00810C89">
      <w:rPr>
        <w:color w:val="808080" w:themeColor="background1" w:themeShade="80"/>
        <w:lang w:val="pt-BR"/>
      </w:rPr>
      <w:instrText>PAGE   \* MERGEFORMAT</w:instrText>
    </w:r>
    <w:r>
      <w:rPr>
        <w:color w:val="808080" w:themeColor="background1" w:themeShade="80"/>
      </w:rPr>
      <w:fldChar w:fldCharType="separate"/>
    </w:r>
    <w:r w:rsidR="001B481B">
      <w:rPr>
        <w:noProof/>
        <w:color w:val="808080" w:themeColor="background1" w:themeShade="80"/>
        <w:lang w:val="pt-BR"/>
      </w:rPr>
      <w:t>227</w:t>
    </w:r>
    <w:r>
      <w:rPr>
        <w:color w:val="808080" w:themeColor="background1" w:themeShade="80"/>
      </w:rPr>
      <w:fldChar w:fldCharType="end"/>
    </w:r>
  </w:p>
  <w:p w:rsidR="000A1C78" w:rsidRPr="00810C89" w:rsidRDefault="000A1C78" w:rsidP="00810C89">
    <w:pPr>
      <w:pStyle w:val="Rodap"/>
      <w:tabs>
        <w:tab w:val="left" w:pos="2773"/>
      </w:tabs>
      <w:rPr>
        <w:color w:val="808080" w:themeColor="background1" w:themeShade="80"/>
        <w:lang w:val="pt-BR"/>
      </w:rPr>
    </w:pPr>
    <w:r w:rsidRPr="00810C89">
      <w:rPr>
        <w:color w:val="808080" w:themeColor="background1" w:themeShade="80"/>
        <w:lang w:val="pt-BR"/>
      </w:rPr>
      <w:t>www.shs.com.br</w: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rPr>
      <w:t>________________________________________________________________________________________</w:t>
    </w:r>
  </w:p>
  <w:p w:rsidR="000A1C78" w:rsidRDefault="000A1C78" w:rsidP="00810C89">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1B481B">
      <w:rPr>
        <w:noProof/>
        <w:color w:val="808080" w:themeColor="background1" w:themeShade="80"/>
        <w:lang w:val="en-US"/>
      </w:rPr>
      <w:t>238</w:t>
    </w:r>
    <w:r>
      <w:rPr>
        <w:color w:val="808080" w:themeColor="background1" w:themeShade="80"/>
      </w:rPr>
      <w:fldChar w:fldCharType="end"/>
    </w:r>
  </w:p>
  <w:p w:rsidR="000A1C78" w:rsidRDefault="000A1C78" w:rsidP="00810C89">
    <w:pPr>
      <w:pStyle w:val="Rodap"/>
      <w:tabs>
        <w:tab w:val="left" w:pos="2773"/>
      </w:tabs>
      <w:rPr>
        <w:color w:val="808080" w:themeColor="background1" w:themeShade="80"/>
        <w:lang w:val="en-US"/>
      </w:rPr>
    </w:pPr>
    <w:r>
      <w:rPr>
        <w:color w:val="808080" w:themeColor="background1" w:themeShade="80"/>
        <w:lang w:val="en-US"/>
      </w:rPr>
      <w:t>www.shs.com.br</w: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lang w:val="pt-BR"/>
      </w:rPr>
      <w:t>__________________________________________________</w:t>
    </w:r>
    <w:r>
      <w:rPr>
        <w:color w:val="808080" w:themeColor="background1" w:themeShade="80"/>
      </w:rPr>
      <w:t>________________________________________________________________________________________</w:t>
    </w:r>
  </w:p>
  <w:p w:rsidR="000A1C78" w:rsidRPr="00810C89" w:rsidRDefault="000A1C78" w:rsidP="00810C89">
    <w:pPr>
      <w:pStyle w:val="Rodap"/>
      <w:rPr>
        <w:color w:val="808080" w:themeColor="background1" w:themeShade="80"/>
        <w:lang w:val="pt-BR"/>
      </w:rPr>
    </w:pPr>
    <w:r>
      <w:rPr>
        <w:color w:val="808080" w:themeColor="background1" w:themeShade="80"/>
      </w:rPr>
      <w:t xml:space="preserve">SHS Consultoria e Projetos de Engenharia Ltda.- </w:t>
    </w:r>
    <w:r w:rsidRPr="00810C89">
      <w:rPr>
        <w:color w:val="808080" w:themeColor="background1" w:themeShade="80"/>
        <w:lang w:val="pt-BR"/>
      </w:rPr>
      <w:t xml:space="preserve">EPP </w:t>
    </w:r>
    <w:r w:rsidRPr="00810C89">
      <w:rPr>
        <w:color w:val="808080" w:themeColor="background1" w:themeShade="80"/>
        <w:lang w:val="pt-BR"/>
      </w:rPr>
      <w:tab/>
      <w:t xml:space="preserve">                               </w:t>
    </w:r>
    <w:r w:rsidRPr="00810C89">
      <w:rPr>
        <w:color w:val="808080" w:themeColor="background1" w:themeShade="80"/>
        <w:lang w:val="pt-BR"/>
      </w:rPr>
      <w:tab/>
    </w:r>
    <w:r>
      <w:rPr>
        <w:color w:val="808080" w:themeColor="background1" w:themeShade="80"/>
        <w:lang w:val="pt-BR"/>
      </w:rPr>
      <w:tab/>
    </w:r>
    <w:r>
      <w:rPr>
        <w:color w:val="808080" w:themeColor="background1" w:themeShade="80"/>
        <w:lang w:val="pt-BR"/>
      </w:rPr>
      <w:tab/>
    </w:r>
    <w:r>
      <w:rPr>
        <w:color w:val="808080" w:themeColor="background1" w:themeShade="80"/>
      </w:rPr>
      <w:fldChar w:fldCharType="begin"/>
    </w:r>
    <w:r w:rsidRPr="00810C89">
      <w:rPr>
        <w:color w:val="808080" w:themeColor="background1" w:themeShade="80"/>
        <w:lang w:val="pt-BR"/>
      </w:rPr>
      <w:instrText>PAGE   \* MERGEFORMAT</w:instrText>
    </w:r>
    <w:r>
      <w:rPr>
        <w:color w:val="808080" w:themeColor="background1" w:themeShade="80"/>
      </w:rPr>
      <w:fldChar w:fldCharType="separate"/>
    </w:r>
    <w:r w:rsidR="001B481B">
      <w:rPr>
        <w:noProof/>
        <w:color w:val="808080" w:themeColor="background1" w:themeShade="80"/>
        <w:lang w:val="pt-BR"/>
      </w:rPr>
      <w:t>240</w:t>
    </w:r>
    <w:r>
      <w:rPr>
        <w:color w:val="808080" w:themeColor="background1" w:themeShade="80"/>
      </w:rPr>
      <w:fldChar w:fldCharType="end"/>
    </w:r>
  </w:p>
  <w:p w:rsidR="000A1C78" w:rsidRPr="00810C89" w:rsidRDefault="000A1C78" w:rsidP="00810C89">
    <w:pPr>
      <w:pStyle w:val="Rodap"/>
      <w:tabs>
        <w:tab w:val="left" w:pos="2773"/>
      </w:tabs>
      <w:rPr>
        <w:color w:val="808080" w:themeColor="background1" w:themeShade="80"/>
        <w:lang w:val="pt-BR"/>
      </w:rPr>
    </w:pPr>
    <w:r w:rsidRPr="00810C89">
      <w:rPr>
        <w:color w:val="808080" w:themeColor="background1" w:themeShade="80"/>
        <w:lang w:val="pt-BR"/>
      </w:rPr>
      <w:t>www.shs.com.br</w: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rPr>
      <w:t>________________________________________________________________________________________</w:t>
    </w:r>
  </w:p>
  <w:p w:rsidR="000A1C78" w:rsidRDefault="000A1C78" w:rsidP="00810C89">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1B481B">
      <w:rPr>
        <w:noProof/>
        <w:color w:val="808080" w:themeColor="background1" w:themeShade="80"/>
        <w:lang w:val="en-US"/>
      </w:rPr>
      <w:t>242</w:t>
    </w:r>
    <w:r>
      <w:rPr>
        <w:color w:val="808080" w:themeColor="background1" w:themeShade="80"/>
      </w:rPr>
      <w:fldChar w:fldCharType="end"/>
    </w:r>
  </w:p>
  <w:p w:rsidR="000A1C78" w:rsidRDefault="000A1C78" w:rsidP="00810C89">
    <w:pPr>
      <w:pStyle w:val="Rodap"/>
      <w:tabs>
        <w:tab w:val="left" w:pos="2773"/>
      </w:tabs>
      <w:rPr>
        <w:color w:val="808080" w:themeColor="background1" w:themeShade="80"/>
        <w:lang w:val="en-US"/>
      </w:rPr>
    </w:pPr>
    <w:r>
      <w:rPr>
        <w:color w:val="808080" w:themeColor="background1" w:themeShade="80"/>
        <w:lang w:val="en-US"/>
      </w:rPr>
      <w:t>www.shs.com.br</w: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lang w:val="pt-BR"/>
      </w:rPr>
      <w:t>__________________________________________________</w:t>
    </w:r>
    <w:r>
      <w:rPr>
        <w:color w:val="808080" w:themeColor="background1" w:themeShade="80"/>
      </w:rPr>
      <w:t>________________________________________________________________________________________</w:t>
    </w:r>
  </w:p>
  <w:p w:rsidR="000A1C78" w:rsidRPr="00810C89" w:rsidRDefault="000A1C78" w:rsidP="00810C89">
    <w:pPr>
      <w:pStyle w:val="Rodap"/>
      <w:rPr>
        <w:color w:val="808080" w:themeColor="background1" w:themeShade="80"/>
        <w:lang w:val="pt-BR"/>
      </w:rPr>
    </w:pPr>
    <w:r>
      <w:rPr>
        <w:color w:val="808080" w:themeColor="background1" w:themeShade="80"/>
      </w:rPr>
      <w:t xml:space="preserve">SHS Consultoria e Projetos de Engenharia Ltda.- </w:t>
    </w:r>
    <w:r w:rsidRPr="00810C89">
      <w:rPr>
        <w:color w:val="808080" w:themeColor="background1" w:themeShade="80"/>
        <w:lang w:val="pt-BR"/>
      </w:rPr>
      <w:t xml:space="preserve">EPP </w:t>
    </w:r>
    <w:r w:rsidRPr="00810C89">
      <w:rPr>
        <w:color w:val="808080" w:themeColor="background1" w:themeShade="80"/>
        <w:lang w:val="pt-BR"/>
      </w:rPr>
      <w:tab/>
      <w:t xml:space="preserve">                               </w:t>
    </w:r>
    <w:r w:rsidRPr="00810C89">
      <w:rPr>
        <w:color w:val="808080" w:themeColor="background1" w:themeShade="80"/>
        <w:lang w:val="pt-BR"/>
      </w:rPr>
      <w:tab/>
    </w:r>
    <w:r>
      <w:rPr>
        <w:color w:val="808080" w:themeColor="background1" w:themeShade="80"/>
        <w:lang w:val="pt-BR"/>
      </w:rPr>
      <w:tab/>
    </w:r>
    <w:r>
      <w:rPr>
        <w:color w:val="808080" w:themeColor="background1" w:themeShade="80"/>
        <w:lang w:val="pt-BR"/>
      </w:rPr>
      <w:tab/>
    </w:r>
    <w:r>
      <w:rPr>
        <w:color w:val="808080" w:themeColor="background1" w:themeShade="80"/>
      </w:rPr>
      <w:fldChar w:fldCharType="begin"/>
    </w:r>
    <w:r w:rsidRPr="00810C89">
      <w:rPr>
        <w:color w:val="808080" w:themeColor="background1" w:themeShade="80"/>
        <w:lang w:val="pt-BR"/>
      </w:rPr>
      <w:instrText>PAGE   \* MERGEFORMAT</w:instrText>
    </w:r>
    <w:r>
      <w:rPr>
        <w:color w:val="808080" w:themeColor="background1" w:themeShade="80"/>
      </w:rPr>
      <w:fldChar w:fldCharType="separate"/>
    </w:r>
    <w:r w:rsidR="001B481B">
      <w:rPr>
        <w:noProof/>
        <w:color w:val="808080" w:themeColor="background1" w:themeShade="80"/>
        <w:lang w:val="pt-BR"/>
      </w:rPr>
      <w:t>245</w:t>
    </w:r>
    <w:r>
      <w:rPr>
        <w:color w:val="808080" w:themeColor="background1" w:themeShade="80"/>
      </w:rPr>
      <w:fldChar w:fldCharType="end"/>
    </w:r>
  </w:p>
  <w:p w:rsidR="000A1C78" w:rsidRPr="00810C89" w:rsidRDefault="000A1C78" w:rsidP="00810C89">
    <w:pPr>
      <w:pStyle w:val="Rodap"/>
      <w:tabs>
        <w:tab w:val="left" w:pos="2773"/>
      </w:tabs>
      <w:rPr>
        <w:color w:val="808080" w:themeColor="background1" w:themeShade="80"/>
        <w:lang w:val="pt-BR"/>
      </w:rPr>
    </w:pPr>
    <w:r w:rsidRPr="00810C89">
      <w:rPr>
        <w:color w:val="808080" w:themeColor="background1" w:themeShade="80"/>
        <w:lang w:val="pt-BR"/>
      </w:rPr>
      <w:t>www.shs.com.br</w: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rPr>
      <w:t>________________________________________________________________________________________</w:t>
    </w:r>
  </w:p>
  <w:p w:rsidR="000A1C78" w:rsidRDefault="000A1C78" w:rsidP="00810C89">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1B481B">
      <w:rPr>
        <w:noProof/>
        <w:color w:val="808080" w:themeColor="background1" w:themeShade="80"/>
        <w:lang w:val="en-US"/>
      </w:rPr>
      <w:t>246</w:t>
    </w:r>
    <w:r>
      <w:rPr>
        <w:color w:val="808080" w:themeColor="background1" w:themeShade="80"/>
      </w:rPr>
      <w:fldChar w:fldCharType="end"/>
    </w:r>
  </w:p>
  <w:p w:rsidR="000A1C78" w:rsidRDefault="000A1C78" w:rsidP="00810C89">
    <w:pPr>
      <w:pStyle w:val="Rodap"/>
      <w:tabs>
        <w:tab w:val="left" w:pos="2773"/>
      </w:tabs>
      <w:rPr>
        <w:color w:val="808080" w:themeColor="background1" w:themeShade="80"/>
        <w:lang w:val="en-US"/>
      </w:rPr>
    </w:pPr>
    <w:r>
      <w:rPr>
        <w:color w:val="808080" w:themeColor="background1" w:themeShade="80"/>
        <w:lang w:val="en-US"/>
      </w:rPr>
      <w:t>www.shs.com.br</w: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lang w:val="pt-BR"/>
      </w:rPr>
      <w:t>__________________________________________________</w:t>
    </w:r>
    <w:r>
      <w:rPr>
        <w:color w:val="808080" w:themeColor="background1" w:themeShade="80"/>
      </w:rPr>
      <w:t>________________________________________________________________________________________</w:t>
    </w:r>
  </w:p>
  <w:p w:rsidR="000A1C78" w:rsidRPr="00810C89" w:rsidRDefault="000A1C78" w:rsidP="00810C89">
    <w:pPr>
      <w:pStyle w:val="Rodap"/>
      <w:rPr>
        <w:color w:val="808080" w:themeColor="background1" w:themeShade="80"/>
        <w:lang w:val="pt-BR"/>
      </w:rPr>
    </w:pPr>
    <w:r>
      <w:rPr>
        <w:color w:val="808080" w:themeColor="background1" w:themeShade="80"/>
      </w:rPr>
      <w:t xml:space="preserve">SHS Consultoria e Projetos de Engenharia Ltda.- </w:t>
    </w:r>
    <w:r w:rsidRPr="00810C89">
      <w:rPr>
        <w:color w:val="808080" w:themeColor="background1" w:themeShade="80"/>
        <w:lang w:val="pt-BR"/>
      </w:rPr>
      <w:t xml:space="preserve">EPP </w:t>
    </w:r>
    <w:r w:rsidRPr="00810C89">
      <w:rPr>
        <w:color w:val="808080" w:themeColor="background1" w:themeShade="80"/>
        <w:lang w:val="pt-BR"/>
      </w:rPr>
      <w:tab/>
      <w:t xml:space="preserve">                               </w:t>
    </w:r>
    <w:r w:rsidRPr="00810C89">
      <w:rPr>
        <w:color w:val="808080" w:themeColor="background1" w:themeShade="80"/>
        <w:lang w:val="pt-BR"/>
      </w:rPr>
      <w:tab/>
    </w:r>
    <w:r>
      <w:rPr>
        <w:color w:val="808080" w:themeColor="background1" w:themeShade="80"/>
        <w:lang w:val="pt-BR"/>
      </w:rPr>
      <w:tab/>
    </w:r>
    <w:r>
      <w:rPr>
        <w:color w:val="808080" w:themeColor="background1" w:themeShade="80"/>
        <w:lang w:val="pt-BR"/>
      </w:rPr>
      <w:tab/>
    </w:r>
    <w:r>
      <w:rPr>
        <w:color w:val="808080" w:themeColor="background1" w:themeShade="80"/>
      </w:rPr>
      <w:fldChar w:fldCharType="begin"/>
    </w:r>
    <w:r w:rsidRPr="00810C89">
      <w:rPr>
        <w:color w:val="808080" w:themeColor="background1" w:themeShade="80"/>
        <w:lang w:val="pt-BR"/>
      </w:rPr>
      <w:instrText>PAGE   \* MERGEFORMAT</w:instrText>
    </w:r>
    <w:r>
      <w:rPr>
        <w:color w:val="808080" w:themeColor="background1" w:themeShade="80"/>
      </w:rPr>
      <w:fldChar w:fldCharType="separate"/>
    </w:r>
    <w:r w:rsidR="001B481B">
      <w:rPr>
        <w:noProof/>
        <w:color w:val="808080" w:themeColor="background1" w:themeShade="80"/>
        <w:lang w:val="pt-BR"/>
      </w:rPr>
      <w:t>264</w:t>
    </w:r>
    <w:r>
      <w:rPr>
        <w:color w:val="808080" w:themeColor="background1" w:themeShade="80"/>
      </w:rPr>
      <w:fldChar w:fldCharType="end"/>
    </w:r>
  </w:p>
  <w:p w:rsidR="000A1C78" w:rsidRPr="00810C89" w:rsidRDefault="000A1C78" w:rsidP="00810C89">
    <w:pPr>
      <w:pStyle w:val="Rodap"/>
      <w:tabs>
        <w:tab w:val="left" w:pos="2773"/>
      </w:tabs>
      <w:rPr>
        <w:color w:val="808080" w:themeColor="background1" w:themeShade="80"/>
        <w:lang w:val="pt-BR"/>
      </w:rPr>
    </w:pPr>
    <w:r w:rsidRPr="00810C89">
      <w:rPr>
        <w:color w:val="808080" w:themeColor="background1" w:themeShade="80"/>
        <w:lang w:val="pt-BR"/>
      </w:rPr>
      <w:t>www.shs.com.br</w: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rPr>
      <w:t>________________________________________________________________________________________</w:t>
    </w:r>
  </w:p>
  <w:p w:rsidR="000A1C78" w:rsidRDefault="000A1C78" w:rsidP="00810C89">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1B481B">
      <w:rPr>
        <w:noProof/>
        <w:color w:val="808080" w:themeColor="background1" w:themeShade="80"/>
        <w:lang w:val="en-US"/>
      </w:rPr>
      <w:t>431</w:t>
    </w:r>
    <w:r>
      <w:rPr>
        <w:color w:val="808080" w:themeColor="background1" w:themeShade="80"/>
      </w:rPr>
      <w:fldChar w:fldCharType="end"/>
    </w:r>
  </w:p>
  <w:p w:rsidR="000A1C78" w:rsidRDefault="000A1C78" w:rsidP="00810C89">
    <w:pPr>
      <w:pStyle w:val="Rodap"/>
      <w:tabs>
        <w:tab w:val="left" w:pos="2773"/>
      </w:tabs>
      <w:rPr>
        <w:color w:val="808080" w:themeColor="background1" w:themeShade="80"/>
        <w:lang w:val="en-US"/>
      </w:rPr>
    </w:pPr>
    <w:r>
      <w:rPr>
        <w:color w:val="808080" w:themeColor="background1" w:themeShade="80"/>
        <w:lang w:val="en-US"/>
      </w:rPr>
      <w:t>www.shs.com.br</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0332" w:rsidRDefault="009B0332" w:rsidP="00810C89">
    <w:pPr>
      <w:pStyle w:val="Rodap"/>
      <w:rPr>
        <w:color w:val="808080" w:themeColor="background1" w:themeShade="80"/>
      </w:rPr>
    </w:pPr>
    <w:r>
      <w:rPr>
        <w:color w:val="808080" w:themeColor="background1" w:themeShade="80"/>
      </w:rPr>
      <w:t>________________________________________________________________________________________</w:t>
    </w:r>
  </w:p>
  <w:p w:rsidR="009B0332" w:rsidRPr="00810C89" w:rsidRDefault="009B0332" w:rsidP="00810C89">
    <w:pPr>
      <w:pStyle w:val="Rodap"/>
      <w:rPr>
        <w:color w:val="808080" w:themeColor="background1" w:themeShade="80"/>
        <w:lang w:val="pt-BR"/>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p>
  <w:p w:rsidR="009B0332" w:rsidRDefault="009B0332" w:rsidP="00810C89">
    <w:pPr>
      <w:pStyle w:val="Rodap"/>
      <w:tabs>
        <w:tab w:val="left" w:pos="2773"/>
      </w:tabs>
      <w:rPr>
        <w:color w:val="808080" w:themeColor="background1" w:themeShade="80"/>
        <w:lang w:val="en-US"/>
      </w:rPr>
    </w:pPr>
    <w:r>
      <w:rPr>
        <w:color w:val="808080" w:themeColor="background1" w:themeShade="80"/>
        <w:lang w:val="en-US"/>
      </w:rPr>
      <w:t>www.shs.com.br</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rPr>
      <w:t>________________________________________________________________________________________</w:t>
    </w:r>
  </w:p>
  <w:p w:rsidR="000A1C78" w:rsidRDefault="000A1C78" w:rsidP="00810C89">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1B481B">
      <w:rPr>
        <w:noProof/>
        <w:color w:val="808080" w:themeColor="background1" w:themeShade="80"/>
        <w:lang w:val="en-US"/>
      </w:rPr>
      <w:t>62</w:t>
    </w:r>
    <w:r>
      <w:rPr>
        <w:color w:val="808080" w:themeColor="background1" w:themeShade="80"/>
      </w:rPr>
      <w:fldChar w:fldCharType="end"/>
    </w:r>
  </w:p>
  <w:p w:rsidR="000A1C78" w:rsidRDefault="000A1C78" w:rsidP="00810C89">
    <w:pPr>
      <w:pStyle w:val="Rodap"/>
      <w:tabs>
        <w:tab w:val="left" w:pos="2773"/>
      </w:tabs>
      <w:rPr>
        <w:color w:val="808080" w:themeColor="background1" w:themeShade="80"/>
        <w:lang w:val="en-US"/>
      </w:rPr>
    </w:pPr>
    <w:r>
      <w:rPr>
        <w:color w:val="808080" w:themeColor="background1" w:themeShade="80"/>
        <w:lang w:val="en-US"/>
      </w:rPr>
      <w:t>www.shs.com.br</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rPr>
      <w:t>________________________________________________________________________________________</w:t>
    </w:r>
  </w:p>
  <w:p w:rsidR="000A1C78" w:rsidRDefault="000A1C78" w:rsidP="00810C89">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1B481B">
      <w:rPr>
        <w:noProof/>
        <w:color w:val="808080" w:themeColor="background1" w:themeShade="80"/>
        <w:lang w:val="en-US"/>
      </w:rPr>
      <w:t>78</w:t>
    </w:r>
    <w:r>
      <w:rPr>
        <w:color w:val="808080" w:themeColor="background1" w:themeShade="80"/>
      </w:rPr>
      <w:fldChar w:fldCharType="end"/>
    </w:r>
  </w:p>
  <w:p w:rsidR="000A1C78" w:rsidRDefault="000A1C78" w:rsidP="00810C89">
    <w:pPr>
      <w:pStyle w:val="Rodap"/>
      <w:tabs>
        <w:tab w:val="left" w:pos="2773"/>
      </w:tabs>
      <w:rPr>
        <w:color w:val="808080" w:themeColor="background1" w:themeShade="80"/>
        <w:lang w:val="en-US"/>
      </w:rPr>
    </w:pPr>
    <w:r>
      <w:rPr>
        <w:color w:val="808080" w:themeColor="background1" w:themeShade="80"/>
        <w:lang w:val="en-US"/>
      </w:rPr>
      <w:t>www.shs.com.br</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rPr>
      <w:t>________________________________________________________________________________________</w:t>
    </w:r>
  </w:p>
  <w:p w:rsidR="000A1C78" w:rsidRDefault="000A1C78" w:rsidP="00810C89">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1B481B">
      <w:rPr>
        <w:noProof/>
        <w:color w:val="808080" w:themeColor="background1" w:themeShade="80"/>
        <w:lang w:val="en-US"/>
      </w:rPr>
      <w:t>81</w:t>
    </w:r>
    <w:r>
      <w:rPr>
        <w:color w:val="808080" w:themeColor="background1" w:themeShade="80"/>
      </w:rPr>
      <w:fldChar w:fldCharType="end"/>
    </w:r>
  </w:p>
  <w:p w:rsidR="000A1C78" w:rsidRDefault="000A1C78" w:rsidP="00810C89">
    <w:pPr>
      <w:pStyle w:val="Rodap"/>
      <w:tabs>
        <w:tab w:val="left" w:pos="2773"/>
      </w:tabs>
      <w:rPr>
        <w:color w:val="808080" w:themeColor="background1" w:themeShade="80"/>
        <w:lang w:val="en-US"/>
      </w:rPr>
    </w:pPr>
    <w:r>
      <w:rPr>
        <w:color w:val="808080" w:themeColor="background1" w:themeShade="80"/>
        <w:lang w:val="en-US"/>
      </w:rPr>
      <w:t>www.shs.com.br</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rPr>
      <w:t>________________________________________________________________________________________</w:t>
    </w:r>
  </w:p>
  <w:p w:rsidR="000A1C78" w:rsidRDefault="000A1C78" w:rsidP="00810C89">
    <w:pPr>
      <w:pStyle w:val="Rodap"/>
      <w:rPr>
        <w:color w:val="808080" w:themeColor="background1" w:themeShade="80"/>
        <w:lang w:val="en-US"/>
      </w:rPr>
    </w:pPr>
    <w:r>
      <w:rPr>
        <w:color w:val="808080" w:themeColor="background1" w:themeShade="80"/>
      </w:rPr>
      <w:t xml:space="preserve">SHS Consultoria e Projetos de Engenharia Ltda.- </w:t>
    </w:r>
    <w:r>
      <w:rPr>
        <w:color w:val="808080" w:themeColor="background1" w:themeShade="80"/>
        <w:lang w:val="en-US"/>
      </w:rPr>
      <w:t xml:space="preserve">EPP </w:t>
    </w:r>
    <w:r>
      <w:rPr>
        <w:color w:val="808080" w:themeColor="background1" w:themeShade="80"/>
        <w:lang w:val="en-US"/>
      </w:rPr>
      <w:tab/>
      <w:t xml:space="preserve">                               </w:t>
    </w:r>
    <w:r>
      <w:rPr>
        <w:color w:val="808080" w:themeColor="background1" w:themeShade="80"/>
      </w:rPr>
      <w:fldChar w:fldCharType="begin"/>
    </w:r>
    <w:r>
      <w:rPr>
        <w:color w:val="808080" w:themeColor="background1" w:themeShade="80"/>
        <w:lang w:val="en-US"/>
      </w:rPr>
      <w:instrText>PAGE   \* MERGEFORMAT</w:instrText>
    </w:r>
    <w:r>
      <w:rPr>
        <w:color w:val="808080" w:themeColor="background1" w:themeShade="80"/>
      </w:rPr>
      <w:fldChar w:fldCharType="separate"/>
    </w:r>
    <w:r w:rsidR="001B481B">
      <w:rPr>
        <w:noProof/>
        <w:color w:val="808080" w:themeColor="background1" w:themeShade="80"/>
        <w:lang w:val="en-US"/>
      </w:rPr>
      <w:t>92</w:t>
    </w:r>
    <w:r>
      <w:rPr>
        <w:color w:val="808080" w:themeColor="background1" w:themeShade="80"/>
      </w:rPr>
      <w:fldChar w:fldCharType="end"/>
    </w:r>
  </w:p>
  <w:p w:rsidR="000A1C78" w:rsidRDefault="000A1C78" w:rsidP="00810C89">
    <w:pPr>
      <w:pStyle w:val="Rodap"/>
      <w:tabs>
        <w:tab w:val="left" w:pos="2773"/>
      </w:tabs>
      <w:rPr>
        <w:color w:val="808080" w:themeColor="background1" w:themeShade="80"/>
        <w:lang w:val="en-US"/>
      </w:rPr>
    </w:pPr>
    <w:r>
      <w:rPr>
        <w:color w:val="808080" w:themeColor="background1" w:themeShade="80"/>
        <w:lang w:val="en-US"/>
      </w:rPr>
      <w:t>www.shs.com.br</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810C89">
    <w:pPr>
      <w:pStyle w:val="Rodap"/>
      <w:rPr>
        <w:color w:val="808080" w:themeColor="background1" w:themeShade="80"/>
      </w:rPr>
    </w:pPr>
    <w:r>
      <w:rPr>
        <w:color w:val="808080" w:themeColor="background1" w:themeShade="80"/>
        <w:lang w:val="pt-BR"/>
      </w:rPr>
      <w:t>__________________________________________________</w:t>
    </w:r>
    <w:r>
      <w:rPr>
        <w:color w:val="808080" w:themeColor="background1" w:themeShade="80"/>
      </w:rPr>
      <w:t>________________________________________________________________________________________</w:t>
    </w:r>
  </w:p>
  <w:p w:rsidR="000A1C78" w:rsidRPr="00810C89" w:rsidRDefault="000A1C78" w:rsidP="00810C89">
    <w:pPr>
      <w:pStyle w:val="Rodap"/>
      <w:rPr>
        <w:color w:val="808080" w:themeColor="background1" w:themeShade="80"/>
        <w:lang w:val="pt-BR"/>
      </w:rPr>
    </w:pPr>
    <w:r>
      <w:rPr>
        <w:color w:val="808080" w:themeColor="background1" w:themeShade="80"/>
      </w:rPr>
      <w:t xml:space="preserve">SHS Consultoria e Projetos de Engenharia Ltda.- </w:t>
    </w:r>
    <w:r w:rsidRPr="00810C89">
      <w:rPr>
        <w:color w:val="808080" w:themeColor="background1" w:themeShade="80"/>
        <w:lang w:val="pt-BR"/>
      </w:rPr>
      <w:t xml:space="preserve">EPP </w:t>
    </w:r>
    <w:r w:rsidRPr="00810C89">
      <w:rPr>
        <w:color w:val="808080" w:themeColor="background1" w:themeShade="80"/>
        <w:lang w:val="pt-BR"/>
      </w:rPr>
      <w:tab/>
      <w:t xml:space="preserve">                               </w:t>
    </w:r>
    <w:r w:rsidRPr="00810C89">
      <w:rPr>
        <w:color w:val="808080" w:themeColor="background1" w:themeShade="80"/>
        <w:lang w:val="pt-BR"/>
      </w:rPr>
      <w:tab/>
    </w:r>
    <w:r>
      <w:rPr>
        <w:color w:val="808080" w:themeColor="background1" w:themeShade="80"/>
        <w:lang w:val="pt-BR"/>
      </w:rPr>
      <w:tab/>
    </w:r>
    <w:r>
      <w:rPr>
        <w:color w:val="808080" w:themeColor="background1" w:themeShade="80"/>
        <w:lang w:val="pt-BR"/>
      </w:rPr>
      <w:tab/>
    </w:r>
    <w:r>
      <w:rPr>
        <w:color w:val="808080" w:themeColor="background1" w:themeShade="80"/>
      </w:rPr>
      <w:fldChar w:fldCharType="begin"/>
    </w:r>
    <w:r w:rsidRPr="00810C89">
      <w:rPr>
        <w:color w:val="808080" w:themeColor="background1" w:themeShade="80"/>
        <w:lang w:val="pt-BR"/>
      </w:rPr>
      <w:instrText>PAGE   \* MERGEFORMAT</w:instrText>
    </w:r>
    <w:r>
      <w:rPr>
        <w:color w:val="808080" w:themeColor="background1" w:themeShade="80"/>
      </w:rPr>
      <w:fldChar w:fldCharType="separate"/>
    </w:r>
    <w:r w:rsidR="001B481B">
      <w:rPr>
        <w:noProof/>
        <w:color w:val="808080" w:themeColor="background1" w:themeShade="80"/>
        <w:lang w:val="pt-BR"/>
      </w:rPr>
      <w:t>124</w:t>
    </w:r>
    <w:r>
      <w:rPr>
        <w:color w:val="808080" w:themeColor="background1" w:themeShade="80"/>
      </w:rPr>
      <w:fldChar w:fldCharType="end"/>
    </w:r>
  </w:p>
  <w:p w:rsidR="000A1C78" w:rsidRPr="00810C89" w:rsidRDefault="000A1C78" w:rsidP="00810C89">
    <w:pPr>
      <w:pStyle w:val="Rodap"/>
      <w:tabs>
        <w:tab w:val="left" w:pos="2773"/>
      </w:tabs>
      <w:rPr>
        <w:color w:val="808080" w:themeColor="background1" w:themeShade="80"/>
        <w:lang w:val="pt-BR"/>
      </w:rPr>
    </w:pPr>
    <w:r w:rsidRPr="00810C89">
      <w:rPr>
        <w:color w:val="808080" w:themeColor="background1" w:themeShade="80"/>
        <w:lang w:val="pt-BR"/>
      </w:rPr>
      <w:t>www.shs.com.br</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A1C78" w:rsidRDefault="000A1C78" w:rsidP="008F3022">
      <w:pPr>
        <w:spacing w:line="240" w:lineRule="auto"/>
      </w:pPr>
      <w:r>
        <w:separator/>
      </w:r>
    </w:p>
  </w:footnote>
  <w:footnote w:type="continuationSeparator" w:id="0">
    <w:p w:rsidR="000A1C78" w:rsidRDefault="000A1C78" w:rsidP="008F3022">
      <w:pPr>
        <w:spacing w:line="240" w:lineRule="auto"/>
      </w:pPr>
      <w:r>
        <w:continuationSeparator/>
      </w:r>
    </w:p>
  </w:footnote>
  <w:footnote w:id="1">
    <w:p w:rsidR="000A1C78" w:rsidRPr="00F10364" w:rsidRDefault="000A1C78" w:rsidP="00AA5146">
      <w:pPr>
        <w:pStyle w:val="Textodenotaderodap"/>
        <w:spacing w:line="240" w:lineRule="auto"/>
        <w:rPr>
          <w:sz w:val="18"/>
          <w:szCs w:val="18"/>
          <w:lang w:val="pt-BR"/>
        </w:rPr>
      </w:pPr>
      <w:r w:rsidRPr="00D85436">
        <w:rPr>
          <w:rStyle w:val="Refdenotaderodap"/>
          <w:sz w:val="18"/>
          <w:szCs w:val="18"/>
        </w:rPr>
        <w:footnoteRef/>
      </w:r>
      <w:r>
        <w:rPr>
          <w:sz w:val="18"/>
          <w:szCs w:val="18"/>
        </w:rPr>
        <w:t xml:space="preserve"> Este p</w:t>
      </w:r>
      <w:r>
        <w:rPr>
          <w:sz w:val="18"/>
          <w:szCs w:val="18"/>
          <w:lang w:val="pt-BR"/>
        </w:rPr>
        <w:t>lano</w:t>
      </w:r>
      <w:r>
        <w:rPr>
          <w:sz w:val="18"/>
          <w:szCs w:val="18"/>
        </w:rPr>
        <w:t xml:space="preserve"> foi baseado no </w:t>
      </w:r>
      <w:r>
        <w:rPr>
          <w:sz w:val="18"/>
          <w:szCs w:val="18"/>
          <w:lang w:val="pt-BR"/>
        </w:rPr>
        <w:t>m</w:t>
      </w:r>
      <w:r w:rsidRPr="00D85436">
        <w:rPr>
          <w:sz w:val="18"/>
          <w:szCs w:val="18"/>
        </w:rPr>
        <w:t>anual de drenagem e manejo de águas pluviais: gerenciamento do sistema de drenagem urbana  da Secretaria Municipal de Desenvolvimento Urbano de SP</w:t>
      </w:r>
      <w:r>
        <w:rPr>
          <w:sz w:val="18"/>
          <w:szCs w:val="18"/>
          <w:lang w:val="pt-BR"/>
        </w:rPr>
        <w:t>.</w:t>
      </w:r>
    </w:p>
    <w:p w:rsidR="000A1C78" w:rsidRDefault="000A1C78" w:rsidP="00AA5146">
      <w:pPr>
        <w:pStyle w:val="Textodenotaderodap"/>
      </w:pPr>
      <w:r>
        <w:t>.</w:t>
      </w:r>
    </w:p>
  </w:footnote>
  <w:footnote w:id="2">
    <w:p w:rsidR="000A1C78" w:rsidRPr="00A90E4C" w:rsidRDefault="000A1C78" w:rsidP="001B431A">
      <w:pPr>
        <w:pStyle w:val="Textodenotaderodap"/>
        <w:rPr>
          <w:lang w:val="pt-BR"/>
        </w:rPr>
      </w:pPr>
      <w:r w:rsidRPr="00B423A2">
        <w:rPr>
          <w:rStyle w:val="Refdenotaderodap"/>
          <w:sz w:val="18"/>
        </w:rPr>
        <w:footnoteRef/>
      </w:r>
      <w:r w:rsidRPr="00B423A2">
        <w:rPr>
          <w:sz w:val="18"/>
        </w:rPr>
        <w:t xml:space="preserve"> </w:t>
      </w:r>
      <w:r w:rsidRPr="00B423A2">
        <w:rPr>
          <w:sz w:val="16"/>
        </w:rPr>
        <w:t>Este programa utilizou como referência as publicações do Ministério do Meio Ambiente (MMA): Elementos para a organização da coleta seletiva e projeto dos galpões de triagem (20</w:t>
      </w:r>
      <w:r w:rsidRPr="00B423A2">
        <w:rPr>
          <w:sz w:val="16"/>
          <w:lang w:val="pt-BR"/>
        </w:rPr>
        <w:t>0</w:t>
      </w:r>
      <w:r w:rsidRPr="00B423A2">
        <w:rPr>
          <w:sz w:val="16"/>
        </w:rPr>
        <w:t>8); Coleta seletiva com a inclusão dos catadores de materiais recicláveis (2013).</w:t>
      </w:r>
    </w:p>
  </w:footnote>
  <w:footnote w:id="3">
    <w:p w:rsidR="000A1C78" w:rsidRDefault="000A1C78" w:rsidP="00EF75D2">
      <w:pPr>
        <w:pStyle w:val="Textodenotaderodap"/>
        <w:spacing w:line="240" w:lineRule="auto"/>
        <w:jc w:val="both"/>
      </w:pPr>
      <w:r w:rsidRPr="00E15B93">
        <w:rPr>
          <w:rStyle w:val="Refdenotaderodap"/>
          <w:sz w:val="18"/>
        </w:rPr>
        <w:footnoteRef/>
      </w:r>
      <w:r w:rsidRPr="00E15B93">
        <w:rPr>
          <w:sz w:val="18"/>
        </w:rPr>
        <w:t xml:space="preserve"> </w:t>
      </w:r>
      <w:r w:rsidRPr="0028714A">
        <w:rPr>
          <w:sz w:val="16"/>
        </w:rPr>
        <w:t>Este capítulo resume</w:t>
      </w:r>
      <w:r w:rsidRPr="001F7397">
        <w:rPr>
          <w:sz w:val="16"/>
        </w:rPr>
        <w:t xml:space="preserve"> as informações disponibilizadas pela Defesa civil, presente</w:t>
      </w:r>
      <w:r>
        <w:rPr>
          <w:sz w:val="16"/>
          <w:lang w:val="pt-BR"/>
        </w:rPr>
        <w:t>s</w:t>
      </w:r>
      <w:r w:rsidRPr="001F7397">
        <w:rPr>
          <w:sz w:val="16"/>
        </w:rPr>
        <w:t xml:space="preserve"> em duas principais literaturas (Gestão de Risco e Plano de Contingência). Este capítulo não pretende esgotar as literaturas citadas, </w:t>
      </w:r>
      <w:r>
        <w:rPr>
          <w:sz w:val="16"/>
          <w:lang w:val="pt-BR"/>
        </w:rPr>
        <w:t xml:space="preserve">que devem ser as </w:t>
      </w:r>
      <w:r w:rsidRPr="001F7397">
        <w:rPr>
          <w:sz w:val="16"/>
        </w:rPr>
        <w:t xml:space="preserve">norteadoras das ações municipais (ver bibliografia Defesa Civil I e II). </w:t>
      </w:r>
    </w:p>
  </w:footnote>
  <w:footnote w:id="4">
    <w:p w:rsidR="000A1C78" w:rsidRPr="00F55DA3" w:rsidRDefault="000A1C78" w:rsidP="00EF75D2">
      <w:pPr>
        <w:spacing w:line="240" w:lineRule="auto"/>
        <w:jc w:val="both"/>
        <w:rPr>
          <w:rFonts w:ascii="Calibri" w:hAnsi="Calibri"/>
          <w:sz w:val="18"/>
          <w:szCs w:val="18"/>
        </w:rPr>
      </w:pPr>
      <w:r w:rsidRPr="00F55DA3">
        <w:rPr>
          <w:rStyle w:val="Refdenotaderodap"/>
          <w:rFonts w:ascii="Calibri" w:hAnsi="Calibri"/>
          <w:sz w:val="18"/>
          <w:szCs w:val="18"/>
        </w:rPr>
        <w:footnoteRef/>
      </w:r>
      <w:r w:rsidRPr="00F55DA3">
        <w:rPr>
          <w:rFonts w:ascii="Calibri" w:hAnsi="Calibri"/>
          <w:sz w:val="18"/>
          <w:szCs w:val="18"/>
        </w:rPr>
        <w:t>. Contingência: é a situação de incerteza quanto a um determinado evento, fenômeno ou acidente, que pode se concretizar ou não, durante um período determinado.</w:t>
      </w:r>
    </w:p>
  </w:footnote>
  <w:footnote w:id="5">
    <w:p w:rsidR="000A1C78" w:rsidRDefault="000A1C78" w:rsidP="00813DDC">
      <w:pPr>
        <w:pStyle w:val="Textodenotaderodap"/>
      </w:pPr>
      <w:r>
        <w:rPr>
          <w:rStyle w:val="Refdenotaderodap"/>
        </w:rPr>
        <w:footnoteRef/>
      </w:r>
      <w:r>
        <w:t xml:space="preserve"> Indicador adaptado do SNIS</w:t>
      </w:r>
    </w:p>
  </w:footnote>
  <w:footnote w:id="6">
    <w:p w:rsidR="000A1C78" w:rsidRDefault="000A1C78" w:rsidP="00813DDC">
      <w:pPr>
        <w:pStyle w:val="Textodenotaderodap"/>
      </w:pPr>
      <w:r>
        <w:rPr>
          <w:rStyle w:val="Refdenotaderodap"/>
        </w:rPr>
        <w:footnoteRef/>
      </w:r>
      <w:r>
        <w:t xml:space="preserve"> Indicador adaptado do SNIS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077E69">
    <w:pPr>
      <w:widowControl w:val="0"/>
      <w:tabs>
        <w:tab w:val="center" w:pos="4252"/>
        <w:tab w:val="right" w:pos="8504"/>
      </w:tabs>
      <w:spacing w:line="240" w:lineRule="auto"/>
      <w:contextualSpacing/>
      <w:rPr>
        <w:rFonts w:eastAsia="Times New Roman"/>
        <w:szCs w:val="20"/>
        <w:lang w:eastAsia="x-none"/>
      </w:rPr>
    </w:pPr>
    <w:r w:rsidRPr="005250C2">
      <w:rPr>
        <w:rFonts w:eastAsia="Times New Roman"/>
        <w:noProof/>
        <w:szCs w:val="20"/>
        <w:lang w:eastAsia="pt-BR"/>
      </w:rPr>
      <w:drawing>
        <wp:inline distT="0" distB="0" distL="0" distR="0" wp14:anchorId="4584716B" wp14:editId="04FFF9D4">
          <wp:extent cx="793750" cy="724535"/>
          <wp:effectExtent l="0" t="0" r="6350" b="0"/>
          <wp:docPr id="24" name="Imagem 24" descr="Descrição: mg-corrego-novo-bras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mg-corrego-novo-brasa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3750" cy="724535"/>
                  </a:xfrm>
                  <a:prstGeom prst="rect">
                    <a:avLst/>
                  </a:prstGeom>
                  <a:noFill/>
                  <a:ln>
                    <a:noFill/>
                  </a:ln>
                </pic:spPr>
              </pic:pic>
            </a:graphicData>
          </a:graphic>
        </wp:inline>
      </w:drawing>
    </w:r>
    <w:r w:rsidRPr="00490A0A">
      <w:rPr>
        <w:rFonts w:eastAsia="Times New Roman"/>
        <w:szCs w:val="20"/>
        <w:lang w:eastAsia="x-none"/>
      </w:rPr>
      <w:t xml:space="preserve">                    </w:t>
    </w:r>
    <w:r w:rsidRPr="00490A0A">
      <w:rPr>
        <w:rFonts w:eastAsia="Times New Roman"/>
        <w:noProof/>
        <w:color w:val="000000"/>
        <w:sz w:val="28"/>
        <w:szCs w:val="28"/>
        <w:lang w:eastAsia="pt-BR"/>
      </w:rPr>
      <w:drawing>
        <wp:inline distT="0" distB="0" distL="0" distR="0" wp14:anchorId="6B1FF954" wp14:editId="44ACF803">
          <wp:extent cx="741045" cy="709295"/>
          <wp:effectExtent l="0" t="0" r="1905"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41045" cy="709295"/>
                  </a:xfrm>
                  <a:prstGeom prst="rect">
                    <a:avLst/>
                  </a:prstGeom>
                  <a:noFill/>
                  <a:ln>
                    <a:noFill/>
                  </a:ln>
                </pic:spPr>
              </pic:pic>
            </a:graphicData>
          </a:graphic>
        </wp:inline>
      </w:drawing>
    </w:r>
    <w:r w:rsidRPr="00490A0A">
      <w:rPr>
        <w:rFonts w:eastAsia="Times New Roman"/>
        <w:szCs w:val="20"/>
        <w:lang w:val="x-none" w:eastAsia="x-none"/>
      </w:rPr>
      <w:tab/>
    </w:r>
    <w:r w:rsidRPr="00490A0A">
      <w:rPr>
        <w:rFonts w:eastAsia="Times New Roman"/>
        <w:szCs w:val="20"/>
        <w:lang w:eastAsia="x-none"/>
      </w:rPr>
      <w:t xml:space="preserve">                          </w:t>
    </w:r>
    <w:r w:rsidRPr="005250C2">
      <w:rPr>
        <w:rFonts w:eastAsia="Times New Roman"/>
        <w:noProof/>
        <w:szCs w:val="20"/>
        <w:lang w:eastAsia="pt-BR"/>
      </w:rPr>
      <w:drawing>
        <wp:inline distT="0" distB="0" distL="0" distR="0" wp14:anchorId="3AB36587" wp14:editId="0F4ACF1A">
          <wp:extent cx="905510" cy="724535"/>
          <wp:effectExtent l="0" t="0" r="8890" b="0"/>
          <wp:docPr id="26"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05510" cy="724535"/>
                  </a:xfrm>
                  <a:prstGeom prst="rect">
                    <a:avLst/>
                  </a:prstGeom>
                  <a:noFill/>
                  <a:ln>
                    <a:noFill/>
                  </a:ln>
                </pic:spPr>
              </pic:pic>
            </a:graphicData>
          </a:graphic>
        </wp:inline>
      </w:drawing>
    </w:r>
    <w:r w:rsidRPr="00490A0A">
      <w:rPr>
        <w:rFonts w:eastAsia="Times New Roman"/>
        <w:szCs w:val="20"/>
        <w:lang w:eastAsia="x-none"/>
      </w:rPr>
      <w:t xml:space="preserve"> </w:t>
    </w:r>
    <w:r>
      <w:rPr>
        <w:rFonts w:eastAsia="Times New Roman"/>
        <w:szCs w:val="20"/>
        <w:lang w:eastAsia="x-none"/>
      </w:rPr>
      <w:t xml:space="preserve">       </w:t>
    </w:r>
    <w:r w:rsidRPr="00490A0A">
      <w:rPr>
        <w:rFonts w:eastAsia="Times New Roman"/>
        <w:szCs w:val="20"/>
        <w:lang w:eastAsia="x-none"/>
      </w:rPr>
      <w:t xml:space="preserve">        </w:t>
    </w:r>
    <w:r w:rsidRPr="00490A0A">
      <w:rPr>
        <w:rFonts w:eastAsia="Times New Roman"/>
        <w:b/>
        <w:noProof/>
        <w:color w:val="000000"/>
        <w:sz w:val="28"/>
        <w:szCs w:val="28"/>
        <w:lang w:eastAsia="pt-BR"/>
      </w:rPr>
      <w:drawing>
        <wp:inline distT="0" distB="0" distL="0" distR="0" wp14:anchorId="43F7D0DE" wp14:editId="1514A5E0">
          <wp:extent cx="646430" cy="709295"/>
          <wp:effectExtent l="0" t="0" r="1270" b="0"/>
          <wp:docPr id="28" name="Imagem 28" descr="Descriçã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Descrição: logotipo"/>
                  <pic:cNvPicPr>
                    <a:picLocks noChangeAspect="1" noChangeArrowheads="1"/>
                  </pic:cNvPicPr>
                </pic:nvPicPr>
                <pic:blipFill>
                  <a:blip r:embed="rId4">
                    <a:extLst>
                      <a:ext uri="{28A0092B-C50C-407E-A947-70E740481C1C}">
                        <a14:useLocalDpi xmlns:a14="http://schemas.microsoft.com/office/drawing/2010/main" val="0"/>
                      </a:ext>
                    </a:extLst>
                  </a:blip>
                  <a:srcRect t="10101" b="10101"/>
                  <a:stretch>
                    <a:fillRect/>
                  </a:stretch>
                </pic:blipFill>
                <pic:spPr bwMode="auto">
                  <a:xfrm>
                    <a:off x="0" y="0"/>
                    <a:ext cx="646430" cy="709295"/>
                  </a:xfrm>
                  <a:prstGeom prst="rect">
                    <a:avLst/>
                  </a:prstGeom>
                  <a:noFill/>
                  <a:ln>
                    <a:noFill/>
                  </a:ln>
                </pic:spPr>
              </pic:pic>
            </a:graphicData>
          </a:graphic>
        </wp:inline>
      </w:drawing>
    </w:r>
  </w:p>
  <w:p w:rsidR="000A1C78" w:rsidRPr="001E0DBE" w:rsidRDefault="000A1C78" w:rsidP="00407BB1">
    <w:pPr>
      <w:widowControl w:val="0"/>
      <w:tabs>
        <w:tab w:val="center" w:pos="4252"/>
        <w:tab w:val="right" w:pos="8504"/>
      </w:tabs>
      <w:spacing w:line="240" w:lineRule="auto"/>
      <w:contextualSpacing/>
      <w:jc w:val="center"/>
      <w:rPr>
        <w:rFonts w:eastAsia="Times New Roman"/>
        <w:b/>
        <w:noProof/>
        <w:color w:val="000000"/>
        <w:lang w:eastAsia="x-none"/>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407BB1">
    <w:pPr>
      <w:widowControl w:val="0"/>
      <w:tabs>
        <w:tab w:val="center" w:pos="4252"/>
        <w:tab w:val="right" w:pos="8504"/>
      </w:tabs>
      <w:spacing w:line="240" w:lineRule="auto"/>
      <w:contextualSpacing/>
      <w:jc w:val="center"/>
      <w:rPr>
        <w:rFonts w:eastAsia="Times New Roman"/>
        <w:szCs w:val="20"/>
        <w:lang w:eastAsia="x-none"/>
      </w:rPr>
    </w:pPr>
    <w:r w:rsidRPr="005250C2">
      <w:rPr>
        <w:rFonts w:eastAsia="Times New Roman"/>
        <w:noProof/>
        <w:szCs w:val="20"/>
        <w:lang w:eastAsia="pt-BR"/>
      </w:rPr>
      <w:drawing>
        <wp:inline distT="0" distB="0" distL="0" distR="0" wp14:anchorId="542C31F4" wp14:editId="3E854498">
          <wp:extent cx="793750" cy="724535"/>
          <wp:effectExtent l="0" t="0" r="6350" b="0"/>
          <wp:docPr id="29" name="Imagem 29" descr="Descrição: mg-corrego-novo-bras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mg-corrego-novo-brasa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3750" cy="724535"/>
                  </a:xfrm>
                  <a:prstGeom prst="rect">
                    <a:avLst/>
                  </a:prstGeom>
                  <a:noFill/>
                  <a:ln>
                    <a:noFill/>
                  </a:ln>
                </pic:spPr>
              </pic:pic>
            </a:graphicData>
          </a:graphic>
        </wp:inline>
      </w:drawing>
    </w:r>
    <w:r w:rsidRPr="00490A0A">
      <w:rPr>
        <w:rFonts w:eastAsia="Times New Roman"/>
        <w:szCs w:val="20"/>
        <w:lang w:eastAsia="x-none"/>
      </w:rPr>
      <w:t xml:space="preserve">                    </w:t>
    </w:r>
    <w:r w:rsidRPr="00490A0A">
      <w:rPr>
        <w:rFonts w:eastAsia="Times New Roman"/>
        <w:noProof/>
        <w:color w:val="000000"/>
        <w:sz w:val="28"/>
        <w:szCs w:val="28"/>
        <w:lang w:eastAsia="pt-BR"/>
      </w:rPr>
      <w:drawing>
        <wp:inline distT="0" distB="0" distL="0" distR="0" wp14:anchorId="19A544BA" wp14:editId="744A4E50">
          <wp:extent cx="741045" cy="709295"/>
          <wp:effectExtent l="0" t="0" r="1905"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41045" cy="709295"/>
                  </a:xfrm>
                  <a:prstGeom prst="rect">
                    <a:avLst/>
                  </a:prstGeom>
                  <a:noFill/>
                  <a:ln>
                    <a:noFill/>
                  </a:ln>
                </pic:spPr>
              </pic:pic>
            </a:graphicData>
          </a:graphic>
        </wp:inline>
      </w:drawing>
    </w:r>
    <w:r w:rsidRPr="00490A0A">
      <w:rPr>
        <w:rFonts w:eastAsia="Times New Roman"/>
        <w:szCs w:val="20"/>
        <w:lang w:val="x-none" w:eastAsia="x-none"/>
      </w:rPr>
      <w:tab/>
    </w:r>
    <w:r w:rsidRPr="00490A0A">
      <w:rPr>
        <w:rFonts w:eastAsia="Times New Roman"/>
        <w:szCs w:val="20"/>
        <w:lang w:eastAsia="x-none"/>
      </w:rPr>
      <w:t xml:space="preserve">                     </w:t>
    </w:r>
    <w:r w:rsidRPr="005250C2">
      <w:rPr>
        <w:rFonts w:eastAsia="Times New Roman"/>
        <w:noProof/>
        <w:szCs w:val="20"/>
        <w:lang w:eastAsia="pt-BR"/>
      </w:rPr>
      <w:drawing>
        <wp:inline distT="0" distB="0" distL="0" distR="0" wp14:anchorId="61AB3C7C" wp14:editId="013C50C5">
          <wp:extent cx="905510" cy="724535"/>
          <wp:effectExtent l="0" t="0" r="8890" b="0"/>
          <wp:docPr id="31"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05510" cy="724535"/>
                  </a:xfrm>
                  <a:prstGeom prst="rect">
                    <a:avLst/>
                  </a:prstGeom>
                  <a:noFill/>
                  <a:ln>
                    <a:noFill/>
                  </a:ln>
                </pic:spPr>
              </pic:pic>
            </a:graphicData>
          </a:graphic>
        </wp:inline>
      </w:drawing>
    </w:r>
    <w:r w:rsidRPr="00490A0A">
      <w:rPr>
        <w:rFonts w:eastAsia="Times New Roman"/>
        <w:szCs w:val="20"/>
        <w:lang w:eastAsia="x-none"/>
      </w:rPr>
      <w:t xml:space="preserve">              </w:t>
    </w:r>
    <w:r w:rsidRPr="00490A0A">
      <w:rPr>
        <w:rFonts w:eastAsia="Times New Roman"/>
        <w:b/>
        <w:noProof/>
        <w:color w:val="000000"/>
        <w:sz w:val="28"/>
        <w:szCs w:val="28"/>
        <w:lang w:eastAsia="pt-BR"/>
      </w:rPr>
      <w:drawing>
        <wp:inline distT="0" distB="0" distL="0" distR="0" wp14:anchorId="01F34261" wp14:editId="6C46282D">
          <wp:extent cx="646430" cy="709295"/>
          <wp:effectExtent l="0" t="0" r="1270" b="0"/>
          <wp:docPr id="224" name="Imagem 224" descr="Descriçã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Descrição: logotipo"/>
                  <pic:cNvPicPr>
                    <a:picLocks noChangeAspect="1" noChangeArrowheads="1"/>
                  </pic:cNvPicPr>
                </pic:nvPicPr>
                <pic:blipFill>
                  <a:blip r:embed="rId4">
                    <a:extLst>
                      <a:ext uri="{28A0092B-C50C-407E-A947-70E740481C1C}">
                        <a14:useLocalDpi xmlns:a14="http://schemas.microsoft.com/office/drawing/2010/main" val="0"/>
                      </a:ext>
                    </a:extLst>
                  </a:blip>
                  <a:srcRect t="10101" b="10101"/>
                  <a:stretch>
                    <a:fillRect/>
                  </a:stretch>
                </pic:blipFill>
                <pic:spPr bwMode="auto">
                  <a:xfrm>
                    <a:off x="0" y="0"/>
                    <a:ext cx="646430" cy="709295"/>
                  </a:xfrm>
                  <a:prstGeom prst="rect">
                    <a:avLst/>
                  </a:prstGeom>
                  <a:noFill/>
                  <a:ln>
                    <a:noFill/>
                  </a:ln>
                </pic:spPr>
              </pic:pic>
            </a:graphicData>
          </a:graphic>
        </wp:inline>
      </w:drawing>
    </w:r>
  </w:p>
  <w:p w:rsidR="000A1C78" w:rsidRPr="001E0DBE" w:rsidRDefault="000A1C78" w:rsidP="00407BB1">
    <w:pPr>
      <w:widowControl w:val="0"/>
      <w:tabs>
        <w:tab w:val="center" w:pos="4252"/>
        <w:tab w:val="right" w:pos="8504"/>
      </w:tabs>
      <w:spacing w:line="240" w:lineRule="auto"/>
      <w:contextualSpacing/>
      <w:jc w:val="center"/>
      <w:rPr>
        <w:rFonts w:eastAsia="Times New Roman"/>
        <w:b/>
        <w:noProof/>
        <w:color w:val="000000"/>
        <w:lang w:eastAsia="x-none"/>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0332" w:rsidRPr="009B0332" w:rsidRDefault="009B0332" w:rsidP="009B0332">
    <w:pPr>
      <w:pStyle w:val="Cabealh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0332" w:rsidRDefault="009B0332" w:rsidP="00407BB1">
    <w:pPr>
      <w:widowControl w:val="0"/>
      <w:tabs>
        <w:tab w:val="center" w:pos="4252"/>
        <w:tab w:val="right" w:pos="8504"/>
      </w:tabs>
      <w:spacing w:line="240" w:lineRule="auto"/>
      <w:contextualSpacing/>
      <w:jc w:val="center"/>
      <w:rPr>
        <w:rFonts w:eastAsia="Times New Roman"/>
        <w:szCs w:val="20"/>
        <w:lang w:eastAsia="x-none"/>
      </w:rPr>
    </w:pPr>
    <w:r w:rsidRPr="005250C2">
      <w:rPr>
        <w:rFonts w:eastAsia="Times New Roman"/>
        <w:noProof/>
        <w:szCs w:val="20"/>
        <w:lang w:eastAsia="pt-BR"/>
      </w:rPr>
      <w:drawing>
        <wp:inline distT="0" distB="0" distL="0" distR="0" wp14:anchorId="2DE6838E" wp14:editId="7F51BCFE">
          <wp:extent cx="793750" cy="724535"/>
          <wp:effectExtent l="0" t="0" r="6350" b="0"/>
          <wp:docPr id="229" name="Imagem 229" descr="Descrição: mg-corrego-novo-bras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mg-corrego-novo-brasa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3750" cy="724535"/>
                  </a:xfrm>
                  <a:prstGeom prst="rect">
                    <a:avLst/>
                  </a:prstGeom>
                  <a:noFill/>
                  <a:ln>
                    <a:noFill/>
                  </a:ln>
                </pic:spPr>
              </pic:pic>
            </a:graphicData>
          </a:graphic>
        </wp:inline>
      </w:drawing>
    </w:r>
    <w:r w:rsidRPr="00490A0A">
      <w:rPr>
        <w:rFonts w:eastAsia="Times New Roman"/>
        <w:szCs w:val="20"/>
        <w:lang w:eastAsia="x-none"/>
      </w:rPr>
      <w:t xml:space="preserve">                    </w:t>
    </w:r>
    <w:r w:rsidRPr="00490A0A">
      <w:rPr>
        <w:rFonts w:eastAsia="Times New Roman"/>
        <w:noProof/>
        <w:color w:val="000000"/>
        <w:sz w:val="28"/>
        <w:szCs w:val="28"/>
        <w:lang w:eastAsia="pt-BR"/>
      </w:rPr>
      <w:drawing>
        <wp:inline distT="0" distB="0" distL="0" distR="0" wp14:anchorId="7DCC5761" wp14:editId="23410EDD">
          <wp:extent cx="741045" cy="709295"/>
          <wp:effectExtent l="0" t="0" r="1905" b="0"/>
          <wp:docPr id="230" name="Imagem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41045" cy="709295"/>
                  </a:xfrm>
                  <a:prstGeom prst="rect">
                    <a:avLst/>
                  </a:prstGeom>
                  <a:noFill/>
                  <a:ln>
                    <a:noFill/>
                  </a:ln>
                </pic:spPr>
              </pic:pic>
            </a:graphicData>
          </a:graphic>
        </wp:inline>
      </w:drawing>
    </w:r>
    <w:r w:rsidRPr="00490A0A">
      <w:rPr>
        <w:rFonts w:eastAsia="Times New Roman"/>
        <w:szCs w:val="20"/>
        <w:lang w:val="x-none" w:eastAsia="x-none"/>
      </w:rPr>
      <w:tab/>
    </w:r>
    <w:r w:rsidRPr="00490A0A">
      <w:rPr>
        <w:rFonts w:eastAsia="Times New Roman"/>
        <w:szCs w:val="20"/>
        <w:lang w:eastAsia="x-none"/>
      </w:rPr>
      <w:t xml:space="preserve">                     </w:t>
    </w:r>
    <w:r w:rsidRPr="005250C2">
      <w:rPr>
        <w:rFonts w:eastAsia="Times New Roman"/>
        <w:noProof/>
        <w:szCs w:val="20"/>
        <w:lang w:eastAsia="pt-BR"/>
      </w:rPr>
      <w:drawing>
        <wp:inline distT="0" distB="0" distL="0" distR="0" wp14:anchorId="11E3FA0C" wp14:editId="71FC55F4">
          <wp:extent cx="905510" cy="724535"/>
          <wp:effectExtent l="0" t="0" r="8890" b="0"/>
          <wp:docPr id="239"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05510" cy="724535"/>
                  </a:xfrm>
                  <a:prstGeom prst="rect">
                    <a:avLst/>
                  </a:prstGeom>
                  <a:noFill/>
                  <a:ln>
                    <a:noFill/>
                  </a:ln>
                </pic:spPr>
              </pic:pic>
            </a:graphicData>
          </a:graphic>
        </wp:inline>
      </w:drawing>
    </w:r>
    <w:r w:rsidRPr="00490A0A">
      <w:rPr>
        <w:rFonts w:eastAsia="Times New Roman"/>
        <w:szCs w:val="20"/>
        <w:lang w:eastAsia="x-none"/>
      </w:rPr>
      <w:t xml:space="preserve">              </w:t>
    </w:r>
    <w:r w:rsidRPr="00490A0A">
      <w:rPr>
        <w:rFonts w:eastAsia="Times New Roman"/>
        <w:b/>
        <w:noProof/>
        <w:color w:val="000000"/>
        <w:sz w:val="28"/>
        <w:szCs w:val="28"/>
        <w:lang w:eastAsia="pt-BR"/>
      </w:rPr>
      <w:drawing>
        <wp:inline distT="0" distB="0" distL="0" distR="0" wp14:anchorId="787A694C" wp14:editId="0B268BF6">
          <wp:extent cx="646430" cy="709295"/>
          <wp:effectExtent l="0" t="0" r="1270" b="0"/>
          <wp:docPr id="240" name="Imagem 240" descr="Descriçã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Descrição: logotipo"/>
                  <pic:cNvPicPr>
                    <a:picLocks noChangeAspect="1" noChangeArrowheads="1"/>
                  </pic:cNvPicPr>
                </pic:nvPicPr>
                <pic:blipFill>
                  <a:blip r:embed="rId4">
                    <a:extLst>
                      <a:ext uri="{28A0092B-C50C-407E-A947-70E740481C1C}">
                        <a14:useLocalDpi xmlns:a14="http://schemas.microsoft.com/office/drawing/2010/main" val="0"/>
                      </a:ext>
                    </a:extLst>
                  </a:blip>
                  <a:srcRect t="10101" b="10101"/>
                  <a:stretch>
                    <a:fillRect/>
                  </a:stretch>
                </pic:blipFill>
                <pic:spPr bwMode="auto">
                  <a:xfrm>
                    <a:off x="0" y="0"/>
                    <a:ext cx="646430" cy="709295"/>
                  </a:xfrm>
                  <a:prstGeom prst="rect">
                    <a:avLst/>
                  </a:prstGeom>
                  <a:noFill/>
                  <a:ln>
                    <a:noFill/>
                  </a:ln>
                </pic:spPr>
              </pic:pic>
            </a:graphicData>
          </a:graphic>
        </wp:inline>
      </w:drawing>
    </w:r>
  </w:p>
  <w:p w:rsidR="009B0332" w:rsidRPr="001E0DBE" w:rsidRDefault="009B0332" w:rsidP="00407BB1">
    <w:pPr>
      <w:widowControl w:val="0"/>
      <w:tabs>
        <w:tab w:val="center" w:pos="4252"/>
        <w:tab w:val="right" w:pos="8504"/>
      </w:tabs>
      <w:spacing w:line="240" w:lineRule="auto"/>
      <w:contextualSpacing/>
      <w:jc w:val="center"/>
      <w:rPr>
        <w:rFonts w:eastAsia="Times New Roman"/>
        <w:b/>
        <w:noProof/>
        <w:color w:val="000000"/>
        <w:lang w:eastAsia="x-none"/>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C78" w:rsidRDefault="000A1C78" w:rsidP="00407BB1">
    <w:pPr>
      <w:widowControl w:val="0"/>
      <w:tabs>
        <w:tab w:val="center" w:pos="4252"/>
        <w:tab w:val="right" w:pos="8504"/>
      </w:tabs>
      <w:spacing w:line="240" w:lineRule="auto"/>
      <w:contextualSpacing/>
      <w:jc w:val="center"/>
      <w:rPr>
        <w:rFonts w:eastAsia="Times New Roman"/>
        <w:szCs w:val="20"/>
        <w:lang w:eastAsia="x-none"/>
      </w:rPr>
    </w:pPr>
    <w:r w:rsidRPr="005250C2">
      <w:rPr>
        <w:rFonts w:eastAsia="Times New Roman"/>
        <w:noProof/>
        <w:szCs w:val="20"/>
        <w:lang w:eastAsia="pt-BR"/>
      </w:rPr>
      <w:drawing>
        <wp:inline distT="0" distB="0" distL="0" distR="0" wp14:anchorId="429CACAE" wp14:editId="0F9966E1">
          <wp:extent cx="793750" cy="724535"/>
          <wp:effectExtent l="0" t="0" r="6350" b="0"/>
          <wp:docPr id="243" name="Imagem 243" descr="Descrição: mg-corrego-novo-bras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mg-corrego-novo-brasa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3750" cy="724535"/>
                  </a:xfrm>
                  <a:prstGeom prst="rect">
                    <a:avLst/>
                  </a:prstGeom>
                  <a:noFill/>
                  <a:ln>
                    <a:noFill/>
                  </a:ln>
                </pic:spPr>
              </pic:pic>
            </a:graphicData>
          </a:graphic>
        </wp:inline>
      </w:drawing>
    </w:r>
    <w:r w:rsidRPr="00490A0A">
      <w:rPr>
        <w:rFonts w:eastAsia="Times New Roman"/>
        <w:szCs w:val="20"/>
        <w:lang w:eastAsia="x-none"/>
      </w:rPr>
      <w:t xml:space="preserve">                    </w:t>
    </w:r>
    <w:r w:rsidRPr="00490A0A">
      <w:rPr>
        <w:rFonts w:eastAsia="Times New Roman"/>
        <w:noProof/>
        <w:color w:val="000000"/>
        <w:sz w:val="28"/>
        <w:szCs w:val="28"/>
        <w:lang w:eastAsia="pt-BR"/>
      </w:rPr>
      <w:drawing>
        <wp:inline distT="0" distB="0" distL="0" distR="0" wp14:anchorId="0B0C8D26" wp14:editId="7B8FA240">
          <wp:extent cx="741045" cy="709295"/>
          <wp:effectExtent l="0" t="0" r="1905" b="0"/>
          <wp:docPr id="244" name="Imagem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41045" cy="709295"/>
                  </a:xfrm>
                  <a:prstGeom prst="rect">
                    <a:avLst/>
                  </a:prstGeom>
                  <a:noFill/>
                  <a:ln>
                    <a:noFill/>
                  </a:ln>
                </pic:spPr>
              </pic:pic>
            </a:graphicData>
          </a:graphic>
        </wp:inline>
      </w:drawing>
    </w:r>
    <w:r w:rsidRPr="00490A0A">
      <w:rPr>
        <w:rFonts w:eastAsia="Times New Roman"/>
        <w:szCs w:val="20"/>
        <w:lang w:val="x-none" w:eastAsia="x-none"/>
      </w:rPr>
      <w:tab/>
    </w:r>
    <w:r w:rsidRPr="00490A0A">
      <w:rPr>
        <w:rFonts w:eastAsia="Times New Roman"/>
        <w:szCs w:val="20"/>
        <w:lang w:eastAsia="x-none"/>
      </w:rPr>
      <w:t xml:space="preserve">                    </w:t>
    </w:r>
    <w:r w:rsidRPr="001D78F0">
      <w:rPr>
        <w:rFonts w:eastAsia="Times New Roman"/>
        <w:noProof/>
        <w:szCs w:val="20"/>
        <w:lang w:eastAsia="pt-BR"/>
      </w:rPr>
      <w:drawing>
        <wp:inline distT="0" distB="0" distL="0" distR="0" wp14:anchorId="50505AF9" wp14:editId="35BEE7B0">
          <wp:extent cx="946297" cy="757172"/>
          <wp:effectExtent l="0" t="0" r="6350" b="5080"/>
          <wp:docPr id="245"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55478" cy="764518"/>
                  </a:xfrm>
                  <a:prstGeom prst="rect">
                    <a:avLst/>
                  </a:prstGeom>
                  <a:noFill/>
                  <a:ln>
                    <a:noFill/>
                  </a:ln>
                </pic:spPr>
              </pic:pic>
            </a:graphicData>
          </a:graphic>
        </wp:inline>
      </w:drawing>
    </w:r>
    <w:r w:rsidRPr="00490A0A">
      <w:rPr>
        <w:rFonts w:eastAsia="Times New Roman"/>
        <w:szCs w:val="20"/>
        <w:lang w:eastAsia="x-none"/>
      </w:rPr>
      <w:t xml:space="preserve">               </w:t>
    </w:r>
    <w:r w:rsidRPr="00490A0A">
      <w:rPr>
        <w:rFonts w:eastAsia="Times New Roman"/>
        <w:b/>
        <w:noProof/>
        <w:color w:val="000000"/>
        <w:sz w:val="28"/>
        <w:szCs w:val="28"/>
        <w:lang w:eastAsia="pt-BR"/>
      </w:rPr>
      <w:drawing>
        <wp:inline distT="0" distB="0" distL="0" distR="0" wp14:anchorId="77CB0D9F" wp14:editId="43D67FED">
          <wp:extent cx="646430" cy="709295"/>
          <wp:effectExtent l="0" t="0" r="1270" b="0"/>
          <wp:docPr id="246" name="Imagem 246" descr="Descrição: 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Descrição: logotipo"/>
                  <pic:cNvPicPr>
                    <a:picLocks noChangeAspect="1" noChangeArrowheads="1"/>
                  </pic:cNvPicPr>
                </pic:nvPicPr>
                <pic:blipFill>
                  <a:blip r:embed="rId4">
                    <a:extLst>
                      <a:ext uri="{28A0092B-C50C-407E-A947-70E740481C1C}">
                        <a14:useLocalDpi xmlns:a14="http://schemas.microsoft.com/office/drawing/2010/main" val="0"/>
                      </a:ext>
                    </a:extLst>
                  </a:blip>
                  <a:srcRect t="10101" b="10101"/>
                  <a:stretch>
                    <a:fillRect/>
                  </a:stretch>
                </pic:blipFill>
                <pic:spPr bwMode="auto">
                  <a:xfrm>
                    <a:off x="0" y="0"/>
                    <a:ext cx="646430" cy="709295"/>
                  </a:xfrm>
                  <a:prstGeom prst="rect">
                    <a:avLst/>
                  </a:prstGeom>
                  <a:noFill/>
                  <a:ln>
                    <a:noFill/>
                  </a:ln>
                </pic:spPr>
              </pic:pic>
            </a:graphicData>
          </a:graphic>
        </wp:inline>
      </w:drawing>
    </w:r>
  </w:p>
  <w:p w:rsidR="000A1C78" w:rsidRPr="001E0DBE" w:rsidRDefault="000A1C78" w:rsidP="00407BB1">
    <w:pPr>
      <w:widowControl w:val="0"/>
      <w:tabs>
        <w:tab w:val="center" w:pos="4252"/>
        <w:tab w:val="right" w:pos="8504"/>
      </w:tabs>
      <w:spacing w:line="240" w:lineRule="auto"/>
      <w:contextualSpacing/>
      <w:jc w:val="center"/>
      <w:rPr>
        <w:rFonts w:eastAsia="Times New Roman"/>
        <w:b/>
        <w:noProof/>
        <w:color w:val="000000"/>
        <w:lang w:eastAsia="x-non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922AE3CE"/>
    <w:lvl w:ilvl="0">
      <w:start w:val="1"/>
      <w:numFmt w:val="decimal"/>
      <w:pStyle w:val="Numerada3"/>
      <w:lvlText w:val="%1."/>
      <w:lvlJc w:val="left"/>
      <w:pPr>
        <w:tabs>
          <w:tab w:val="num" w:pos="926"/>
        </w:tabs>
        <w:ind w:left="926" w:hanging="360"/>
      </w:pPr>
    </w:lvl>
  </w:abstractNum>
  <w:abstractNum w:abstractNumId="1">
    <w:nsid w:val="01C9345B"/>
    <w:multiLevelType w:val="hybridMultilevel"/>
    <w:tmpl w:val="8988B416"/>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04D929DA"/>
    <w:multiLevelType w:val="hybridMultilevel"/>
    <w:tmpl w:val="48122CF6"/>
    <w:lvl w:ilvl="0" w:tplc="0416000F">
      <w:start w:val="1"/>
      <w:numFmt w:val="decimal"/>
      <w:lvlText w:val="%1."/>
      <w:lvlJc w:val="left"/>
      <w:pPr>
        <w:ind w:left="1429" w:hanging="360"/>
      </w:pPr>
    </w:lvl>
    <w:lvl w:ilvl="1" w:tplc="04160019">
      <w:start w:val="1"/>
      <w:numFmt w:val="lowerLetter"/>
      <w:lvlText w:val="%2."/>
      <w:lvlJc w:val="left"/>
      <w:pPr>
        <w:ind w:left="2149" w:hanging="360"/>
      </w:pPr>
    </w:lvl>
    <w:lvl w:ilvl="2" w:tplc="0416001B">
      <w:start w:val="1"/>
      <w:numFmt w:val="lowerRoman"/>
      <w:lvlText w:val="%3."/>
      <w:lvlJc w:val="right"/>
      <w:pPr>
        <w:ind w:left="2869" w:hanging="180"/>
      </w:pPr>
    </w:lvl>
    <w:lvl w:ilvl="3" w:tplc="0416000F">
      <w:start w:val="1"/>
      <w:numFmt w:val="decimal"/>
      <w:lvlText w:val="%4."/>
      <w:lvlJc w:val="left"/>
      <w:pPr>
        <w:ind w:left="3589" w:hanging="360"/>
      </w:pPr>
    </w:lvl>
    <w:lvl w:ilvl="4" w:tplc="04160019">
      <w:start w:val="1"/>
      <w:numFmt w:val="lowerLetter"/>
      <w:lvlText w:val="%5."/>
      <w:lvlJc w:val="left"/>
      <w:pPr>
        <w:ind w:left="4309" w:hanging="360"/>
      </w:pPr>
    </w:lvl>
    <w:lvl w:ilvl="5" w:tplc="0416001B">
      <w:start w:val="1"/>
      <w:numFmt w:val="lowerRoman"/>
      <w:lvlText w:val="%6."/>
      <w:lvlJc w:val="right"/>
      <w:pPr>
        <w:ind w:left="5029" w:hanging="180"/>
      </w:pPr>
    </w:lvl>
    <w:lvl w:ilvl="6" w:tplc="0416000F">
      <w:start w:val="1"/>
      <w:numFmt w:val="decimal"/>
      <w:lvlText w:val="%7."/>
      <w:lvlJc w:val="left"/>
      <w:pPr>
        <w:ind w:left="5749" w:hanging="360"/>
      </w:pPr>
    </w:lvl>
    <w:lvl w:ilvl="7" w:tplc="04160019">
      <w:start w:val="1"/>
      <w:numFmt w:val="lowerLetter"/>
      <w:lvlText w:val="%8."/>
      <w:lvlJc w:val="left"/>
      <w:pPr>
        <w:ind w:left="6469" w:hanging="360"/>
      </w:pPr>
    </w:lvl>
    <w:lvl w:ilvl="8" w:tplc="0416001B">
      <w:start w:val="1"/>
      <w:numFmt w:val="lowerRoman"/>
      <w:lvlText w:val="%9."/>
      <w:lvlJc w:val="right"/>
      <w:pPr>
        <w:ind w:left="7189" w:hanging="180"/>
      </w:pPr>
    </w:lvl>
  </w:abstractNum>
  <w:abstractNum w:abstractNumId="3">
    <w:nsid w:val="055828F2"/>
    <w:multiLevelType w:val="multilevel"/>
    <w:tmpl w:val="2B4EA77A"/>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05C04AEB"/>
    <w:multiLevelType w:val="hybridMultilevel"/>
    <w:tmpl w:val="BC907C6A"/>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5">
    <w:nsid w:val="08B24597"/>
    <w:multiLevelType w:val="hybridMultilevel"/>
    <w:tmpl w:val="C5E6BEF0"/>
    <w:lvl w:ilvl="0" w:tplc="0416000F">
      <w:start w:val="1"/>
      <w:numFmt w:val="decimal"/>
      <w:lvlText w:val="%1."/>
      <w:lvlJc w:val="left"/>
      <w:pPr>
        <w:ind w:left="1571" w:hanging="360"/>
      </w:pPr>
    </w:lvl>
    <w:lvl w:ilvl="1" w:tplc="04160019" w:tentative="1">
      <w:start w:val="1"/>
      <w:numFmt w:val="lowerLetter"/>
      <w:lvlText w:val="%2."/>
      <w:lvlJc w:val="left"/>
      <w:pPr>
        <w:ind w:left="2291" w:hanging="360"/>
      </w:p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6">
    <w:nsid w:val="09762E9A"/>
    <w:multiLevelType w:val="hybridMultilevel"/>
    <w:tmpl w:val="1FDEF7E4"/>
    <w:lvl w:ilvl="0" w:tplc="E5CA3BFE">
      <w:start w:val="4"/>
      <w:numFmt w:val="decimal"/>
      <w:lvlText w:val="Objetivo %1."/>
      <w:lvlJc w:val="left"/>
      <w:pPr>
        <w:ind w:left="2062"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0CBA76A3"/>
    <w:multiLevelType w:val="hybridMultilevel"/>
    <w:tmpl w:val="DD7A0CCC"/>
    <w:lvl w:ilvl="0" w:tplc="E3B4F0B2">
      <w:start w:val="1"/>
      <w:numFmt w:val="decimal"/>
      <w:lvlText w:val="Objetivo %1."/>
      <w:lvlJc w:val="left"/>
      <w:pPr>
        <w:ind w:left="2062" w:hanging="360"/>
      </w:pPr>
      <w:rPr>
        <w:rFonts w:hint="default"/>
        <w:b/>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0DB16915"/>
    <w:multiLevelType w:val="hybridMultilevel"/>
    <w:tmpl w:val="2646D518"/>
    <w:lvl w:ilvl="0" w:tplc="0416000F">
      <w:start w:val="1"/>
      <w:numFmt w:val="decimal"/>
      <w:lvlText w:val="%1."/>
      <w:lvlJc w:val="left"/>
      <w:pPr>
        <w:ind w:left="1429" w:hanging="360"/>
      </w:pPr>
      <w:rPr>
        <w:rFont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9">
    <w:nsid w:val="0E06308B"/>
    <w:multiLevelType w:val="hybridMultilevel"/>
    <w:tmpl w:val="03646FEC"/>
    <w:lvl w:ilvl="0" w:tplc="04160009">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106950EE"/>
    <w:multiLevelType w:val="hybridMultilevel"/>
    <w:tmpl w:val="DFDEDECC"/>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1">
    <w:nsid w:val="127D099E"/>
    <w:multiLevelType w:val="hybridMultilevel"/>
    <w:tmpl w:val="EB28F0A6"/>
    <w:lvl w:ilvl="0" w:tplc="04160001">
      <w:start w:val="1"/>
      <w:numFmt w:val="bullet"/>
      <w:lvlText w:val=""/>
      <w:lvlJc w:val="left"/>
      <w:pPr>
        <w:ind w:left="2782" w:hanging="360"/>
      </w:pPr>
      <w:rPr>
        <w:rFonts w:ascii="Symbol" w:hAnsi="Symbol" w:hint="default"/>
      </w:rPr>
    </w:lvl>
    <w:lvl w:ilvl="1" w:tplc="04160003" w:tentative="1">
      <w:start w:val="1"/>
      <w:numFmt w:val="bullet"/>
      <w:lvlText w:val="o"/>
      <w:lvlJc w:val="left"/>
      <w:pPr>
        <w:ind w:left="3502" w:hanging="360"/>
      </w:pPr>
      <w:rPr>
        <w:rFonts w:ascii="Courier New" w:hAnsi="Courier New" w:cs="Courier New" w:hint="default"/>
      </w:rPr>
    </w:lvl>
    <w:lvl w:ilvl="2" w:tplc="04160005" w:tentative="1">
      <w:start w:val="1"/>
      <w:numFmt w:val="bullet"/>
      <w:lvlText w:val=""/>
      <w:lvlJc w:val="left"/>
      <w:pPr>
        <w:ind w:left="4222" w:hanging="360"/>
      </w:pPr>
      <w:rPr>
        <w:rFonts w:ascii="Wingdings" w:hAnsi="Wingdings" w:hint="default"/>
      </w:rPr>
    </w:lvl>
    <w:lvl w:ilvl="3" w:tplc="04160001" w:tentative="1">
      <w:start w:val="1"/>
      <w:numFmt w:val="bullet"/>
      <w:lvlText w:val=""/>
      <w:lvlJc w:val="left"/>
      <w:pPr>
        <w:ind w:left="4942" w:hanging="360"/>
      </w:pPr>
      <w:rPr>
        <w:rFonts w:ascii="Symbol" w:hAnsi="Symbol" w:hint="default"/>
      </w:rPr>
    </w:lvl>
    <w:lvl w:ilvl="4" w:tplc="04160003" w:tentative="1">
      <w:start w:val="1"/>
      <w:numFmt w:val="bullet"/>
      <w:lvlText w:val="o"/>
      <w:lvlJc w:val="left"/>
      <w:pPr>
        <w:ind w:left="5662" w:hanging="360"/>
      </w:pPr>
      <w:rPr>
        <w:rFonts w:ascii="Courier New" w:hAnsi="Courier New" w:cs="Courier New" w:hint="default"/>
      </w:rPr>
    </w:lvl>
    <w:lvl w:ilvl="5" w:tplc="04160005" w:tentative="1">
      <w:start w:val="1"/>
      <w:numFmt w:val="bullet"/>
      <w:lvlText w:val=""/>
      <w:lvlJc w:val="left"/>
      <w:pPr>
        <w:ind w:left="6382" w:hanging="360"/>
      </w:pPr>
      <w:rPr>
        <w:rFonts w:ascii="Wingdings" w:hAnsi="Wingdings" w:hint="default"/>
      </w:rPr>
    </w:lvl>
    <w:lvl w:ilvl="6" w:tplc="04160001" w:tentative="1">
      <w:start w:val="1"/>
      <w:numFmt w:val="bullet"/>
      <w:lvlText w:val=""/>
      <w:lvlJc w:val="left"/>
      <w:pPr>
        <w:ind w:left="7102" w:hanging="360"/>
      </w:pPr>
      <w:rPr>
        <w:rFonts w:ascii="Symbol" w:hAnsi="Symbol" w:hint="default"/>
      </w:rPr>
    </w:lvl>
    <w:lvl w:ilvl="7" w:tplc="04160003" w:tentative="1">
      <w:start w:val="1"/>
      <w:numFmt w:val="bullet"/>
      <w:lvlText w:val="o"/>
      <w:lvlJc w:val="left"/>
      <w:pPr>
        <w:ind w:left="7822" w:hanging="360"/>
      </w:pPr>
      <w:rPr>
        <w:rFonts w:ascii="Courier New" w:hAnsi="Courier New" w:cs="Courier New" w:hint="default"/>
      </w:rPr>
    </w:lvl>
    <w:lvl w:ilvl="8" w:tplc="04160005" w:tentative="1">
      <w:start w:val="1"/>
      <w:numFmt w:val="bullet"/>
      <w:lvlText w:val=""/>
      <w:lvlJc w:val="left"/>
      <w:pPr>
        <w:ind w:left="8542" w:hanging="360"/>
      </w:pPr>
      <w:rPr>
        <w:rFonts w:ascii="Wingdings" w:hAnsi="Wingdings" w:hint="default"/>
      </w:rPr>
    </w:lvl>
  </w:abstractNum>
  <w:abstractNum w:abstractNumId="12">
    <w:nsid w:val="129E68EC"/>
    <w:multiLevelType w:val="hybridMultilevel"/>
    <w:tmpl w:val="48122CF6"/>
    <w:lvl w:ilvl="0" w:tplc="0416000F">
      <w:start w:val="1"/>
      <w:numFmt w:val="decimal"/>
      <w:lvlText w:val="%1."/>
      <w:lvlJc w:val="left"/>
      <w:pPr>
        <w:ind w:left="1429" w:hanging="360"/>
      </w:pPr>
    </w:lvl>
    <w:lvl w:ilvl="1" w:tplc="04160019">
      <w:start w:val="1"/>
      <w:numFmt w:val="lowerLetter"/>
      <w:lvlText w:val="%2."/>
      <w:lvlJc w:val="left"/>
      <w:pPr>
        <w:ind w:left="2149" w:hanging="360"/>
      </w:pPr>
    </w:lvl>
    <w:lvl w:ilvl="2" w:tplc="0416001B">
      <w:start w:val="1"/>
      <w:numFmt w:val="lowerRoman"/>
      <w:lvlText w:val="%3."/>
      <w:lvlJc w:val="right"/>
      <w:pPr>
        <w:ind w:left="2869" w:hanging="180"/>
      </w:pPr>
    </w:lvl>
    <w:lvl w:ilvl="3" w:tplc="0416000F">
      <w:start w:val="1"/>
      <w:numFmt w:val="decimal"/>
      <w:lvlText w:val="%4."/>
      <w:lvlJc w:val="left"/>
      <w:pPr>
        <w:ind w:left="3589" w:hanging="360"/>
      </w:pPr>
    </w:lvl>
    <w:lvl w:ilvl="4" w:tplc="04160019">
      <w:start w:val="1"/>
      <w:numFmt w:val="lowerLetter"/>
      <w:lvlText w:val="%5."/>
      <w:lvlJc w:val="left"/>
      <w:pPr>
        <w:ind w:left="4309" w:hanging="360"/>
      </w:pPr>
    </w:lvl>
    <w:lvl w:ilvl="5" w:tplc="0416001B">
      <w:start w:val="1"/>
      <w:numFmt w:val="lowerRoman"/>
      <w:lvlText w:val="%6."/>
      <w:lvlJc w:val="right"/>
      <w:pPr>
        <w:ind w:left="5029" w:hanging="180"/>
      </w:pPr>
    </w:lvl>
    <w:lvl w:ilvl="6" w:tplc="0416000F">
      <w:start w:val="1"/>
      <w:numFmt w:val="decimal"/>
      <w:lvlText w:val="%7."/>
      <w:lvlJc w:val="left"/>
      <w:pPr>
        <w:ind w:left="5749" w:hanging="360"/>
      </w:pPr>
    </w:lvl>
    <w:lvl w:ilvl="7" w:tplc="04160019">
      <w:start w:val="1"/>
      <w:numFmt w:val="lowerLetter"/>
      <w:lvlText w:val="%8."/>
      <w:lvlJc w:val="left"/>
      <w:pPr>
        <w:ind w:left="6469" w:hanging="360"/>
      </w:pPr>
    </w:lvl>
    <w:lvl w:ilvl="8" w:tplc="0416001B">
      <w:start w:val="1"/>
      <w:numFmt w:val="lowerRoman"/>
      <w:lvlText w:val="%9."/>
      <w:lvlJc w:val="right"/>
      <w:pPr>
        <w:ind w:left="7189" w:hanging="180"/>
      </w:pPr>
    </w:lvl>
  </w:abstractNum>
  <w:abstractNum w:abstractNumId="13">
    <w:nsid w:val="13915403"/>
    <w:multiLevelType w:val="hybridMultilevel"/>
    <w:tmpl w:val="154670C6"/>
    <w:lvl w:ilvl="0" w:tplc="04160001">
      <w:start w:val="1"/>
      <w:numFmt w:val="bullet"/>
      <w:lvlText w:val=""/>
      <w:lvlJc w:val="left"/>
      <w:pPr>
        <w:ind w:left="1788" w:hanging="360"/>
      </w:pPr>
      <w:rPr>
        <w:rFonts w:ascii="Symbol" w:hAnsi="Symbol" w:hint="default"/>
      </w:rPr>
    </w:lvl>
    <w:lvl w:ilvl="1" w:tplc="04160003" w:tentative="1">
      <w:start w:val="1"/>
      <w:numFmt w:val="bullet"/>
      <w:lvlText w:val="o"/>
      <w:lvlJc w:val="left"/>
      <w:pPr>
        <w:ind w:left="2508" w:hanging="360"/>
      </w:pPr>
      <w:rPr>
        <w:rFonts w:ascii="Courier New" w:hAnsi="Courier New" w:cs="Courier New" w:hint="default"/>
      </w:rPr>
    </w:lvl>
    <w:lvl w:ilvl="2" w:tplc="04160005" w:tentative="1">
      <w:start w:val="1"/>
      <w:numFmt w:val="bullet"/>
      <w:lvlText w:val=""/>
      <w:lvlJc w:val="left"/>
      <w:pPr>
        <w:ind w:left="3228" w:hanging="360"/>
      </w:pPr>
      <w:rPr>
        <w:rFonts w:ascii="Wingdings" w:hAnsi="Wingdings" w:hint="default"/>
      </w:rPr>
    </w:lvl>
    <w:lvl w:ilvl="3" w:tplc="04160001" w:tentative="1">
      <w:start w:val="1"/>
      <w:numFmt w:val="bullet"/>
      <w:lvlText w:val=""/>
      <w:lvlJc w:val="left"/>
      <w:pPr>
        <w:ind w:left="3948" w:hanging="360"/>
      </w:pPr>
      <w:rPr>
        <w:rFonts w:ascii="Symbol" w:hAnsi="Symbol" w:hint="default"/>
      </w:rPr>
    </w:lvl>
    <w:lvl w:ilvl="4" w:tplc="04160003" w:tentative="1">
      <w:start w:val="1"/>
      <w:numFmt w:val="bullet"/>
      <w:lvlText w:val="o"/>
      <w:lvlJc w:val="left"/>
      <w:pPr>
        <w:ind w:left="4668" w:hanging="360"/>
      </w:pPr>
      <w:rPr>
        <w:rFonts w:ascii="Courier New" w:hAnsi="Courier New" w:cs="Courier New" w:hint="default"/>
      </w:rPr>
    </w:lvl>
    <w:lvl w:ilvl="5" w:tplc="04160005" w:tentative="1">
      <w:start w:val="1"/>
      <w:numFmt w:val="bullet"/>
      <w:lvlText w:val=""/>
      <w:lvlJc w:val="left"/>
      <w:pPr>
        <w:ind w:left="5388" w:hanging="360"/>
      </w:pPr>
      <w:rPr>
        <w:rFonts w:ascii="Wingdings" w:hAnsi="Wingdings" w:hint="default"/>
      </w:rPr>
    </w:lvl>
    <w:lvl w:ilvl="6" w:tplc="04160001" w:tentative="1">
      <w:start w:val="1"/>
      <w:numFmt w:val="bullet"/>
      <w:lvlText w:val=""/>
      <w:lvlJc w:val="left"/>
      <w:pPr>
        <w:ind w:left="6108" w:hanging="360"/>
      </w:pPr>
      <w:rPr>
        <w:rFonts w:ascii="Symbol" w:hAnsi="Symbol" w:hint="default"/>
      </w:rPr>
    </w:lvl>
    <w:lvl w:ilvl="7" w:tplc="04160003" w:tentative="1">
      <w:start w:val="1"/>
      <w:numFmt w:val="bullet"/>
      <w:lvlText w:val="o"/>
      <w:lvlJc w:val="left"/>
      <w:pPr>
        <w:ind w:left="6828" w:hanging="360"/>
      </w:pPr>
      <w:rPr>
        <w:rFonts w:ascii="Courier New" w:hAnsi="Courier New" w:cs="Courier New" w:hint="default"/>
      </w:rPr>
    </w:lvl>
    <w:lvl w:ilvl="8" w:tplc="04160005" w:tentative="1">
      <w:start w:val="1"/>
      <w:numFmt w:val="bullet"/>
      <w:lvlText w:val=""/>
      <w:lvlJc w:val="left"/>
      <w:pPr>
        <w:ind w:left="7548" w:hanging="360"/>
      </w:pPr>
      <w:rPr>
        <w:rFonts w:ascii="Wingdings" w:hAnsi="Wingdings" w:hint="default"/>
      </w:rPr>
    </w:lvl>
  </w:abstractNum>
  <w:abstractNum w:abstractNumId="14">
    <w:nsid w:val="18757E21"/>
    <w:multiLevelType w:val="hybridMultilevel"/>
    <w:tmpl w:val="3154CEFE"/>
    <w:lvl w:ilvl="0" w:tplc="0416000D">
      <w:start w:val="1"/>
      <w:numFmt w:val="bullet"/>
      <w:lvlText w:val=""/>
      <w:lvlJc w:val="left"/>
      <w:pPr>
        <w:ind w:left="1320" w:hanging="360"/>
      </w:pPr>
      <w:rPr>
        <w:rFonts w:ascii="Wingdings" w:hAnsi="Wingdings" w:hint="default"/>
      </w:rPr>
    </w:lvl>
    <w:lvl w:ilvl="1" w:tplc="04160003" w:tentative="1">
      <w:start w:val="1"/>
      <w:numFmt w:val="bullet"/>
      <w:lvlText w:val="o"/>
      <w:lvlJc w:val="left"/>
      <w:pPr>
        <w:ind w:left="2040" w:hanging="360"/>
      </w:pPr>
      <w:rPr>
        <w:rFonts w:ascii="Courier New" w:hAnsi="Courier New" w:cs="Courier New" w:hint="default"/>
      </w:rPr>
    </w:lvl>
    <w:lvl w:ilvl="2" w:tplc="04160005" w:tentative="1">
      <w:start w:val="1"/>
      <w:numFmt w:val="bullet"/>
      <w:lvlText w:val=""/>
      <w:lvlJc w:val="left"/>
      <w:pPr>
        <w:ind w:left="2760" w:hanging="360"/>
      </w:pPr>
      <w:rPr>
        <w:rFonts w:ascii="Wingdings" w:hAnsi="Wingdings" w:hint="default"/>
      </w:rPr>
    </w:lvl>
    <w:lvl w:ilvl="3" w:tplc="04160001" w:tentative="1">
      <w:start w:val="1"/>
      <w:numFmt w:val="bullet"/>
      <w:lvlText w:val=""/>
      <w:lvlJc w:val="left"/>
      <w:pPr>
        <w:ind w:left="3480" w:hanging="360"/>
      </w:pPr>
      <w:rPr>
        <w:rFonts w:ascii="Symbol" w:hAnsi="Symbol" w:hint="default"/>
      </w:rPr>
    </w:lvl>
    <w:lvl w:ilvl="4" w:tplc="04160003" w:tentative="1">
      <w:start w:val="1"/>
      <w:numFmt w:val="bullet"/>
      <w:lvlText w:val="o"/>
      <w:lvlJc w:val="left"/>
      <w:pPr>
        <w:ind w:left="4200" w:hanging="360"/>
      </w:pPr>
      <w:rPr>
        <w:rFonts w:ascii="Courier New" w:hAnsi="Courier New" w:cs="Courier New" w:hint="default"/>
      </w:rPr>
    </w:lvl>
    <w:lvl w:ilvl="5" w:tplc="04160005" w:tentative="1">
      <w:start w:val="1"/>
      <w:numFmt w:val="bullet"/>
      <w:lvlText w:val=""/>
      <w:lvlJc w:val="left"/>
      <w:pPr>
        <w:ind w:left="4920" w:hanging="360"/>
      </w:pPr>
      <w:rPr>
        <w:rFonts w:ascii="Wingdings" w:hAnsi="Wingdings" w:hint="default"/>
      </w:rPr>
    </w:lvl>
    <w:lvl w:ilvl="6" w:tplc="04160001" w:tentative="1">
      <w:start w:val="1"/>
      <w:numFmt w:val="bullet"/>
      <w:lvlText w:val=""/>
      <w:lvlJc w:val="left"/>
      <w:pPr>
        <w:ind w:left="5640" w:hanging="360"/>
      </w:pPr>
      <w:rPr>
        <w:rFonts w:ascii="Symbol" w:hAnsi="Symbol" w:hint="default"/>
      </w:rPr>
    </w:lvl>
    <w:lvl w:ilvl="7" w:tplc="04160003" w:tentative="1">
      <w:start w:val="1"/>
      <w:numFmt w:val="bullet"/>
      <w:lvlText w:val="o"/>
      <w:lvlJc w:val="left"/>
      <w:pPr>
        <w:ind w:left="6360" w:hanging="360"/>
      </w:pPr>
      <w:rPr>
        <w:rFonts w:ascii="Courier New" w:hAnsi="Courier New" w:cs="Courier New" w:hint="default"/>
      </w:rPr>
    </w:lvl>
    <w:lvl w:ilvl="8" w:tplc="04160005" w:tentative="1">
      <w:start w:val="1"/>
      <w:numFmt w:val="bullet"/>
      <w:lvlText w:val=""/>
      <w:lvlJc w:val="left"/>
      <w:pPr>
        <w:ind w:left="7080" w:hanging="360"/>
      </w:pPr>
      <w:rPr>
        <w:rFonts w:ascii="Wingdings" w:hAnsi="Wingdings" w:hint="default"/>
      </w:rPr>
    </w:lvl>
  </w:abstractNum>
  <w:abstractNum w:abstractNumId="15">
    <w:nsid w:val="1A62680F"/>
    <w:multiLevelType w:val="hybridMultilevel"/>
    <w:tmpl w:val="BDDE68A0"/>
    <w:lvl w:ilvl="0" w:tplc="72883AA6">
      <w:start w:val="1"/>
      <w:numFmt w:val="decimal"/>
      <w:lvlText w:val="Objetivo %1."/>
      <w:lvlJc w:val="left"/>
      <w:pPr>
        <w:ind w:left="2190" w:hanging="360"/>
      </w:pPr>
      <w:rPr>
        <w:b/>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6">
    <w:nsid w:val="1B804629"/>
    <w:multiLevelType w:val="hybridMultilevel"/>
    <w:tmpl w:val="CBFC2B5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7">
    <w:nsid w:val="1BBA5547"/>
    <w:multiLevelType w:val="hybridMultilevel"/>
    <w:tmpl w:val="7E5C2BC8"/>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8">
    <w:nsid w:val="1DB7274D"/>
    <w:multiLevelType w:val="hybridMultilevel"/>
    <w:tmpl w:val="E108952E"/>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9">
    <w:nsid w:val="1EC938C3"/>
    <w:multiLevelType w:val="hybridMultilevel"/>
    <w:tmpl w:val="9530EF56"/>
    <w:lvl w:ilvl="0" w:tplc="0416000D">
      <w:start w:val="1"/>
      <w:numFmt w:val="bullet"/>
      <w:lvlText w:val=""/>
      <w:lvlJc w:val="left"/>
      <w:pPr>
        <w:ind w:left="1320" w:hanging="360"/>
      </w:pPr>
      <w:rPr>
        <w:rFonts w:ascii="Wingdings" w:hAnsi="Wingdings" w:hint="default"/>
      </w:rPr>
    </w:lvl>
    <w:lvl w:ilvl="1" w:tplc="04160003" w:tentative="1">
      <w:start w:val="1"/>
      <w:numFmt w:val="bullet"/>
      <w:lvlText w:val="o"/>
      <w:lvlJc w:val="left"/>
      <w:pPr>
        <w:ind w:left="2040" w:hanging="360"/>
      </w:pPr>
      <w:rPr>
        <w:rFonts w:ascii="Courier New" w:hAnsi="Courier New" w:cs="Courier New" w:hint="default"/>
      </w:rPr>
    </w:lvl>
    <w:lvl w:ilvl="2" w:tplc="04160005" w:tentative="1">
      <w:start w:val="1"/>
      <w:numFmt w:val="bullet"/>
      <w:lvlText w:val=""/>
      <w:lvlJc w:val="left"/>
      <w:pPr>
        <w:ind w:left="2760" w:hanging="360"/>
      </w:pPr>
      <w:rPr>
        <w:rFonts w:ascii="Wingdings" w:hAnsi="Wingdings" w:hint="default"/>
      </w:rPr>
    </w:lvl>
    <w:lvl w:ilvl="3" w:tplc="04160001" w:tentative="1">
      <w:start w:val="1"/>
      <w:numFmt w:val="bullet"/>
      <w:lvlText w:val=""/>
      <w:lvlJc w:val="left"/>
      <w:pPr>
        <w:ind w:left="3480" w:hanging="360"/>
      </w:pPr>
      <w:rPr>
        <w:rFonts w:ascii="Symbol" w:hAnsi="Symbol" w:hint="default"/>
      </w:rPr>
    </w:lvl>
    <w:lvl w:ilvl="4" w:tplc="04160003" w:tentative="1">
      <w:start w:val="1"/>
      <w:numFmt w:val="bullet"/>
      <w:lvlText w:val="o"/>
      <w:lvlJc w:val="left"/>
      <w:pPr>
        <w:ind w:left="4200" w:hanging="360"/>
      </w:pPr>
      <w:rPr>
        <w:rFonts w:ascii="Courier New" w:hAnsi="Courier New" w:cs="Courier New" w:hint="default"/>
      </w:rPr>
    </w:lvl>
    <w:lvl w:ilvl="5" w:tplc="04160005" w:tentative="1">
      <w:start w:val="1"/>
      <w:numFmt w:val="bullet"/>
      <w:lvlText w:val=""/>
      <w:lvlJc w:val="left"/>
      <w:pPr>
        <w:ind w:left="4920" w:hanging="360"/>
      </w:pPr>
      <w:rPr>
        <w:rFonts w:ascii="Wingdings" w:hAnsi="Wingdings" w:hint="default"/>
      </w:rPr>
    </w:lvl>
    <w:lvl w:ilvl="6" w:tplc="04160001" w:tentative="1">
      <w:start w:val="1"/>
      <w:numFmt w:val="bullet"/>
      <w:lvlText w:val=""/>
      <w:lvlJc w:val="left"/>
      <w:pPr>
        <w:ind w:left="5640" w:hanging="360"/>
      </w:pPr>
      <w:rPr>
        <w:rFonts w:ascii="Symbol" w:hAnsi="Symbol" w:hint="default"/>
      </w:rPr>
    </w:lvl>
    <w:lvl w:ilvl="7" w:tplc="04160003" w:tentative="1">
      <w:start w:val="1"/>
      <w:numFmt w:val="bullet"/>
      <w:lvlText w:val="o"/>
      <w:lvlJc w:val="left"/>
      <w:pPr>
        <w:ind w:left="6360" w:hanging="360"/>
      </w:pPr>
      <w:rPr>
        <w:rFonts w:ascii="Courier New" w:hAnsi="Courier New" w:cs="Courier New" w:hint="default"/>
      </w:rPr>
    </w:lvl>
    <w:lvl w:ilvl="8" w:tplc="04160005" w:tentative="1">
      <w:start w:val="1"/>
      <w:numFmt w:val="bullet"/>
      <w:lvlText w:val=""/>
      <w:lvlJc w:val="left"/>
      <w:pPr>
        <w:ind w:left="7080" w:hanging="360"/>
      </w:pPr>
      <w:rPr>
        <w:rFonts w:ascii="Wingdings" w:hAnsi="Wingdings" w:hint="default"/>
      </w:rPr>
    </w:lvl>
  </w:abstractNum>
  <w:abstractNum w:abstractNumId="20">
    <w:nsid w:val="204816EA"/>
    <w:multiLevelType w:val="hybridMultilevel"/>
    <w:tmpl w:val="6FEA077C"/>
    <w:lvl w:ilvl="0" w:tplc="04160001">
      <w:start w:val="1"/>
      <w:numFmt w:val="bullet"/>
      <w:lvlText w:val=""/>
      <w:lvlJc w:val="left"/>
      <w:pPr>
        <w:ind w:left="1428" w:hanging="360"/>
      </w:pPr>
      <w:rPr>
        <w:rFonts w:ascii="Symbol" w:hAnsi="Symbol" w:hint="default"/>
      </w:rPr>
    </w:lvl>
    <w:lvl w:ilvl="1" w:tplc="04160003">
      <w:start w:val="1"/>
      <w:numFmt w:val="bullet"/>
      <w:lvlText w:val="o"/>
      <w:lvlJc w:val="left"/>
      <w:pPr>
        <w:ind w:left="2148" w:hanging="360"/>
      </w:pPr>
      <w:rPr>
        <w:rFonts w:ascii="Courier New" w:hAnsi="Courier New" w:cs="Courier New" w:hint="default"/>
      </w:rPr>
    </w:lvl>
    <w:lvl w:ilvl="2" w:tplc="04160005">
      <w:start w:val="1"/>
      <w:numFmt w:val="bullet"/>
      <w:lvlText w:val=""/>
      <w:lvlJc w:val="left"/>
      <w:pPr>
        <w:ind w:left="2868" w:hanging="360"/>
      </w:pPr>
      <w:rPr>
        <w:rFonts w:ascii="Wingdings" w:hAnsi="Wingdings" w:hint="default"/>
      </w:rPr>
    </w:lvl>
    <w:lvl w:ilvl="3" w:tplc="04160001">
      <w:start w:val="1"/>
      <w:numFmt w:val="bullet"/>
      <w:lvlText w:val=""/>
      <w:lvlJc w:val="left"/>
      <w:pPr>
        <w:ind w:left="3588" w:hanging="360"/>
      </w:pPr>
      <w:rPr>
        <w:rFonts w:ascii="Symbol" w:hAnsi="Symbol" w:hint="default"/>
      </w:rPr>
    </w:lvl>
    <w:lvl w:ilvl="4" w:tplc="04160003">
      <w:start w:val="1"/>
      <w:numFmt w:val="bullet"/>
      <w:lvlText w:val="o"/>
      <w:lvlJc w:val="left"/>
      <w:pPr>
        <w:ind w:left="4308" w:hanging="360"/>
      </w:pPr>
      <w:rPr>
        <w:rFonts w:ascii="Courier New" w:hAnsi="Courier New" w:cs="Courier New" w:hint="default"/>
      </w:rPr>
    </w:lvl>
    <w:lvl w:ilvl="5" w:tplc="04160005">
      <w:start w:val="1"/>
      <w:numFmt w:val="bullet"/>
      <w:lvlText w:val=""/>
      <w:lvlJc w:val="left"/>
      <w:pPr>
        <w:ind w:left="5028" w:hanging="360"/>
      </w:pPr>
      <w:rPr>
        <w:rFonts w:ascii="Wingdings" w:hAnsi="Wingdings" w:hint="default"/>
      </w:rPr>
    </w:lvl>
    <w:lvl w:ilvl="6" w:tplc="04160001">
      <w:start w:val="1"/>
      <w:numFmt w:val="bullet"/>
      <w:lvlText w:val=""/>
      <w:lvlJc w:val="left"/>
      <w:pPr>
        <w:ind w:left="5748" w:hanging="360"/>
      </w:pPr>
      <w:rPr>
        <w:rFonts w:ascii="Symbol" w:hAnsi="Symbol" w:hint="default"/>
      </w:rPr>
    </w:lvl>
    <w:lvl w:ilvl="7" w:tplc="04160003">
      <w:start w:val="1"/>
      <w:numFmt w:val="bullet"/>
      <w:lvlText w:val="o"/>
      <w:lvlJc w:val="left"/>
      <w:pPr>
        <w:ind w:left="6468" w:hanging="360"/>
      </w:pPr>
      <w:rPr>
        <w:rFonts w:ascii="Courier New" w:hAnsi="Courier New" w:cs="Courier New" w:hint="default"/>
      </w:rPr>
    </w:lvl>
    <w:lvl w:ilvl="8" w:tplc="04160005">
      <w:start w:val="1"/>
      <w:numFmt w:val="bullet"/>
      <w:lvlText w:val=""/>
      <w:lvlJc w:val="left"/>
      <w:pPr>
        <w:ind w:left="7188" w:hanging="360"/>
      </w:pPr>
      <w:rPr>
        <w:rFonts w:ascii="Wingdings" w:hAnsi="Wingdings" w:hint="default"/>
      </w:rPr>
    </w:lvl>
  </w:abstractNum>
  <w:abstractNum w:abstractNumId="21">
    <w:nsid w:val="20F87F53"/>
    <w:multiLevelType w:val="hybridMultilevel"/>
    <w:tmpl w:val="BEFC6B04"/>
    <w:lvl w:ilvl="0" w:tplc="0416000B">
      <w:start w:val="1"/>
      <w:numFmt w:val="bullet"/>
      <w:lvlText w:val=""/>
      <w:lvlJc w:val="left"/>
      <w:pPr>
        <w:ind w:left="2782" w:hanging="360"/>
      </w:pPr>
      <w:rPr>
        <w:rFonts w:ascii="Wingdings" w:hAnsi="Wingdings" w:hint="default"/>
      </w:rPr>
    </w:lvl>
    <w:lvl w:ilvl="1" w:tplc="04160003" w:tentative="1">
      <w:start w:val="1"/>
      <w:numFmt w:val="bullet"/>
      <w:lvlText w:val="o"/>
      <w:lvlJc w:val="left"/>
      <w:pPr>
        <w:ind w:left="3502" w:hanging="360"/>
      </w:pPr>
      <w:rPr>
        <w:rFonts w:ascii="Courier New" w:hAnsi="Courier New" w:cs="Courier New" w:hint="default"/>
      </w:rPr>
    </w:lvl>
    <w:lvl w:ilvl="2" w:tplc="04160005" w:tentative="1">
      <w:start w:val="1"/>
      <w:numFmt w:val="bullet"/>
      <w:lvlText w:val=""/>
      <w:lvlJc w:val="left"/>
      <w:pPr>
        <w:ind w:left="4222" w:hanging="360"/>
      </w:pPr>
      <w:rPr>
        <w:rFonts w:ascii="Wingdings" w:hAnsi="Wingdings" w:hint="default"/>
      </w:rPr>
    </w:lvl>
    <w:lvl w:ilvl="3" w:tplc="04160001" w:tentative="1">
      <w:start w:val="1"/>
      <w:numFmt w:val="bullet"/>
      <w:lvlText w:val=""/>
      <w:lvlJc w:val="left"/>
      <w:pPr>
        <w:ind w:left="4942" w:hanging="360"/>
      </w:pPr>
      <w:rPr>
        <w:rFonts w:ascii="Symbol" w:hAnsi="Symbol" w:hint="default"/>
      </w:rPr>
    </w:lvl>
    <w:lvl w:ilvl="4" w:tplc="04160003" w:tentative="1">
      <w:start w:val="1"/>
      <w:numFmt w:val="bullet"/>
      <w:lvlText w:val="o"/>
      <w:lvlJc w:val="left"/>
      <w:pPr>
        <w:ind w:left="5662" w:hanging="360"/>
      </w:pPr>
      <w:rPr>
        <w:rFonts w:ascii="Courier New" w:hAnsi="Courier New" w:cs="Courier New" w:hint="default"/>
      </w:rPr>
    </w:lvl>
    <w:lvl w:ilvl="5" w:tplc="04160005" w:tentative="1">
      <w:start w:val="1"/>
      <w:numFmt w:val="bullet"/>
      <w:lvlText w:val=""/>
      <w:lvlJc w:val="left"/>
      <w:pPr>
        <w:ind w:left="6382" w:hanging="360"/>
      </w:pPr>
      <w:rPr>
        <w:rFonts w:ascii="Wingdings" w:hAnsi="Wingdings" w:hint="default"/>
      </w:rPr>
    </w:lvl>
    <w:lvl w:ilvl="6" w:tplc="04160001" w:tentative="1">
      <w:start w:val="1"/>
      <w:numFmt w:val="bullet"/>
      <w:lvlText w:val=""/>
      <w:lvlJc w:val="left"/>
      <w:pPr>
        <w:ind w:left="7102" w:hanging="360"/>
      </w:pPr>
      <w:rPr>
        <w:rFonts w:ascii="Symbol" w:hAnsi="Symbol" w:hint="default"/>
      </w:rPr>
    </w:lvl>
    <w:lvl w:ilvl="7" w:tplc="04160003" w:tentative="1">
      <w:start w:val="1"/>
      <w:numFmt w:val="bullet"/>
      <w:lvlText w:val="o"/>
      <w:lvlJc w:val="left"/>
      <w:pPr>
        <w:ind w:left="7822" w:hanging="360"/>
      </w:pPr>
      <w:rPr>
        <w:rFonts w:ascii="Courier New" w:hAnsi="Courier New" w:cs="Courier New" w:hint="default"/>
      </w:rPr>
    </w:lvl>
    <w:lvl w:ilvl="8" w:tplc="04160005" w:tentative="1">
      <w:start w:val="1"/>
      <w:numFmt w:val="bullet"/>
      <w:lvlText w:val=""/>
      <w:lvlJc w:val="left"/>
      <w:pPr>
        <w:ind w:left="8542" w:hanging="360"/>
      </w:pPr>
      <w:rPr>
        <w:rFonts w:ascii="Wingdings" w:hAnsi="Wingdings" w:hint="default"/>
      </w:rPr>
    </w:lvl>
  </w:abstractNum>
  <w:abstractNum w:abstractNumId="22">
    <w:nsid w:val="211C7A5B"/>
    <w:multiLevelType w:val="hybridMultilevel"/>
    <w:tmpl w:val="9606F076"/>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3">
    <w:nsid w:val="21FD28D3"/>
    <w:multiLevelType w:val="hybridMultilevel"/>
    <w:tmpl w:val="9D44B14A"/>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4">
    <w:nsid w:val="22706C0C"/>
    <w:multiLevelType w:val="hybridMultilevel"/>
    <w:tmpl w:val="BA24811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5">
    <w:nsid w:val="23495D1C"/>
    <w:multiLevelType w:val="hybridMultilevel"/>
    <w:tmpl w:val="87CADE6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6">
    <w:nsid w:val="2591641D"/>
    <w:multiLevelType w:val="hybridMultilevel"/>
    <w:tmpl w:val="BDDE68A0"/>
    <w:lvl w:ilvl="0" w:tplc="72883AA6">
      <w:start w:val="1"/>
      <w:numFmt w:val="decimal"/>
      <w:lvlText w:val="Objetivo %1."/>
      <w:lvlJc w:val="left"/>
      <w:pPr>
        <w:ind w:left="2190" w:hanging="360"/>
      </w:pPr>
      <w:rPr>
        <w:b/>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7">
    <w:nsid w:val="263324B8"/>
    <w:multiLevelType w:val="hybridMultilevel"/>
    <w:tmpl w:val="A7B8B50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8">
    <w:nsid w:val="27A63552"/>
    <w:multiLevelType w:val="hybridMultilevel"/>
    <w:tmpl w:val="AC7A526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9">
    <w:nsid w:val="28102EFC"/>
    <w:multiLevelType w:val="hybridMultilevel"/>
    <w:tmpl w:val="54362A78"/>
    <w:lvl w:ilvl="0" w:tplc="04160009">
      <w:start w:val="1"/>
      <w:numFmt w:val="bullet"/>
      <w:lvlText w:val=""/>
      <w:lvlJc w:val="left"/>
      <w:pPr>
        <w:ind w:left="720" w:hanging="360"/>
      </w:pPr>
      <w:rPr>
        <w:rFonts w:ascii="Wingdings" w:hAnsi="Wingding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28503902"/>
    <w:multiLevelType w:val="hybridMultilevel"/>
    <w:tmpl w:val="5F9072FA"/>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1">
    <w:nsid w:val="2AA65888"/>
    <w:multiLevelType w:val="hybridMultilevel"/>
    <w:tmpl w:val="219EF0D2"/>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2">
    <w:nsid w:val="2B7A1F66"/>
    <w:multiLevelType w:val="hybridMultilevel"/>
    <w:tmpl w:val="94EEEA30"/>
    <w:lvl w:ilvl="0" w:tplc="0416000F">
      <w:start w:val="1"/>
      <w:numFmt w:val="decimal"/>
      <w:lvlText w:val="%1."/>
      <w:lvlJc w:val="left"/>
      <w:pPr>
        <w:ind w:left="765" w:hanging="360"/>
      </w:pPr>
    </w:lvl>
    <w:lvl w:ilvl="1" w:tplc="04160019" w:tentative="1">
      <w:start w:val="1"/>
      <w:numFmt w:val="lowerLetter"/>
      <w:lvlText w:val="%2."/>
      <w:lvlJc w:val="left"/>
      <w:pPr>
        <w:ind w:left="1485" w:hanging="360"/>
      </w:pPr>
    </w:lvl>
    <w:lvl w:ilvl="2" w:tplc="0416001B" w:tentative="1">
      <w:start w:val="1"/>
      <w:numFmt w:val="lowerRoman"/>
      <w:lvlText w:val="%3."/>
      <w:lvlJc w:val="right"/>
      <w:pPr>
        <w:ind w:left="2205" w:hanging="180"/>
      </w:pPr>
    </w:lvl>
    <w:lvl w:ilvl="3" w:tplc="0416000F" w:tentative="1">
      <w:start w:val="1"/>
      <w:numFmt w:val="decimal"/>
      <w:lvlText w:val="%4."/>
      <w:lvlJc w:val="left"/>
      <w:pPr>
        <w:ind w:left="2925" w:hanging="360"/>
      </w:pPr>
    </w:lvl>
    <w:lvl w:ilvl="4" w:tplc="04160019" w:tentative="1">
      <w:start w:val="1"/>
      <w:numFmt w:val="lowerLetter"/>
      <w:lvlText w:val="%5."/>
      <w:lvlJc w:val="left"/>
      <w:pPr>
        <w:ind w:left="3645" w:hanging="360"/>
      </w:pPr>
    </w:lvl>
    <w:lvl w:ilvl="5" w:tplc="0416001B" w:tentative="1">
      <w:start w:val="1"/>
      <w:numFmt w:val="lowerRoman"/>
      <w:lvlText w:val="%6."/>
      <w:lvlJc w:val="right"/>
      <w:pPr>
        <w:ind w:left="4365" w:hanging="180"/>
      </w:pPr>
    </w:lvl>
    <w:lvl w:ilvl="6" w:tplc="0416000F" w:tentative="1">
      <w:start w:val="1"/>
      <w:numFmt w:val="decimal"/>
      <w:lvlText w:val="%7."/>
      <w:lvlJc w:val="left"/>
      <w:pPr>
        <w:ind w:left="5085" w:hanging="360"/>
      </w:pPr>
    </w:lvl>
    <w:lvl w:ilvl="7" w:tplc="04160019" w:tentative="1">
      <w:start w:val="1"/>
      <w:numFmt w:val="lowerLetter"/>
      <w:lvlText w:val="%8."/>
      <w:lvlJc w:val="left"/>
      <w:pPr>
        <w:ind w:left="5805" w:hanging="360"/>
      </w:pPr>
    </w:lvl>
    <w:lvl w:ilvl="8" w:tplc="0416001B" w:tentative="1">
      <w:start w:val="1"/>
      <w:numFmt w:val="lowerRoman"/>
      <w:lvlText w:val="%9."/>
      <w:lvlJc w:val="right"/>
      <w:pPr>
        <w:ind w:left="6525" w:hanging="180"/>
      </w:pPr>
    </w:lvl>
  </w:abstractNum>
  <w:abstractNum w:abstractNumId="33">
    <w:nsid w:val="2B7F5F57"/>
    <w:multiLevelType w:val="hybridMultilevel"/>
    <w:tmpl w:val="BDDE68A0"/>
    <w:lvl w:ilvl="0" w:tplc="72883AA6">
      <w:start w:val="1"/>
      <w:numFmt w:val="decimal"/>
      <w:lvlText w:val="Objetivo %1."/>
      <w:lvlJc w:val="left"/>
      <w:pPr>
        <w:ind w:left="2190" w:hanging="360"/>
      </w:pPr>
      <w:rPr>
        <w:b/>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4">
    <w:nsid w:val="2C0E5098"/>
    <w:multiLevelType w:val="hybridMultilevel"/>
    <w:tmpl w:val="4E44180C"/>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35">
    <w:nsid w:val="2E0A7DCD"/>
    <w:multiLevelType w:val="hybridMultilevel"/>
    <w:tmpl w:val="AAB09A6C"/>
    <w:lvl w:ilvl="0" w:tplc="FFFFFFFF">
      <w:start w:val="1"/>
      <w:numFmt w:val="bullet"/>
      <w:pStyle w:val="SHS-Lista"/>
      <w:lvlText w:val=""/>
      <w:lvlJc w:val="left"/>
      <w:pPr>
        <w:tabs>
          <w:tab w:val="num" w:pos="1418"/>
        </w:tabs>
        <w:ind w:left="1418" w:hanging="567"/>
      </w:pPr>
      <w:rPr>
        <w:rFonts w:ascii="Symbol" w:hAnsi="Symbol" w:hint="default"/>
      </w:rPr>
    </w:lvl>
    <w:lvl w:ilvl="1" w:tplc="FFFFFFFF">
      <w:numFmt w:val="bullet"/>
      <w:lvlText w:val="-"/>
      <w:lvlJc w:val="left"/>
      <w:pPr>
        <w:tabs>
          <w:tab w:val="num" w:pos="1440"/>
        </w:tabs>
        <w:ind w:left="1440" w:hanging="360"/>
      </w:pPr>
      <w:rPr>
        <w:rFonts w:ascii="Times New Roman" w:eastAsia="Times New Roman" w:hAnsi="Times New Roman"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decimal"/>
      <w:lvlText w:val="%4."/>
      <w:lvlJc w:val="left"/>
      <w:pPr>
        <w:tabs>
          <w:tab w:val="num" w:pos="2880"/>
        </w:tabs>
        <w:ind w:left="2880" w:hanging="360"/>
      </w:pPr>
      <w:rPr>
        <w:rFonts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nsid w:val="2E1348EC"/>
    <w:multiLevelType w:val="hybridMultilevel"/>
    <w:tmpl w:val="BDDE68A0"/>
    <w:lvl w:ilvl="0" w:tplc="72883AA6">
      <w:start w:val="1"/>
      <w:numFmt w:val="decimal"/>
      <w:lvlText w:val="Objetivo %1."/>
      <w:lvlJc w:val="left"/>
      <w:pPr>
        <w:ind w:left="2190" w:hanging="360"/>
      </w:pPr>
      <w:rPr>
        <w:b/>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7">
    <w:nsid w:val="2F6B6545"/>
    <w:multiLevelType w:val="hybridMultilevel"/>
    <w:tmpl w:val="48122CF6"/>
    <w:lvl w:ilvl="0" w:tplc="0416000F">
      <w:start w:val="1"/>
      <w:numFmt w:val="decimal"/>
      <w:lvlText w:val="%1."/>
      <w:lvlJc w:val="left"/>
      <w:pPr>
        <w:ind w:left="1429" w:hanging="360"/>
      </w:pPr>
    </w:lvl>
    <w:lvl w:ilvl="1" w:tplc="04160019">
      <w:start w:val="1"/>
      <w:numFmt w:val="lowerLetter"/>
      <w:lvlText w:val="%2."/>
      <w:lvlJc w:val="left"/>
      <w:pPr>
        <w:ind w:left="2149" w:hanging="360"/>
      </w:pPr>
    </w:lvl>
    <w:lvl w:ilvl="2" w:tplc="0416001B">
      <w:start w:val="1"/>
      <w:numFmt w:val="lowerRoman"/>
      <w:lvlText w:val="%3."/>
      <w:lvlJc w:val="right"/>
      <w:pPr>
        <w:ind w:left="2869" w:hanging="180"/>
      </w:pPr>
    </w:lvl>
    <w:lvl w:ilvl="3" w:tplc="0416000F">
      <w:start w:val="1"/>
      <w:numFmt w:val="decimal"/>
      <w:lvlText w:val="%4."/>
      <w:lvlJc w:val="left"/>
      <w:pPr>
        <w:ind w:left="3589" w:hanging="360"/>
      </w:pPr>
    </w:lvl>
    <w:lvl w:ilvl="4" w:tplc="04160019">
      <w:start w:val="1"/>
      <w:numFmt w:val="lowerLetter"/>
      <w:lvlText w:val="%5."/>
      <w:lvlJc w:val="left"/>
      <w:pPr>
        <w:ind w:left="4309" w:hanging="360"/>
      </w:pPr>
    </w:lvl>
    <w:lvl w:ilvl="5" w:tplc="0416001B">
      <w:start w:val="1"/>
      <w:numFmt w:val="lowerRoman"/>
      <w:lvlText w:val="%6."/>
      <w:lvlJc w:val="right"/>
      <w:pPr>
        <w:ind w:left="5029" w:hanging="180"/>
      </w:pPr>
    </w:lvl>
    <w:lvl w:ilvl="6" w:tplc="0416000F">
      <w:start w:val="1"/>
      <w:numFmt w:val="decimal"/>
      <w:lvlText w:val="%7."/>
      <w:lvlJc w:val="left"/>
      <w:pPr>
        <w:ind w:left="5749" w:hanging="360"/>
      </w:pPr>
    </w:lvl>
    <w:lvl w:ilvl="7" w:tplc="04160019">
      <w:start w:val="1"/>
      <w:numFmt w:val="lowerLetter"/>
      <w:lvlText w:val="%8."/>
      <w:lvlJc w:val="left"/>
      <w:pPr>
        <w:ind w:left="6469" w:hanging="360"/>
      </w:pPr>
    </w:lvl>
    <w:lvl w:ilvl="8" w:tplc="0416001B">
      <w:start w:val="1"/>
      <w:numFmt w:val="lowerRoman"/>
      <w:lvlText w:val="%9."/>
      <w:lvlJc w:val="right"/>
      <w:pPr>
        <w:ind w:left="7189" w:hanging="180"/>
      </w:pPr>
    </w:lvl>
  </w:abstractNum>
  <w:abstractNum w:abstractNumId="38">
    <w:nsid w:val="2FF50217"/>
    <w:multiLevelType w:val="hybridMultilevel"/>
    <w:tmpl w:val="ABA21A5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nsid w:val="326D4626"/>
    <w:multiLevelType w:val="hybridMultilevel"/>
    <w:tmpl w:val="11121D0E"/>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nsid w:val="3355042F"/>
    <w:multiLevelType w:val="multilevel"/>
    <w:tmpl w:val="792269A6"/>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1">
    <w:nsid w:val="33B60D5A"/>
    <w:multiLevelType w:val="hybridMultilevel"/>
    <w:tmpl w:val="84063B6A"/>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42">
    <w:nsid w:val="36301BE9"/>
    <w:multiLevelType w:val="multilevel"/>
    <w:tmpl w:val="CE5E946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nsid w:val="37631069"/>
    <w:multiLevelType w:val="hybridMultilevel"/>
    <w:tmpl w:val="8956398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4">
    <w:nsid w:val="37E927F7"/>
    <w:multiLevelType w:val="hybridMultilevel"/>
    <w:tmpl w:val="EBDC058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5">
    <w:nsid w:val="389B4E07"/>
    <w:multiLevelType w:val="multilevel"/>
    <w:tmpl w:val="E3C0B888"/>
    <w:lvl w:ilvl="0">
      <w:start w:val="3"/>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1080" w:hanging="1080"/>
      </w:pPr>
      <w:rPr>
        <w:b/>
      </w:r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46">
    <w:nsid w:val="39426392"/>
    <w:multiLevelType w:val="hybridMultilevel"/>
    <w:tmpl w:val="34D66F4E"/>
    <w:lvl w:ilvl="0" w:tplc="04160001">
      <w:start w:val="1"/>
      <w:numFmt w:val="bullet"/>
      <w:lvlText w:val=""/>
      <w:lvlJc w:val="left"/>
      <w:pPr>
        <w:ind w:left="1428" w:hanging="360"/>
      </w:pPr>
      <w:rPr>
        <w:rFonts w:ascii="Symbol" w:hAnsi="Symbol" w:hint="default"/>
      </w:rPr>
    </w:lvl>
    <w:lvl w:ilvl="1" w:tplc="04160003">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47">
    <w:nsid w:val="3A2C757E"/>
    <w:multiLevelType w:val="hybridMultilevel"/>
    <w:tmpl w:val="4C28237A"/>
    <w:lvl w:ilvl="0" w:tplc="D1DEED0A">
      <w:start w:val="1"/>
      <w:numFmt w:val="bullet"/>
      <w:lvlText w:val="-"/>
      <w:lvlJc w:val="left"/>
      <w:pPr>
        <w:ind w:left="720" w:hanging="360"/>
      </w:pPr>
      <w:rPr>
        <w:rFonts w:ascii="Agency FB" w:hAnsi="Agency FB"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8">
    <w:nsid w:val="3A311727"/>
    <w:multiLevelType w:val="hybridMultilevel"/>
    <w:tmpl w:val="CD9690B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49">
    <w:nsid w:val="3E7B2E2A"/>
    <w:multiLevelType w:val="multilevel"/>
    <w:tmpl w:val="FFDC3E3E"/>
    <w:lvl w:ilvl="0">
      <w:start w:val="1"/>
      <w:numFmt w:val="decimal"/>
      <w:lvlText w:val="%1."/>
      <w:lvlJc w:val="left"/>
      <w:pPr>
        <w:ind w:left="765" w:hanging="360"/>
      </w:pPr>
    </w:lvl>
    <w:lvl w:ilvl="1">
      <w:start w:val="1"/>
      <w:numFmt w:val="decimal"/>
      <w:isLgl/>
      <w:lvlText w:val="%1.%2"/>
      <w:lvlJc w:val="left"/>
      <w:pPr>
        <w:ind w:left="765" w:hanging="360"/>
      </w:pPr>
    </w:lvl>
    <w:lvl w:ilvl="2">
      <w:start w:val="1"/>
      <w:numFmt w:val="decimal"/>
      <w:isLgl/>
      <w:lvlText w:val="%1.%2.%3"/>
      <w:lvlJc w:val="left"/>
      <w:pPr>
        <w:ind w:left="1125" w:hanging="720"/>
      </w:pPr>
    </w:lvl>
    <w:lvl w:ilvl="3">
      <w:start w:val="1"/>
      <w:numFmt w:val="decimal"/>
      <w:isLgl/>
      <w:lvlText w:val="%1.%2.%3.%4"/>
      <w:lvlJc w:val="left"/>
      <w:pPr>
        <w:ind w:left="1125" w:hanging="720"/>
      </w:pPr>
    </w:lvl>
    <w:lvl w:ilvl="4">
      <w:start w:val="1"/>
      <w:numFmt w:val="decimal"/>
      <w:isLgl/>
      <w:lvlText w:val="%1.%2.%3.%4.%5"/>
      <w:lvlJc w:val="left"/>
      <w:pPr>
        <w:ind w:left="1125" w:hanging="720"/>
      </w:pPr>
    </w:lvl>
    <w:lvl w:ilvl="5">
      <w:start w:val="1"/>
      <w:numFmt w:val="decimal"/>
      <w:isLgl/>
      <w:lvlText w:val="%1.%2.%3.%4.%5.%6"/>
      <w:lvlJc w:val="left"/>
      <w:pPr>
        <w:ind w:left="1485" w:hanging="1080"/>
      </w:pPr>
    </w:lvl>
    <w:lvl w:ilvl="6">
      <w:start w:val="1"/>
      <w:numFmt w:val="decimal"/>
      <w:isLgl/>
      <w:lvlText w:val="%1.%2.%3.%4.%5.%6.%7"/>
      <w:lvlJc w:val="left"/>
      <w:pPr>
        <w:ind w:left="1485" w:hanging="1080"/>
      </w:pPr>
    </w:lvl>
    <w:lvl w:ilvl="7">
      <w:start w:val="1"/>
      <w:numFmt w:val="decimal"/>
      <w:isLgl/>
      <w:lvlText w:val="%1.%2.%3.%4.%5.%6.%7.%8"/>
      <w:lvlJc w:val="left"/>
      <w:pPr>
        <w:ind w:left="1845" w:hanging="1440"/>
      </w:pPr>
    </w:lvl>
    <w:lvl w:ilvl="8">
      <w:start w:val="1"/>
      <w:numFmt w:val="decimal"/>
      <w:isLgl/>
      <w:lvlText w:val="%1.%2.%3.%4.%5.%6.%7.%8.%9"/>
      <w:lvlJc w:val="left"/>
      <w:pPr>
        <w:ind w:left="1845" w:hanging="1440"/>
      </w:pPr>
    </w:lvl>
  </w:abstractNum>
  <w:abstractNum w:abstractNumId="50">
    <w:nsid w:val="3F527F54"/>
    <w:multiLevelType w:val="hybridMultilevel"/>
    <w:tmpl w:val="05108C16"/>
    <w:lvl w:ilvl="0" w:tplc="04160001">
      <w:start w:val="1"/>
      <w:numFmt w:val="bullet"/>
      <w:lvlText w:val=""/>
      <w:lvlJc w:val="left"/>
      <w:pPr>
        <w:ind w:left="1428" w:hanging="360"/>
      </w:pPr>
      <w:rPr>
        <w:rFonts w:ascii="Symbol" w:hAnsi="Symbol" w:hint="default"/>
      </w:rPr>
    </w:lvl>
    <w:lvl w:ilvl="1" w:tplc="04160003">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51">
    <w:nsid w:val="41BE517B"/>
    <w:multiLevelType w:val="hybridMultilevel"/>
    <w:tmpl w:val="BDDE68A0"/>
    <w:lvl w:ilvl="0" w:tplc="72883AA6">
      <w:start w:val="1"/>
      <w:numFmt w:val="decimal"/>
      <w:lvlText w:val="Objetivo %1."/>
      <w:lvlJc w:val="left"/>
      <w:pPr>
        <w:ind w:left="2190" w:hanging="360"/>
      </w:pPr>
      <w:rPr>
        <w:b/>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52">
    <w:nsid w:val="42446A94"/>
    <w:multiLevelType w:val="hybridMultilevel"/>
    <w:tmpl w:val="72FEE30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53">
    <w:nsid w:val="43124A77"/>
    <w:multiLevelType w:val="hybridMultilevel"/>
    <w:tmpl w:val="0CB4D9B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54">
    <w:nsid w:val="43653E98"/>
    <w:multiLevelType w:val="hybridMultilevel"/>
    <w:tmpl w:val="FFA288A2"/>
    <w:lvl w:ilvl="0" w:tplc="0416000F">
      <w:start w:val="1"/>
      <w:numFmt w:val="decimal"/>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55">
    <w:nsid w:val="43706F5F"/>
    <w:multiLevelType w:val="hybridMultilevel"/>
    <w:tmpl w:val="5F2A44DC"/>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56">
    <w:nsid w:val="43875F59"/>
    <w:multiLevelType w:val="hybridMultilevel"/>
    <w:tmpl w:val="2EB8ADB2"/>
    <w:lvl w:ilvl="0" w:tplc="E454F63C">
      <w:start w:val="3"/>
      <w:numFmt w:val="decimal"/>
      <w:lvlText w:val="Objetivo %1."/>
      <w:lvlJc w:val="left"/>
      <w:pPr>
        <w:ind w:left="2062" w:hanging="360"/>
      </w:pPr>
      <w:rPr>
        <w:rFonts w:hint="default"/>
        <w:b/>
      </w:rPr>
    </w:lvl>
    <w:lvl w:ilvl="1" w:tplc="03A08084" w:tentative="1">
      <w:start w:val="1"/>
      <w:numFmt w:val="lowerLetter"/>
      <w:lvlText w:val="%2."/>
      <w:lvlJc w:val="left"/>
      <w:pPr>
        <w:ind w:left="1440" w:hanging="360"/>
      </w:pPr>
    </w:lvl>
    <w:lvl w:ilvl="2" w:tplc="CB92545E" w:tentative="1">
      <w:start w:val="1"/>
      <w:numFmt w:val="lowerRoman"/>
      <w:lvlText w:val="%3."/>
      <w:lvlJc w:val="right"/>
      <w:pPr>
        <w:ind w:left="2160" w:hanging="180"/>
      </w:pPr>
    </w:lvl>
    <w:lvl w:ilvl="3" w:tplc="0316BAB0" w:tentative="1">
      <w:start w:val="1"/>
      <w:numFmt w:val="decimal"/>
      <w:lvlText w:val="%4."/>
      <w:lvlJc w:val="left"/>
      <w:pPr>
        <w:ind w:left="2880" w:hanging="360"/>
      </w:pPr>
    </w:lvl>
    <w:lvl w:ilvl="4" w:tplc="65D64AC2" w:tentative="1">
      <w:start w:val="1"/>
      <w:numFmt w:val="lowerLetter"/>
      <w:lvlText w:val="%5."/>
      <w:lvlJc w:val="left"/>
      <w:pPr>
        <w:ind w:left="3600" w:hanging="360"/>
      </w:pPr>
    </w:lvl>
    <w:lvl w:ilvl="5" w:tplc="72D60C18" w:tentative="1">
      <w:start w:val="1"/>
      <w:numFmt w:val="lowerRoman"/>
      <w:lvlText w:val="%6."/>
      <w:lvlJc w:val="right"/>
      <w:pPr>
        <w:ind w:left="4320" w:hanging="180"/>
      </w:pPr>
    </w:lvl>
    <w:lvl w:ilvl="6" w:tplc="62967D42" w:tentative="1">
      <w:start w:val="1"/>
      <w:numFmt w:val="decimal"/>
      <w:lvlText w:val="%7."/>
      <w:lvlJc w:val="left"/>
      <w:pPr>
        <w:ind w:left="5040" w:hanging="360"/>
      </w:pPr>
    </w:lvl>
    <w:lvl w:ilvl="7" w:tplc="CB74D634" w:tentative="1">
      <w:start w:val="1"/>
      <w:numFmt w:val="lowerLetter"/>
      <w:lvlText w:val="%8."/>
      <w:lvlJc w:val="left"/>
      <w:pPr>
        <w:ind w:left="5760" w:hanging="360"/>
      </w:pPr>
    </w:lvl>
    <w:lvl w:ilvl="8" w:tplc="32ECD912" w:tentative="1">
      <w:start w:val="1"/>
      <w:numFmt w:val="lowerRoman"/>
      <w:lvlText w:val="%9."/>
      <w:lvlJc w:val="right"/>
      <w:pPr>
        <w:ind w:left="6480" w:hanging="180"/>
      </w:pPr>
    </w:lvl>
  </w:abstractNum>
  <w:abstractNum w:abstractNumId="57">
    <w:nsid w:val="43FA0AA9"/>
    <w:multiLevelType w:val="hybridMultilevel"/>
    <w:tmpl w:val="5830A362"/>
    <w:lvl w:ilvl="0" w:tplc="0416000D">
      <w:start w:val="1"/>
      <w:numFmt w:val="bullet"/>
      <w:lvlText w:val=""/>
      <w:lvlJc w:val="left"/>
      <w:pPr>
        <w:ind w:left="1428" w:hanging="360"/>
      </w:pPr>
      <w:rPr>
        <w:rFonts w:ascii="Wingdings" w:hAnsi="Wingdings"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58">
    <w:nsid w:val="45713186"/>
    <w:multiLevelType w:val="hybridMultilevel"/>
    <w:tmpl w:val="7D220DAE"/>
    <w:lvl w:ilvl="0" w:tplc="04160001">
      <w:start w:val="1"/>
      <w:numFmt w:val="bullet"/>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59">
    <w:nsid w:val="457E23DD"/>
    <w:multiLevelType w:val="hybridMultilevel"/>
    <w:tmpl w:val="59A8D866"/>
    <w:lvl w:ilvl="0" w:tplc="87B6DF84">
      <w:start w:val="1"/>
      <w:numFmt w:val="lowerRoman"/>
      <w:lvlText w:val="(%1)"/>
      <w:lvlJc w:val="left"/>
      <w:pPr>
        <w:ind w:left="1849" w:hanging="1056"/>
      </w:pPr>
      <w:rPr>
        <w:rFonts w:hint="default"/>
      </w:rPr>
    </w:lvl>
    <w:lvl w:ilvl="1" w:tplc="04160019" w:tentative="1">
      <w:start w:val="1"/>
      <w:numFmt w:val="lowerLetter"/>
      <w:lvlText w:val="%2."/>
      <w:lvlJc w:val="left"/>
      <w:pPr>
        <w:ind w:left="1873" w:hanging="360"/>
      </w:pPr>
    </w:lvl>
    <w:lvl w:ilvl="2" w:tplc="0416001B" w:tentative="1">
      <w:start w:val="1"/>
      <w:numFmt w:val="lowerRoman"/>
      <w:lvlText w:val="%3."/>
      <w:lvlJc w:val="right"/>
      <w:pPr>
        <w:ind w:left="2593" w:hanging="180"/>
      </w:pPr>
    </w:lvl>
    <w:lvl w:ilvl="3" w:tplc="0416000F" w:tentative="1">
      <w:start w:val="1"/>
      <w:numFmt w:val="decimal"/>
      <w:lvlText w:val="%4."/>
      <w:lvlJc w:val="left"/>
      <w:pPr>
        <w:ind w:left="3313" w:hanging="360"/>
      </w:pPr>
    </w:lvl>
    <w:lvl w:ilvl="4" w:tplc="04160019" w:tentative="1">
      <w:start w:val="1"/>
      <w:numFmt w:val="lowerLetter"/>
      <w:lvlText w:val="%5."/>
      <w:lvlJc w:val="left"/>
      <w:pPr>
        <w:ind w:left="4033" w:hanging="360"/>
      </w:pPr>
    </w:lvl>
    <w:lvl w:ilvl="5" w:tplc="0416001B" w:tentative="1">
      <w:start w:val="1"/>
      <w:numFmt w:val="lowerRoman"/>
      <w:lvlText w:val="%6."/>
      <w:lvlJc w:val="right"/>
      <w:pPr>
        <w:ind w:left="4753" w:hanging="180"/>
      </w:pPr>
    </w:lvl>
    <w:lvl w:ilvl="6" w:tplc="0416000F" w:tentative="1">
      <w:start w:val="1"/>
      <w:numFmt w:val="decimal"/>
      <w:lvlText w:val="%7."/>
      <w:lvlJc w:val="left"/>
      <w:pPr>
        <w:ind w:left="5473" w:hanging="360"/>
      </w:pPr>
    </w:lvl>
    <w:lvl w:ilvl="7" w:tplc="04160019" w:tentative="1">
      <w:start w:val="1"/>
      <w:numFmt w:val="lowerLetter"/>
      <w:lvlText w:val="%8."/>
      <w:lvlJc w:val="left"/>
      <w:pPr>
        <w:ind w:left="6193" w:hanging="360"/>
      </w:pPr>
    </w:lvl>
    <w:lvl w:ilvl="8" w:tplc="0416001B" w:tentative="1">
      <w:start w:val="1"/>
      <w:numFmt w:val="lowerRoman"/>
      <w:lvlText w:val="%9."/>
      <w:lvlJc w:val="right"/>
      <w:pPr>
        <w:ind w:left="6913" w:hanging="180"/>
      </w:pPr>
    </w:lvl>
  </w:abstractNum>
  <w:abstractNum w:abstractNumId="60">
    <w:nsid w:val="46393ACC"/>
    <w:multiLevelType w:val="hybridMultilevel"/>
    <w:tmpl w:val="D228053E"/>
    <w:lvl w:ilvl="0" w:tplc="2BC0F43E">
      <w:start w:val="1"/>
      <w:numFmt w:val="bullet"/>
      <w:lvlText w:val=""/>
      <w:lvlJc w:val="left"/>
      <w:pPr>
        <w:ind w:left="1428" w:hanging="360"/>
      </w:pPr>
      <w:rPr>
        <w:rFonts w:ascii="Symbol" w:hAnsi="Symbol" w:hint="default"/>
      </w:rPr>
    </w:lvl>
    <w:lvl w:ilvl="1" w:tplc="04160019" w:tentative="1">
      <w:start w:val="1"/>
      <w:numFmt w:val="bullet"/>
      <w:lvlText w:val="o"/>
      <w:lvlJc w:val="left"/>
      <w:pPr>
        <w:ind w:left="2148" w:hanging="360"/>
      </w:pPr>
      <w:rPr>
        <w:rFonts w:ascii="Courier New" w:hAnsi="Courier New" w:cs="Courier New" w:hint="default"/>
      </w:rPr>
    </w:lvl>
    <w:lvl w:ilvl="2" w:tplc="0416001B" w:tentative="1">
      <w:start w:val="1"/>
      <w:numFmt w:val="bullet"/>
      <w:lvlText w:val=""/>
      <w:lvlJc w:val="left"/>
      <w:pPr>
        <w:ind w:left="2868" w:hanging="360"/>
      </w:pPr>
      <w:rPr>
        <w:rFonts w:ascii="Wingdings" w:hAnsi="Wingdings" w:hint="default"/>
      </w:rPr>
    </w:lvl>
    <w:lvl w:ilvl="3" w:tplc="0416000F" w:tentative="1">
      <w:start w:val="1"/>
      <w:numFmt w:val="bullet"/>
      <w:lvlText w:val=""/>
      <w:lvlJc w:val="left"/>
      <w:pPr>
        <w:ind w:left="3588" w:hanging="360"/>
      </w:pPr>
      <w:rPr>
        <w:rFonts w:ascii="Symbol" w:hAnsi="Symbol" w:hint="default"/>
      </w:rPr>
    </w:lvl>
    <w:lvl w:ilvl="4" w:tplc="04160019" w:tentative="1">
      <w:start w:val="1"/>
      <w:numFmt w:val="bullet"/>
      <w:lvlText w:val="o"/>
      <w:lvlJc w:val="left"/>
      <w:pPr>
        <w:ind w:left="4308" w:hanging="360"/>
      </w:pPr>
      <w:rPr>
        <w:rFonts w:ascii="Courier New" w:hAnsi="Courier New" w:cs="Courier New" w:hint="default"/>
      </w:rPr>
    </w:lvl>
    <w:lvl w:ilvl="5" w:tplc="0416001B" w:tentative="1">
      <w:start w:val="1"/>
      <w:numFmt w:val="bullet"/>
      <w:lvlText w:val=""/>
      <w:lvlJc w:val="left"/>
      <w:pPr>
        <w:ind w:left="5028" w:hanging="360"/>
      </w:pPr>
      <w:rPr>
        <w:rFonts w:ascii="Wingdings" w:hAnsi="Wingdings" w:hint="default"/>
      </w:rPr>
    </w:lvl>
    <w:lvl w:ilvl="6" w:tplc="0416000F" w:tentative="1">
      <w:start w:val="1"/>
      <w:numFmt w:val="bullet"/>
      <w:lvlText w:val=""/>
      <w:lvlJc w:val="left"/>
      <w:pPr>
        <w:ind w:left="5748" w:hanging="360"/>
      </w:pPr>
      <w:rPr>
        <w:rFonts w:ascii="Symbol" w:hAnsi="Symbol" w:hint="default"/>
      </w:rPr>
    </w:lvl>
    <w:lvl w:ilvl="7" w:tplc="04160019" w:tentative="1">
      <w:start w:val="1"/>
      <w:numFmt w:val="bullet"/>
      <w:lvlText w:val="o"/>
      <w:lvlJc w:val="left"/>
      <w:pPr>
        <w:ind w:left="6468" w:hanging="360"/>
      </w:pPr>
      <w:rPr>
        <w:rFonts w:ascii="Courier New" w:hAnsi="Courier New" w:cs="Courier New" w:hint="default"/>
      </w:rPr>
    </w:lvl>
    <w:lvl w:ilvl="8" w:tplc="0416001B" w:tentative="1">
      <w:start w:val="1"/>
      <w:numFmt w:val="bullet"/>
      <w:lvlText w:val=""/>
      <w:lvlJc w:val="left"/>
      <w:pPr>
        <w:ind w:left="7188" w:hanging="360"/>
      </w:pPr>
      <w:rPr>
        <w:rFonts w:ascii="Wingdings" w:hAnsi="Wingdings" w:hint="default"/>
      </w:rPr>
    </w:lvl>
  </w:abstractNum>
  <w:abstractNum w:abstractNumId="61">
    <w:nsid w:val="47B405A4"/>
    <w:multiLevelType w:val="hybridMultilevel"/>
    <w:tmpl w:val="12F809BE"/>
    <w:lvl w:ilvl="0" w:tplc="0416000D">
      <w:start w:val="1"/>
      <w:numFmt w:val="bullet"/>
      <w:lvlText w:val=""/>
      <w:lvlJc w:val="left"/>
      <w:pPr>
        <w:ind w:left="1713" w:hanging="360"/>
      </w:pPr>
      <w:rPr>
        <w:rFonts w:ascii="Wingdings" w:hAnsi="Wingdings" w:hint="default"/>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62">
    <w:nsid w:val="4A3402AE"/>
    <w:multiLevelType w:val="multilevel"/>
    <w:tmpl w:val="FFDC3E3E"/>
    <w:lvl w:ilvl="0">
      <w:start w:val="1"/>
      <w:numFmt w:val="decimal"/>
      <w:lvlText w:val="%1."/>
      <w:lvlJc w:val="left"/>
      <w:pPr>
        <w:ind w:left="765" w:hanging="360"/>
      </w:pPr>
    </w:lvl>
    <w:lvl w:ilvl="1">
      <w:start w:val="1"/>
      <w:numFmt w:val="decimal"/>
      <w:isLgl/>
      <w:lvlText w:val="%1.%2"/>
      <w:lvlJc w:val="left"/>
      <w:pPr>
        <w:ind w:left="765" w:hanging="360"/>
      </w:pPr>
      <w:rPr>
        <w:rFonts w:hint="default"/>
      </w:rPr>
    </w:lvl>
    <w:lvl w:ilvl="2">
      <w:start w:val="1"/>
      <w:numFmt w:val="decimal"/>
      <w:isLgl/>
      <w:lvlText w:val="%1.%2.%3"/>
      <w:lvlJc w:val="left"/>
      <w:pPr>
        <w:ind w:left="1125" w:hanging="720"/>
      </w:pPr>
      <w:rPr>
        <w:rFonts w:hint="default"/>
      </w:rPr>
    </w:lvl>
    <w:lvl w:ilvl="3">
      <w:start w:val="1"/>
      <w:numFmt w:val="decimal"/>
      <w:isLgl/>
      <w:lvlText w:val="%1.%2.%3.%4"/>
      <w:lvlJc w:val="left"/>
      <w:pPr>
        <w:ind w:left="1125" w:hanging="720"/>
      </w:pPr>
      <w:rPr>
        <w:rFonts w:hint="default"/>
      </w:rPr>
    </w:lvl>
    <w:lvl w:ilvl="4">
      <w:start w:val="1"/>
      <w:numFmt w:val="decimal"/>
      <w:isLgl/>
      <w:lvlText w:val="%1.%2.%3.%4.%5"/>
      <w:lvlJc w:val="left"/>
      <w:pPr>
        <w:ind w:left="1125" w:hanging="720"/>
      </w:pPr>
      <w:rPr>
        <w:rFonts w:hint="default"/>
      </w:rPr>
    </w:lvl>
    <w:lvl w:ilvl="5">
      <w:start w:val="1"/>
      <w:numFmt w:val="decimal"/>
      <w:isLgl/>
      <w:lvlText w:val="%1.%2.%3.%4.%5.%6"/>
      <w:lvlJc w:val="left"/>
      <w:pPr>
        <w:ind w:left="1485" w:hanging="1080"/>
      </w:pPr>
      <w:rPr>
        <w:rFonts w:hint="default"/>
      </w:rPr>
    </w:lvl>
    <w:lvl w:ilvl="6">
      <w:start w:val="1"/>
      <w:numFmt w:val="decimal"/>
      <w:isLgl/>
      <w:lvlText w:val="%1.%2.%3.%4.%5.%6.%7"/>
      <w:lvlJc w:val="left"/>
      <w:pPr>
        <w:ind w:left="1485" w:hanging="1080"/>
      </w:pPr>
      <w:rPr>
        <w:rFonts w:hint="default"/>
      </w:rPr>
    </w:lvl>
    <w:lvl w:ilvl="7">
      <w:start w:val="1"/>
      <w:numFmt w:val="decimal"/>
      <w:isLgl/>
      <w:lvlText w:val="%1.%2.%3.%4.%5.%6.%7.%8"/>
      <w:lvlJc w:val="left"/>
      <w:pPr>
        <w:ind w:left="1845" w:hanging="1440"/>
      </w:pPr>
      <w:rPr>
        <w:rFonts w:hint="default"/>
      </w:rPr>
    </w:lvl>
    <w:lvl w:ilvl="8">
      <w:start w:val="1"/>
      <w:numFmt w:val="decimal"/>
      <w:isLgl/>
      <w:lvlText w:val="%1.%2.%3.%4.%5.%6.%7.%8.%9"/>
      <w:lvlJc w:val="left"/>
      <w:pPr>
        <w:ind w:left="1845" w:hanging="1440"/>
      </w:pPr>
      <w:rPr>
        <w:rFonts w:hint="default"/>
      </w:rPr>
    </w:lvl>
  </w:abstractNum>
  <w:abstractNum w:abstractNumId="63">
    <w:nsid w:val="4B0F3B3E"/>
    <w:multiLevelType w:val="hybridMultilevel"/>
    <w:tmpl w:val="E0F6ED08"/>
    <w:lvl w:ilvl="0" w:tplc="04160001">
      <w:start w:val="1"/>
      <w:numFmt w:val="bullet"/>
      <w:lvlText w:val=""/>
      <w:lvlJc w:val="left"/>
      <w:pPr>
        <w:ind w:left="1428" w:hanging="360"/>
      </w:pPr>
      <w:rPr>
        <w:rFonts w:ascii="Symbol" w:hAnsi="Symbol" w:hint="default"/>
      </w:rPr>
    </w:lvl>
    <w:lvl w:ilvl="1" w:tplc="04160003">
      <w:start w:val="1"/>
      <w:numFmt w:val="bullet"/>
      <w:lvlText w:val="o"/>
      <w:lvlJc w:val="left"/>
      <w:pPr>
        <w:ind w:left="2148" w:hanging="360"/>
      </w:pPr>
      <w:rPr>
        <w:rFonts w:ascii="Courier New" w:hAnsi="Courier New" w:cs="Courier New" w:hint="default"/>
      </w:rPr>
    </w:lvl>
    <w:lvl w:ilvl="2" w:tplc="04160005">
      <w:start w:val="1"/>
      <w:numFmt w:val="bullet"/>
      <w:lvlText w:val=""/>
      <w:lvlJc w:val="left"/>
      <w:pPr>
        <w:ind w:left="2868" w:hanging="360"/>
      </w:pPr>
      <w:rPr>
        <w:rFonts w:ascii="Wingdings" w:hAnsi="Wingdings" w:hint="default"/>
      </w:rPr>
    </w:lvl>
    <w:lvl w:ilvl="3" w:tplc="04160001">
      <w:start w:val="1"/>
      <w:numFmt w:val="bullet"/>
      <w:lvlText w:val=""/>
      <w:lvlJc w:val="left"/>
      <w:pPr>
        <w:ind w:left="3588" w:hanging="360"/>
      </w:pPr>
      <w:rPr>
        <w:rFonts w:ascii="Symbol" w:hAnsi="Symbol" w:hint="default"/>
      </w:rPr>
    </w:lvl>
    <w:lvl w:ilvl="4" w:tplc="04160003">
      <w:start w:val="1"/>
      <w:numFmt w:val="bullet"/>
      <w:lvlText w:val="o"/>
      <w:lvlJc w:val="left"/>
      <w:pPr>
        <w:ind w:left="4308" w:hanging="360"/>
      </w:pPr>
      <w:rPr>
        <w:rFonts w:ascii="Courier New" w:hAnsi="Courier New" w:cs="Courier New" w:hint="default"/>
      </w:rPr>
    </w:lvl>
    <w:lvl w:ilvl="5" w:tplc="04160005">
      <w:start w:val="1"/>
      <w:numFmt w:val="bullet"/>
      <w:lvlText w:val=""/>
      <w:lvlJc w:val="left"/>
      <w:pPr>
        <w:ind w:left="5028" w:hanging="360"/>
      </w:pPr>
      <w:rPr>
        <w:rFonts w:ascii="Wingdings" w:hAnsi="Wingdings" w:hint="default"/>
      </w:rPr>
    </w:lvl>
    <w:lvl w:ilvl="6" w:tplc="04160001">
      <w:start w:val="1"/>
      <w:numFmt w:val="bullet"/>
      <w:lvlText w:val=""/>
      <w:lvlJc w:val="left"/>
      <w:pPr>
        <w:ind w:left="5748" w:hanging="360"/>
      </w:pPr>
      <w:rPr>
        <w:rFonts w:ascii="Symbol" w:hAnsi="Symbol" w:hint="default"/>
      </w:rPr>
    </w:lvl>
    <w:lvl w:ilvl="7" w:tplc="04160003">
      <w:start w:val="1"/>
      <w:numFmt w:val="bullet"/>
      <w:lvlText w:val="o"/>
      <w:lvlJc w:val="left"/>
      <w:pPr>
        <w:ind w:left="6468" w:hanging="360"/>
      </w:pPr>
      <w:rPr>
        <w:rFonts w:ascii="Courier New" w:hAnsi="Courier New" w:cs="Courier New" w:hint="default"/>
      </w:rPr>
    </w:lvl>
    <w:lvl w:ilvl="8" w:tplc="04160005">
      <w:start w:val="1"/>
      <w:numFmt w:val="bullet"/>
      <w:lvlText w:val=""/>
      <w:lvlJc w:val="left"/>
      <w:pPr>
        <w:ind w:left="7188" w:hanging="360"/>
      </w:pPr>
      <w:rPr>
        <w:rFonts w:ascii="Wingdings" w:hAnsi="Wingdings" w:hint="default"/>
      </w:rPr>
    </w:lvl>
  </w:abstractNum>
  <w:abstractNum w:abstractNumId="64">
    <w:nsid w:val="4CF76F4A"/>
    <w:multiLevelType w:val="hybridMultilevel"/>
    <w:tmpl w:val="866C71D6"/>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65">
    <w:nsid w:val="4D142EFF"/>
    <w:multiLevelType w:val="hybridMultilevel"/>
    <w:tmpl w:val="40E63824"/>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66">
    <w:nsid w:val="4D5D2B81"/>
    <w:multiLevelType w:val="hybridMultilevel"/>
    <w:tmpl w:val="7DBC32CE"/>
    <w:lvl w:ilvl="0" w:tplc="0416000D">
      <w:start w:val="1"/>
      <w:numFmt w:val="bullet"/>
      <w:lvlText w:val=""/>
      <w:lvlJc w:val="left"/>
      <w:pPr>
        <w:ind w:left="1428" w:hanging="360"/>
      </w:pPr>
      <w:rPr>
        <w:rFonts w:ascii="Wingdings" w:hAnsi="Wingdings" w:hint="default"/>
      </w:rPr>
    </w:lvl>
    <w:lvl w:ilvl="1" w:tplc="04160003">
      <w:start w:val="1"/>
      <w:numFmt w:val="bullet"/>
      <w:lvlText w:val="o"/>
      <w:lvlJc w:val="left"/>
      <w:pPr>
        <w:ind w:left="2148" w:hanging="360"/>
      </w:pPr>
      <w:rPr>
        <w:rFonts w:ascii="Courier New" w:hAnsi="Courier New" w:cs="Courier New" w:hint="default"/>
      </w:rPr>
    </w:lvl>
    <w:lvl w:ilvl="2" w:tplc="04160005">
      <w:start w:val="1"/>
      <w:numFmt w:val="bullet"/>
      <w:lvlText w:val=""/>
      <w:lvlJc w:val="left"/>
      <w:pPr>
        <w:ind w:left="2868" w:hanging="360"/>
      </w:pPr>
      <w:rPr>
        <w:rFonts w:ascii="Wingdings" w:hAnsi="Wingdings" w:hint="default"/>
      </w:rPr>
    </w:lvl>
    <w:lvl w:ilvl="3" w:tplc="04160001">
      <w:start w:val="1"/>
      <w:numFmt w:val="bullet"/>
      <w:lvlText w:val=""/>
      <w:lvlJc w:val="left"/>
      <w:pPr>
        <w:ind w:left="3588" w:hanging="360"/>
      </w:pPr>
      <w:rPr>
        <w:rFonts w:ascii="Symbol" w:hAnsi="Symbol" w:hint="default"/>
      </w:rPr>
    </w:lvl>
    <w:lvl w:ilvl="4" w:tplc="04160003">
      <w:start w:val="1"/>
      <w:numFmt w:val="bullet"/>
      <w:lvlText w:val="o"/>
      <w:lvlJc w:val="left"/>
      <w:pPr>
        <w:ind w:left="4308" w:hanging="360"/>
      </w:pPr>
      <w:rPr>
        <w:rFonts w:ascii="Courier New" w:hAnsi="Courier New" w:cs="Courier New" w:hint="default"/>
      </w:rPr>
    </w:lvl>
    <w:lvl w:ilvl="5" w:tplc="04160005">
      <w:start w:val="1"/>
      <w:numFmt w:val="bullet"/>
      <w:lvlText w:val=""/>
      <w:lvlJc w:val="left"/>
      <w:pPr>
        <w:ind w:left="5028" w:hanging="360"/>
      </w:pPr>
      <w:rPr>
        <w:rFonts w:ascii="Wingdings" w:hAnsi="Wingdings" w:hint="default"/>
      </w:rPr>
    </w:lvl>
    <w:lvl w:ilvl="6" w:tplc="04160001">
      <w:start w:val="1"/>
      <w:numFmt w:val="bullet"/>
      <w:lvlText w:val=""/>
      <w:lvlJc w:val="left"/>
      <w:pPr>
        <w:ind w:left="5748" w:hanging="360"/>
      </w:pPr>
      <w:rPr>
        <w:rFonts w:ascii="Symbol" w:hAnsi="Symbol" w:hint="default"/>
      </w:rPr>
    </w:lvl>
    <w:lvl w:ilvl="7" w:tplc="04160003">
      <w:start w:val="1"/>
      <w:numFmt w:val="bullet"/>
      <w:lvlText w:val="o"/>
      <w:lvlJc w:val="left"/>
      <w:pPr>
        <w:ind w:left="6468" w:hanging="360"/>
      </w:pPr>
      <w:rPr>
        <w:rFonts w:ascii="Courier New" w:hAnsi="Courier New" w:cs="Courier New" w:hint="default"/>
      </w:rPr>
    </w:lvl>
    <w:lvl w:ilvl="8" w:tplc="04160005">
      <w:start w:val="1"/>
      <w:numFmt w:val="bullet"/>
      <w:lvlText w:val=""/>
      <w:lvlJc w:val="left"/>
      <w:pPr>
        <w:ind w:left="7188" w:hanging="360"/>
      </w:pPr>
      <w:rPr>
        <w:rFonts w:ascii="Wingdings" w:hAnsi="Wingdings" w:hint="default"/>
      </w:rPr>
    </w:lvl>
  </w:abstractNum>
  <w:abstractNum w:abstractNumId="67">
    <w:nsid w:val="4DD10BCD"/>
    <w:multiLevelType w:val="hybridMultilevel"/>
    <w:tmpl w:val="BA7E069A"/>
    <w:lvl w:ilvl="0" w:tplc="E3B4F0B2">
      <w:start w:val="1"/>
      <w:numFmt w:val="decimal"/>
      <w:lvlText w:val="Objetivo %1."/>
      <w:lvlJc w:val="left"/>
      <w:pPr>
        <w:ind w:left="2062" w:hanging="360"/>
      </w:pPr>
      <w:rPr>
        <w:rFonts w:hint="default"/>
        <w:b/>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8">
    <w:nsid w:val="4E4E4F0A"/>
    <w:multiLevelType w:val="hybridMultilevel"/>
    <w:tmpl w:val="EEC6A6FE"/>
    <w:lvl w:ilvl="0" w:tplc="04160009">
      <w:start w:val="1"/>
      <w:numFmt w:val="bullet"/>
      <w:lvlText w:val=""/>
      <w:lvlJc w:val="left"/>
      <w:pPr>
        <w:ind w:left="1353"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69">
    <w:nsid w:val="4E66774A"/>
    <w:multiLevelType w:val="hybridMultilevel"/>
    <w:tmpl w:val="48122CF6"/>
    <w:lvl w:ilvl="0" w:tplc="0416000F">
      <w:start w:val="1"/>
      <w:numFmt w:val="decimal"/>
      <w:lvlText w:val="%1."/>
      <w:lvlJc w:val="left"/>
      <w:pPr>
        <w:ind w:left="1429" w:hanging="360"/>
      </w:pPr>
    </w:lvl>
    <w:lvl w:ilvl="1" w:tplc="04160019">
      <w:start w:val="1"/>
      <w:numFmt w:val="lowerLetter"/>
      <w:lvlText w:val="%2."/>
      <w:lvlJc w:val="left"/>
      <w:pPr>
        <w:ind w:left="2149" w:hanging="360"/>
      </w:pPr>
    </w:lvl>
    <w:lvl w:ilvl="2" w:tplc="0416001B">
      <w:start w:val="1"/>
      <w:numFmt w:val="lowerRoman"/>
      <w:lvlText w:val="%3."/>
      <w:lvlJc w:val="right"/>
      <w:pPr>
        <w:ind w:left="2869" w:hanging="180"/>
      </w:pPr>
    </w:lvl>
    <w:lvl w:ilvl="3" w:tplc="0416000F">
      <w:start w:val="1"/>
      <w:numFmt w:val="decimal"/>
      <w:lvlText w:val="%4."/>
      <w:lvlJc w:val="left"/>
      <w:pPr>
        <w:ind w:left="3589" w:hanging="360"/>
      </w:pPr>
    </w:lvl>
    <w:lvl w:ilvl="4" w:tplc="04160019">
      <w:start w:val="1"/>
      <w:numFmt w:val="lowerLetter"/>
      <w:lvlText w:val="%5."/>
      <w:lvlJc w:val="left"/>
      <w:pPr>
        <w:ind w:left="4309" w:hanging="360"/>
      </w:pPr>
    </w:lvl>
    <w:lvl w:ilvl="5" w:tplc="0416001B">
      <w:start w:val="1"/>
      <w:numFmt w:val="lowerRoman"/>
      <w:lvlText w:val="%6."/>
      <w:lvlJc w:val="right"/>
      <w:pPr>
        <w:ind w:left="5029" w:hanging="180"/>
      </w:pPr>
    </w:lvl>
    <w:lvl w:ilvl="6" w:tplc="0416000F">
      <w:start w:val="1"/>
      <w:numFmt w:val="decimal"/>
      <w:lvlText w:val="%7."/>
      <w:lvlJc w:val="left"/>
      <w:pPr>
        <w:ind w:left="5749" w:hanging="360"/>
      </w:pPr>
    </w:lvl>
    <w:lvl w:ilvl="7" w:tplc="04160019">
      <w:start w:val="1"/>
      <w:numFmt w:val="lowerLetter"/>
      <w:lvlText w:val="%8."/>
      <w:lvlJc w:val="left"/>
      <w:pPr>
        <w:ind w:left="6469" w:hanging="360"/>
      </w:pPr>
    </w:lvl>
    <w:lvl w:ilvl="8" w:tplc="0416001B">
      <w:start w:val="1"/>
      <w:numFmt w:val="lowerRoman"/>
      <w:lvlText w:val="%9."/>
      <w:lvlJc w:val="right"/>
      <w:pPr>
        <w:ind w:left="7189" w:hanging="180"/>
      </w:pPr>
    </w:lvl>
  </w:abstractNum>
  <w:abstractNum w:abstractNumId="70">
    <w:nsid w:val="51185A6A"/>
    <w:multiLevelType w:val="multilevel"/>
    <w:tmpl w:val="B4E41434"/>
    <w:lvl w:ilvl="0">
      <w:start w:val="1"/>
      <w:numFmt w:val="decimal"/>
      <w:pStyle w:val="SHS-Ttulo01"/>
      <w:lvlText w:val="%1."/>
      <w:lvlJc w:val="left"/>
      <w:pPr>
        <w:ind w:left="502" w:hanging="360"/>
      </w:pPr>
    </w:lvl>
    <w:lvl w:ilvl="1">
      <w:start w:val="1"/>
      <w:numFmt w:val="decimal"/>
      <w:pStyle w:val="SHS-Ttulo02"/>
      <w:lvlText w:val="%1.%2."/>
      <w:lvlJc w:val="left"/>
      <w:pPr>
        <w:ind w:left="432" w:hanging="432"/>
      </w:pPr>
      <w:rPr>
        <w:color w:val="auto"/>
      </w:rPr>
    </w:lvl>
    <w:lvl w:ilvl="2">
      <w:start w:val="1"/>
      <w:numFmt w:val="decimal"/>
      <w:pStyle w:val="Ttulo3"/>
      <w:lvlText w:val="%1.%2.%3."/>
      <w:lvlJc w:val="left"/>
      <w:pPr>
        <w:ind w:left="504" w:hanging="504"/>
      </w:pPr>
      <w:rPr>
        <w:color w:val="auto"/>
        <w:u w:val="none"/>
      </w:rPr>
    </w:lvl>
    <w:lvl w:ilvl="3">
      <w:start w:val="1"/>
      <w:numFmt w:val="decimal"/>
      <w:pStyle w:val="Ttulo4"/>
      <w:lvlText w:val="%1.%2.%3.%4."/>
      <w:lvlJc w:val="left"/>
      <w:pPr>
        <w:ind w:left="1728" w:hanging="648"/>
      </w:pPr>
    </w:lvl>
    <w:lvl w:ilvl="4">
      <w:start w:val="1"/>
      <w:numFmt w:val="decimal"/>
      <w:pStyle w:val="Ttulo5"/>
      <w:lvlText w:val="%1.%2.%3.%4.%5."/>
      <w:lvlJc w:val="left"/>
      <w:pPr>
        <w:ind w:left="2232" w:hanging="792"/>
      </w:pPr>
    </w:lvl>
    <w:lvl w:ilvl="5">
      <w:start w:val="1"/>
      <w:numFmt w:val="decimal"/>
      <w:lvlText w:val="%1.%2.%3.%4.%5.%6."/>
      <w:lvlJc w:val="left"/>
      <w:pPr>
        <w:ind w:left="2736" w:hanging="936"/>
      </w:pPr>
    </w:lvl>
    <w:lvl w:ilvl="6">
      <w:start w:val="1"/>
      <w:numFmt w:val="decimal"/>
      <w:pStyle w:val="Ttulo6"/>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1">
    <w:nsid w:val="53A76CE5"/>
    <w:multiLevelType w:val="hybridMultilevel"/>
    <w:tmpl w:val="B03A41EA"/>
    <w:lvl w:ilvl="0" w:tplc="04160013">
      <w:start w:val="1"/>
      <w:numFmt w:val="upperRoman"/>
      <w:lvlText w:val="%1."/>
      <w:lvlJc w:val="righ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72">
    <w:nsid w:val="54A92407"/>
    <w:multiLevelType w:val="hybridMultilevel"/>
    <w:tmpl w:val="A7B8C75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73">
    <w:nsid w:val="563E6140"/>
    <w:multiLevelType w:val="multilevel"/>
    <w:tmpl w:val="51C68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nsid w:val="56413C8A"/>
    <w:multiLevelType w:val="hybridMultilevel"/>
    <w:tmpl w:val="515CC1AE"/>
    <w:lvl w:ilvl="0" w:tplc="04160001">
      <w:start w:val="1"/>
      <w:numFmt w:val="bullet"/>
      <w:lvlText w:val=""/>
      <w:lvlJc w:val="left"/>
      <w:pPr>
        <w:ind w:left="1428" w:hanging="360"/>
      </w:pPr>
      <w:rPr>
        <w:rFonts w:ascii="Symbol" w:hAnsi="Symbol" w:hint="default"/>
      </w:rPr>
    </w:lvl>
    <w:lvl w:ilvl="1" w:tplc="04160003">
      <w:start w:val="1"/>
      <w:numFmt w:val="bullet"/>
      <w:lvlText w:val="o"/>
      <w:lvlJc w:val="left"/>
      <w:pPr>
        <w:ind w:left="2148" w:hanging="360"/>
      </w:pPr>
      <w:rPr>
        <w:rFonts w:ascii="Courier New" w:hAnsi="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75">
    <w:nsid w:val="56960AAC"/>
    <w:multiLevelType w:val="hybridMultilevel"/>
    <w:tmpl w:val="82B4AD4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6">
    <w:nsid w:val="56C8009E"/>
    <w:multiLevelType w:val="hybridMultilevel"/>
    <w:tmpl w:val="9EBAC478"/>
    <w:lvl w:ilvl="0" w:tplc="04160009">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77">
    <w:nsid w:val="57036003"/>
    <w:multiLevelType w:val="hybridMultilevel"/>
    <w:tmpl w:val="DEFAAAC0"/>
    <w:lvl w:ilvl="0" w:tplc="0416000F">
      <w:start w:val="1"/>
      <w:numFmt w:val="decimal"/>
      <w:lvlText w:val="%1."/>
      <w:lvlJc w:val="left"/>
      <w:pPr>
        <w:ind w:left="643" w:hanging="360"/>
      </w:pPr>
    </w:lvl>
    <w:lvl w:ilvl="1" w:tplc="04160019" w:tentative="1">
      <w:start w:val="1"/>
      <w:numFmt w:val="lowerLetter"/>
      <w:lvlText w:val="%2."/>
      <w:lvlJc w:val="left"/>
      <w:pPr>
        <w:ind w:left="1363" w:hanging="360"/>
      </w:pPr>
    </w:lvl>
    <w:lvl w:ilvl="2" w:tplc="0416001B" w:tentative="1">
      <w:start w:val="1"/>
      <w:numFmt w:val="lowerRoman"/>
      <w:lvlText w:val="%3."/>
      <w:lvlJc w:val="right"/>
      <w:pPr>
        <w:ind w:left="2083" w:hanging="180"/>
      </w:pPr>
    </w:lvl>
    <w:lvl w:ilvl="3" w:tplc="0416000F" w:tentative="1">
      <w:start w:val="1"/>
      <w:numFmt w:val="decimal"/>
      <w:lvlText w:val="%4."/>
      <w:lvlJc w:val="left"/>
      <w:pPr>
        <w:ind w:left="2803" w:hanging="360"/>
      </w:pPr>
    </w:lvl>
    <w:lvl w:ilvl="4" w:tplc="04160019" w:tentative="1">
      <w:start w:val="1"/>
      <w:numFmt w:val="lowerLetter"/>
      <w:lvlText w:val="%5."/>
      <w:lvlJc w:val="left"/>
      <w:pPr>
        <w:ind w:left="3523" w:hanging="360"/>
      </w:pPr>
    </w:lvl>
    <w:lvl w:ilvl="5" w:tplc="0416001B" w:tentative="1">
      <w:start w:val="1"/>
      <w:numFmt w:val="lowerRoman"/>
      <w:lvlText w:val="%6."/>
      <w:lvlJc w:val="right"/>
      <w:pPr>
        <w:ind w:left="4243" w:hanging="180"/>
      </w:pPr>
    </w:lvl>
    <w:lvl w:ilvl="6" w:tplc="0416000F" w:tentative="1">
      <w:start w:val="1"/>
      <w:numFmt w:val="decimal"/>
      <w:lvlText w:val="%7."/>
      <w:lvlJc w:val="left"/>
      <w:pPr>
        <w:ind w:left="4963" w:hanging="360"/>
      </w:pPr>
    </w:lvl>
    <w:lvl w:ilvl="7" w:tplc="04160019" w:tentative="1">
      <w:start w:val="1"/>
      <w:numFmt w:val="lowerLetter"/>
      <w:lvlText w:val="%8."/>
      <w:lvlJc w:val="left"/>
      <w:pPr>
        <w:ind w:left="5683" w:hanging="360"/>
      </w:pPr>
    </w:lvl>
    <w:lvl w:ilvl="8" w:tplc="0416001B" w:tentative="1">
      <w:start w:val="1"/>
      <w:numFmt w:val="lowerRoman"/>
      <w:lvlText w:val="%9."/>
      <w:lvlJc w:val="right"/>
      <w:pPr>
        <w:ind w:left="6403" w:hanging="180"/>
      </w:pPr>
    </w:lvl>
  </w:abstractNum>
  <w:abstractNum w:abstractNumId="78">
    <w:nsid w:val="5B244113"/>
    <w:multiLevelType w:val="hybridMultilevel"/>
    <w:tmpl w:val="7D38752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79">
    <w:nsid w:val="5BEE0021"/>
    <w:multiLevelType w:val="hybridMultilevel"/>
    <w:tmpl w:val="2C3EC89C"/>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80">
    <w:nsid w:val="5C9F7B8E"/>
    <w:multiLevelType w:val="hybridMultilevel"/>
    <w:tmpl w:val="942CC45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1">
    <w:nsid w:val="5D3574BC"/>
    <w:multiLevelType w:val="hybridMultilevel"/>
    <w:tmpl w:val="3D86C594"/>
    <w:lvl w:ilvl="0" w:tplc="0416000B">
      <w:start w:val="1"/>
      <w:numFmt w:val="bullet"/>
      <w:lvlText w:val=""/>
      <w:lvlJc w:val="left"/>
      <w:pPr>
        <w:ind w:left="1428" w:hanging="360"/>
      </w:pPr>
      <w:rPr>
        <w:rFonts w:ascii="Wingdings" w:hAnsi="Wingdings"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82">
    <w:nsid w:val="5ED54C4D"/>
    <w:multiLevelType w:val="hybridMultilevel"/>
    <w:tmpl w:val="04D84786"/>
    <w:lvl w:ilvl="0" w:tplc="1862CD3C">
      <w:start w:val="1"/>
      <w:numFmt w:val="decimal"/>
      <w:pStyle w:val="Estilo1"/>
      <w:lvlText w:val="Ação %1:"/>
      <w:lvlJc w:val="center"/>
      <w:pPr>
        <w:ind w:left="1069" w:hanging="360"/>
      </w:pPr>
      <w:rPr>
        <w:rFonts w:ascii="Arial" w:hAnsi="Arial" w:hint="default"/>
        <w:b/>
        <w:i w:val="0"/>
        <w:sz w:val="18"/>
        <w:szCs w:val="18"/>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3">
    <w:nsid w:val="600D23BA"/>
    <w:multiLevelType w:val="hybridMultilevel"/>
    <w:tmpl w:val="825A4078"/>
    <w:lvl w:ilvl="0" w:tplc="F6A48C58">
      <w:start w:val="1"/>
      <w:numFmt w:val="bullet"/>
      <w:lvlText w:val="‐"/>
      <w:lvlJc w:val="left"/>
      <w:pPr>
        <w:ind w:left="1429" w:hanging="360"/>
      </w:pPr>
      <w:rPr>
        <w:rFonts w:ascii="Calibri" w:hAnsi="Calibri"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84">
    <w:nsid w:val="602F3066"/>
    <w:multiLevelType w:val="hybridMultilevel"/>
    <w:tmpl w:val="593A5FD2"/>
    <w:lvl w:ilvl="0" w:tplc="0416000F">
      <w:start w:val="1"/>
      <w:numFmt w:val="decimal"/>
      <w:lvlText w:val="%1."/>
      <w:lvlJc w:val="left"/>
      <w:pPr>
        <w:ind w:left="2190" w:hanging="360"/>
      </w:pPr>
      <w:rPr>
        <w:b/>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85">
    <w:nsid w:val="622323C5"/>
    <w:multiLevelType w:val="hybridMultilevel"/>
    <w:tmpl w:val="FC90DC08"/>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86">
    <w:nsid w:val="633C2F41"/>
    <w:multiLevelType w:val="hybridMultilevel"/>
    <w:tmpl w:val="48122CF6"/>
    <w:lvl w:ilvl="0" w:tplc="0416000F">
      <w:start w:val="1"/>
      <w:numFmt w:val="decimal"/>
      <w:lvlText w:val="%1."/>
      <w:lvlJc w:val="left"/>
      <w:pPr>
        <w:ind w:left="1429" w:hanging="360"/>
      </w:pPr>
    </w:lvl>
    <w:lvl w:ilvl="1" w:tplc="04160019">
      <w:start w:val="1"/>
      <w:numFmt w:val="lowerLetter"/>
      <w:lvlText w:val="%2."/>
      <w:lvlJc w:val="left"/>
      <w:pPr>
        <w:ind w:left="2149" w:hanging="360"/>
      </w:pPr>
    </w:lvl>
    <w:lvl w:ilvl="2" w:tplc="0416001B">
      <w:start w:val="1"/>
      <w:numFmt w:val="lowerRoman"/>
      <w:lvlText w:val="%3."/>
      <w:lvlJc w:val="right"/>
      <w:pPr>
        <w:ind w:left="2869" w:hanging="180"/>
      </w:pPr>
    </w:lvl>
    <w:lvl w:ilvl="3" w:tplc="0416000F">
      <w:start w:val="1"/>
      <w:numFmt w:val="decimal"/>
      <w:lvlText w:val="%4."/>
      <w:lvlJc w:val="left"/>
      <w:pPr>
        <w:ind w:left="3589" w:hanging="360"/>
      </w:pPr>
    </w:lvl>
    <w:lvl w:ilvl="4" w:tplc="04160019">
      <w:start w:val="1"/>
      <w:numFmt w:val="lowerLetter"/>
      <w:lvlText w:val="%5."/>
      <w:lvlJc w:val="left"/>
      <w:pPr>
        <w:ind w:left="4309" w:hanging="360"/>
      </w:pPr>
    </w:lvl>
    <w:lvl w:ilvl="5" w:tplc="0416001B">
      <w:start w:val="1"/>
      <w:numFmt w:val="lowerRoman"/>
      <w:lvlText w:val="%6."/>
      <w:lvlJc w:val="right"/>
      <w:pPr>
        <w:ind w:left="5029" w:hanging="180"/>
      </w:pPr>
    </w:lvl>
    <w:lvl w:ilvl="6" w:tplc="0416000F">
      <w:start w:val="1"/>
      <w:numFmt w:val="decimal"/>
      <w:lvlText w:val="%7."/>
      <w:lvlJc w:val="left"/>
      <w:pPr>
        <w:ind w:left="5749" w:hanging="360"/>
      </w:pPr>
    </w:lvl>
    <w:lvl w:ilvl="7" w:tplc="04160019">
      <w:start w:val="1"/>
      <w:numFmt w:val="lowerLetter"/>
      <w:lvlText w:val="%8."/>
      <w:lvlJc w:val="left"/>
      <w:pPr>
        <w:ind w:left="6469" w:hanging="360"/>
      </w:pPr>
    </w:lvl>
    <w:lvl w:ilvl="8" w:tplc="0416001B">
      <w:start w:val="1"/>
      <w:numFmt w:val="lowerRoman"/>
      <w:lvlText w:val="%9."/>
      <w:lvlJc w:val="right"/>
      <w:pPr>
        <w:ind w:left="7189" w:hanging="180"/>
      </w:pPr>
    </w:lvl>
  </w:abstractNum>
  <w:abstractNum w:abstractNumId="87">
    <w:nsid w:val="649878B4"/>
    <w:multiLevelType w:val="hybridMultilevel"/>
    <w:tmpl w:val="C652BC6A"/>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88">
    <w:nsid w:val="649D1FC1"/>
    <w:multiLevelType w:val="multilevel"/>
    <w:tmpl w:val="FFDC3E3E"/>
    <w:lvl w:ilvl="0">
      <w:start w:val="1"/>
      <w:numFmt w:val="decimal"/>
      <w:lvlText w:val="%1."/>
      <w:lvlJc w:val="left"/>
      <w:pPr>
        <w:ind w:left="765" w:hanging="360"/>
      </w:pPr>
    </w:lvl>
    <w:lvl w:ilvl="1">
      <w:start w:val="1"/>
      <w:numFmt w:val="decimal"/>
      <w:isLgl/>
      <w:lvlText w:val="%1.%2"/>
      <w:lvlJc w:val="left"/>
      <w:pPr>
        <w:ind w:left="765" w:hanging="360"/>
      </w:pPr>
      <w:rPr>
        <w:rFonts w:hint="default"/>
      </w:rPr>
    </w:lvl>
    <w:lvl w:ilvl="2">
      <w:start w:val="1"/>
      <w:numFmt w:val="decimal"/>
      <w:isLgl/>
      <w:lvlText w:val="%1.%2.%3"/>
      <w:lvlJc w:val="left"/>
      <w:pPr>
        <w:ind w:left="1125" w:hanging="720"/>
      </w:pPr>
      <w:rPr>
        <w:rFonts w:hint="default"/>
      </w:rPr>
    </w:lvl>
    <w:lvl w:ilvl="3">
      <w:start w:val="1"/>
      <w:numFmt w:val="decimal"/>
      <w:isLgl/>
      <w:lvlText w:val="%1.%2.%3.%4"/>
      <w:lvlJc w:val="left"/>
      <w:pPr>
        <w:ind w:left="1125" w:hanging="720"/>
      </w:pPr>
      <w:rPr>
        <w:rFonts w:hint="default"/>
      </w:rPr>
    </w:lvl>
    <w:lvl w:ilvl="4">
      <w:start w:val="1"/>
      <w:numFmt w:val="decimal"/>
      <w:isLgl/>
      <w:lvlText w:val="%1.%2.%3.%4.%5"/>
      <w:lvlJc w:val="left"/>
      <w:pPr>
        <w:ind w:left="1125" w:hanging="720"/>
      </w:pPr>
      <w:rPr>
        <w:rFonts w:hint="default"/>
      </w:rPr>
    </w:lvl>
    <w:lvl w:ilvl="5">
      <w:start w:val="1"/>
      <w:numFmt w:val="decimal"/>
      <w:isLgl/>
      <w:lvlText w:val="%1.%2.%3.%4.%5.%6"/>
      <w:lvlJc w:val="left"/>
      <w:pPr>
        <w:ind w:left="1485" w:hanging="1080"/>
      </w:pPr>
      <w:rPr>
        <w:rFonts w:hint="default"/>
      </w:rPr>
    </w:lvl>
    <w:lvl w:ilvl="6">
      <w:start w:val="1"/>
      <w:numFmt w:val="decimal"/>
      <w:isLgl/>
      <w:lvlText w:val="%1.%2.%3.%4.%5.%6.%7"/>
      <w:lvlJc w:val="left"/>
      <w:pPr>
        <w:ind w:left="1485" w:hanging="1080"/>
      </w:pPr>
      <w:rPr>
        <w:rFonts w:hint="default"/>
      </w:rPr>
    </w:lvl>
    <w:lvl w:ilvl="7">
      <w:start w:val="1"/>
      <w:numFmt w:val="decimal"/>
      <w:isLgl/>
      <w:lvlText w:val="%1.%2.%3.%4.%5.%6.%7.%8"/>
      <w:lvlJc w:val="left"/>
      <w:pPr>
        <w:ind w:left="1845" w:hanging="1440"/>
      </w:pPr>
      <w:rPr>
        <w:rFonts w:hint="default"/>
      </w:rPr>
    </w:lvl>
    <w:lvl w:ilvl="8">
      <w:start w:val="1"/>
      <w:numFmt w:val="decimal"/>
      <w:isLgl/>
      <w:lvlText w:val="%1.%2.%3.%4.%5.%6.%7.%8.%9"/>
      <w:lvlJc w:val="left"/>
      <w:pPr>
        <w:ind w:left="1845" w:hanging="1440"/>
      </w:pPr>
      <w:rPr>
        <w:rFonts w:hint="default"/>
      </w:rPr>
    </w:lvl>
  </w:abstractNum>
  <w:abstractNum w:abstractNumId="89">
    <w:nsid w:val="65B65396"/>
    <w:multiLevelType w:val="hybridMultilevel"/>
    <w:tmpl w:val="83A0061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0">
    <w:nsid w:val="677666E9"/>
    <w:multiLevelType w:val="hybridMultilevel"/>
    <w:tmpl w:val="8ADA69E4"/>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91">
    <w:nsid w:val="686C4288"/>
    <w:multiLevelType w:val="hybridMultilevel"/>
    <w:tmpl w:val="6478AF76"/>
    <w:lvl w:ilvl="0" w:tplc="0416000D">
      <w:start w:val="1"/>
      <w:numFmt w:val="decimal"/>
      <w:lvlText w:val="Objetivo %1."/>
      <w:lvlJc w:val="left"/>
      <w:pPr>
        <w:ind w:left="2204" w:hanging="360"/>
      </w:pPr>
      <w:rPr>
        <w:rFonts w:hint="default"/>
        <w:b/>
      </w:rPr>
    </w:lvl>
    <w:lvl w:ilvl="1" w:tplc="04160003">
      <w:start w:val="1"/>
      <w:numFmt w:val="lowerLetter"/>
      <w:lvlText w:val="%2."/>
      <w:lvlJc w:val="left"/>
      <w:pPr>
        <w:ind w:left="22" w:hanging="360"/>
      </w:pPr>
    </w:lvl>
    <w:lvl w:ilvl="2" w:tplc="04160005">
      <w:start w:val="1"/>
      <w:numFmt w:val="lowerRoman"/>
      <w:lvlText w:val="%3."/>
      <w:lvlJc w:val="right"/>
      <w:pPr>
        <w:ind w:left="742" w:hanging="180"/>
      </w:pPr>
    </w:lvl>
    <w:lvl w:ilvl="3" w:tplc="04160001">
      <w:start w:val="1"/>
      <w:numFmt w:val="decimal"/>
      <w:lvlText w:val="%4."/>
      <w:lvlJc w:val="left"/>
      <w:pPr>
        <w:ind w:left="1462" w:hanging="360"/>
      </w:pPr>
    </w:lvl>
    <w:lvl w:ilvl="4" w:tplc="04160003" w:tentative="1">
      <w:start w:val="1"/>
      <w:numFmt w:val="lowerLetter"/>
      <w:lvlText w:val="%5."/>
      <w:lvlJc w:val="left"/>
      <w:pPr>
        <w:ind w:left="2182" w:hanging="360"/>
      </w:pPr>
    </w:lvl>
    <w:lvl w:ilvl="5" w:tplc="04160005" w:tentative="1">
      <w:start w:val="1"/>
      <w:numFmt w:val="lowerRoman"/>
      <w:lvlText w:val="%6."/>
      <w:lvlJc w:val="right"/>
      <w:pPr>
        <w:ind w:left="2902" w:hanging="180"/>
      </w:pPr>
    </w:lvl>
    <w:lvl w:ilvl="6" w:tplc="04160001" w:tentative="1">
      <w:start w:val="1"/>
      <w:numFmt w:val="decimal"/>
      <w:lvlText w:val="%7."/>
      <w:lvlJc w:val="left"/>
      <w:pPr>
        <w:ind w:left="3622" w:hanging="360"/>
      </w:pPr>
    </w:lvl>
    <w:lvl w:ilvl="7" w:tplc="04160003" w:tentative="1">
      <w:start w:val="1"/>
      <w:numFmt w:val="lowerLetter"/>
      <w:lvlText w:val="%8."/>
      <w:lvlJc w:val="left"/>
      <w:pPr>
        <w:ind w:left="4342" w:hanging="360"/>
      </w:pPr>
    </w:lvl>
    <w:lvl w:ilvl="8" w:tplc="04160005" w:tentative="1">
      <w:start w:val="1"/>
      <w:numFmt w:val="lowerRoman"/>
      <w:lvlText w:val="%9."/>
      <w:lvlJc w:val="right"/>
      <w:pPr>
        <w:ind w:left="5062" w:hanging="180"/>
      </w:pPr>
    </w:lvl>
  </w:abstractNum>
  <w:abstractNum w:abstractNumId="92">
    <w:nsid w:val="6976182B"/>
    <w:multiLevelType w:val="hybridMultilevel"/>
    <w:tmpl w:val="1CC4DFB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93">
    <w:nsid w:val="6C2F0D89"/>
    <w:multiLevelType w:val="hybridMultilevel"/>
    <w:tmpl w:val="58205FD8"/>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94">
    <w:nsid w:val="6CA845EB"/>
    <w:multiLevelType w:val="hybridMultilevel"/>
    <w:tmpl w:val="6D5E4C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5">
    <w:nsid w:val="6CC35258"/>
    <w:multiLevelType w:val="hybridMultilevel"/>
    <w:tmpl w:val="64E880C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6">
    <w:nsid w:val="6CD876F8"/>
    <w:multiLevelType w:val="hybridMultilevel"/>
    <w:tmpl w:val="CC1E47FC"/>
    <w:lvl w:ilvl="0" w:tplc="D1DEED0A">
      <w:start w:val="1"/>
      <w:numFmt w:val="bullet"/>
      <w:lvlText w:val="-"/>
      <w:lvlJc w:val="left"/>
      <w:pPr>
        <w:ind w:left="1211" w:hanging="360"/>
      </w:pPr>
      <w:rPr>
        <w:rFonts w:ascii="Agency FB" w:hAnsi="Agency FB"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97">
    <w:nsid w:val="6DE540FB"/>
    <w:multiLevelType w:val="hybridMultilevel"/>
    <w:tmpl w:val="54F82D88"/>
    <w:lvl w:ilvl="0" w:tplc="FFFFFFFF">
      <w:numFmt w:val="bullet"/>
      <w:lvlText w:val="-"/>
      <w:lvlJc w:val="left"/>
      <w:pPr>
        <w:ind w:left="2988" w:hanging="360"/>
      </w:pPr>
      <w:rPr>
        <w:rFonts w:ascii="Times New Roman" w:eastAsia="Times New Roman" w:hAnsi="Times New Roman" w:cs="Times New Roman" w:hint="default"/>
      </w:rPr>
    </w:lvl>
    <w:lvl w:ilvl="1" w:tplc="04160003" w:tentative="1">
      <w:start w:val="1"/>
      <w:numFmt w:val="bullet"/>
      <w:lvlText w:val="o"/>
      <w:lvlJc w:val="left"/>
      <w:pPr>
        <w:ind w:left="3708" w:hanging="360"/>
      </w:pPr>
      <w:rPr>
        <w:rFonts w:ascii="Courier New" w:hAnsi="Courier New" w:cs="Courier New" w:hint="default"/>
      </w:rPr>
    </w:lvl>
    <w:lvl w:ilvl="2" w:tplc="04160005" w:tentative="1">
      <w:start w:val="1"/>
      <w:numFmt w:val="bullet"/>
      <w:lvlText w:val=""/>
      <w:lvlJc w:val="left"/>
      <w:pPr>
        <w:ind w:left="4428" w:hanging="360"/>
      </w:pPr>
      <w:rPr>
        <w:rFonts w:ascii="Wingdings" w:hAnsi="Wingdings" w:hint="default"/>
      </w:rPr>
    </w:lvl>
    <w:lvl w:ilvl="3" w:tplc="04160001" w:tentative="1">
      <w:start w:val="1"/>
      <w:numFmt w:val="bullet"/>
      <w:lvlText w:val=""/>
      <w:lvlJc w:val="left"/>
      <w:pPr>
        <w:ind w:left="5148" w:hanging="360"/>
      </w:pPr>
      <w:rPr>
        <w:rFonts w:ascii="Symbol" w:hAnsi="Symbol" w:hint="default"/>
      </w:rPr>
    </w:lvl>
    <w:lvl w:ilvl="4" w:tplc="04160003" w:tentative="1">
      <w:start w:val="1"/>
      <w:numFmt w:val="bullet"/>
      <w:lvlText w:val="o"/>
      <w:lvlJc w:val="left"/>
      <w:pPr>
        <w:ind w:left="5868" w:hanging="360"/>
      </w:pPr>
      <w:rPr>
        <w:rFonts w:ascii="Courier New" w:hAnsi="Courier New" w:cs="Courier New" w:hint="default"/>
      </w:rPr>
    </w:lvl>
    <w:lvl w:ilvl="5" w:tplc="04160005" w:tentative="1">
      <w:start w:val="1"/>
      <w:numFmt w:val="bullet"/>
      <w:lvlText w:val=""/>
      <w:lvlJc w:val="left"/>
      <w:pPr>
        <w:ind w:left="6588" w:hanging="360"/>
      </w:pPr>
      <w:rPr>
        <w:rFonts w:ascii="Wingdings" w:hAnsi="Wingdings" w:hint="default"/>
      </w:rPr>
    </w:lvl>
    <w:lvl w:ilvl="6" w:tplc="04160001" w:tentative="1">
      <w:start w:val="1"/>
      <w:numFmt w:val="bullet"/>
      <w:lvlText w:val=""/>
      <w:lvlJc w:val="left"/>
      <w:pPr>
        <w:ind w:left="7308" w:hanging="360"/>
      </w:pPr>
      <w:rPr>
        <w:rFonts w:ascii="Symbol" w:hAnsi="Symbol" w:hint="default"/>
      </w:rPr>
    </w:lvl>
    <w:lvl w:ilvl="7" w:tplc="04160003" w:tentative="1">
      <w:start w:val="1"/>
      <w:numFmt w:val="bullet"/>
      <w:lvlText w:val="o"/>
      <w:lvlJc w:val="left"/>
      <w:pPr>
        <w:ind w:left="8028" w:hanging="360"/>
      </w:pPr>
      <w:rPr>
        <w:rFonts w:ascii="Courier New" w:hAnsi="Courier New" w:cs="Courier New" w:hint="default"/>
      </w:rPr>
    </w:lvl>
    <w:lvl w:ilvl="8" w:tplc="04160005" w:tentative="1">
      <w:start w:val="1"/>
      <w:numFmt w:val="bullet"/>
      <w:lvlText w:val=""/>
      <w:lvlJc w:val="left"/>
      <w:pPr>
        <w:ind w:left="8748" w:hanging="360"/>
      </w:pPr>
      <w:rPr>
        <w:rFonts w:ascii="Wingdings" w:hAnsi="Wingdings" w:hint="default"/>
      </w:rPr>
    </w:lvl>
  </w:abstractNum>
  <w:abstractNum w:abstractNumId="98">
    <w:nsid w:val="6ED35C6A"/>
    <w:multiLevelType w:val="hybridMultilevel"/>
    <w:tmpl w:val="2BCC9738"/>
    <w:lvl w:ilvl="0" w:tplc="04160001">
      <w:start w:val="1"/>
      <w:numFmt w:val="bullet"/>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99">
    <w:nsid w:val="6F5616DD"/>
    <w:multiLevelType w:val="hybridMultilevel"/>
    <w:tmpl w:val="A0429B96"/>
    <w:lvl w:ilvl="0" w:tplc="26DAC294">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00">
    <w:nsid w:val="70D26EDD"/>
    <w:multiLevelType w:val="hybridMultilevel"/>
    <w:tmpl w:val="A8CE88C4"/>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01">
    <w:nsid w:val="72F27992"/>
    <w:multiLevelType w:val="hybridMultilevel"/>
    <w:tmpl w:val="6B669520"/>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02">
    <w:nsid w:val="73055C1B"/>
    <w:multiLevelType w:val="hybridMultilevel"/>
    <w:tmpl w:val="48122CF6"/>
    <w:lvl w:ilvl="0" w:tplc="0416000F">
      <w:start w:val="1"/>
      <w:numFmt w:val="decimal"/>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03">
    <w:nsid w:val="73F84F46"/>
    <w:multiLevelType w:val="hybridMultilevel"/>
    <w:tmpl w:val="9CA60F58"/>
    <w:lvl w:ilvl="0" w:tplc="0416000D">
      <w:start w:val="1"/>
      <w:numFmt w:val="decimal"/>
      <w:lvlText w:val="Objetivo %1."/>
      <w:lvlJc w:val="left"/>
      <w:pPr>
        <w:ind w:left="2204" w:hanging="360"/>
      </w:pPr>
      <w:rPr>
        <w:rFonts w:hint="default"/>
        <w:b/>
      </w:rPr>
    </w:lvl>
    <w:lvl w:ilvl="1" w:tplc="04160003">
      <w:start w:val="1"/>
      <w:numFmt w:val="lowerLetter"/>
      <w:lvlText w:val="%2."/>
      <w:lvlJc w:val="left"/>
      <w:pPr>
        <w:ind w:left="22" w:hanging="360"/>
      </w:pPr>
    </w:lvl>
    <w:lvl w:ilvl="2" w:tplc="04160005">
      <w:start w:val="1"/>
      <w:numFmt w:val="lowerRoman"/>
      <w:lvlText w:val="%3."/>
      <w:lvlJc w:val="right"/>
      <w:pPr>
        <w:ind w:left="742" w:hanging="180"/>
      </w:pPr>
    </w:lvl>
    <w:lvl w:ilvl="3" w:tplc="04160001">
      <w:start w:val="1"/>
      <w:numFmt w:val="decimal"/>
      <w:lvlText w:val="%4."/>
      <w:lvlJc w:val="left"/>
      <w:pPr>
        <w:ind w:left="1462" w:hanging="360"/>
      </w:pPr>
    </w:lvl>
    <w:lvl w:ilvl="4" w:tplc="04160003" w:tentative="1">
      <w:start w:val="1"/>
      <w:numFmt w:val="lowerLetter"/>
      <w:lvlText w:val="%5."/>
      <w:lvlJc w:val="left"/>
      <w:pPr>
        <w:ind w:left="2182" w:hanging="360"/>
      </w:pPr>
    </w:lvl>
    <w:lvl w:ilvl="5" w:tplc="04160005" w:tentative="1">
      <w:start w:val="1"/>
      <w:numFmt w:val="lowerRoman"/>
      <w:lvlText w:val="%6."/>
      <w:lvlJc w:val="right"/>
      <w:pPr>
        <w:ind w:left="2902" w:hanging="180"/>
      </w:pPr>
    </w:lvl>
    <w:lvl w:ilvl="6" w:tplc="04160001" w:tentative="1">
      <w:start w:val="1"/>
      <w:numFmt w:val="decimal"/>
      <w:lvlText w:val="%7."/>
      <w:lvlJc w:val="left"/>
      <w:pPr>
        <w:ind w:left="3622" w:hanging="360"/>
      </w:pPr>
    </w:lvl>
    <w:lvl w:ilvl="7" w:tplc="04160003" w:tentative="1">
      <w:start w:val="1"/>
      <w:numFmt w:val="lowerLetter"/>
      <w:lvlText w:val="%8."/>
      <w:lvlJc w:val="left"/>
      <w:pPr>
        <w:ind w:left="4342" w:hanging="360"/>
      </w:pPr>
    </w:lvl>
    <w:lvl w:ilvl="8" w:tplc="04160005" w:tentative="1">
      <w:start w:val="1"/>
      <w:numFmt w:val="lowerRoman"/>
      <w:lvlText w:val="%9."/>
      <w:lvlJc w:val="right"/>
      <w:pPr>
        <w:ind w:left="5062" w:hanging="180"/>
      </w:pPr>
    </w:lvl>
  </w:abstractNum>
  <w:abstractNum w:abstractNumId="104">
    <w:nsid w:val="73FD0D01"/>
    <w:multiLevelType w:val="hybridMultilevel"/>
    <w:tmpl w:val="46FA51F0"/>
    <w:lvl w:ilvl="0" w:tplc="0416001B">
      <w:start w:val="1"/>
      <w:numFmt w:val="lowerRoman"/>
      <w:lvlText w:val="%1."/>
      <w:lvlJc w:val="right"/>
      <w:pPr>
        <w:ind w:left="1428" w:hanging="360"/>
      </w:pPr>
    </w:lvl>
    <w:lvl w:ilvl="1" w:tplc="04160019">
      <w:start w:val="1"/>
      <w:numFmt w:val="lowerLetter"/>
      <w:lvlText w:val="%2."/>
      <w:lvlJc w:val="left"/>
      <w:pPr>
        <w:ind w:left="2148" w:hanging="360"/>
      </w:pPr>
    </w:lvl>
    <w:lvl w:ilvl="2" w:tplc="0416001B">
      <w:start w:val="1"/>
      <w:numFmt w:val="lowerRoman"/>
      <w:lvlText w:val="%3."/>
      <w:lvlJc w:val="right"/>
      <w:pPr>
        <w:ind w:left="2868" w:hanging="180"/>
      </w:pPr>
    </w:lvl>
    <w:lvl w:ilvl="3" w:tplc="0416000F">
      <w:start w:val="1"/>
      <w:numFmt w:val="decimal"/>
      <w:lvlText w:val="%4."/>
      <w:lvlJc w:val="left"/>
      <w:pPr>
        <w:ind w:left="3588" w:hanging="360"/>
      </w:pPr>
    </w:lvl>
    <w:lvl w:ilvl="4" w:tplc="04160019">
      <w:start w:val="1"/>
      <w:numFmt w:val="lowerLetter"/>
      <w:lvlText w:val="%5."/>
      <w:lvlJc w:val="left"/>
      <w:pPr>
        <w:ind w:left="4308" w:hanging="360"/>
      </w:pPr>
    </w:lvl>
    <w:lvl w:ilvl="5" w:tplc="0416001B">
      <w:start w:val="1"/>
      <w:numFmt w:val="lowerRoman"/>
      <w:lvlText w:val="%6."/>
      <w:lvlJc w:val="right"/>
      <w:pPr>
        <w:ind w:left="5028" w:hanging="180"/>
      </w:pPr>
    </w:lvl>
    <w:lvl w:ilvl="6" w:tplc="0416000F">
      <w:start w:val="1"/>
      <w:numFmt w:val="decimal"/>
      <w:lvlText w:val="%7."/>
      <w:lvlJc w:val="left"/>
      <w:pPr>
        <w:ind w:left="5748" w:hanging="360"/>
      </w:pPr>
    </w:lvl>
    <w:lvl w:ilvl="7" w:tplc="04160019">
      <w:start w:val="1"/>
      <w:numFmt w:val="lowerLetter"/>
      <w:lvlText w:val="%8."/>
      <w:lvlJc w:val="left"/>
      <w:pPr>
        <w:ind w:left="6468" w:hanging="360"/>
      </w:pPr>
    </w:lvl>
    <w:lvl w:ilvl="8" w:tplc="0416001B">
      <w:start w:val="1"/>
      <w:numFmt w:val="lowerRoman"/>
      <w:lvlText w:val="%9."/>
      <w:lvlJc w:val="right"/>
      <w:pPr>
        <w:ind w:left="7188" w:hanging="180"/>
      </w:pPr>
    </w:lvl>
  </w:abstractNum>
  <w:abstractNum w:abstractNumId="105">
    <w:nsid w:val="776354FB"/>
    <w:multiLevelType w:val="hybridMultilevel"/>
    <w:tmpl w:val="BE4CF84A"/>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06">
    <w:nsid w:val="7AB36D11"/>
    <w:multiLevelType w:val="hybridMultilevel"/>
    <w:tmpl w:val="9CACEC98"/>
    <w:lvl w:ilvl="0" w:tplc="04160003">
      <w:start w:val="1"/>
      <w:numFmt w:val="bullet"/>
      <w:lvlText w:val="o"/>
      <w:lvlJc w:val="left"/>
      <w:pPr>
        <w:ind w:left="720" w:hanging="360"/>
      </w:pPr>
      <w:rPr>
        <w:rFonts w:ascii="Courier New" w:hAnsi="Courier New" w:cs="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7">
    <w:nsid w:val="7C9C48A3"/>
    <w:multiLevelType w:val="hybridMultilevel"/>
    <w:tmpl w:val="925C496C"/>
    <w:lvl w:ilvl="0" w:tplc="0416000D">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08">
    <w:nsid w:val="7F8900EE"/>
    <w:multiLevelType w:val="hybridMultilevel"/>
    <w:tmpl w:val="8DE40FE0"/>
    <w:lvl w:ilvl="0" w:tplc="F6A48C58">
      <w:start w:val="1"/>
      <w:numFmt w:val="bullet"/>
      <w:lvlText w:val="‐"/>
      <w:lvlJc w:val="left"/>
      <w:pPr>
        <w:ind w:left="1428" w:hanging="360"/>
      </w:pPr>
      <w:rPr>
        <w:rFonts w:ascii="Calibri" w:hAnsi="Calibri"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num w:numId="1">
    <w:abstractNumId w:val="70"/>
  </w:num>
  <w:num w:numId="2">
    <w:abstractNumId w:val="82"/>
  </w:num>
  <w:num w:numId="3">
    <w:abstractNumId w:val="35"/>
  </w:num>
  <w:num w:numId="4">
    <w:abstractNumId w:val="74"/>
  </w:num>
  <w:num w:numId="5">
    <w:abstractNumId w:val="63"/>
  </w:num>
  <w:num w:numId="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7"/>
  </w:num>
  <w:num w:numId="8">
    <w:abstractNumId w:val="69"/>
  </w:num>
  <w:num w:numId="9">
    <w:abstractNumId w:val="86"/>
  </w:num>
  <w:num w:numId="10">
    <w:abstractNumId w:val="2"/>
  </w:num>
  <w:num w:numId="11">
    <w:abstractNumId w:val="49"/>
  </w:num>
  <w:num w:numId="12">
    <w:abstractNumId w:val="37"/>
  </w:num>
  <w:num w:numId="13">
    <w:abstractNumId w:val="12"/>
  </w:num>
  <w:num w:numId="14">
    <w:abstractNumId w:val="90"/>
  </w:num>
  <w:num w:numId="15">
    <w:abstractNumId w:val="23"/>
  </w:num>
  <w:num w:numId="16">
    <w:abstractNumId w:val="55"/>
  </w:num>
  <w:num w:numId="17">
    <w:abstractNumId w:val="13"/>
  </w:num>
  <w:num w:numId="18">
    <w:abstractNumId w:val="75"/>
  </w:num>
  <w:num w:numId="19">
    <w:abstractNumId w:val="41"/>
  </w:num>
  <w:num w:numId="20">
    <w:abstractNumId w:val="101"/>
  </w:num>
  <w:num w:numId="21">
    <w:abstractNumId w:val="17"/>
  </w:num>
  <w:num w:numId="22">
    <w:abstractNumId w:val="79"/>
  </w:num>
  <w:num w:numId="23">
    <w:abstractNumId w:val="87"/>
  </w:num>
  <w:num w:numId="24">
    <w:abstractNumId w:val="80"/>
  </w:num>
  <w:num w:numId="25">
    <w:abstractNumId w:val="60"/>
  </w:num>
  <w:num w:numId="26">
    <w:abstractNumId w:val="76"/>
  </w:num>
  <w:num w:numId="27">
    <w:abstractNumId w:val="72"/>
  </w:num>
  <w:num w:numId="28">
    <w:abstractNumId w:val="20"/>
  </w:num>
  <w:num w:numId="29">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6"/>
  </w:num>
  <w:num w:numId="31">
    <w:abstractNumId w:val="94"/>
  </w:num>
  <w:num w:numId="32">
    <w:abstractNumId w:val="89"/>
  </w:num>
  <w:num w:numId="33">
    <w:abstractNumId w:val="32"/>
  </w:num>
  <w:num w:numId="34">
    <w:abstractNumId w:val="62"/>
  </w:num>
  <w:num w:numId="35">
    <w:abstractNumId w:val="36"/>
  </w:num>
  <w:num w:numId="36">
    <w:abstractNumId w:val="51"/>
  </w:num>
  <w:num w:numId="37">
    <w:abstractNumId w:val="15"/>
  </w:num>
  <w:num w:numId="38">
    <w:abstractNumId w:val="26"/>
  </w:num>
  <w:num w:numId="39">
    <w:abstractNumId w:val="88"/>
  </w:num>
  <w:num w:numId="40">
    <w:abstractNumId w:val="84"/>
  </w:num>
  <w:num w:numId="41">
    <w:abstractNumId w:val="95"/>
  </w:num>
  <w:num w:numId="42">
    <w:abstractNumId w:val="77"/>
  </w:num>
  <w:num w:numId="43">
    <w:abstractNumId w:val="39"/>
  </w:num>
  <w:num w:numId="44">
    <w:abstractNumId w:val="40"/>
  </w:num>
  <w:num w:numId="45">
    <w:abstractNumId w:val="3"/>
  </w:num>
  <w:num w:numId="46">
    <w:abstractNumId w:val="100"/>
  </w:num>
  <w:num w:numId="47">
    <w:abstractNumId w:val="71"/>
  </w:num>
  <w:num w:numId="48">
    <w:abstractNumId w:val="10"/>
  </w:num>
  <w:num w:numId="49">
    <w:abstractNumId w:val="82"/>
    <w:lvlOverride w:ilvl="0">
      <w:startOverride w:val="1"/>
    </w:lvlOverride>
  </w:num>
  <w:num w:numId="50">
    <w:abstractNumId w:val="102"/>
  </w:num>
  <w:num w:numId="51">
    <w:abstractNumId w:val="43"/>
  </w:num>
  <w:num w:numId="52">
    <w:abstractNumId w:val="54"/>
  </w:num>
  <w:num w:numId="53">
    <w:abstractNumId w:val="24"/>
  </w:num>
  <w:num w:numId="54">
    <w:abstractNumId w:val="46"/>
  </w:num>
  <w:num w:numId="55">
    <w:abstractNumId w:val="105"/>
  </w:num>
  <w:num w:numId="56">
    <w:abstractNumId w:val="85"/>
  </w:num>
  <w:num w:numId="57">
    <w:abstractNumId w:val="0"/>
  </w:num>
  <w:num w:numId="58">
    <w:abstractNumId w:val="97"/>
  </w:num>
  <w:num w:numId="59">
    <w:abstractNumId w:val="93"/>
  </w:num>
  <w:num w:numId="60">
    <w:abstractNumId w:val="38"/>
  </w:num>
  <w:num w:numId="61">
    <w:abstractNumId w:val="47"/>
  </w:num>
  <w:num w:numId="62">
    <w:abstractNumId w:val="107"/>
  </w:num>
  <w:num w:numId="63">
    <w:abstractNumId w:val="31"/>
  </w:num>
  <w:num w:numId="64">
    <w:abstractNumId w:val="65"/>
  </w:num>
  <w:num w:numId="65">
    <w:abstractNumId w:val="64"/>
  </w:num>
  <w:num w:numId="66">
    <w:abstractNumId w:val="34"/>
  </w:num>
  <w:num w:numId="67">
    <w:abstractNumId w:val="106"/>
  </w:num>
  <w:num w:numId="68">
    <w:abstractNumId w:val="96"/>
  </w:num>
  <w:num w:numId="69">
    <w:abstractNumId w:val="16"/>
  </w:num>
  <w:num w:numId="70">
    <w:abstractNumId w:val="44"/>
  </w:num>
  <w:num w:numId="71">
    <w:abstractNumId w:val="28"/>
  </w:num>
  <w:num w:numId="72">
    <w:abstractNumId w:val="73"/>
  </w:num>
  <w:num w:numId="73">
    <w:abstractNumId w:val="61"/>
  </w:num>
  <w:num w:numId="74">
    <w:abstractNumId w:val="68"/>
  </w:num>
  <w:num w:numId="75">
    <w:abstractNumId w:val="5"/>
  </w:num>
  <w:num w:numId="76">
    <w:abstractNumId w:val="29"/>
  </w:num>
  <w:num w:numId="77">
    <w:abstractNumId w:val="19"/>
  </w:num>
  <w:num w:numId="78">
    <w:abstractNumId w:val="14"/>
  </w:num>
  <w:num w:numId="79">
    <w:abstractNumId w:val="57"/>
  </w:num>
  <w:num w:numId="80">
    <w:abstractNumId w:val="8"/>
  </w:num>
  <w:num w:numId="81">
    <w:abstractNumId w:val="52"/>
  </w:num>
  <w:num w:numId="82">
    <w:abstractNumId w:val="92"/>
  </w:num>
  <w:num w:numId="83">
    <w:abstractNumId w:val="25"/>
  </w:num>
  <w:num w:numId="84">
    <w:abstractNumId w:val="78"/>
  </w:num>
  <w:num w:numId="85">
    <w:abstractNumId w:val="53"/>
  </w:num>
  <w:num w:numId="86">
    <w:abstractNumId w:val="4"/>
  </w:num>
  <w:num w:numId="87">
    <w:abstractNumId w:val="48"/>
  </w:num>
  <w:num w:numId="88">
    <w:abstractNumId w:val="58"/>
  </w:num>
  <w:num w:numId="89">
    <w:abstractNumId w:val="22"/>
  </w:num>
  <w:num w:numId="90">
    <w:abstractNumId w:val="30"/>
  </w:num>
  <w:num w:numId="91">
    <w:abstractNumId w:val="18"/>
  </w:num>
  <w:num w:numId="92">
    <w:abstractNumId w:val="98"/>
  </w:num>
  <w:num w:numId="93">
    <w:abstractNumId w:val="50"/>
  </w:num>
  <w:num w:numId="94">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
  </w:num>
  <w:num w:numId="96">
    <w:abstractNumId w:val="103"/>
  </w:num>
  <w:num w:numId="97">
    <w:abstractNumId w:val="21"/>
  </w:num>
  <w:num w:numId="98">
    <w:abstractNumId w:val="11"/>
  </w:num>
  <w:num w:numId="99">
    <w:abstractNumId w:val="56"/>
  </w:num>
  <w:num w:numId="100">
    <w:abstractNumId w:val="6"/>
  </w:num>
  <w:num w:numId="101">
    <w:abstractNumId w:val="67"/>
  </w:num>
  <w:num w:numId="102">
    <w:abstractNumId w:val="81"/>
  </w:num>
  <w:num w:numId="103">
    <w:abstractNumId w:val="7"/>
  </w:num>
  <w:num w:numId="104">
    <w:abstractNumId w:val="91"/>
  </w:num>
  <w:num w:numId="105">
    <w:abstractNumId w:val="83"/>
  </w:num>
  <w:num w:numId="106">
    <w:abstractNumId w:val="108"/>
  </w:num>
  <w:num w:numId="107">
    <w:abstractNumId w:val="9"/>
  </w:num>
  <w:num w:numId="108">
    <w:abstractNumId w:val="59"/>
  </w:num>
  <w:num w:numId="109">
    <w:abstractNumId w:val="99"/>
  </w:num>
  <w:num w:numId="110">
    <w:abstractNumId w:val="42"/>
  </w:num>
  <w:num w:numId="111">
    <w:abstractNumId w:val="82"/>
    <w:lvlOverride w:ilvl="0">
      <w:startOverride w:val="1"/>
    </w:lvlOverride>
  </w:num>
  <w:num w:numId="112">
    <w:abstractNumId w:val="45"/>
  </w:num>
  <w:num w:numId="113">
    <w:abstractNumId w:val="70"/>
  </w:num>
  <w:num w:numId="114">
    <w:abstractNumId w:val="70"/>
  </w:num>
  <w:num w:numId="115">
    <w:abstractNumId w:val="82"/>
    <w:lvlOverride w:ilvl="0">
      <w:startOverride w:val="1"/>
    </w:lvlOverride>
  </w:num>
  <w:num w:numId="116">
    <w:abstractNumId w:val="82"/>
    <w:lvlOverride w:ilvl="0">
      <w:startOverride w:val="1"/>
    </w:lvlOverride>
  </w:num>
  <w:num w:numId="117">
    <w:abstractNumId w:val="70"/>
  </w:num>
  <w:numIdMacAtCleanup w:val="1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hideGrammaticalErrors/>
  <w:defaultTabStop w:val="708"/>
  <w:hyphenationZone w:val="425"/>
  <w:drawingGridHorizontalSpacing w:val="120"/>
  <w:displayHorizontalDrawingGridEvery w:val="2"/>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194B"/>
    <w:rsid w:val="00001C8F"/>
    <w:rsid w:val="000022A9"/>
    <w:rsid w:val="00002CBE"/>
    <w:rsid w:val="00007FF8"/>
    <w:rsid w:val="00010125"/>
    <w:rsid w:val="000101AA"/>
    <w:rsid w:val="0001158E"/>
    <w:rsid w:val="0001192A"/>
    <w:rsid w:val="00011C2F"/>
    <w:rsid w:val="00011DD0"/>
    <w:rsid w:val="00011E34"/>
    <w:rsid w:val="00012021"/>
    <w:rsid w:val="00012940"/>
    <w:rsid w:val="000137D7"/>
    <w:rsid w:val="00013B5C"/>
    <w:rsid w:val="000156BF"/>
    <w:rsid w:val="00015A04"/>
    <w:rsid w:val="00020078"/>
    <w:rsid w:val="00022356"/>
    <w:rsid w:val="0002345C"/>
    <w:rsid w:val="0002354C"/>
    <w:rsid w:val="000235C0"/>
    <w:rsid w:val="00023E74"/>
    <w:rsid w:val="000243C2"/>
    <w:rsid w:val="00024453"/>
    <w:rsid w:val="00027092"/>
    <w:rsid w:val="00030456"/>
    <w:rsid w:val="00030862"/>
    <w:rsid w:val="00030CD0"/>
    <w:rsid w:val="00031523"/>
    <w:rsid w:val="000336E1"/>
    <w:rsid w:val="00033DFF"/>
    <w:rsid w:val="000341EF"/>
    <w:rsid w:val="00034517"/>
    <w:rsid w:val="00036A13"/>
    <w:rsid w:val="00036CB4"/>
    <w:rsid w:val="00037045"/>
    <w:rsid w:val="00037582"/>
    <w:rsid w:val="00040297"/>
    <w:rsid w:val="00040A36"/>
    <w:rsid w:val="000418CF"/>
    <w:rsid w:val="00044A69"/>
    <w:rsid w:val="00045811"/>
    <w:rsid w:val="00046608"/>
    <w:rsid w:val="00046818"/>
    <w:rsid w:val="00046A1E"/>
    <w:rsid w:val="00046B39"/>
    <w:rsid w:val="00046F82"/>
    <w:rsid w:val="0004762D"/>
    <w:rsid w:val="00051B31"/>
    <w:rsid w:val="00052145"/>
    <w:rsid w:val="000533E9"/>
    <w:rsid w:val="00053959"/>
    <w:rsid w:val="00053B73"/>
    <w:rsid w:val="00053FEC"/>
    <w:rsid w:val="00054244"/>
    <w:rsid w:val="00054902"/>
    <w:rsid w:val="000549E9"/>
    <w:rsid w:val="00054E18"/>
    <w:rsid w:val="000555F1"/>
    <w:rsid w:val="00057375"/>
    <w:rsid w:val="00057D58"/>
    <w:rsid w:val="000622FF"/>
    <w:rsid w:val="00062E75"/>
    <w:rsid w:val="00063FDE"/>
    <w:rsid w:val="000643F2"/>
    <w:rsid w:val="000708C1"/>
    <w:rsid w:val="000710CA"/>
    <w:rsid w:val="00071AFD"/>
    <w:rsid w:val="000727D5"/>
    <w:rsid w:val="0007281C"/>
    <w:rsid w:val="00072D44"/>
    <w:rsid w:val="00072EB1"/>
    <w:rsid w:val="00073F4A"/>
    <w:rsid w:val="00074C4A"/>
    <w:rsid w:val="000758DE"/>
    <w:rsid w:val="00075A5F"/>
    <w:rsid w:val="000760FC"/>
    <w:rsid w:val="000760FE"/>
    <w:rsid w:val="000763A1"/>
    <w:rsid w:val="00076413"/>
    <w:rsid w:val="00076879"/>
    <w:rsid w:val="0007704D"/>
    <w:rsid w:val="000770ED"/>
    <w:rsid w:val="00077E69"/>
    <w:rsid w:val="00080535"/>
    <w:rsid w:val="000811DA"/>
    <w:rsid w:val="00081F01"/>
    <w:rsid w:val="0008322E"/>
    <w:rsid w:val="000841A5"/>
    <w:rsid w:val="000846CC"/>
    <w:rsid w:val="0008661E"/>
    <w:rsid w:val="00087381"/>
    <w:rsid w:val="00090B98"/>
    <w:rsid w:val="00091DB5"/>
    <w:rsid w:val="00092AB4"/>
    <w:rsid w:val="00092ACE"/>
    <w:rsid w:val="00093AD3"/>
    <w:rsid w:val="00094ACC"/>
    <w:rsid w:val="00094FFF"/>
    <w:rsid w:val="00095A96"/>
    <w:rsid w:val="00095E06"/>
    <w:rsid w:val="00097DE2"/>
    <w:rsid w:val="000A0514"/>
    <w:rsid w:val="000A14A2"/>
    <w:rsid w:val="000A1C78"/>
    <w:rsid w:val="000A2B6D"/>
    <w:rsid w:val="000A3EFB"/>
    <w:rsid w:val="000A49D0"/>
    <w:rsid w:val="000A56AA"/>
    <w:rsid w:val="000A58D4"/>
    <w:rsid w:val="000A76DC"/>
    <w:rsid w:val="000B1994"/>
    <w:rsid w:val="000B35C6"/>
    <w:rsid w:val="000B571F"/>
    <w:rsid w:val="000B5C4A"/>
    <w:rsid w:val="000B6966"/>
    <w:rsid w:val="000B79E4"/>
    <w:rsid w:val="000C0280"/>
    <w:rsid w:val="000C04A5"/>
    <w:rsid w:val="000C105F"/>
    <w:rsid w:val="000C1C29"/>
    <w:rsid w:val="000C1E90"/>
    <w:rsid w:val="000C4710"/>
    <w:rsid w:val="000C5477"/>
    <w:rsid w:val="000C6F7D"/>
    <w:rsid w:val="000C778B"/>
    <w:rsid w:val="000D1DC6"/>
    <w:rsid w:val="000D1F14"/>
    <w:rsid w:val="000D3493"/>
    <w:rsid w:val="000D3FDA"/>
    <w:rsid w:val="000D4BD5"/>
    <w:rsid w:val="000D573B"/>
    <w:rsid w:val="000E0B66"/>
    <w:rsid w:val="000E1FE9"/>
    <w:rsid w:val="000E2525"/>
    <w:rsid w:val="000E431C"/>
    <w:rsid w:val="000E592F"/>
    <w:rsid w:val="000E5F09"/>
    <w:rsid w:val="000E65F9"/>
    <w:rsid w:val="000E7604"/>
    <w:rsid w:val="000F02E9"/>
    <w:rsid w:val="000F3D87"/>
    <w:rsid w:val="000F4345"/>
    <w:rsid w:val="000F6172"/>
    <w:rsid w:val="000F72D6"/>
    <w:rsid w:val="000F7DAD"/>
    <w:rsid w:val="00100B5B"/>
    <w:rsid w:val="00100BB4"/>
    <w:rsid w:val="001016D7"/>
    <w:rsid w:val="00101B58"/>
    <w:rsid w:val="00101D71"/>
    <w:rsid w:val="00102287"/>
    <w:rsid w:val="0010245F"/>
    <w:rsid w:val="00103D42"/>
    <w:rsid w:val="001045E9"/>
    <w:rsid w:val="00105C8C"/>
    <w:rsid w:val="00106A03"/>
    <w:rsid w:val="00107663"/>
    <w:rsid w:val="00110BEE"/>
    <w:rsid w:val="00111207"/>
    <w:rsid w:val="00112B75"/>
    <w:rsid w:val="00112D44"/>
    <w:rsid w:val="00113EDC"/>
    <w:rsid w:val="00115A7B"/>
    <w:rsid w:val="001160C4"/>
    <w:rsid w:val="00117CD6"/>
    <w:rsid w:val="0012110A"/>
    <w:rsid w:val="001228A5"/>
    <w:rsid w:val="001238E8"/>
    <w:rsid w:val="00123B17"/>
    <w:rsid w:val="00124747"/>
    <w:rsid w:val="0012746C"/>
    <w:rsid w:val="001314AF"/>
    <w:rsid w:val="00131ADE"/>
    <w:rsid w:val="00131E6E"/>
    <w:rsid w:val="00131EA7"/>
    <w:rsid w:val="00134D98"/>
    <w:rsid w:val="001357C4"/>
    <w:rsid w:val="00135816"/>
    <w:rsid w:val="00135871"/>
    <w:rsid w:val="00135AAF"/>
    <w:rsid w:val="00136974"/>
    <w:rsid w:val="00137CC5"/>
    <w:rsid w:val="001406F9"/>
    <w:rsid w:val="00140B73"/>
    <w:rsid w:val="001420CB"/>
    <w:rsid w:val="00142FA5"/>
    <w:rsid w:val="00144447"/>
    <w:rsid w:val="00144883"/>
    <w:rsid w:val="00144A9C"/>
    <w:rsid w:val="00144EFA"/>
    <w:rsid w:val="00144F52"/>
    <w:rsid w:val="0014616A"/>
    <w:rsid w:val="00146707"/>
    <w:rsid w:val="00150589"/>
    <w:rsid w:val="001509B2"/>
    <w:rsid w:val="00151620"/>
    <w:rsid w:val="001519F4"/>
    <w:rsid w:val="00153752"/>
    <w:rsid w:val="00153F20"/>
    <w:rsid w:val="001541E2"/>
    <w:rsid w:val="00156730"/>
    <w:rsid w:val="00156B29"/>
    <w:rsid w:val="00157183"/>
    <w:rsid w:val="00157DE6"/>
    <w:rsid w:val="00161690"/>
    <w:rsid w:val="00161C8D"/>
    <w:rsid w:val="00164303"/>
    <w:rsid w:val="00164D1F"/>
    <w:rsid w:val="00165D5E"/>
    <w:rsid w:val="0016655D"/>
    <w:rsid w:val="0017086D"/>
    <w:rsid w:val="001709AE"/>
    <w:rsid w:val="00170C86"/>
    <w:rsid w:val="00171D9D"/>
    <w:rsid w:val="00172C62"/>
    <w:rsid w:val="00173C4D"/>
    <w:rsid w:val="00175C3B"/>
    <w:rsid w:val="00176474"/>
    <w:rsid w:val="001800AD"/>
    <w:rsid w:val="001808EA"/>
    <w:rsid w:val="00180A11"/>
    <w:rsid w:val="00181987"/>
    <w:rsid w:val="0018295B"/>
    <w:rsid w:val="0018319A"/>
    <w:rsid w:val="00183E1E"/>
    <w:rsid w:val="00184B3D"/>
    <w:rsid w:val="0018592B"/>
    <w:rsid w:val="00186845"/>
    <w:rsid w:val="0018722E"/>
    <w:rsid w:val="00187C37"/>
    <w:rsid w:val="0019137B"/>
    <w:rsid w:val="0019177C"/>
    <w:rsid w:val="00192B00"/>
    <w:rsid w:val="0019525C"/>
    <w:rsid w:val="00196F58"/>
    <w:rsid w:val="00197C51"/>
    <w:rsid w:val="001A1321"/>
    <w:rsid w:val="001A2A29"/>
    <w:rsid w:val="001A2A75"/>
    <w:rsid w:val="001A2D49"/>
    <w:rsid w:val="001A4BC0"/>
    <w:rsid w:val="001A4CA1"/>
    <w:rsid w:val="001A6321"/>
    <w:rsid w:val="001A6645"/>
    <w:rsid w:val="001A6C81"/>
    <w:rsid w:val="001A6DD3"/>
    <w:rsid w:val="001A79AF"/>
    <w:rsid w:val="001A7CE8"/>
    <w:rsid w:val="001B0B13"/>
    <w:rsid w:val="001B1981"/>
    <w:rsid w:val="001B212F"/>
    <w:rsid w:val="001B2788"/>
    <w:rsid w:val="001B35EA"/>
    <w:rsid w:val="001B431A"/>
    <w:rsid w:val="001B44AE"/>
    <w:rsid w:val="001B481B"/>
    <w:rsid w:val="001B60C5"/>
    <w:rsid w:val="001B67C3"/>
    <w:rsid w:val="001B7CBD"/>
    <w:rsid w:val="001C0164"/>
    <w:rsid w:val="001C132E"/>
    <w:rsid w:val="001C1521"/>
    <w:rsid w:val="001C1DF9"/>
    <w:rsid w:val="001C1E22"/>
    <w:rsid w:val="001C2AD6"/>
    <w:rsid w:val="001C32C4"/>
    <w:rsid w:val="001C3BF4"/>
    <w:rsid w:val="001C5E9D"/>
    <w:rsid w:val="001C68AF"/>
    <w:rsid w:val="001C6956"/>
    <w:rsid w:val="001D0D3D"/>
    <w:rsid w:val="001D18AA"/>
    <w:rsid w:val="001D22BB"/>
    <w:rsid w:val="001D2F5F"/>
    <w:rsid w:val="001D55E6"/>
    <w:rsid w:val="001D5D2A"/>
    <w:rsid w:val="001D6489"/>
    <w:rsid w:val="001D6C34"/>
    <w:rsid w:val="001D7FBB"/>
    <w:rsid w:val="001E030C"/>
    <w:rsid w:val="001E05D8"/>
    <w:rsid w:val="001E0E0E"/>
    <w:rsid w:val="001E1230"/>
    <w:rsid w:val="001E21A6"/>
    <w:rsid w:val="001E32E2"/>
    <w:rsid w:val="001E3C19"/>
    <w:rsid w:val="001E3CCD"/>
    <w:rsid w:val="001E3D86"/>
    <w:rsid w:val="001E3F56"/>
    <w:rsid w:val="001E4339"/>
    <w:rsid w:val="001E6556"/>
    <w:rsid w:val="001E66D2"/>
    <w:rsid w:val="001F1B4B"/>
    <w:rsid w:val="001F2B96"/>
    <w:rsid w:val="001F2E68"/>
    <w:rsid w:val="001F2EBC"/>
    <w:rsid w:val="001F4C6C"/>
    <w:rsid w:val="001F4F0B"/>
    <w:rsid w:val="001F6DAF"/>
    <w:rsid w:val="001F6F2E"/>
    <w:rsid w:val="00200E19"/>
    <w:rsid w:val="00202D6C"/>
    <w:rsid w:val="00203F88"/>
    <w:rsid w:val="002055C4"/>
    <w:rsid w:val="00207221"/>
    <w:rsid w:val="0021113E"/>
    <w:rsid w:val="0021285A"/>
    <w:rsid w:val="00212A2E"/>
    <w:rsid w:val="00213C74"/>
    <w:rsid w:val="002143BE"/>
    <w:rsid w:val="002152D7"/>
    <w:rsid w:val="00215401"/>
    <w:rsid w:val="00215998"/>
    <w:rsid w:val="00216619"/>
    <w:rsid w:val="00216FCD"/>
    <w:rsid w:val="00220EF6"/>
    <w:rsid w:val="00221161"/>
    <w:rsid w:val="0022394F"/>
    <w:rsid w:val="00223FF1"/>
    <w:rsid w:val="0022440B"/>
    <w:rsid w:val="00224656"/>
    <w:rsid w:val="002257FC"/>
    <w:rsid w:val="00226252"/>
    <w:rsid w:val="002263F2"/>
    <w:rsid w:val="002266CF"/>
    <w:rsid w:val="00226A02"/>
    <w:rsid w:val="00226EE1"/>
    <w:rsid w:val="00227EFF"/>
    <w:rsid w:val="00230355"/>
    <w:rsid w:val="0023148B"/>
    <w:rsid w:val="00232425"/>
    <w:rsid w:val="002341DB"/>
    <w:rsid w:val="002359CA"/>
    <w:rsid w:val="00236E04"/>
    <w:rsid w:val="0024079E"/>
    <w:rsid w:val="002408EE"/>
    <w:rsid w:val="00241E08"/>
    <w:rsid w:val="00242CC0"/>
    <w:rsid w:val="002433A7"/>
    <w:rsid w:val="00244822"/>
    <w:rsid w:val="00244AD0"/>
    <w:rsid w:val="00244CF1"/>
    <w:rsid w:val="00245775"/>
    <w:rsid w:val="002478F9"/>
    <w:rsid w:val="0025027A"/>
    <w:rsid w:val="00250F9A"/>
    <w:rsid w:val="00253400"/>
    <w:rsid w:val="00253429"/>
    <w:rsid w:val="00253926"/>
    <w:rsid w:val="00253C26"/>
    <w:rsid w:val="002551FF"/>
    <w:rsid w:val="002579AF"/>
    <w:rsid w:val="002609B1"/>
    <w:rsid w:val="002617CA"/>
    <w:rsid w:val="00261821"/>
    <w:rsid w:val="00261C41"/>
    <w:rsid w:val="00262424"/>
    <w:rsid w:val="00267EE2"/>
    <w:rsid w:val="00270233"/>
    <w:rsid w:val="00274270"/>
    <w:rsid w:val="00275168"/>
    <w:rsid w:val="00275373"/>
    <w:rsid w:val="002757EF"/>
    <w:rsid w:val="00277521"/>
    <w:rsid w:val="00277609"/>
    <w:rsid w:val="0028066B"/>
    <w:rsid w:val="00281954"/>
    <w:rsid w:val="0028206B"/>
    <w:rsid w:val="00282172"/>
    <w:rsid w:val="00282F2E"/>
    <w:rsid w:val="00283441"/>
    <w:rsid w:val="00283724"/>
    <w:rsid w:val="00283D1F"/>
    <w:rsid w:val="00284C65"/>
    <w:rsid w:val="00285869"/>
    <w:rsid w:val="00285BF6"/>
    <w:rsid w:val="00285C96"/>
    <w:rsid w:val="00285EE8"/>
    <w:rsid w:val="00286DB5"/>
    <w:rsid w:val="00287AC4"/>
    <w:rsid w:val="00287D26"/>
    <w:rsid w:val="00287F44"/>
    <w:rsid w:val="00290EEF"/>
    <w:rsid w:val="002919BF"/>
    <w:rsid w:val="002919D9"/>
    <w:rsid w:val="00291B52"/>
    <w:rsid w:val="00292933"/>
    <w:rsid w:val="00292F4E"/>
    <w:rsid w:val="002936AF"/>
    <w:rsid w:val="002937A7"/>
    <w:rsid w:val="00293E20"/>
    <w:rsid w:val="00294574"/>
    <w:rsid w:val="0029484D"/>
    <w:rsid w:val="00295F26"/>
    <w:rsid w:val="002A1909"/>
    <w:rsid w:val="002A3BCA"/>
    <w:rsid w:val="002A428C"/>
    <w:rsid w:val="002A4F90"/>
    <w:rsid w:val="002A59B9"/>
    <w:rsid w:val="002A6122"/>
    <w:rsid w:val="002A6AEF"/>
    <w:rsid w:val="002A6FEA"/>
    <w:rsid w:val="002A739D"/>
    <w:rsid w:val="002B1DAF"/>
    <w:rsid w:val="002B212C"/>
    <w:rsid w:val="002B2510"/>
    <w:rsid w:val="002B3350"/>
    <w:rsid w:val="002B4D6E"/>
    <w:rsid w:val="002B5441"/>
    <w:rsid w:val="002B5C2F"/>
    <w:rsid w:val="002B5ED1"/>
    <w:rsid w:val="002B6DA8"/>
    <w:rsid w:val="002B7406"/>
    <w:rsid w:val="002C1BF2"/>
    <w:rsid w:val="002C1D56"/>
    <w:rsid w:val="002C2555"/>
    <w:rsid w:val="002C437D"/>
    <w:rsid w:val="002C4437"/>
    <w:rsid w:val="002C4876"/>
    <w:rsid w:val="002C52B5"/>
    <w:rsid w:val="002C52C6"/>
    <w:rsid w:val="002C7F21"/>
    <w:rsid w:val="002D1D1C"/>
    <w:rsid w:val="002D284F"/>
    <w:rsid w:val="002D3A8B"/>
    <w:rsid w:val="002D3E0A"/>
    <w:rsid w:val="002D4638"/>
    <w:rsid w:val="002D57EE"/>
    <w:rsid w:val="002D5A01"/>
    <w:rsid w:val="002D5AB6"/>
    <w:rsid w:val="002E23DF"/>
    <w:rsid w:val="002E2EB0"/>
    <w:rsid w:val="002E3788"/>
    <w:rsid w:val="002E4542"/>
    <w:rsid w:val="002E47D1"/>
    <w:rsid w:val="002E56FB"/>
    <w:rsid w:val="002E57C6"/>
    <w:rsid w:val="002E5F74"/>
    <w:rsid w:val="002F0142"/>
    <w:rsid w:val="002F0441"/>
    <w:rsid w:val="002F182F"/>
    <w:rsid w:val="002F23A2"/>
    <w:rsid w:val="002F3D61"/>
    <w:rsid w:val="002F3E7A"/>
    <w:rsid w:val="002F4E5B"/>
    <w:rsid w:val="002F506F"/>
    <w:rsid w:val="002F59DD"/>
    <w:rsid w:val="002F73D5"/>
    <w:rsid w:val="0030058D"/>
    <w:rsid w:val="00300612"/>
    <w:rsid w:val="00301A46"/>
    <w:rsid w:val="00302C87"/>
    <w:rsid w:val="00304AFD"/>
    <w:rsid w:val="00304BBD"/>
    <w:rsid w:val="00305EE6"/>
    <w:rsid w:val="003068A5"/>
    <w:rsid w:val="003071E3"/>
    <w:rsid w:val="003076CC"/>
    <w:rsid w:val="00310ADE"/>
    <w:rsid w:val="00311848"/>
    <w:rsid w:val="003132C5"/>
    <w:rsid w:val="00314454"/>
    <w:rsid w:val="003146EF"/>
    <w:rsid w:val="00314B54"/>
    <w:rsid w:val="00315167"/>
    <w:rsid w:val="00315FBB"/>
    <w:rsid w:val="003164A2"/>
    <w:rsid w:val="003177F4"/>
    <w:rsid w:val="00321412"/>
    <w:rsid w:val="00323022"/>
    <w:rsid w:val="0032336A"/>
    <w:rsid w:val="0032350C"/>
    <w:rsid w:val="0032541A"/>
    <w:rsid w:val="003255AF"/>
    <w:rsid w:val="0032595B"/>
    <w:rsid w:val="00325D0A"/>
    <w:rsid w:val="0033427C"/>
    <w:rsid w:val="00335398"/>
    <w:rsid w:val="00336A48"/>
    <w:rsid w:val="00340F88"/>
    <w:rsid w:val="003414E2"/>
    <w:rsid w:val="00341EC6"/>
    <w:rsid w:val="00342CA4"/>
    <w:rsid w:val="003458A0"/>
    <w:rsid w:val="003458E1"/>
    <w:rsid w:val="003503AA"/>
    <w:rsid w:val="00352458"/>
    <w:rsid w:val="00353663"/>
    <w:rsid w:val="003542E6"/>
    <w:rsid w:val="00354687"/>
    <w:rsid w:val="00354861"/>
    <w:rsid w:val="00354B3D"/>
    <w:rsid w:val="0035628D"/>
    <w:rsid w:val="0035656B"/>
    <w:rsid w:val="00356735"/>
    <w:rsid w:val="00356DB5"/>
    <w:rsid w:val="00357AA9"/>
    <w:rsid w:val="00357BC2"/>
    <w:rsid w:val="0036102E"/>
    <w:rsid w:val="003612C7"/>
    <w:rsid w:val="00362A71"/>
    <w:rsid w:val="00364529"/>
    <w:rsid w:val="00364AEF"/>
    <w:rsid w:val="00364F7A"/>
    <w:rsid w:val="003671AD"/>
    <w:rsid w:val="00367773"/>
    <w:rsid w:val="00373C5B"/>
    <w:rsid w:val="00373FFC"/>
    <w:rsid w:val="00374594"/>
    <w:rsid w:val="00376C78"/>
    <w:rsid w:val="00377EAA"/>
    <w:rsid w:val="00381C59"/>
    <w:rsid w:val="00382F0E"/>
    <w:rsid w:val="0038469C"/>
    <w:rsid w:val="00386A89"/>
    <w:rsid w:val="00386D2B"/>
    <w:rsid w:val="0038702E"/>
    <w:rsid w:val="00387B09"/>
    <w:rsid w:val="00390AEC"/>
    <w:rsid w:val="0039120F"/>
    <w:rsid w:val="00393025"/>
    <w:rsid w:val="0039309E"/>
    <w:rsid w:val="00394361"/>
    <w:rsid w:val="0039587A"/>
    <w:rsid w:val="00395AA3"/>
    <w:rsid w:val="00395F4F"/>
    <w:rsid w:val="00396AE9"/>
    <w:rsid w:val="003A0912"/>
    <w:rsid w:val="003A0B7C"/>
    <w:rsid w:val="003A0D17"/>
    <w:rsid w:val="003A0FBE"/>
    <w:rsid w:val="003A11A3"/>
    <w:rsid w:val="003A1604"/>
    <w:rsid w:val="003A1F5A"/>
    <w:rsid w:val="003A2F37"/>
    <w:rsid w:val="003A419F"/>
    <w:rsid w:val="003A575D"/>
    <w:rsid w:val="003A7956"/>
    <w:rsid w:val="003A7F41"/>
    <w:rsid w:val="003B0C1E"/>
    <w:rsid w:val="003B0F56"/>
    <w:rsid w:val="003B12B2"/>
    <w:rsid w:val="003B1655"/>
    <w:rsid w:val="003B37C2"/>
    <w:rsid w:val="003B38AE"/>
    <w:rsid w:val="003B4595"/>
    <w:rsid w:val="003B4D14"/>
    <w:rsid w:val="003B4DD1"/>
    <w:rsid w:val="003B59E9"/>
    <w:rsid w:val="003B5E64"/>
    <w:rsid w:val="003B6290"/>
    <w:rsid w:val="003B66BD"/>
    <w:rsid w:val="003B79B7"/>
    <w:rsid w:val="003C0779"/>
    <w:rsid w:val="003C0CF6"/>
    <w:rsid w:val="003C1DCB"/>
    <w:rsid w:val="003C21D0"/>
    <w:rsid w:val="003C3639"/>
    <w:rsid w:val="003C39A4"/>
    <w:rsid w:val="003C4540"/>
    <w:rsid w:val="003C4D60"/>
    <w:rsid w:val="003C53E1"/>
    <w:rsid w:val="003C5713"/>
    <w:rsid w:val="003C688E"/>
    <w:rsid w:val="003C73D9"/>
    <w:rsid w:val="003C78E1"/>
    <w:rsid w:val="003D14BA"/>
    <w:rsid w:val="003D19A0"/>
    <w:rsid w:val="003D2B9E"/>
    <w:rsid w:val="003D2E85"/>
    <w:rsid w:val="003D3B58"/>
    <w:rsid w:val="003D4D9F"/>
    <w:rsid w:val="003D5A44"/>
    <w:rsid w:val="003D6586"/>
    <w:rsid w:val="003D7600"/>
    <w:rsid w:val="003E2E03"/>
    <w:rsid w:val="003E2FFC"/>
    <w:rsid w:val="003E38E7"/>
    <w:rsid w:val="003E3AD4"/>
    <w:rsid w:val="003E53C8"/>
    <w:rsid w:val="003E5877"/>
    <w:rsid w:val="003E6A42"/>
    <w:rsid w:val="003E716A"/>
    <w:rsid w:val="003E7981"/>
    <w:rsid w:val="003E7B2F"/>
    <w:rsid w:val="003F0812"/>
    <w:rsid w:val="003F2A2D"/>
    <w:rsid w:val="003F2C23"/>
    <w:rsid w:val="003F31AD"/>
    <w:rsid w:val="003F3340"/>
    <w:rsid w:val="003F525F"/>
    <w:rsid w:val="003F759B"/>
    <w:rsid w:val="003F7C48"/>
    <w:rsid w:val="0040176E"/>
    <w:rsid w:val="0040293E"/>
    <w:rsid w:val="004035D6"/>
    <w:rsid w:val="00403BA1"/>
    <w:rsid w:val="00403FF1"/>
    <w:rsid w:val="0040498B"/>
    <w:rsid w:val="00405408"/>
    <w:rsid w:val="00406BA8"/>
    <w:rsid w:val="00406D07"/>
    <w:rsid w:val="00407202"/>
    <w:rsid w:val="0040728E"/>
    <w:rsid w:val="00407593"/>
    <w:rsid w:val="00407ABB"/>
    <w:rsid w:val="00407BB1"/>
    <w:rsid w:val="00410776"/>
    <w:rsid w:val="00410E4D"/>
    <w:rsid w:val="0041230C"/>
    <w:rsid w:val="00412CE8"/>
    <w:rsid w:val="00413F28"/>
    <w:rsid w:val="00413FDD"/>
    <w:rsid w:val="00414F4A"/>
    <w:rsid w:val="00414F6B"/>
    <w:rsid w:val="00415BD0"/>
    <w:rsid w:val="00415BF2"/>
    <w:rsid w:val="0041646F"/>
    <w:rsid w:val="00416A83"/>
    <w:rsid w:val="00416F6B"/>
    <w:rsid w:val="0041736F"/>
    <w:rsid w:val="004215F4"/>
    <w:rsid w:val="00422A1E"/>
    <w:rsid w:val="00423AB3"/>
    <w:rsid w:val="00424A30"/>
    <w:rsid w:val="00425E74"/>
    <w:rsid w:val="00426B33"/>
    <w:rsid w:val="00426FB1"/>
    <w:rsid w:val="0042763E"/>
    <w:rsid w:val="00430148"/>
    <w:rsid w:val="0043029A"/>
    <w:rsid w:val="00430A8C"/>
    <w:rsid w:val="0043199C"/>
    <w:rsid w:val="00431A07"/>
    <w:rsid w:val="00432B39"/>
    <w:rsid w:val="00434D73"/>
    <w:rsid w:val="00436166"/>
    <w:rsid w:val="00437479"/>
    <w:rsid w:val="00440F74"/>
    <w:rsid w:val="0044247F"/>
    <w:rsid w:val="00446695"/>
    <w:rsid w:val="004466E3"/>
    <w:rsid w:val="0044757F"/>
    <w:rsid w:val="004500B2"/>
    <w:rsid w:val="004517C5"/>
    <w:rsid w:val="00453FE7"/>
    <w:rsid w:val="00454533"/>
    <w:rsid w:val="00454F99"/>
    <w:rsid w:val="00456708"/>
    <w:rsid w:val="0045737E"/>
    <w:rsid w:val="004618B3"/>
    <w:rsid w:val="00463C81"/>
    <w:rsid w:val="00465941"/>
    <w:rsid w:val="00465EA1"/>
    <w:rsid w:val="004674B2"/>
    <w:rsid w:val="00467ACF"/>
    <w:rsid w:val="004713B9"/>
    <w:rsid w:val="0047154F"/>
    <w:rsid w:val="00472106"/>
    <w:rsid w:val="00472CC5"/>
    <w:rsid w:val="00474CF6"/>
    <w:rsid w:val="00475030"/>
    <w:rsid w:val="00475DB7"/>
    <w:rsid w:val="00477BFA"/>
    <w:rsid w:val="00481F35"/>
    <w:rsid w:val="0048271A"/>
    <w:rsid w:val="00482E32"/>
    <w:rsid w:val="004830C9"/>
    <w:rsid w:val="004836C6"/>
    <w:rsid w:val="004854EE"/>
    <w:rsid w:val="00485FD6"/>
    <w:rsid w:val="0049056C"/>
    <w:rsid w:val="00491AD0"/>
    <w:rsid w:val="00493493"/>
    <w:rsid w:val="00493912"/>
    <w:rsid w:val="00494805"/>
    <w:rsid w:val="0049488A"/>
    <w:rsid w:val="00494D0E"/>
    <w:rsid w:val="00495D07"/>
    <w:rsid w:val="0049738B"/>
    <w:rsid w:val="00497A15"/>
    <w:rsid w:val="004A04BD"/>
    <w:rsid w:val="004A0B6C"/>
    <w:rsid w:val="004A245E"/>
    <w:rsid w:val="004A27B0"/>
    <w:rsid w:val="004A319E"/>
    <w:rsid w:val="004A3C5B"/>
    <w:rsid w:val="004A3D65"/>
    <w:rsid w:val="004A509D"/>
    <w:rsid w:val="004A54CB"/>
    <w:rsid w:val="004A5AF6"/>
    <w:rsid w:val="004A5CCC"/>
    <w:rsid w:val="004A711E"/>
    <w:rsid w:val="004A787C"/>
    <w:rsid w:val="004A7E32"/>
    <w:rsid w:val="004B110D"/>
    <w:rsid w:val="004B1126"/>
    <w:rsid w:val="004B131E"/>
    <w:rsid w:val="004B1EB0"/>
    <w:rsid w:val="004B359F"/>
    <w:rsid w:val="004B54C6"/>
    <w:rsid w:val="004B55A7"/>
    <w:rsid w:val="004B616E"/>
    <w:rsid w:val="004B7129"/>
    <w:rsid w:val="004B71C1"/>
    <w:rsid w:val="004C12D3"/>
    <w:rsid w:val="004C13D3"/>
    <w:rsid w:val="004C162A"/>
    <w:rsid w:val="004C267D"/>
    <w:rsid w:val="004C37C5"/>
    <w:rsid w:val="004C4F12"/>
    <w:rsid w:val="004C5385"/>
    <w:rsid w:val="004C553B"/>
    <w:rsid w:val="004C6081"/>
    <w:rsid w:val="004D0D07"/>
    <w:rsid w:val="004D2FAD"/>
    <w:rsid w:val="004D41E4"/>
    <w:rsid w:val="004D573B"/>
    <w:rsid w:val="004D5F19"/>
    <w:rsid w:val="004E0375"/>
    <w:rsid w:val="004E0C66"/>
    <w:rsid w:val="004E14A6"/>
    <w:rsid w:val="004E3853"/>
    <w:rsid w:val="004E3C31"/>
    <w:rsid w:val="004E3E23"/>
    <w:rsid w:val="004E457D"/>
    <w:rsid w:val="004E4CA5"/>
    <w:rsid w:val="004E521B"/>
    <w:rsid w:val="004E6D5B"/>
    <w:rsid w:val="004F014F"/>
    <w:rsid w:val="004F057C"/>
    <w:rsid w:val="004F12D3"/>
    <w:rsid w:val="004F15C0"/>
    <w:rsid w:val="004F1F80"/>
    <w:rsid w:val="004F20CE"/>
    <w:rsid w:val="004F3288"/>
    <w:rsid w:val="004F36A5"/>
    <w:rsid w:val="004F452D"/>
    <w:rsid w:val="004F71E2"/>
    <w:rsid w:val="004F7675"/>
    <w:rsid w:val="0050040C"/>
    <w:rsid w:val="00500D48"/>
    <w:rsid w:val="00502BC8"/>
    <w:rsid w:val="005037A3"/>
    <w:rsid w:val="00503CDD"/>
    <w:rsid w:val="005043FD"/>
    <w:rsid w:val="005072DA"/>
    <w:rsid w:val="0050784D"/>
    <w:rsid w:val="00510959"/>
    <w:rsid w:val="0051119C"/>
    <w:rsid w:val="005111A6"/>
    <w:rsid w:val="00511DF5"/>
    <w:rsid w:val="005123C3"/>
    <w:rsid w:val="0051310C"/>
    <w:rsid w:val="005132C2"/>
    <w:rsid w:val="00513DA9"/>
    <w:rsid w:val="00513E2F"/>
    <w:rsid w:val="00513F64"/>
    <w:rsid w:val="00514B6E"/>
    <w:rsid w:val="00514F82"/>
    <w:rsid w:val="005151FF"/>
    <w:rsid w:val="0051555E"/>
    <w:rsid w:val="00516590"/>
    <w:rsid w:val="005211AA"/>
    <w:rsid w:val="00521A74"/>
    <w:rsid w:val="00523EEC"/>
    <w:rsid w:val="00524EED"/>
    <w:rsid w:val="0052652E"/>
    <w:rsid w:val="0052705B"/>
    <w:rsid w:val="00527F6E"/>
    <w:rsid w:val="005309F9"/>
    <w:rsid w:val="00531327"/>
    <w:rsid w:val="00532226"/>
    <w:rsid w:val="00532771"/>
    <w:rsid w:val="00533676"/>
    <w:rsid w:val="00533FCF"/>
    <w:rsid w:val="005352F5"/>
    <w:rsid w:val="00537777"/>
    <w:rsid w:val="00540330"/>
    <w:rsid w:val="00543D5E"/>
    <w:rsid w:val="005444CC"/>
    <w:rsid w:val="005447C1"/>
    <w:rsid w:val="005453A5"/>
    <w:rsid w:val="00547056"/>
    <w:rsid w:val="00550295"/>
    <w:rsid w:val="005512EF"/>
    <w:rsid w:val="00552A8A"/>
    <w:rsid w:val="005545CE"/>
    <w:rsid w:val="00554A5A"/>
    <w:rsid w:val="00555DE0"/>
    <w:rsid w:val="005560A3"/>
    <w:rsid w:val="005571AC"/>
    <w:rsid w:val="005578CC"/>
    <w:rsid w:val="00560A79"/>
    <w:rsid w:val="005611AF"/>
    <w:rsid w:val="0056164D"/>
    <w:rsid w:val="00562604"/>
    <w:rsid w:val="00563564"/>
    <w:rsid w:val="00563C54"/>
    <w:rsid w:val="005644B9"/>
    <w:rsid w:val="00565501"/>
    <w:rsid w:val="005668C7"/>
    <w:rsid w:val="0057016B"/>
    <w:rsid w:val="00570DD5"/>
    <w:rsid w:val="00571593"/>
    <w:rsid w:val="005721C1"/>
    <w:rsid w:val="0057292F"/>
    <w:rsid w:val="00573C49"/>
    <w:rsid w:val="00573D5B"/>
    <w:rsid w:val="00575704"/>
    <w:rsid w:val="00577626"/>
    <w:rsid w:val="00581047"/>
    <w:rsid w:val="005815BD"/>
    <w:rsid w:val="00582943"/>
    <w:rsid w:val="005837F6"/>
    <w:rsid w:val="00584F3D"/>
    <w:rsid w:val="0058577E"/>
    <w:rsid w:val="005857AF"/>
    <w:rsid w:val="00585B19"/>
    <w:rsid w:val="00587B5A"/>
    <w:rsid w:val="00587D3B"/>
    <w:rsid w:val="00590025"/>
    <w:rsid w:val="00592813"/>
    <w:rsid w:val="00592C37"/>
    <w:rsid w:val="005935D0"/>
    <w:rsid w:val="00594A45"/>
    <w:rsid w:val="0059532E"/>
    <w:rsid w:val="00596C74"/>
    <w:rsid w:val="005971DC"/>
    <w:rsid w:val="005978ED"/>
    <w:rsid w:val="00597F43"/>
    <w:rsid w:val="005A01B9"/>
    <w:rsid w:val="005A052B"/>
    <w:rsid w:val="005A12DB"/>
    <w:rsid w:val="005A1880"/>
    <w:rsid w:val="005A1B0F"/>
    <w:rsid w:val="005A361B"/>
    <w:rsid w:val="005A3989"/>
    <w:rsid w:val="005A3F31"/>
    <w:rsid w:val="005A4B08"/>
    <w:rsid w:val="005A52A8"/>
    <w:rsid w:val="005A5FC8"/>
    <w:rsid w:val="005A6C3E"/>
    <w:rsid w:val="005A7975"/>
    <w:rsid w:val="005A7F00"/>
    <w:rsid w:val="005B295F"/>
    <w:rsid w:val="005B336C"/>
    <w:rsid w:val="005B354F"/>
    <w:rsid w:val="005B57EB"/>
    <w:rsid w:val="005B5B7A"/>
    <w:rsid w:val="005B5BE3"/>
    <w:rsid w:val="005B6589"/>
    <w:rsid w:val="005C111E"/>
    <w:rsid w:val="005C1827"/>
    <w:rsid w:val="005C655A"/>
    <w:rsid w:val="005D0E97"/>
    <w:rsid w:val="005D10EA"/>
    <w:rsid w:val="005D20B7"/>
    <w:rsid w:val="005D44A6"/>
    <w:rsid w:val="005D58F6"/>
    <w:rsid w:val="005D6A9C"/>
    <w:rsid w:val="005D7C2B"/>
    <w:rsid w:val="005E0C04"/>
    <w:rsid w:val="005E0E58"/>
    <w:rsid w:val="005E21DE"/>
    <w:rsid w:val="005E2B50"/>
    <w:rsid w:val="005E421C"/>
    <w:rsid w:val="005E5331"/>
    <w:rsid w:val="005E5E6F"/>
    <w:rsid w:val="005E6272"/>
    <w:rsid w:val="005E6735"/>
    <w:rsid w:val="005E6759"/>
    <w:rsid w:val="005E6E5E"/>
    <w:rsid w:val="005F2A97"/>
    <w:rsid w:val="005F4839"/>
    <w:rsid w:val="005F5252"/>
    <w:rsid w:val="005F5E12"/>
    <w:rsid w:val="00601046"/>
    <w:rsid w:val="00602BB7"/>
    <w:rsid w:val="0060300F"/>
    <w:rsid w:val="006043FD"/>
    <w:rsid w:val="00604A84"/>
    <w:rsid w:val="00604A8B"/>
    <w:rsid w:val="00605D32"/>
    <w:rsid w:val="00611D38"/>
    <w:rsid w:val="00612F48"/>
    <w:rsid w:val="00614359"/>
    <w:rsid w:val="00614D61"/>
    <w:rsid w:val="00615061"/>
    <w:rsid w:val="00615E6E"/>
    <w:rsid w:val="00616F71"/>
    <w:rsid w:val="006176AD"/>
    <w:rsid w:val="00620908"/>
    <w:rsid w:val="00620FE4"/>
    <w:rsid w:val="006224AC"/>
    <w:rsid w:val="006224B4"/>
    <w:rsid w:val="00622971"/>
    <w:rsid w:val="00622CA0"/>
    <w:rsid w:val="006235B6"/>
    <w:rsid w:val="00625D90"/>
    <w:rsid w:val="0062726E"/>
    <w:rsid w:val="0062765A"/>
    <w:rsid w:val="00627760"/>
    <w:rsid w:val="00627BA6"/>
    <w:rsid w:val="00630B37"/>
    <w:rsid w:val="00631492"/>
    <w:rsid w:val="0063452F"/>
    <w:rsid w:val="00634E2F"/>
    <w:rsid w:val="00635096"/>
    <w:rsid w:val="0063511A"/>
    <w:rsid w:val="00635DFA"/>
    <w:rsid w:val="00637B50"/>
    <w:rsid w:val="00641B08"/>
    <w:rsid w:val="0064205C"/>
    <w:rsid w:val="00642CED"/>
    <w:rsid w:val="0064386A"/>
    <w:rsid w:val="00646545"/>
    <w:rsid w:val="00646E1B"/>
    <w:rsid w:val="00652508"/>
    <w:rsid w:val="006525A4"/>
    <w:rsid w:val="00652832"/>
    <w:rsid w:val="0065452D"/>
    <w:rsid w:val="00654B1E"/>
    <w:rsid w:val="00655AD0"/>
    <w:rsid w:val="00656EE5"/>
    <w:rsid w:val="006572F5"/>
    <w:rsid w:val="0066151E"/>
    <w:rsid w:val="0066161C"/>
    <w:rsid w:val="00662309"/>
    <w:rsid w:val="00663536"/>
    <w:rsid w:val="00664777"/>
    <w:rsid w:val="00664ECE"/>
    <w:rsid w:val="00665110"/>
    <w:rsid w:val="00665D01"/>
    <w:rsid w:val="0066661F"/>
    <w:rsid w:val="0066676A"/>
    <w:rsid w:val="006668BE"/>
    <w:rsid w:val="00666E25"/>
    <w:rsid w:val="00666E48"/>
    <w:rsid w:val="0067021C"/>
    <w:rsid w:val="006705CB"/>
    <w:rsid w:val="00671620"/>
    <w:rsid w:val="006724CD"/>
    <w:rsid w:val="0067257D"/>
    <w:rsid w:val="0067646B"/>
    <w:rsid w:val="00676C34"/>
    <w:rsid w:val="00676FE7"/>
    <w:rsid w:val="00677A88"/>
    <w:rsid w:val="00680C2E"/>
    <w:rsid w:val="00681010"/>
    <w:rsid w:val="00681B4E"/>
    <w:rsid w:val="006822CA"/>
    <w:rsid w:val="0068258E"/>
    <w:rsid w:val="0068385B"/>
    <w:rsid w:val="00683B73"/>
    <w:rsid w:val="00686543"/>
    <w:rsid w:val="00686777"/>
    <w:rsid w:val="006874F0"/>
    <w:rsid w:val="0068763A"/>
    <w:rsid w:val="00692999"/>
    <w:rsid w:val="00693B1F"/>
    <w:rsid w:val="00693CCC"/>
    <w:rsid w:val="006971A9"/>
    <w:rsid w:val="006A0672"/>
    <w:rsid w:val="006A1F46"/>
    <w:rsid w:val="006A2D7B"/>
    <w:rsid w:val="006A3A98"/>
    <w:rsid w:val="006A4F1D"/>
    <w:rsid w:val="006A503E"/>
    <w:rsid w:val="006A65B8"/>
    <w:rsid w:val="006A6A4A"/>
    <w:rsid w:val="006A6EAF"/>
    <w:rsid w:val="006A7242"/>
    <w:rsid w:val="006A7F2D"/>
    <w:rsid w:val="006B1659"/>
    <w:rsid w:val="006B1869"/>
    <w:rsid w:val="006B192D"/>
    <w:rsid w:val="006B1A8A"/>
    <w:rsid w:val="006B2460"/>
    <w:rsid w:val="006B2C9D"/>
    <w:rsid w:val="006B4111"/>
    <w:rsid w:val="006B4F2C"/>
    <w:rsid w:val="006B5324"/>
    <w:rsid w:val="006B66E6"/>
    <w:rsid w:val="006B7E06"/>
    <w:rsid w:val="006C29FC"/>
    <w:rsid w:val="006C3A93"/>
    <w:rsid w:val="006C46CC"/>
    <w:rsid w:val="006C49D4"/>
    <w:rsid w:val="006C5D28"/>
    <w:rsid w:val="006D17A2"/>
    <w:rsid w:val="006D20CB"/>
    <w:rsid w:val="006D242D"/>
    <w:rsid w:val="006D3AD6"/>
    <w:rsid w:val="006D4FF3"/>
    <w:rsid w:val="006D5A50"/>
    <w:rsid w:val="006D6294"/>
    <w:rsid w:val="006D6A54"/>
    <w:rsid w:val="006E04CA"/>
    <w:rsid w:val="006E182C"/>
    <w:rsid w:val="006E223A"/>
    <w:rsid w:val="006E2B0C"/>
    <w:rsid w:val="006E38FA"/>
    <w:rsid w:val="006E5136"/>
    <w:rsid w:val="006E5C37"/>
    <w:rsid w:val="006E6828"/>
    <w:rsid w:val="006E79C3"/>
    <w:rsid w:val="006F0803"/>
    <w:rsid w:val="006F1372"/>
    <w:rsid w:val="006F2D88"/>
    <w:rsid w:val="006F2E52"/>
    <w:rsid w:val="006F36F4"/>
    <w:rsid w:val="006F40CC"/>
    <w:rsid w:val="006F42F8"/>
    <w:rsid w:val="006F44DD"/>
    <w:rsid w:val="006F54D1"/>
    <w:rsid w:val="006F59AF"/>
    <w:rsid w:val="0070106C"/>
    <w:rsid w:val="00701F59"/>
    <w:rsid w:val="00702BE0"/>
    <w:rsid w:val="00703038"/>
    <w:rsid w:val="007046C2"/>
    <w:rsid w:val="00705460"/>
    <w:rsid w:val="00706792"/>
    <w:rsid w:val="007075C9"/>
    <w:rsid w:val="00707750"/>
    <w:rsid w:val="00710284"/>
    <w:rsid w:val="00711F83"/>
    <w:rsid w:val="0071300E"/>
    <w:rsid w:val="00713967"/>
    <w:rsid w:val="00714741"/>
    <w:rsid w:val="00715640"/>
    <w:rsid w:val="00715DE3"/>
    <w:rsid w:val="0071672B"/>
    <w:rsid w:val="0071732B"/>
    <w:rsid w:val="00720D0A"/>
    <w:rsid w:val="00720F3B"/>
    <w:rsid w:val="007214F2"/>
    <w:rsid w:val="00721734"/>
    <w:rsid w:val="007233C1"/>
    <w:rsid w:val="00723C59"/>
    <w:rsid w:val="007251D4"/>
    <w:rsid w:val="0073121A"/>
    <w:rsid w:val="007326B0"/>
    <w:rsid w:val="007334C2"/>
    <w:rsid w:val="00733EBA"/>
    <w:rsid w:val="00736186"/>
    <w:rsid w:val="0073654A"/>
    <w:rsid w:val="00736C9C"/>
    <w:rsid w:val="00737893"/>
    <w:rsid w:val="00740311"/>
    <w:rsid w:val="0074130C"/>
    <w:rsid w:val="00741BB9"/>
    <w:rsid w:val="00743B8D"/>
    <w:rsid w:val="00743CCF"/>
    <w:rsid w:val="0074412D"/>
    <w:rsid w:val="00744442"/>
    <w:rsid w:val="007445E1"/>
    <w:rsid w:val="0074519C"/>
    <w:rsid w:val="00751468"/>
    <w:rsid w:val="007525FA"/>
    <w:rsid w:val="0075264A"/>
    <w:rsid w:val="007528F2"/>
    <w:rsid w:val="00753DF4"/>
    <w:rsid w:val="007549C3"/>
    <w:rsid w:val="00754EA6"/>
    <w:rsid w:val="00755EF2"/>
    <w:rsid w:val="0075654F"/>
    <w:rsid w:val="00760267"/>
    <w:rsid w:val="00761F8A"/>
    <w:rsid w:val="00762530"/>
    <w:rsid w:val="00762846"/>
    <w:rsid w:val="00762A98"/>
    <w:rsid w:val="00762ED7"/>
    <w:rsid w:val="007633BF"/>
    <w:rsid w:val="00764E6E"/>
    <w:rsid w:val="00766581"/>
    <w:rsid w:val="0077289A"/>
    <w:rsid w:val="00775B6F"/>
    <w:rsid w:val="0077621B"/>
    <w:rsid w:val="00776492"/>
    <w:rsid w:val="007769AF"/>
    <w:rsid w:val="00777126"/>
    <w:rsid w:val="00780386"/>
    <w:rsid w:val="00781DE9"/>
    <w:rsid w:val="0078224E"/>
    <w:rsid w:val="00782628"/>
    <w:rsid w:val="00783939"/>
    <w:rsid w:val="007839E8"/>
    <w:rsid w:val="0078651C"/>
    <w:rsid w:val="0078745D"/>
    <w:rsid w:val="00790254"/>
    <w:rsid w:val="0079180E"/>
    <w:rsid w:val="00791E34"/>
    <w:rsid w:val="0079342A"/>
    <w:rsid w:val="0079388B"/>
    <w:rsid w:val="0079499D"/>
    <w:rsid w:val="00795B1D"/>
    <w:rsid w:val="00795F78"/>
    <w:rsid w:val="007974C1"/>
    <w:rsid w:val="007A0F1D"/>
    <w:rsid w:val="007A226C"/>
    <w:rsid w:val="007A25DB"/>
    <w:rsid w:val="007A2A83"/>
    <w:rsid w:val="007A4586"/>
    <w:rsid w:val="007A4924"/>
    <w:rsid w:val="007A56AD"/>
    <w:rsid w:val="007A7B56"/>
    <w:rsid w:val="007B002D"/>
    <w:rsid w:val="007B02A3"/>
    <w:rsid w:val="007B0780"/>
    <w:rsid w:val="007B14E5"/>
    <w:rsid w:val="007B1D6F"/>
    <w:rsid w:val="007B2006"/>
    <w:rsid w:val="007B2170"/>
    <w:rsid w:val="007B2A33"/>
    <w:rsid w:val="007B38AC"/>
    <w:rsid w:val="007B4090"/>
    <w:rsid w:val="007B60BE"/>
    <w:rsid w:val="007B6116"/>
    <w:rsid w:val="007B7115"/>
    <w:rsid w:val="007B7670"/>
    <w:rsid w:val="007C0F03"/>
    <w:rsid w:val="007C134E"/>
    <w:rsid w:val="007C1FC7"/>
    <w:rsid w:val="007C2470"/>
    <w:rsid w:val="007C2E37"/>
    <w:rsid w:val="007C4F98"/>
    <w:rsid w:val="007C68BE"/>
    <w:rsid w:val="007C7292"/>
    <w:rsid w:val="007C7E36"/>
    <w:rsid w:val="007D1305"/>
    <w:rsid w:val="007D1A91"/>
    <w:rsid w:val="007D2B6C"/>
    <w:rsid w:val="007D2C2B"/>
    <w:rsid w:val="007D4E28"/>
    <w:rsid w:val="007D5DE9"/>
    <w:rsid w:val="007D648B"/>
    <w:rsid w:val="007D65C7"/>
    <w:rsid w:val="007D68CC"/>
    <w:rsid w:val="007D6A3F"/>
    <w:rsid w:val="007D6FAA"/>
    <w:rsid w:val="007E00CB"/>
    <w:rsid w:val="007E0620"/>
    <w:rsid w:val="007E15FD"/>
    <w:rsid w:val="007E3573"/>
    <w:rsid w:val="007E3811"/>
    <w:rsid w:val="007E3D9E"/>
    <w:rsid w:val="007E5218"/>
    <w:rsid w:val="007E52B3"/>
    <w:rsid w:val="007E5626"/>
    <w:rsid w:val="007E60ED"/>
    <w:rsid w:val="007E6880"/>
    <w:rsid w:val="007E6915"/>
    <w:rsid w:val="007E6A94"/>
    <w:rsid w:val="007F1764"/>
    <w:rsid w:val="007F263C"/>
    <w:rsid w:val="007F3892"/>
    <w:rsid w:val="007F611B"/>
    <w:rsid w:val="007F77E9"/>
    <w:rsid w:val="008011EE"/>
    <w:rsid w:val="008022C8"/>
    <w:rsid w:val="00803411"/>
    <w:rsid w:val="00804BF6"/>
    <w:rsid w:val="0080531A"/>
    <w:rsid w:val="008057B5"/>
    <w:rsid w:val="00805B0B"/>
    <w:rsid w:val="00805F95"/>
    <w:rsid w:val="00810C89"/>
    <w:rsid w:val="0081110C"/>
    <w:rsid w:val="008118B3"/>
    <w:rsid w:val="00811A3F"/>
    <w:rsid w:val="00811D5E"/>
    <w:rsid w:val="00813DDC"/>
    <w:rsid w:val="00814FF8"/>
    <w:rsid w:val="008156F3"/>
    <w:rsid w:val="0081570C"/>
    <w:rsid w:val="00815C71"/>
    <w:rsid w:val="00817BD2"/>
    <w:rsid w:val="00820ABF"/>
    <w:rsid w:val="008219AC"/>
    <w:rsid w:val="00822AD3"/>
    <w:rsid w:val="00823BE4"/>
    <w:rsid w:val="00823F7A"/>
    <w:rsid w:val="00824AC5"/>
    <w:rsid w:val="00824B98"/>
    <w:rsid w:val="0082638F"/>
    <w:rsid w:val="008304E3"/>
    <w:rsid w:val="00834118"/>
    <w:rsid w:val="008342B4"/>
    <w:rsid w:val="008358BA"/>
    <w:rsid w:val="0083592A"/>
    <w:rsid w:val="00836457"/>
    <w:rsid w:val="00836E9E"/>
    <w:rsid w:val="00840DAB"/>
    <w:rsid w:val="0084247C"/>
    <w:rsid w:val="00843FCB"/>
    <w:rsid w:val="00844F38"/>
    <w:rsid w:val="00846526"/>
    <w:rsid w:val="008467AE"/>
    <w:rsid w:val="00847B4D"/>
    <w:rsid w:val="00850A05"/>
    <w:rsid w:val="0085134C"/>
    <w:rsid w:val="00853A70"/>
    <w:rsid w:val="00855A4B"/>
    <w:rsid w:val="0085630D"/>
    <w:rsid w:val="00860580"/>
    <w:rsid w:val="00860FF4"/>
    <w:rsid w:val="008625DC"/>
    <w:rsid w:val="00865567"/>
    <w:rsid w:val="00870285"/>
    <w:rsid w:val="00871BCC"/>
    <w:rsid w:val="00871D3B"/>
    <w:rsid w:val="00872721"/>
    <w:rsid w:val="00872DF9"/>
    <w:rsid w:val="00873627"/>
    <w:rsid w:val="00873F7F"/>
    <w:rsid w:val="0087469A"/>
    <w:rsid w:val="00875066"/>
    <w:rsid w:val="00875103"/>
    <w:rsid w:val="008752BA"/>
    <w:rsid w:val="00875300"/>
    <w:rsid w:val="00875CFE"/>
    <w:rsid w:val="00876A18"/>
    <w:rsid w:val="00876AE2"/>
    <w:rsid w:val="0087740B"/>
    <w:rsid w:val="0087772B"/>
    <w:rsid w:val="00877D94"/>
    <w:rsid w:val="0088053A"/>
    <w:rsid w:val="00881495"/>
    <w:rsid w:val="00881B6B"/>
    <w:rsid w:val="00882496"/>
    <w:rsid w:val="008861C0"/>
    <w:rsid w:val="0088702B"/>
    <w:rsid w:val="008872C5"/>
    <w:rsid w:val="008875B3"/>
    <w:rsid w:val="00887B82"/>
    <w:rsid w:val="00891AE1"/>
    <w:rsid w:val="00891BB2"/>
    <w:rsid w:val="00892C98"/>
    <w:rsid w:val="00894F91"/>
    <w:rsid w:val="0089644B"/>
    <w:rsid w:val="008A1117"/>
    <w:rsid w:val="008A1969"/>
    <w:rsid w:val="008A28D4"/>
    <w:rsid w:val="008A3D96"/>
    <w:rsid w:val="008A3E7C"/>
    <w:rsid w:val="008A4056"/>
    <w:rsid w:val="008A43AA"/>
    <w:rsid w:val="008A4ECF"/>
    <w:rsid w:val="008A5BC0"/>
    <w:rsid w:val="008A5C88"/>
    <w:rsid w:val="008A5DA0"/>
    <w:rsid w:val="008A6195"/>
    <w:rsid w:val="008B0ACD"/>
    <w:rsid w:val="008B207A"/>
    <w:rsid w:val="008B24A3"/>
    <w:rsid w:val="008B2EA3"/>
    <w:rsid w:val="008B3022"/>
    <w:rsid w:val="008B306C"/>
    <w:rsid w:val="008B311A"/>
    <w:rsid w:val="008B37B0"/>
    <w:rsid w:val="008B4746"/>
    <w:rsid w:val="008B54C0"/>
    <w:rsid w:val="008B76C8"/>
    <w:rsid w:val="008C0994"/>
    <w:rsid w:val="008C0D2D"/>
    <w:rsid w:val="008C27DA"/>
    <w:rsid w:val="008C2C00"/>
    <w:rsid w:val="008C37E3"/>
    <w:rsid w:val="008C3950"/>
    <w:rsid w:val="008C51D3"/>
    <w:rsid w:val="008C5508"/>
    <w:rsid w:val="008C64DA"/>
    <w:rsid w:val="008C7741"/>
    <w:rsid w:val="008C7B7D"/>
    <w:rsid w:val="008D1747"/>
    <w:rsid w:val="008D1875"/>
    <w:rsid w:val="008D3992"/>
    <w:rsid w:val="008D743A"/>
    <w:rsid w:val="008D7559"/>
    <w:rsid w:val="008D7B0D"/>
    <w:rsid w:val="008E1945"/>
    <w:rsid w:val="008E50FF"/>
    <w:rsid w:val="008E6406"/>
    <w:rsid w:val="008E7E05"/>
    <w:rsid w:val="008F0395"/>
    <w:rsid w:val="008F0FB7"/>
    <w:rsid w:val="008F135D"/>
    <w:rsid w:val="008F1BD8"/>
    <w:rsid w:val="008F1ED5"/>
    <w:rsid w:val="008F2B90"/>
    <w:rsid w:val="008F3022"/>
    <w:rsid w:val="008F3953"/>
    <w:rsid w:val="008F4811"/>
    <w:rsid w:val="008F5A25"/>
    <w:rsid w:val="008F5FB0"/>
    <w:rsid w:val="008F6811"/>
    <w:rsid w:val="008F70C1"/>
    <w:rsid w:val="008F7895"/>
    <w:rsid w:val="008F7D88"/>
    <w:rsid w:val="00900FEA"/>
    <w:rsid w:val="0090148B"/>
    <w:rsid w:val="009028FF"/>
    <w:rsid w:val="009034B3"/>
    <w:rsid w:val="0090368B"/>
    <w:rsid w:val="009041CB"/>
    <w:rsid w:val="00904360"/>
    <w:rsid w:val="00905D14"/>
    <w:rsid w:val="009070FD"/>
    <w:rsid w:val="0090778D"/>
    <w:rsid w:val="009078BF"/>
    <w:rsid w:val="00911ADF"/>
    <w:rsid w:val="009145A3"/>
    <w:rsid w:val="00915FF0"/>
    <w:rsid w:val="00916DF5"/>
    <w:rsid w:val="00916E45"/>
    <w:rsid w:val="0091746A"/>
    <w:rsid w:val="009175F0"/>
    <w:rsid w:val="00917C23"/>
    <w:rsid w:val="0092050F"/>
    <w:rsid w:val="00920BD1"/>
    <w:rsid w:val="0092116D"/>
    <w:rsid w:val="00921D28"/>
    <w:rsid w:val="009229EE"/>
    <w:rsid w:val="00924293"/>
    <w:rsid w:val="00924E4F"/>
    <w:rsid w:val="00924F77"/>
    <w:rsid w:val="00931FC2"/>
    <w:rsid w:val="009347B0"/>
    <w:rsid w:val="009349BF"/>
    <w:rsid w:val="00935486"/>
    <w:rsid w:val="00935F46"/>
    <w:rsid w:val="0093670F"/>
    <w:rsid w:val="00936E5B"/>
    <w:rsid w:val="00937894"/>
    <w:rsid w:val="009405FF"/>
    <w:rsid w:val="00940B6C"/>
    <w:rsid w:val="00941540"/>
    <w:rsid w:val="00943034"/>
    <w:rsid w:val="0094501B"/>
    <w:rsid w:val="009451F2"/>
    <w:rsid w:val="00945A16"/>
    <w:rsid w:val="00950723"/>
    <w:rsid w:val="00950DFE"/>
    <w:rsid w:val="00953F90"/>
    <w:rsid w:val="0095518D"/>
    <w:rsid w:val="00955777"/>
    <w:rsid w:val="00956572"/>
    <w:rsid w:val="0095747C"/>
    <w:rsid w:val="0096105B"/>
    <w:rsid w:val="0096123A"/>
    <w:rsid w:val="0096175B"/>
    <w:rsid w:val="00961772"/>
    <w:rsid w:val="0096414C"/>
    <w:rsid w:val="00964339"/>
    <w:rsid w:val="00964A79"/>
    <w:rsid w:val="009708D4"/>
    <w:rsid w:val="009718F8"/>
    <w:rsid w:val="0097361E"/>
    <w:rsid w:val="00974CD4"/>
    <w:rsid w:val="00975898"/>
    <w:rsid w:val="00977914"/>
    <w:rsid w:val="00977E99"/>
    <w:rsid w:val="00977ED4"/>
    <w:rsid w:val="00980CB4"/>
    <w:rsid w:val="009824A7"/>
    <w:rsid w:val="00982BA2"/>
    <w:rsid w:val="00985344"/>
    <w:rsid w:val="0098559E"/>
    <w:rsid w:val="00985846"/>
    <w:rsid w:val="00985B03"/>
    <w:rsid w:val="009860A7"/>
    <w:rsid w:val="00986A65"/>
    <w:rsid w:val="00990318"/>
    <w:rsid w:val="00990FBB"/>
    <w:rsid w:val="00992D55"/>
    <w:rsid w:val="00993B82"/>
    <w:rsid w:val="00994B60"/>
    <w:rsid w:val="00995F89"/>
    <w:rsid w:val="00996080"/>
    <w:rsid w:val="009A092E"/>
    <w:rsid w:val="009A0992"/>
    <w:rsid w:val="009A35E4"/>
    <w:rsid w:val="009A4E70"/>
    <w:rsid w:val="009A56FD"/>
    <w:rsid w:val="009B0332"/>
    <w:rsid w:val="009B0393"/>
    <w:rsid w:val="009B059A"/>
    <w:rsid w:val="009B083B"/>
    <w:rsid w:val="009B593A"/>
    <w:rsid w:val="009B5C66"/>
    <w:rsid w:val="009B66DF"/>
    <w:rsid w:val="009B7D8E"/>
    <w:rsid w:val="009C04A6"/>
    <w:rsid w:val="009C177E"/>
    <w:rsid w:val="009C1C4F"/>
    <w:rsid w:val="009C2025"/>
    <w:rsid w:val="009C27ED"/>
    <w:rsid w:val="009C2B3B"/>
    <w:rsid w:val="009C395E"/>
    <w:rsid w:val="009C4806"/>
    <w:rsid w:val="009C5E0D"/>
    <w:rsid w:val="009C5FDB"/>
    <w:rsid w:val="009C6E80"/>
    <w:rsid w:val="009D0238"/>
    <w:rsid w:val="009D1239"/>
    <w:rsid w:val="009D264A"/>
    <w:rsid w:val="009D26BB"/>
    <w:rsid w:val="009D3D10"/>
    <w:rsid w:val="009D418C"/>
    <w:rsid w:val="009D457B"/>
    <w:rsid w:val="009D5042"/>
    <w:rsid w:val="009D6303"/>
    <w:rsid w:val="009D756D"/>
    <w:rsid w:val="009E014A"/>
    <w:rsid w:val="009E0A74"/>
    <w:rsid w:val="009E26F3"/>
    <w:rsid w:val="009E3373"/>
    <w:rsid w:val="009E33B1"/>
    <w:rsid w:val="009E3939"/>
    <w:rsid w:val="009E395E"/>
    <w:rsid w:val="009E3A03"/>
    <w:rsid w:val="009E3C34"/>
    <w:rsid w:val="009E3D41"/>
    <w:rsid w:val="009E4C42"/>
    <w:rsid w:val="009E4C77"/>
    <w:rsid w:val="009E6215"/>
    <w:rsid w:val="009E63C9"/>
    <w:rsid w:val="009E69E6"/>
    <w:rsid w:val="009F00D7"/>
    <w:rsid w:val="009F0CB0"/>
    <w:rsid w:val="009F1B35"/>
    <w:rsid w:val="009F4761"/>
    <w:rsid w:val="009F51B4"/>
    <w:rsid w:val="009F5C9A"/>
    <w:rsid w:val="009F5F07"/>
    <w:rsid w:val="00A00DBC"/>
    <w:rsid w:val="00A0108B"/>
    <w:rsid w:val="00A0172B"/>
    <w:rsid w:val="00A02000"/>
    <w:rsid w:val="00A026EA"/>
    <w:rsid w:val="00A03E76"/>
    <w:rsid w:val="00A03FEC"/>
    <w:rsid w:val="00A055D1"/>
    <w:rsid w:val="00A05B26"/>
    <w:rsid w:val="00A063F5"/>
    <w:rsid w:val="00A06E85"/>
    <w:rsid w:val="00A10D7F"/>
    <w:rsid w:val="00A118D0"/>
    <w:rsid w:val="00A129B1"/>
    <w:rsid w:val="00A12D33"/>
    <w:rsid w:val="00A12F34"/>
    <w:rsid w:val="00A1344F"/>
    <w:rsid w:val="00A13F63"/>
    <w:rsid w:val="00A16B56"/>
    <w:rsid w:val="00A20483"/>
    <w:rsid w:val="00A20649"/>
    <w:rsid w:val="00A208BD"/>
    <w:rsid w:val="00A20EA2"/>
    <w:rsid w:val="00A226C2"/>
    <w:rsid w:val="00A24512"/>
    <w:rsid w:val="00A2485E"/>
    <w:rsid w:val="00A24F32"/>
    <w:rsid w:val="00A27A24"/>
    <w:rsid w:val="00A27DD3"/>
    <w:rsid w:val="00A31C04"/>
    <w:rsid w:val="00A32946"/>
    <w:rsid w:val="00A32F2D"/>
    <w:rsid w:val="00A33755"/>
    <w:rsid w:val="00A348E9"/>
    <w:rsid w:val="00A35EB6"/>
    <w:rsid w:val="00A35F96"/>
    <w:rsid w:val="00A35FFA"/>
    <w:rsid w:val="00A375C7"/>
    <w:rsid w:val="00A37E81"/>
    <w:rsid w:val="00A403D9"/>
    <w:rsid w:val="00A40D3C"/>
    <w:rsid w:val="00A427B8"/>
    <w:rsid w:val="00A42C56"/>
    <w:rsid w:val="00A434D9"/>
    <w:rsid w:val="00A435CD"/>
    <w:rsid w:val="00A4429B"/>
    <w:rsid w:val="00A4533E"/>
    <w:rsid w:val="00A464F2"/>
    <w:rsid w:val="00A47B2E"/>
    <w:rsid w:val="00A47BCB"/>
    <w:rsid w:val="00A503D3"/>
    <w:rsid w:val="00A504B5"/>
    <w:rsid w:val="00A5443E"/>
    <w:rsid w:val="00A54675"/>
    <w:rsid w:val="00A54749"/>
    <w:rsid w:val="00A559CE"/>
    <w:rsid w:val="00A55AFD"/>
    <w:rsid w:val="00A564F4"/>
    <w:rsid w:val="00A5670A"/>
    <w:rsid w:val="00A576DA"/>
    <w:rsid w:val="00A57C3A"/>
    <w:rsid w:val="00A6024D"/>
    <w:rsid w:val="00A60A18"/>
    <w:rsid w:val="00A60D59"/>
    <w:rsid w:val="00A6265C"/>
    <w:rsid w:val="00A63151"/>
    <w:rsid w:val="00A6487B"/>
    <w:rsid w:val="00A657CC"/>
    <w:rsid w:val="00A65897"/>
    <w:rsid w:val="00A65C7F"/>
    <w:rsid w:val="00A65FA9"/>
    <w:rsid w:val="00A66E29"/>
    <w:rsid w:val="00A67235"/>
    <w:rsid w:val="00A70E59"/>
    <w:rsid w:val="00A7281D"/>
    <w:rsid w:val="00A73899"/>
    <w:rsid w:val="00A7687B"/>
    <w:rsid w:val="00A76C9D"/>
    <w:rsid w:val="00A76EF3"/>
    <w:rsid w:val="00A80324"/>
    <w:rsid w:val="00A80B4F"/>
    <w:rsid w:val="00A80F07"/>
    <w:rsid w:val="00A82B6B"/>
    <w:rsid w:val="00A855AE"/>
    <w:rsid w:val="00A85638"/>
    <w:rsid w:val="00A8632E"/>
    <w:rsid w:val="00A873E4"/>
    <w:rsid w:val="00A87768"/>
    <w:rsid w:val="00A8787E"/>
    <w:rsid w:val="00A878E8"/>
    <w:rsid w:val="00A87E42"/>
    <w:rsid w:val="00A9005F"/>
    <w:rsid w:val="00A91A08"/>
    <w:rsid w:val="00A926B8"/>
    <w:rsid w:val="00A92ED0"/>
    <w:rsid w:val="00A9334F"/>
    <w:rsid w:val="00A93D2E"/>
    <w:rsid w:val="00A94348"/>
    <w:rsid w:val="00A943A7"/>
    <w:rsid w:val="00A94DBB"/>
    <w:rsid w:val="00A953B4"/>
    <w:rsid w:val="00A9581A"/>
    <w:rsid w:val="00A96329"/>
    <w:rsid w:val="00A977A6"/>
    <w:rsid w:val="00AA08DF"/>
    <w:rsid w:val="00AA1147"/>
    <w:rsid w:val="00AA2164"/>
    <w:rsid w:val="00AA28F4"/>
    <w:rsid w:val="00AA2AA1"/>
    <w:rsid w:val="00AA3016"/>
    <w:rsid w:val="00AA368E"/>
    <w:rsid w:val="00AA3903"/>
    <w:rsid w:val="00AA5146"/>
    <w:rsid w:val="00AA6E39"/>
    <w:rsid w:val="00AA7799"/>
    <w:rsid w:val="00AB0292"/>
    <w:rsid w:val="00AB0C1B"/>
    <w:rsid w:val="00AB0D96"/>
    <w:rsid w:val="00AB2513"/>
    <w:rsid w:val="00AB2600"/>
    <w:rsid w:val="00AB26AF"/>
    <w:rsid w:val="00AB5E49"/>
    <w:rsid w:val="00AB603B"/>
    <w:rsid w:val="00AB61E3"/>
    <w:rsid w:val="00AB6F85"/>
    <w:rsid w:val="00AB6FC3"/>
    <w:rsid w:val="00AB7B6C"/>
    <w:rsid w:val="00AB7D34"/>
    <w:rsid w:val="00AC0DC7"/>
    <w:rsid w:val="00AC47A2"/>
    <w:rsid w:val="00AC5471"/>
    <w:rsid w:val="00AC54F2"/>
    <w:rsid w:val="00AC5A07"/>
    <w:rsid w:val="00AC5B90"/>
    <w:rsid w:val="00AC6D4E"/>
    <w:rsid w:val="00AC728F"/>
    <w:rsid w:val="00AC7BAE"/>
    <w:rsid w:val="00AC7CBF"/>
    <w:rsid w:val="00AD0E3A"/>
    <w:rsid w:val="00AD1311"/>
    <w:rsid w:val="00AD2EEB"/>
    <w:rsid w:val="00AD3759"/>
    <w:rsid w:val="00AD3A52"/>
    <w:rsid w:val="00AD508C"/>
    <w:rsid w:val="00AD522F"/>
    <w:rsid w:val="00AD5574"/>
    <w:rsid w:val="00AD5F1A"/>
    <w:rsid w:val="00AD681C"/>
    <w:rsid w:val="00AD70FF"/>
    <w:rsid w:val="00AD72B4"/>
    <w:rsid w:val="00AE0D44"/>
    <w:rsid w:val="00AE0ED5"/>
    <w:rsid w:val="00AE1B0A"/>
    <w:rsid w:val="00AE2371"/>
    <w:rsid w:val="00AE3622"/>
    <w:rsid w:val="00AE5172"/>
    <w:rsid w:val="00AE5C73"/>
    <w:rsid w:val="00AE6766"/>
    <w:rsid w:val="00AF11FB"/>
    <w:rsid w:val="00AF194B"/>
    <w:rsid w:val="00AF1CD1"/>
    <w:rsid w:val="00AF20C1"/>
    <w:rsid w:val="00AF3722"/>
    <w:rsid w:val="00AF3C5D"/>
    <w:rsid w:val="00AF6EB9"/>
    <w:rsid w:val="00B009AD"/>
    <w:rsid w:val="00B013D4"/>
    <w:rsid w:val="00B027B4"/>
    <w:rsid w:val="00B0280C"/>
    <w:rsid w:val="00B039FE"/>
    <w:rsid w:val="00B03CCD"/>
    <w:rsid w:val="00B03E5F"/>
    <w:rsid w:val="00B04BF6"/>
    <w:rsid w:val="00B05235"/>
    <w:rsid w:val="00B05A29"/>
    <w:rsid w:val="00B06698"/>
    <w:rsid w:val="00B07820"/>
    <w:rsid w:val="00B1078F"/>
    <w:rsid w:val="00B10A0B"/>
    <w:rsid w:val="00B10E2A"/>
    <w:rsid w:val="00B11950"/>
    <w:rsid w:val="00B119E3"/>
    <w:rsid w:val="00B1309F"/>
    <w:rsid w:val="00B131D6"/>
    <w:rsid w:val="00B14A4F"/>
    <w:rsid w:val="00B14CD6"/>
    <w:rsid w:val="00B179A6"/>
    <w:rsid w:val="00B233C8"/>
    <w:rsid w:val="00B242DF"/>
    <w:rsid w:val="00B24CD5"/>
    <w:rsid w:val="00B264C9"/>
    <w:rsid w:val="00B26C23"/>
    <w:rsid w:val="00B30AC8"/>
    <w:rsid w:val="00B318C6"/>
    <w:rsid w:val="00B322D8"/>
    <w:rsid w:val="00B3247C"/>
    <w:rsid w:val="00B32924"/>
    <w:rsid w:val="00B33204"/>
    <w:rsid w:val="00B35099"/>
    <w:rsid w:val="00B35FEA"/>
    <w:rsid w:val="00B3651F"/>
    <w:rsid w:val="00B3675F"/>
    <w:rsid w:val="00B3680D"/>
    <w:rsid w:val="00B36DF7"/>
    <w:rsid w:val="00B4022B"/>
    <w:rsid w:val="00B409D1"/>
    <w:rsid w:val="00B41A3E"/>
    <w:rsid w:val="00B424C7"/>
    <w:rsid w:val="00B450D7"/>
    <w:rsid w:val="00B45177"/>
    <w:rsid w:val="00B46009"/>
    <w:rsid w:val="00B47D3C"/>
    <w:rsid w:val="00B505F2"/>
    <w:rsid w:val="00B50A85"/>
    <w:rsid w:val="00B519C1"/>
    <w:rsid w:val="00B51EDA"/>
    <w:rsid w:val="00B52CD9"/>
    <w:rsid w:val="00B52D29"/>
    <w:rsid w:val="00B5301F"/>
    <w:rsid w:val="00B538E3"/>
    <w:rsid w:val="00B55D97"/>
    <w:rsid w:val="00B56AA7"/>
    <w:rsid w:val="00B57602"/>
    <w:rsid w:val="00B60107"/>
    <w:rsid w:val="00B61204"/>
    <w:rsid w:val="00B61F0F"/>
    <w:rsid w:val="00B62F21"/>
    <w:rsid w:val="00B638A7"/>
    <w:rsid w:val="00B63A5C"/>
    <w:rsid w:val="00B63C5E"/>
    <w:rsid w:val="00B70AFF"/>
    <w:rsid w:val="00B711A7"/>
    <w:rsid w:val="00B71958"/>
    <w:rsid w:val="00B721D5"/>
    <w:rsid w:val="00B73D4B"/>
    <w:rsid w:val="00B742D9"/>
    <w:rsid w:val="00B74FB2"/>
    <w:rsid w:val="00B76C3B"/>
    <w:rsid w:val="00B805DB"/>
    <w:rsid w:val="00B811E9"/>
    <w:rsid w:val="00B83BCF"/>
    <w:rsid w:val="00B83C18"/>
    <w:rsid w:val="00B8582D"/>
    <w:rsid w:val="00B86CFF"/>
    <w:rsid w:val="00B91312"/>
    <w:rsid w:val="00B93EE7"/>
    <w:rsid w:val="00B94CFD"/>
    <w:rsid w:val="00B95766"/>
    <w:rsid w:val="00B97EB4"/>
    <w:rsid w:val="00BA0500"/>
    <w:rsid w:val="00BA1551"/>
    <w:rsid w:val="00BA394B"/>
    <w:rsid w:val="00BA3EB7"/>
    <w:rsid w:val="00BA4956"/>
    <w:rsid w:val="00BA64F4"/>
    <w:rsid w:val="00BB1606"/>
    <w:rsid w:val="00BB1700"/>
    <w:rsid w:val="00BB1A85"/>
    <w:rsid w:val="00BB1DB9"/>
    <w:rsid w:val="00BB2DBC"/>
    <w:rsid w:val="00BB3CF0"/>
    <w:rsid w:val="00BB48DF"/>
    <w:rsid w:val="00BB55B5"/>
    <w:rsid w:val="00BB623D"/>
    <w:rsid w:val="00BB6785"/>
    <w:rsid w:val="00BB6D40"/>
    <w:rsid w:val="00BB71D8"/>
    <w:rsid w:val="00BC01B1"/>
    <w:rsid w:val="00BC07A3"/>
    <w:rsid w:val="00BC240F"/>
    <w:rsid w:val="00BC40B2"/>
    <w:rsid w:val="00BC4D66"/>
    <w:rsid w:val="00BC748B"/>
    <w:rsid w:val="00BC74C0"/>
    <w:rsid w:val="00BD00BE"/>
    <w:rsid w:val="00BD0CCD"/>
    <w:rsid w:val="00BD21BB"/>
    <w:rsid w:val="00BD5881"/>
    <w:rsid w:val="00BD61CA"/>
    <w:rsid w:val="00BD6336"/>
    <w:rsid w:val="00BD65F4"/>
    <w:rsid w:val="00BD6A0D"/>
    <w:rsid w:val="00BD7B63"/>
    <w:rsid w:val="00BE0127"/>
    <w:rsid w:val="00BE07C6"/>
    <w:rsid w:val="00BE11DE"/>
    <w:rsid w:val="00BE2396"/>
    <w:rsid w:val="00BE2D47"/>
    <w:rsid w:val="00BE2DE2"/>
    <w:rsid w:val="00BE3F6A"/>
    <w:rsid w:val="00BE4CF0"/>
    <w:rsid w:val="00BE51AC"/>
    <w:rsid w:val="00BE5735"/>
    <w:rsid w:val="00BE620B"/>
    <w:rsid w:val="00BE6640"/>
    <w:rsid w:val="00BE6EC7"/>
    <w:rsid w:val="00BE7109"/>
    <w:rsid w:val="00BE714F"/>
    <w:rsid w:val="00BE73AB"/>
    <w:rsid w:val="00BE7A5C"/>
    <w:rsid w:val="00BF007B"/>
    <w:rsid w:val="00BF0401"/>
    <w:rsid w:val="00BF12F2"/>
    <w:rsid w:val="00BF148F"/>
    <w:rsid w:val="00BF152C"/>
    <w:rsid w:val="00BF3404"/>
    <w:rsid w:val="00BF390D"/>
    <w:rsid w:val="00BF39E3"/>
    <w:rsid w:val="00BF4177"/>
    <w:rsid w:val="00BF549D"/>
    <w:rsid w:val="00BF5744"/>
    <w:rsid w:val="00BF6308"/>
    <w:rsid w:val="00BF6F7B"/>
    <w:rsid w:val="00BF7446"/>
    <w:rsid w:val="00BF750F"/>
    <w:rsid w:val="00BF7CB5"/>
    <w:rsid w:val="00C01DFE"/>
    <w:rsid w:val="00C0288E"/>
    <w:rsid w:val="00C03417"/>
    <w:rsid w:val="00C04CDA"/>
    <w:rsid w:val="00C058B7"/>
    <w:rsid w:val="00C05EC9"/>
    <w:rsid w:val="00C06120"/>
    <w:rsid w:val="00C065F0"/>
    <w:rsid w:val="00C07759"/>
    <w:rsid w:val="00C105D8"/>
    <w:rsid w:val="00C10DEF"/>
    <w:rsid w:val="00C10F98"/>
    <w:rsid w:val="00C11DCC"/>
    <w:rsid w:val="00C1248D"/>
    <w:rsid w:val="00C13360"/>
    <w:rsid w:val="00C1381F"/>
    <w:rsid w:val="00C13D76"/>
    <w:rsid w:val="00C14396"/>
    <w:rsid w:val="00C15565"/>
    <w:rsid w:val="00C155A4"/>
    <w:rsid w:val="00C15B6C"/>
    <w:rsid w:val="00C163EF"/>
    <w:rsid w:val="00C1690B"/>
    <w:rsid w:val="00C16F40"/>
    <w:rsid w:val="00C1711F"/>
    <w:rsid w:val="00C2108C"/>
    <w:rsid w:val="00C231E3"/>
    <w:rsid w:val="00C238F3"/>
    <w:rsid w:val="00C253F6"/>
    <w:rsid w:val="00C25AD4"/>
    <w:rsid w:val="00C26C3C"/>
    <w:rsid w:val="00C26C82"/>
    <w:rsid w:val="00C2740B"/>
    <w:rsid w:val="00C30D62"/>
    <w:rsid w:val="00C3294F"/>
    <w:rsid w:val="00C32C45"/>
    <w:rsid w:val="00C32C69"/>
    <w:rsid w:val="00C33623"/>
    <w:rsid w:val="00C34D0D"/>
    <w:rsid w:val="00C35784"/>
    <w:rsid w:val="00C3613D"/>
    <w:rsid w:val="00C36455"/>
    <w:rsid w:val="00C37F8B"/>
    <w:rsid w:val="00C4054F"/>
    <w:rsid w:val="00C40AE2"/>
    <w:rsid w:val="00C44078"/>
    <w:rsid w:val="00C44D69"/>
    <w:rsid w:val="00C46CC4"/>
    <w:rsid w:val="00C46D66"/>
    <w:rsid w:val="00C475F7"/>
    <w:rsid w:val="00C508AB"/>
    <w:rsid w:val="00C535D4"/>
    <w:rsid w:val="00C53910"/>
    <w:rsid w:val="00C553B0"/>
    <w:rsid w:val="00C555F7"/>
    <w:rsid w:val="00C557CF"/>
    <w:rsid w:val="00C558F8"/>
    <w:rsid w:val="00C55C86"/>
    <w:rsid w:val="00C560C5"/>
    <w:rsid w:val="00C57662"/>
    <w:rsid w:val="00C600EF"/>
    <w:rsid w:val="00C609F9"/>
    <w:rsid w:val="00C61038"/>
    <w:rsid w:val="00C62186"/>
    <w:rsid w:val="00C631F8"/>
    <w:rsid w:val="00C64118"/>
    <w:rsid w:val="00C64EF7"/>
    <w:rsid w:val="00C66732"/>
    <w:rsid w:val="00C66821"/>
    <w:rsid w:val="00C66A72"/>
    <w:rsid w:val="00C66D5D"/>
    <w:rsid w:val="00C67871"/>
    <w:rsid w:val="00C67C3E"/>
    <w:rsid w:val="00C72209"/>
    <w:rsid w:val="00C7515B"/>
    <w:rsid w:val="00C752F5"/>
    <w:rsid w:val="00C75BBA"/>
    <w:rsid w:val="00C76C94"/>
    <w:rsid w:val="00C77970"/>
    <w:rsid w:val="00C8055E"/>
    <w:rsid w:val="00C80EAE"/>
    <w:rsid w:val="00C80FB9"/>
    <w:rsid w:val="00C817CB"/>
    <w:rsid w:val="00C81C6D"/>
    <w:rsid w:val="00C82C3F"/>
    <w:rsid w:val="00C83015"/>
    <w:rsid w:val="00C83442"/>
    <w:rsid w:val="00C84C4E"/>
    <w:rsid w:val="00C84DE2"/>
    <w:rsid w:val="00C86BC2"/>
    <w:rsid w:val="00C901F1"/>
    <w:rsid w:val="00C90499"/>
    <w:rsid w:val="00C9101D"/>
    <w:rsid w:val="00C91562"/>
    <w:rsid w:val="00C91B7C"/>
    <w:rsid w:val="00C969D8"/>
    <w:rsid w:val="00C97064"/>
    <w:rsid w:val="00CA0934"/>
    <w:rsid w:val="00CA12F1"/>
    <w:rsid w:val="00CA1588"/>
    <w:rsid w:val="00CA1D27"/>
    <w:rsid w:val="00CA487E"/>
    <w:rsid w:val="00CA7268"/>
    <w:rsid w:val="00CB241D"/>
    <w:rsid w:val="00CB437A"/>
    <w:rsid w:val="00CB5B1A"/>
    <w:rsid w:val="00CB6ED2"/>
    <w:rsid w:val="00CC01BD"/>
    <w:rsid w:val="00CC15E0"/>
    <w:rsid w:val="00CC2229"/>
    <w:rsid w:val="00CC2EA0"/>
    <w:rsid w:val="00CC4112"/>
    <w:rsid w:val="00CC55E1"/>
    <w:rsid w:val="00CC56F0"/>
    <w:rsid w:val="00CC5F4D"/>
    <w:rsid w:val="00CC6515"/>
    <w:rsid w:val="00CC65CC"/>
    <w:rsid w:val="00CC6B10"/>
    <w:rsid w:val="00CC6FD1"/>
    <w:rsid w:val="00CC758A"/>
    <w:rsid w:val="00CD26C0"/>
    <w:rsid w:val="00CD2AA2"/>
    <w:rsid w:val="00CD3CCD"/>
    <w:rsid w:val="00CD3E81"/>
    <w:rsid w:val="00CD4358"/>
    <w:rsid w:val="00CD5B63"/>
    <w:rsid w:val="00CD73ED"/>
    <w:rsid w:val="00CD760C"/>
    <w:rsid w:val="00CE16E2"/>
    <w:rsid w:val="00CE1FBC"/>
    <w:rsid w:val="00CE3DA9"/>
    <w:rsid w:val="00CE4094"/>
    <w:rsid w:val="00CE45E0"/>
    <w:rsid w:val="00CE501D"/>
    <w:rsid w:val="00CE5C73"/>
    <w:rsid w:val="00CE6368"/>
    <w:rsid w:val="00CE6A49"/>
    <w:rsid w:val="00CE6C8E"/>
    <w:rsid w:val="00CE7189"/>
    <w:rsid w:val="00CE7448"/>
    <w:rsid w:val="00CF0CE1"/>
    <w:rsid w:val="00CF28AB"/>
    <w:rsid w:val="00CF2A22"/>
    <w:rsid w:val="00CF4A63"/>
    <w:rsid w:val="00CF5816"/>
    <w:rsid w:val="00CF5B39"/>
    <w:rsid w:val="00CF6601"/>
    <w:rsid w:val="00CF6A78"/>
    <w:rsid w:val="00CF6CA0"/>
    <w:rsid w:val="00D0017B"/>
    <w:rsid w:val="00D0122C"/>
    <w:rsid w:val="00D01FA4"/>
    <w:rsid w:val="00D02B0D"/>
    <w:rsid w:val="00D03848"/>
    <w:rsid w:val="00D03AF3"/>
    <w:rsid w:val="00D04375"/>
    <w:rsid w:val="00D04630"/>
    <w:rsid w:val="00D04CCB"/>
    <w:rsid w:val="00D0511B"/>
    <w:rsid w:val="00D07451"/>
    <w:rsid w:val="00D075E3"/>
    <w:rsid w:val="00D10913"/>
    <w:rsid w:val="00D11843"/>
    <w:rsid w:val="00D122FA"/>
    <w:rsid w:val="00D13953"/>
    <w:rsid w:val="00D15008"/>
    <w:rsid w:val="00D20CA2"/>
    <w:rsid w:val="00D23A7D"/>
    <w:rsid w:val="00D23C8E"/>
    <w:rsid w:val="00D23F13"/>
    <w:rsid w:val="00D246F4"/>
    <w:rsid w:val="00D24880"/>
    <w:rsid w:val="00D2766F"/>
    <w:rsid w:val="00D301F2"/>
    <w:rsid w:val="00D33F47"/>
    <w:rsid w:val="00D34897"/>
    <w:rsid w:val="00D34F3A"/>
    <w:rsid w:val="00D354CB"/>
    <w:rsid w:val="00D354EE"/>
    <w:rsid w:val="00D37447"/>
    <w:rsid w:val="00D4056E"/>
    <w:rsid w:val="00D4094F"/>
    <w:rsid w:val="00D40E22"/>
    <w:rsid w:val="00D40F7C"/>
    <w:rsid w:val="00D416C4"/>
    <w:rsid w:val="00D43A71"/>
    <w:rsid w:val="00D44BB3"/>
    <w:rsid w:val="00D46B20"/>
    <w:rsid w:val="00D46FE1"/>
    <w:rsid w:val="00D5020F"/>
    <w:rsid w:val="00D5039A"/>
    <w:rsid w:val="00D51D69"/>
    <w:rsid w:val="00D536C4"/>
    <w:rsid w:val="00D54CD6"/>
    <w:rsid w:val="00D55409"/>
    <w:rsid w:val="00D63177"/>
    <w:rsid w:val="00D63DA4"/>
    <w:rsid w:val="00D64E16"/>
    <w:rsid w:val="00D65F90"/>
    <w:rsid w:val="00D66D05"/>
    <w:rsid w:val="00D66E84"/>
    <w:rsid w:val="00D672FB"/>
    <w:rsid w:val="00D67370"/>
    <w:rsid w:val="00D72179"/>
    <w:rsid w:val="00D7271F"/>
    <w:rsid w:val="00D72DEA"/>
    <w:rsid w:val="00D736D1"/>
    <w:rsid w:val="00D73D78"/>
    <w:rsid w:val="00D747EC"/>
    <w:rsid w:val="00D74B6E"/>
    <w:rsid w:val="00D76D79"/>
    <w:rsid w:val="00D77073"/>
    <w:rsid w:val="00D810B0"/>
    <w:rsid w:val="00D819A1"/>
    <w:rsid w:val="00D838E8"/>
    <w:rsid w:val="00D8615B"/>
    <w:rsid w:val="00D86902"/>
    <w:rsid w:val="00D86DB4"/>
    <w:rsid w:val="00D90984"/>
    <w:rsid w:val="00D92A23"/>
    <w:rsid w:val="00D93565"/>
    <w:rsid w:val="00D94006"/>
    <w:rsid w:val="00D94E1A"/>
    <w:rsid w:val="00D966D3"/>
    <w:rsid w:val="00D96A59"/>
    <w:rsid w:val="00D97C85"/>
    <w:rsid w:val="00DA1970"/>
    <w:rsid w:val="00DA2D07"/>
    <w:rsid w:val="00DA31FB"/>
    <w:rsid w:val="00DA4819"/>
    <w:rsid w:val="00DA524B"/>
    <w:rsid w:val="00DA5B6B"/>
    <w:rsid w:val="00DA70B4"/>
    <w:rsid w:val="00DB0030"/>
    <w:rsid w:val="00DB2758"/>
    <w:rsid w:val="00DB31B3"/>
    <w:rsid w:val="00DB3788"/>
    <w:rsid w:val="00DB4713"/>
    <w:rsid w:val="00DB4E41"/>
    <w:rsid w:val="00DB5A02"/>
    <w:rsid w:val="00DB5A1B"/>
    <w:rsid w:val="00DC0126"/>
    <w:rsid w:val="00DC0517"/>
    <w:rsid w:val="00DC067E"/>
    <w:rsid w:val="00DC0A21"/>
    <w:rsid w:val="00DC1053"/>
    <w:rsid w:val="00DC15A5"/>
    <w:rsid w:val="00DC17F6"/>
    <w:rsid w:val="00DC2247"/>
    <w:rsid w:val="00DC3CB9"/>
    <w:rsid w:val="00DC5400"/>
    <w:rsid w:val="00DC6A6F"/>
    <w:rsid w:val="00DC7E35"/>
    <w:rsid w:val="00DD04FB"/>
    <w:rsid w:val="00DD2576"/>
    <w:rsid w:val="00DD273B"/>
    <w:rsid w:val="00DD32E5"/>
    <w:rsid w:val="00DD4088"/>
    <w:rsid w:val="00DD7479"/>
    <w:rsid w:val="00DD79AF"/>
    <w:rsid w:val="00DE01B0"/>
    <w:rsid w:val="00DE1F8B"/>
    <w:rsid w:val="00DE3706"/>
    <w:rsid w:val="00DE43A3"/>
    <w:rsid w:val="00DE44EC"/>
    <w:rsid w:val="00DE7A0D"/>
    <w:rsid w:val="00DF0474"/>
    <w:rsid w:val="00DF04A5"/>
    <w:rsid w:val="00DF0EA4"/>
    <w:rsid w:val="00DF1BE4"/>
    <w:rsid w:val="00DF2D9B"/>
    <w:rsid w:val="00DF31ED"/>
    <w:rsid w:val="00DF3230"/>
    <w:rsid w:val="00DF3739"/>
    <w:rsid w:val="00DF38A5"/>
    <w:rsid w:val="00DF3E9C"/>
    <w:rsid w:val="00DF42AB"/>
    <w:rsid w:val="00DF60C4"/>
    <w:rsid w:val="00DF65FD"/>
    <w:rsid w:val="00DF7649"/>
    <w:rsid w:val="00E001BE"/>
    <w:rsid w:val="00E00412"/>
    <w:rsid w:val="00E0059A"/>
    <w:rsid w:val="00E00FA0"/>
    <w:rsid w:val="00E01FB3"/>
    <w:rsid w:val="00E0266C"/>
    <w:rsid w:val="00E02B57"/>
    <w:rsid w:val="00E030DA"/>
    <w:rsid w:val="00E030EA"/>
    <w:rsid w:val="00E033F7"/>
    <w:rsid w:val="00E0401A"/>
    <w:rsid w:val="00E0562F"/>
    <w:rsid w:val="00E05C4F"/>
    <w:rsid w:val="00E07C8A"/>
    <w:rsid w:val="00E07DA4"/>
    <w:rsid w:val="00E10614"/>
    <w:rsid w:val="00E11DCE"/>
    <w:rsid w:val="00E11ED7"/>
    <w:rsid w:val="00E12BD9"/>
    <w:rsid w:val="00E12E58"/>
    <w:rsid w:val="00E1403B"/>
    <w:rsid w:val="00E1530D"/>
    <w:rsid w:val="00E156C6"/>
    <w:rsid w:val="00E1650D"/>
    <w:rsid w:val="00E20D95"/>
    <w:rsid w:val="00E22276"/>
    <w:rsid w:val="00E233EA"/>
    <w:rsid w:val="00E25037"/>
    <w:rsid w:val="00E2519D"/>
    <w:rsid w:val="00E25201"/>
    <w:rsid w:val="00E26113"/>
    <w:rsid w:val="00E26EF7"/>
    <w:rsid w:val="00E27147"/>
    <w:rsid w:val="00E3066C"/>
    <w:rsid w:val="00E30BAA"/>
    <w:rsid w:val="00E31F38"/>
    <w:rsid w:val="00E34373"/>
    <w:rsid w:val="00E3539A"/>
    <w:rsid w:val="00E3565F"/>
    <w:rsid w:val="00E363DF"/>
    <w:rsid w:val="00E3660A"/>
    <w:rsid w:val="00E36917"/>
    <w:rsid w:val="00E36D09"/>
    <w:rsid w:val="00E3785B"/>
    <w:rsid w:val="00E37F08"/>
    <w:rsid w:val="00E4063A"/>
    <w:rsid w:val="00E40BE0"/>
    <w:rsid w:val="00E45D17"/>
    <w:rsid w:val="00E51E85"/>
    <w:rsid w:val="00E5346C"/>
    <w:rsid w:val="00E53EAA"/>
    <w:rsid w:val="00E54241"/>
    <w:rsid w:val="00E568B9"/>
    <w:rsid w:val="00E57958"/>
    <w:rsid w:val="00E60B84"/>
    <w:rsid w:val="00E62BFF"/>
    <w:rsid w:val="00E62C90"/>
    <w:rsid w:val="00E63F1E"/>
    <w:rsid w:val="00E648CD"/>
    <w:rsid w:val="00E649FA"/>
    <w:rsid w:val="00E6699F"/>
    <w:rsid w:val="00E71B29"/>
    <w:rsid w:val="00E74A88"/>
    <w:rsid w:val="00E759F4"/>
    <w:rsid w:val="00E772A0"/>
    <w:rsid w:val="00E77BB5"/>
    <w:rsid w:val="00E8097B"/>
    <w:rsid w:val="00E80F7E"/>
    <w:rsid w:val="00E82408"/>
    <w:rsid w:val="00E8265D"/>
    <w:rsid w:val="00E834AD"/>
    <w:rsid w:val="00E854AA"/>
    <w:rsid w:val="00E85CB1"/>
    <w:rsid w:val="00E86465"/>
    <w:rsid w:val="00E8768C"/>
    <w:rsid w:val="00E87D95"/>
    <w:rsid w:val="00E87FDE"/>
    <w:rsid w:val="00E90125"/>
    <w:rsid w:val="00E9280E"/>
    <w:rsid w:val="00E93201"/>
    <w:rsid w:val="00E93F12"/>
    <w:rsid w:val="00E95583"/>
    <w:rsid w:val="00E957E7"/>
    <w:rsid w:val="00E95FE4"/>
    <w:rsid w:val="00E965D6"/>
    <w:rsid w:val="00EA00A9"/>
    <w:rsid w:val="00EA0D6E"/>
    <w:rsid w:val="00EA1FFB"/>
    <w:rsid w:val="00EA2D38"/>
    <w:rsid w:val="00EA2F66"/>
    <w:rsid w:val="00EA3650"/>
    <w:rsid w:val="00EA50B5"/>
    <w:rsid w:val="00EA5C8F"/>
    <w:rsid w:val="00EA6E2B"/>
    <w:rsid w:val="00EB07BD"/>
    <w:rsid w:val="00EB0EE5"/>
    <w:rsid w:val="00EB18C4"/>
    <w:rsid w:val="00EB29E8"/>
    <w:rsid w:val="00EB2F15"/>
    <w:rsid w:val="00EB33FE"/>
    <w:rsid w:val="00EB35DE"/>
    <w:rsid w:val="00EB3609"/>
    <w:rsid w:val="00EB3F90"/>
    <w:rsid w:val="00EB485D"/>
    <w:rsid w:val="00EB4CA8"/>
    <w:rsid w:val="00EB5571"/>
    <w:rsid w:val="00EC0358"/>
    <w:rsid w:val="00EC2597"/>
    <w:rsid w:val="00EC2CE4"/>
    <w:rsid w:val="00EC45C1"/>
    <w:rsid w:val="00EC4CA6"/>
    <w:rsid w:val="00EC5903"/>
    <w:rsid w:val="00EC6DD7"/>
    <w:rsid w:val="00EC73DA"/>
    <w:rsid w:val="00EC764F"/>
    <w:rsid w:val="00ED0454"/>
    <w:rsid w:val="00ED049B"/>
    <w:rsid w:val="00ED3B12"/>
    <w:rsid w:val="00ED4861"/>
    <w:rsid w:val="00ED7514"/>
    <w:rsid w:val="00ED7AA1"/>
    <w:rsid w:val="00ED7EF8"/>
    <w:rsid w:val="00EE1E9A"/>
    <w:rsid w:val="00EE545C"/>
    <w:rsid w:val="00EE5887"/>
    <w:rsid w:val="00EE6913"/>
    <w:rsid w:val="00EF09EF"/>
    <w:rsid w:val="00EF2BE8"/>
    <w:rsid w:val="00EF2D60"/>
    <w:rsid w:val="00EF2E14"/>
    <w:rsid w:val="00EF33A2"/>
    <w:rsid w:val="00EF3C62"/>
    <w:rsid w:val="00EF4239"/>
    <w:rsid w:val="00EF4382"/>
    <w:rsid w:val="00EF491C"/>
    <w:rsid w:val="00EF5B88"/>
    <w:rsid w:val="00EF62F8"/>
    <w:rsid w:val="00EF642A"/>
    <w:rsid w:val="00EF6B66"/>
    <w:rsid w:val="00EF6DD4"/>
    <w:rsid w:val="00EF6E94"/>
    <w:rsid w:val="00EF75D2"/>
    <w:rsid w:val="00EF7D5A"/>
    <w:rsid w:val="00F004D2"/>
    <w:rsid w:val="00F00DCE"/>
    <w:rsid w:val="00F01B0F"/>
    <w:rsid w:val="00F01F41"/>
    <w:rsid w:val="00F0282E"/>
    <w:rsid w:val="00F02D7F"/>
    <w:rsid w:val="00F04D0F"/>
    <w:rsid w:val="00F0548A"/>
    <w:rsid w:val="00F07474"/>
    <w:rsid w:val="00F07629"/>
    <w:rsid w:val="00F07C57"/>
    <w:rsid w:val="00F1184D"/>
    <w:rsid w:val="00F121D3"/>
    <w:rsid w:val="00F12710"/>
    <w:rsid w:val="00F137E3"/>
    <w:rsid w:val="00F13BDA"/>
    <w:rsid w:val="00F165F3"/>
    <w:rsid w:val="00F17498"/>
    <w:rsid w:val="00F175A4"/>
    <w:rsid w:val="00F22E50"/>
    <w:rsid w:val="00F23CCA"/>
    <w:rsid w:val="00F246F7"/>
    <w:rsid w:val="00F2489E"/>
    <w:rsid w:val="00F26DBA"/>
    <w:rsid w:val="00F3141D"/>
    <w:rsid w:val="00F3280D"/>
    <w:rsid w:val="00F32C75"/>
    <w:rsid w:val="00F33D59"/>
    <w:rsid w:val="00F3502E"/>
    <w:rsid w:val="00F35125"/>
    <w:rsid w:val="00F35428"/>
    <w:rsid w:val="00F3626E"/>
    <w:rsid w:val="00F3740B"/>
    <w:rsid w:val="00F37A57"/>
    <w:rsid w:val="00F402FC"/>
    <w:rsid w:val="00F40AA4"/>
    <w:rsid w:val="00F40C58"/>
    <w:rsid w:val="00F41506"/>
    <w:rsid w:val="00F41A72"/>
    <w:rsid w:val="00F428E7"/>
    <w:rsid w:val="00F42BF3"/>
    <w:rsid w:val="00F43533"/>
    <w:rsid w:val="00F4467A"/>
    <w:rsid w:val="00F44AFC"/>
    <w:rsid w:val="00F461FD"/>
    <w:rsid w:val="00F4794D"/>
    <w:rsid w:val="00F4798C"/>
    <w:rsid w:val="00F525AF"/>
    <w:rsid w:val="00F52A95"/>
    <w:rsid w:val="00F550C1"/>
    <w:rsid w:val="00F55532"/>
    <w:rsid w:val="00F555E4"/>
    <w:rsid w:val="00F573AC"/>
    <w:rsid w:val="00F60B73"/>
    <w:rsid w:val="00F61204"/>
    <w:rsid w:val="00F61448"/>
    <w:rsid w:val="00F61A56"/>
    <w:rsid w:val="00F62A1E"/>
    <w:rsid w:val="00F64095"/>
    <w:rsid w:val="00F64BB9"/>
    <w:rsid w:val="00F6564F"/>
    <w:rsid w:val="00F65B37"/>
    <w:rsid w:val="00F664BD"/>
    <w:rsid w:val="00F70BCC"/>
    <w:rsid w:val="00F71D26"/>
    <w:rsid w:val="00F7273D"/>
    <w:rsid w:val="00F7420F"/>
    <w:rsid w:val="00F74ABB"/>
    <w:rsid w:val="00F760D9"/>
    <w:rsid w:val="00F77E63"/>
    <w:rsid w:val="00F77F99"/>
    <w:rsid w:val="00F801C0"/>
    <w:rsid w:val="00F80564"/>
    <w:rsid w:val="00F82537"/>
    <w:rsid w:val="00F827F9"/>
    <w:rsid w:val="00F83706"/>
    <w:rsid w:val="00F83801"/>
    <w:rsid w:val="00F83BF1"/>
    <w:rsid w:val="00F84B59"/>
    <w:rsid w:val="00F85477"/>
    <w:rsid w:val="00F854BC"/>
    <w:rsid w:val="00F85EF5"/>
    <w:rsid w:val="00F86790"/>
    <w:rsid w:val="00F87238"/>
    <w:rsid w:val="00F872C8"/>
    <w:rsid w:val="00F92786"/>
    <w:rsid w:val="00F92810"/>
    <w:rsid w:val="00F94289"/>
    <w:rsid w:val="00F94661"/>
    <w:rsid w:val="00F94AD6"/>
    <w:rsid w:val="00F95820"/>
    <w:rsid w:val="00F958CA"/>
    <w:rsid w:val="00F96974"/>
    <w:rsid w:val="00F96C84"/>
    <w:rsid w:val="00F96E63"/>
    <w:rsid w:val="00F97827"/>
    <w:rsid w:val="00FA0B5B"/>
    <w:rsid w:val="00FA0DFA"/>
    <w:rsid w:val="00FA24BB"/>
    <w:rsid w:val="00FA4218"/>
    <w:rsid w:val="00FA43DC"/>
    <w:rsid w:val="00FA5668"/>
    <w:rsid w:val="00FA6230"/>
    <w:rsid w:val="00FA7B23"/>
    <w:rsid w:val="00FA7BCF"/>
    <w:rsid w:val="00FB0089"/>
    <w:rsid w:val="00FB0547"/>
    <w:rsid w:val="00FB07E0"/>
    <w:rsid w:val="00FB1346"/>
    <w:rsid w:val="00FB1797"/>
    <w:rsid w:val="00FB1F1A"/>
    <w:rsid w:val="00FB2D31"/>
    <w:rsid w:val="00FB3850"/>
    <w:rsid w:val="00FB5580"/>
    <w:rsid w:val="00FB7376"/>
    <w:rsid w:val="00FC01C9"/>
    <w:rsid w:val="00FC0704"/>
    <w:rsid w:val="00FC0CF7"/>
    <w:rsid w:val="00FC2596"/>
    <w:rsid w:val="00FC2D65"/>
    <w:rsid w:val="00FC3DB3"/>
    <w:rsid w:val="00FC5380"/>
    <w:rsid w:val="00FC69F1"/>
    <w:rsid w:val="00FC6A3B"/>
    <w:rsid w:val="00FC6B73"/>
    <w:rsid w:val="00FC6CE9"/>
    <w:rsid w:val="00FC72D3"/>
    <w:rsid w:val="00FC7B39"/>
    <w:rsid w:val="00FC7DB4"/>
    <w:rsid w:val="00FD00A1"/>
    <w:rsid w:val="00FD050F"/>
    <w:rsid w:val="00FD08D7"/>
    <w:rsid w:val="00FD2193"/>
    <w:rsid w:val="00FD2B78"/>
    <w:rsid w:val="00FD2B9A"/>
    <w:rsid w:val="00FD719E"/>
    <w:rsid w:val="00FD7244"/>
    <w:rsid w:val="00FE00F2"/>
    <w:rsid w:val="00FE14CF"/>
    <w:rsid w:val="00FE2825"/>
    <w:rsid w:val="00FE44C1"/>
    <w:rsid w:val="00FE560D"/>
    <w:rsid w:val="00FE78D2"/>
    <w:rsid w:val="00FF2033"/>
    <w:rsid w:val="00FF2EDC"/>
    <w:rsid w:val="00FF429F"/>
    <w:rsid w:val="00FF5577"/>
    <w:rsid w:val="00FF7350"/>
    <w:rsid w:val="00FF7681"/>
    <w:rsid w:val="00FF785C"/>
    <w:rsid w:val="00FF7F6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686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uiPriority="35" w:qFormat="1"/>
    <w:lsdException w:name="List Number 3"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F6E94"/>
    <w:pPr>
      <w:spacing w:line="360" w:lineRule="auto"/>
    </w:pPr>
    <w:rPr>
      <w:rFonts w:ascii="Arial" w:hAnsi="Arial"/>
      <w:sz w:val="24"/>
      <w:szCs w:val="22"/>
      <w:lang w:eastAsia="en-US"/>
    </w:rPr>
  </w:style>
  <w:style w:type="paragraph" w:styleId="Ttulo1">
    <w:name w:val="heading 1"/>
    <w:aliases w:val="Título 2_novo,Título 1 - SHS,Títuloy numerado"/>
    <w:basedOn w:val="Normal"/>
    <w:next w:val="Normal"/>
    <w:link w:val="Ttulo1Char"/>
    <w:autoRedefine/>
    <w:uiPriority w:val="9"/>
    <w:qFormat/>
    <w:rsid w:val="00F71D26"/>
    <w:pPr>
      <w:keepNext/>
      <w:keepLines/>
      <w:spacing w:before="240" w:after="240"/>
      <w:jc w:val="center"/>
      <w:outlineLvl w:val="0"/>
    </w:pPr>
    <w:rPr>
      <w:rFonts w:eastAsia="Times New Roman"/>
      <w:b/>
      <w:bCs/>
      <w:sz w:val="28"/>
      <w:szCs w:val="28"/>
      <w:lang w:val="x-none" w:eastAsia="x-none"/>
    </w:rPr>
  </w:style>
  <w:style w:type="paragraph" w:styleId="Ttulo2">
    <w:name w:val="heading 2"/>
    <w:aliases w:val="Título 2 NUMERADO"/>
    <w:basedOn w:val="Normal"/>
    <w:next w:val="Normal"/>
    <w:link w:val="Ttulo2Char"/>
    <w:autoRedefine/>
    <w:uiPriority w:val="9"/>
    <w:unhideWhenUsed/>
    <w:qFormat/>
    <w:rsid w:val="000341EF"/>
    <w:pPr>
      <w:keepNext/>
      <w:keepLines/>
      <w:tabs>
        <w:tab w:val="left" w:pos="567"/>
        <w:tab w:val="left" w:pos="709"/>
        <w:tab w:val="left" w:pos="993"/>
      </w:tabs>
      <w:spacing w:before="240" w:after="240"/>
      <w:jc w:val="both"/>
      <w:outlineLvl w:val="1"/>
    </w:pPr>
    <w:rPr>
      <w:rFonts w:eastAsia="Times New Roman"/>
      <w:b/>
      <w:bCs/>
      <w:szCs w:val="24"/>
      <w:lang w:val="x-none" w:eastAsia="x-none"/>
    </w:rPr>
  </w:style>
  <w:style w:type="paragraph" w:styleId="Ttulo3">
    <w:name w:val="heading 3"/>
    <w:aliases w:val="Título 3 SHS"/>
    <w:basedOn w:val="SHS-Ttulo02"/>
    <w:next w:val="Normal"/>
    <w:link w:val="Ttulo3Char"/>
    <w:autoRedefine/>
    <w:unhideWhenUsed/>
    <w:qFormat/>
    <w:rsid w:val="00810C89"/>
    <w:pPr>
      <w:widowControl/>
      <w:numPr>
        <w:ilvl w:val="2"/>
      </w:numPr>
      <w:spacing w:before="120" w:after="120"/>
      <w:jc w:val="left"/>
      <w:outlineLvl w:val="2"/>
    </w:pPr>
    <w:rPr>
      <w:rFonts w:cs="Times New Roman"/>
      <w:i/>
      <w:color w:val="000000"/>
      <w:lang w:val="x-none" w:eastAsia="x-none"/>
    </w:rPr>
  </w:style>
  <w:style w:type="paragraph" w:styleId="Ttulo4">
    <w:name w:val="heading 4"/>
    <w:basedOn w:val="Ttulo3"/>
    <w:next w:val="Normal"/>
    <w:link w:val="Ttulo4Char"/>
    <w:autoRedefine/>
    <w:unhideWhenUsed/>
    <w:qFormat/>
    <w:rsid w:val="00810C89"/>
    <w:pPr>
      <w:numPr>
        <w:ilvl w:val="3"/>
      </w:numPr>
      <w:ind w:left="1134" w:hanging="1134"/>
      <w:outlineLvl w:val="3"/>
    </w:pPr>
    <w:rPr>
      <w:i w:val="0"/>
      <w:sz w:val="22"/>
      <w:szCs w:val="22"/>
    </w:rPr>
  </w:style>
  <w:style w:type="paragraph" w:styleId="Ttulo5">
    <w:name w:val="heading 5"/>
    <w:basedOn w:val="Ttulo4"/>
    <w:next w:val="Normal"/>
    <w:link w:val="Ttulo5Char"/>
    <w:autoRedefine/>
    <w:qFormat/>
    <w:rsid w:val="00810C89"/>
    <w:pPr>
      <w:numPr>
        <w:ilvl w:val="4"/>
      </w:numPr>
      <w:ind w:left="1418" w:hanging="1418"/>
      <w:outlineLvl w:val="4"/>
    </w:pPr>
    <w:rPr>
      <w:i/>
    </w:rPr>
  </w:style>
  <w:style w:type="paragraph" w:styleId="Ttulo6">
    <w:name w:val="heading 6"/>
    <w:basedOn w:val="Ttulo5"/>
    <w:next w:val="Normal"/>
    <w:link w:val="Ttulo6Char"/>
    <w:uiPriority w:val="9"/>
    <w:qFormat/>
    <w:rsid w:val="00615E6E"/>
    <w:pPr>
      <w:numPr>
        <w:ilvl w:val="6"/>
      </w:numPr>
      <w:outlineLvl w:val="5"/>
    </w:pPr>
  </w:style>
  <w:style w:type="paragraph" w:styleId="Ttulo7">
    <w:name w:val="heading 7"/>
    <w:basedOn w:val="Normal"/>
    <w:next w:val="Normal"/>
    <w:link w:val="Ttulo7Char"/>
    <w:uiPriority w:val="9"/>
    <w:qFormat/>
    <w:rsid w:val="000A0514"/>
    <w:pPr>
      <w:tabs>
        <w:tab w:val="num" w:pos="2430"/>
      </w:tabs>
      <w:spacing w:before="240" w:after="60"/>
      <w:ind w:left="2430" w:hanging="1296"/>
      <w:contextualSpacing/>
      <w:jc w:val="both"/>
      <w:outlineLvl w:val="6"/>
    </w:pPr>
    <w:rPr>
      <w:rFonts w:ascii="Times New Roman" w:eastAsia="Times New Roman" w:hAnsi="Times New Roman"/>
      <w:szCs w:val="24"/>
      <w:lang w:val="x-none" w:eastAsia="x-none"/>
    </w:rPr>
  </w:style>
  <w:style w:type="paragraph" w:styleId="Ttulo8">
    <w:name w:val="heading 8"/>
    <w:basedOn w:val="Ttulo3"/>
    <w:next w:val="Normal"/>
    <w:link w:val="Ttulo8Char"/>
    <w:uiPriority w:val="9"/>
    <w:qFormat/>
    <w:rsid w:val="000A0514"/>
    <w:pPr>
      <w:keepNext/>
      <w:numPr>
        <w:ilvl w:val="0"/>
        <w:numId w:val="0"/>
      </w:numPr>
      <w:tabs>
        <w:tab w:val="num" w:pos="2410"/>
      </w:tabs>
      <w:ind w:left="2410" w:hanging="864"/>
      <w:outlineLvl w:val="7"/>
    </w:pPr>
    <w:rPr>
      <w:bCs/>
      <w:i w:val="0"/>
      <w:color w:val="auto"/>
      <w:sz w:val="22"/>
      <w:szCs w:val="22"/>
    </w:rPr>
  </w:style>
  <w:style w:type="paragraph" w:styleId="Ttulo9">
    <w:name w:val="heading 9"/>
    <w:basedOn w:val="Normal"/>
    <w:next w:val="Normal"/>
    <w:link w:val="Ttulo9Char"/>
    <w:uiPriority w:val="9"/>
    <w:unhideWhenUsed/>
    <w:qFormat/>
    <w:rsid w:val="00931FC2"/>
    <w:pPr>
      <w:spacing w:before="240" w:after="60"/>
      <w:outlineLvl w:val="8"/>
    </w:pPr>
    <w:rPr>
      <w:rFonts w:ascii="Cambria" w:eastAsia="Times New Roman" w:hAnsi="Cambria"/>
      <w:sz w:val="22"/>
      <w:lang w:val="x-non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styleId="Tabelacomgrade">
    <w:name w:val="Table Grid"/>
    <w:basedOn w:val="Tabelanormal"/>
    <w:uiPriority w:val="59"/>
    <w:rsid w:val="00AF19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FE00F2"/>
    <w:pPr>
      <w:spacing w:before="100" w:beforeAutospacing="1" w:after="100" w:afterAutospacing="1" w:line="240" w:lineRule="auto"/>
    </w:pPr>
    <w:rPr>
      <w:rFonts w:ascii="Times New Roman" w:eastAsia="Times New Roman" w:hAnsi="Times New Roman"/>
      <w:szCs w:val="24"/>
      <w:lang w:eastAsia="pt-BR"/>
    </w:rPr>
  </w:style>
  <w:style w:type="character" w:customStyle="1" w:styleId="Ttulo1Char">
    <w:name w:val="Título 1 Char"/>
    <w:aliases w:val="Título 2_novo Char,Título 1 - SHS Char,Títuloy numerado Char"/>
    <w:link w:val="Ttulo1"/>
    <w:uiPriority w:val="9"/>
    <w:rsid w:val="00F71D26"/>
    <w:rPr>
      <w:rFonts w:ascii="Arial" w:eastAsia="Times New Roman" w:hAnsi="Arial" w:cs="Arial"/>
      <w:b/>
      <w:bCs/>
      <w:sz w:val="28"/>
      <w:szCs w:val="28"/>
      <w:lang w:eastAsia="x-none"/>
    </w:rPr>
  </w:style>
  <w:style w:type="paragraph" w:customStyle="1" w:styleId="Capa">
    <w:name w:val="Capa"/>
    <w:basedOn w:val="Normal"/>
    <w:rsid w:val="008F3022"/>
    <w:pPr>
      <w:widowControl w:val="0"/>
      <w:spacing w:before="60" w:after="120"/>
      <w:jc w:val="center"/>
    </w:pPr>
    <w:rPr>
      <w:rFonts w:eastAsia="Times New Roman" w:cs="Arial"/>
      <w:b/>
      <w:bCs/>
      <w:smallCaps/>
      <w:sz w:val="28"/>
      <w:szCs w:val="20"/>
    </w:rPr>
  </w:style>
  <w:style w:type="paragraph" w:styleId="Rodap">
    <w:name w:val="footer"/>
    <w:link w:val="RodapChar"/>
    <w:uiPriority w:val="99"/>
    <w:qFormat/>
    <w:rsid w:val="003E5877"/>
    <w:pPr>
      <w:widowControl w:val="0"/>
      <w:tabs>
        <w:tab w:val="center" w:pos="4252"/>
        <w:tab w:val="right" w:pos="8504"/>
      </w:tabs>
      <w:contextualSpacing/>
      <w:jc w:val="both"/>
    </w:pPr>
    <w:rPr>
      <w:rFonts w:ascii="Baha" w:eastAsia="Times New Roman" w:hAnsi="Baha"/>
      <w:i/>
      <w:color w:val="A6A6A6" w:themeColor="background1" w:themeShade="A6"/>
      <w:lang w:val="x-none" w:eastAsia="x-none"/>
    </w:rPr>
  </w:style>
  <w:style w:type="character" w:customStyle="1" w:styleId="RodapChar">
    <w:name w:val="Rodapé Char"/>
    <w:link w:val="Rodap"/>
    <w:uiPriority w:val="99"/>
    <w:rsid w:val="003E5877"/>
    <w:rPr>
      <w:rFonts w:ascii="Baha" w:eastAsia="Times New Roman" w:hAnsi="Baha"/>
      <w:i/>
      <w:color w:val="A6A6A6" w:themeColor="background1" w:themeShade="A6"/>
      <w:lang w:val="x-none" w:eastAsia="x-none"/>
    </w:rPr>
  </w:style>
  <w:style w:type="paragraph" w:styleId="Cabealho">
    <w:name w:val="header"/>
    <w:basedOn w:val="Normal"/>
    <w:link w:val="CabealhoChar"/>
    <w:uiPriority w:val="99"/>
    <w:rsid w:val="008F3022"/>
    <w:pPr>
      <w:widowControl w:val="0"/>
      <w:tabs>
        <w:tab w:val="center" w:pos="4252"/>
        <w:tab w:val="right" w:pos="8504"/>
      </w:tabs>
      <w:spacing w:before="60" w:after="120"/>
      <w:ind w:firstLine="567"/>
      <w:jc w:val="both"/>
    </w:pPr>
    <w:rPr>
      <w:rFonts w:eastAsia="Times New Roman"/>
      <w:sz w:val="22"/>
      <w:szCs w:val="20"/>
      <w:lang w:val="x-none" w:eastAsia="x-none"/>
    </w:rPr>
  </w:style>
  <w:style w:type="character" w:customStyle="1" w:styleId="CabealhoChar">
    <w:name w:val="Cabeçalho Char"/>
    <w:link w:val="Cabealho"/>
    <w:uiPriority w:val="99"/>
    <w:rsid w:val="008F3022"/>
    <w:rPr>
      <w:rFonts w:ascii="Arial" w:eastAsia="Times New Roman" w:hAnsi="Arial" w:cs="Arial"/>
      <w:sz w:val="22"/>
    </w:rPr>
  </w:style>
  <w:style w:type="paragraph" w:styleId="Textodebalo">
    <w:name w:val="Balloon Text"/>
    <w:basedOn w:val="Normal"/>
    <w:link w:val="TextodebaloChar"/>
    <w:uiPriority w:val="99"/>
    <w:semiHidden/>
    <w:unhideWhenUsed/>
    <w:rsid w:val="008F3022"/>
    <w:pPr>
      <w:spacing w:line="240" w:lineRule="auto"/>
      <w:jc w:val="both"/>
    </w:pPr>
    <w:rPr>
      <w:rFonts w:ascii="Tahoma" w:eastAsia="Times New Roman" w:hAnsi="Tahoma"/>
      <w:sz w:val="16"/>
      <w:szCs w:val="16"/>
      <w:lang w:val="x-none" w:eastAsia="x-none"/>
    </w:rPr>
  </w:style>
  <w:style w:type="character" w:customStyle="1" w:styleId="TextodebaloChar">
    <w:name w:val="Texto de balão Char"/>
    <w:link w:val="Textodebalo"/>
    <w:uiPriority w:val="99"/>
    <w:semiHidden/>
    <w:rsid w:val="008F3022"/>
    <w:rPr>
      <w:rFonts w:ascii="Tahoma" w:eastAsia="Times New Roman" w:hAnsi="Tahoma" w:cs="Tahoma"/>
      <w:sz w:val="16"/>
      <w:szCs w:val="16"/>
    </w:rPr>
  </w:style>
  <w:style w:type="paragraph" w:styleId="Legenda">
    <w:name w:val="caption"/>
    <w:aliases w:val="Cima,SHS - Legenda"/>
    <w:basedOn w:val="Normal"/>
    <w:next w:val="Normal"/>
    <w:link w:val="LegendaChar"/>
    <w:uiPriority w:val="35"/>
    <w:unhideWhenUsed/>
    <w:qFormat/>
    <w:rsid w:val="00E95583"/>
    <w:pPr>
      <w:keepNext/>
      <w:spacing w:before="120" w:line="240" w:lineRule="auto"/>
      <w:jc w:val="center"/>
    </w:pPr>
    <w:rPr>
      <w:rFonts w:eastAsia="Times New Roman"/>
      <w:b/>
      <w:bCs/>
      <w:sz w:val="20"/>
      <w:szCs w:val="24"/>
      <w:lang w:val="x-none" w:eastAsia="x-none"/>
    </w:rPr>
  </w:style>
  <w:style w:type="paragraph" w:styleId="PargrafodaLista">
    <w:name w:val="List Paragraph"/>
    <w:aliases w:val="Tópicos,Parágrafo da Lista1"/>
    <w:basedOn w:val="Normal"/>
    <w:link w:val="PargrafodaListaChar"/>
    <w:uiPriority w:val="34"/>
    <w:qFormat/>
    <w:rsid w:val="008F3022"/>
    <w:pPr>
      <w:ind w:left="720"/>
      <w:contextualSpacing/>
      <w:jc w:val="both"/>
    </w:pPr>
    <w:rPr>
      <w:rFonts w:eastAsia="Times New Roman"/>
      <w:szCs w:val="20"/>
      <w:lang w:val="x-none" w:eastAsia="x-none"/>
    </w:rPr>
  </w:style>
  <w:style w:type="paragraph" w:styleId="CabealhodoSumrio">
    <w:name w:val="TOC Heading"/>
    <w:basedOn w:val="Ttulo1"/>
    <w:next w:val="Normal"/>
    <w:uiPriority w:val="39"/>
    <w:unhideWhenUsed/>
    <w:qFormat/>
    <w:rsid w:val="008F3022"/>
    <w:pPr>
      <w:spacing w:line="276" w:lineRule="auto"/>
      <w:jc w:val="left"/>
      <w:outlineLvl w:val="9"/>
    </w:pPr>
  </w:style>
  <w:style w:type="paragraph" w:styleId="Sumrio1">
    <w:name w:val="toc 1"/>
    <w:basedOn w:val="Normal"/>
    <w:next w:val="Normal"/>
    <w:autoRedefine/>
    <w:uiPriority w:val="39"/>
    <w:unhideWhenUsed/>
    <w:qFormat/>
    <w:rsid w:val="00FF7681"/>
    <w:pPr>
      <w:tabs>
        <w:tab w:val="right" w:leader="dot" w:pos="9350"/>
      </w:tabs>
      <w:spacing w:before="120" w:after="120"/>
      <w:ind w:right="567"/>
      <w:jc w:val="both"/>
    </w:pPr>
    <w:rPr>
      <w:rFonts w:eastAsia="Times New Roman" w:cs="Arial"/>
      <w:b/>
      <w:szCs w:val="20"/>
      <w:lang w:eastAsia="pt-BR"/>
    </w:rPr>
  </w:style>
  <w:style w:type="character" w:styleId="Hyperlink">
    <w:name w:val="Hyperlink"/>
    <w:uiPriority w:val="99"/>
    <w:unhideWhenUsed/>
    <w:rsid w:val="008F3022"/>
    <w:rPr>
      <w:color w:val="0000FF"/>
      <w:u w:val="single"/>
    </w:rPr>
  </w:style>
  <w:style w:type="character" w:customStyle="1" w:styleId="LegendaChar">
    <w:name w:val="Legenda Char"/>
    <w:aliases w:val="Cima Char,SHS - Legenda Char"/>
    <w:link w:val="Legenda"/>
    <w:uiPriority w:val="35"/>
    <w:rsid w:val="00E95583"/>
    <w:rPr>
      <w:rFonts w:ascii="Arial" w:eastAsia="Times New Roman" w:hAnsi="Arial"/>
      <w:b/>
      <w:bCs/>
      <w:szCs w:val="24"/>
      <w:lang w:val="x-none" w:eastAsia="x-none"/>
    </w:rPr>
  </w:style>
  <w:style w:type="character" w:styleId="Forte">
    <w:name w:val="Strong"/>
    <w:uiPriority w:val="22"/>
    <w:qFormat/>
    <w:rsid w:val="008F3022"/>
    <w:rPr>
      <w:b/>
      <w:bCs/>
    </w:rPr>
  </w:style>
  <w:style w:type="character" w:customStyle="1" w:styleId="Ttulo2Char">
    <w:name w:val="Título 2 Char"/>
    <w:aliases w:val="Título 2 NUMERADO Char"/>
    <w:link w:val="Ttulo2"/>
    <w:uiPriority w:val="9"/>
    <w:rsid w:val="000341EF"/>
    <w:rPr>
      <w:rFonts w:ascii="Arial" w:eastAsia="Times New Roman" w:hAnsi="Arial" w:cs="Arial"/>
      <w:b/>
      <w:bCs/>
      <w:sz w:val="24"/>
      <w:szCs w:val="24"/>
      <w:lang w:eastAsia="x-none"/>
    </w:rPr>
  </w:style>
  <w:style w:type="character" w:styleId="nfaseSutil">
    <w:name w:val="Subtle Emphasis"/>
    <w:uiPriority w:val="19"/>
    <w:qFormat/>
    <w:rsid w:val="008F3022"/>
    <w:rPr>
      <w:rFonts w:ascii="Arial" w:hAnsi="Arial"/>
      <w:iCs/>
      <w:color w:val="808080"/>
      <w:sz w:val="24"/>
      <w:u w:val="single"/>
    </w:rPr>
  </w:style>
  <w:style w:type="paragraph" w:styleId="Sumrio2">
    <w:name w:val="toc 2"/>
    <w:basedOn w:val="Normal"/>
    <w:next w:val="Normal"/>
    <w:autoRedefine/>
    <w:uiPriority w:val="39"/>
    <w:unhideWhenUsed/>
    <w:qFormat/>
    <w:rsid w:val="00FF7681"/>
    <w:pPr>
      <w:tabs>
        <w:tab w:val="right" w:leader="dot" w:pos="9350"/>
      </w:tabs>
      <w:spacing w:before="120" w:after="120"/>
      <w:ind w:left="284" w:right="567"/>
      <w:jc w:val="both"/>
    </w:pPr>
  </w:style>
  <w:style w:type="paragraph" w:customStyle="1" w:styleId="SHS-Ttulo01">
    <w:name w:val="SHS - Título 01"/>
    <w:basedOn w:val="Normal"/>
    <w:next w:val="Normal"/>
    <w:autoRedefine/>
    <w:uiPriority w:val="99"/>
    <w:qFormat/>
    <w:rsid w:val="00BC01B1"/>
    <w:pPr>
      <w:widowControl w:val="0"/>
      <w:numPr>
        <w:numId w:val="1"/>
      </w:numPr>
      <w:spacing w:before="240" w:after="240"/>
      <w:ind w:left="426" w:hanging="426"/>
      <w:jc w:val="both"/>
      <w:outlineLvl w:val="0"/>
    </w:pPr>
    <w:rPr>
      <w:rFonts w:eastAsia="Times New Roman" w:cs="Arial"/>
      <w:b/>
      <w:sz w:val="28"/>
      <w:szCs w:val="28"/>
      <w:lang w:eastAsia="pt-BR"/>
    </w:rPr>
  </w:style>
  <w:style w:type="paragraph" w:customStyle="1" w:styleId="SHS-Ttulo02">
    <w:name w:val="SHS - Título 02"/>
    <w:basedOn w:val="SHS-Ttulo01"/>
    <w:next w:val="Normal"/>
    <w:link w:val="SHS-Ttulo02Char"/>
    <w:autoRedefine/>
    <w:uiPriority w:val="99"/>
    <w:qFormat/>
    <w:rsid w:val="00810C89"/>
    <w:pPr>
      <w:numPr>
        <w:ilvl w:val="1"/>
      </w:numPr>
      <w:outlineLvl w:val="1"/>
    </w:pPr>
    <w:rPr>
      <w:sz w:val="24"/>
      <w:szCs w:val="24"/>
    </w:rPr>
  </w:style>
  <w:style w:type="paragraph" w:styleId="ndicedeilustraes">
    <w:name w:val="table of figures"/>
    <w:basedOn w:val="Normal"/>
    <w:next w:val="Normal"/>
    <w:uiPriority w:val="99"/>
    <w:unhideWhenUsed/>
    <w:rsid w:val="006822CA"/>
    <w:pPr>
      <w:tabs>
        <w:tab w:val="right" w:leader="dot" w:pos="9350"/>
      </w:tabs>
      <w:spacing w:before="120" w:after="120"/>
      <w:ind w:right="567"/>
      <w:jc w:val="both"/>
    </w:pPr>
  </w:style>
  <w:style w:type="paragraph" w:customStyle="1" w:styleId="Default">
    <w:name w:val="Default"/>
    <w:rsid w:val="00C058B7"/>
    <w:pPr>
      <w:autoSpaceDE w:val="0"/>
      <w:autoSpaceDN w:val="0"/>
      <w:adjustRightInd w:val="0"/>
    </w:pPr>
    <w:rPr>
      <w:rFonts w:ascii="Arial" w:hAnsi="Arial" w:cs="Arial"/>
      <w:color w:val="000000"/>
      <w:sz w:val="24"/>
      <w:szCs w:val="24"/>
    </w:rPr>
  </w:style>
  <w:style w:type="paragraph" w:customStyle="1" w:styleId="fmn-autor">
    <w:name w:val="fmn-autor"/>
    <w:basedOn w:val="Normal"/>
    <w:rsid w:val="00B039FE"/>
    <w:pPr>
      <w:spacing w:line="480" w:lineRule="auto"/>
      <w:jc w:val="center"/>
    </w:pPr>
    <w:rPr>
      <w:rFonts w:ascii="Times New Roman" w:eastAsia="Times New Roman" w:hAnsi="Times New Roman" w:cs="Arial"/>
      <w:sz w:val="32"/>
      <w:szCs w:val="32"/>
      <w:lang w:eastAsia="pt-BR"/>
    </w:rPr>
  </w:style>
  <w:style w:type="character" w:customStyle="1" w:styleId="Ttulo3Char">
    <w:name w:val="Título 3 Char"/>
    <w:aliases w:val="Título 3 SHS Char"/>
    <w:link w:val="Ttulo3"/>
    <w:rsid w:val="00810C89"/>
    <w:rPr>
      <w:rFonts w:ascii="Arial" w:eastAsia="Times New Roman" w:hAnsi="Arial"/>
      <w:b/>
      <w:i/>
      <w:color w:val="000000"/>
      <w:sz w:val="24"/>
      <w:szCs w:val="24"/>
      <w:lang w:val="x-none" w:eastAsia="x-none"/>
    </w:rPr>
  </w:style>
  <w:style w:type="paragraph" w:styleId="MapadoDocumento">
    <w:name w:val="Document Map"/>
    <w:basedOn w:val="Normal"/>
    <w:link w:val="MapadoDocumentoChar"/>
    <w:uiPriority w:val="99"/>
    <w:semiHidden/>
    <w:unhideWhenUsed/>
    <w:rsid w:val="00DB2758"/>
    <w:rPr>
      <w:rFonts w:ascii="Tahoma" w:eastAsia="Times New Roman" w:hAnsi="Tahoma"/>
      <w:sz w:val="16"/>
      <w:szCs w:val="16"/>
      <w:lang w:val="x-none" w:eastAsia="x-none"/>
    </w:rPr>
  </w:style>
  <w:style w:type="paragraph" w:styleId="Sumrio3">
    <w:name w:val="toc 3"/>
    <w:basedOn w:val="Normal"/>
    <w:next w:val="Normal"/>
    <w:autoRedefine/>
    <w:uiPriority w:val="39"/>
    <w:unhideWhenUsed/>
    <w:qFormat/>
    <w:rsid w:val="00FF7681"/>
    <w:pPr>
      <w:tabs>
        <w:tab w:val="right" w:leader="dot" w:pos="9350"/>
      </w:tabs>
      <w:spacing w:before="120" w:after="120"/>
      <w:ind w:left="567" w:right="567"/>
      <w:jc w:val="both"/>
    </w:pPr>
    <w:rPr>
      <w:i/>
    </w:rPr>
  </w:style>
  <w:style w:type="character" w:customStyle="1" w:styleId="MapadoDocumentoChar">
    <w:name w:val="Mapa do Documento Char"/>
    <w:link w:val="MapadoDocumento"/>
    <w:uiPriority w:val="99"/>
    <w:semiHidden/>
    <w:rsid w:val="00DB2758"/>
    <w:rPr>
      <w:rFonts w:ascii="Tahoma" w:eastAsia="Times New Roman" w:hAnsi="Tahoma" w:cs="Tahoma"/>
      <w:sz w:val="16"/>
      <w:szCs w:val="16"/>
    </w:rPr>
  </w:style>
  <w:style w:type="character" w:customStyle="1" w:styleId="apple-converted-space">
    <w:name w:val="apple-converted-space"/>
    <w:rsid w:val="0068763A"/>
  </w:style>
  <w:style w:type="character" w:customStyle="1" w:styleId="Ttulo5Char">
    <w:name w:val="Título 5 Char"/>
    <w:link w:val="Ttulo5"/>
    <w:rsid w:val="00810C89"/>
    <w:rPr>
      <w:rFonts w:ascii="Arial" w:eastAsia="Times New Roman" w:hAnsi="Arial"/>
      <w:b/>
      <w:i/>
      <w:color w:val="000000"/>
      <w:sz w:val="22"/>
      <w:szCs w:val="22"/>
      <w:lang w:val="x-none" w:eastAsia="x-none"/>
    </w:rPr>
  </w:style>
  <w:style w:type="character" w:customStyle="1" w:styleId="Ttulo6Char">
    <w:name w:val="Título 6 Char"/>
    <w:link w:val="Ttulo6"/>
    <w:uiPriority w:val="9"/>
    <w:rsid w:val="00615E6E"/>
    <w:rPr>
      <w:rFonts w:ascii="Arial" w:eastAsia="Times New Roman" w:hAnsi="Arial"/>
      <w:b/>
      <w:i/>
      <w:sz w:val="22"/>
      <w:szCs w:val="22"/>
      <w:lang w:val="x-none" w:eastAsia="x-none"/>
    </w:rPr>
  </w:style>
  <w:style w:type="character" w:customStyle="1" w:styleId="Ttulo7Char">
    <w:name w:val="Título 7 Char"/>
    <w:link w:val="Ttulo7"/>
    <w:uiPriority w:val="9"/>
    <w:rsid w:val="000A0514"/>
    <w:rPr>
      <w:rFonts w:ascii="Times New Roman" w:eastAsia="Times New Roman" w:hAnsi="Times New Roman"/>
      <w:sz w:val="24"/>
      <w:szCs w:val="24"/>
    </w:rPr>
  </w:style>
  <w:style w:type="character" w:customStyle="1" w:styleId="Ttulo8Char">
    <w:name w:val="Título 8 Char"/>
    <w:link w:val="Ttulo8"/>
    <w:uiPriority w:val="9"/>
    <w:rsid w:val="000A0514"/>
    <w:rPr>
      <w:rFonts w:ascii="Arial" w:eastAsia="Times New Roman" w:hAnsi="Arial" w:cs="Arial"/>
      <w:b/>
      <w:bCs/>
      <w:i/>
      <w:sz w:val="22"/>
      <w:szCs w:val="22"/>
    </w:rPr>
  </w:style>
  <w:style w:type="character" w:customStyle="1" w:styleId="Ttulo4Char">
    <w:name w:val="Título 4 Char"/>
    <w:link w:val="Ttulo4"/>
    <w:rsid w:val="00810C89"/>
    <w:rPr>
      <w:rFonts w:ascii="Arial" w:eastAsia="Times New Roman" w:hAnsi="Arial"/>
      <w:b/>
      <w:color w:val="000000"/>
      <w:sz w:val="22"/>
      <w:szCs w:val="22"/>
      <w:lang w:val="x-none" w:eastAsia="x-none"/>
    </w:rPr>
  </w:style>
  <w:style w:type="character" w:customStyle="1" w:styleId="Ttulo9Char">
    <w:name w:val="Título 9 Char"/>
    <w:link w:val="Ttulo9"/>
    <w:uiPriority w:val="9"/>
    <w:rsid w:val="00931FC2"/>
    <w:rPr>
      <w:rFonts w:ascii="Cambria" w:eastAsia="Times New Roman" w:hAnsi="Cambria" w:cs="Times New Roman"/>
      <w:sz w:val="22"/>
      <w:szCs w:val="22"/>
      <w:lang w:eastAsia="en-US"/>
    </w:rPr>
  </w:style>
  <w:style w:type="paragraph" w:styleId="Sumrio4">
    <w:name w:val="toc 4"/>
    <w:basedOn w:val="Normal"/>
    <w:next w:val="Normal"/>
    <w:autoRedefine/>
    <w:uiPriority w:val="39"/>
    <w:unhideWhenUsed/>
    <w:rsid w:val="00FF7681"/>
    <w:pPr>
      <w:tabs>
        <w:tab w:val="right" w:leader="dot" w:pos="9350"/>
      </w:tabs>
      <w:spacing w:before="120" w:after="120"/>
      <w:ind w:left="851" w:right="567"/>
    </w:pPr>
    <w:rPr>
      <w:rFonts w:eastAsia="Times New Roman"/>
      <w:sz w:val="22"/>
      <w:lang w:eastAsia="pt-BR"/>
    </w:rPr>
  </w:style>
  <w:style w:type="paragraph" w:styleId="Sumrio5">
    <w:name w:val="toc 5"/>
    <w:basedOn w:val="Normal"/>
    <w:next w:val="Normal"/>
    <w:autoRedefine/>
    <w:uiPriority w:val="39"/>
    <w:unhideWhenUsed/>
    <w:rsid w:val="00FF7681"/>
    <w:pPr>
      <w:tabs>
        <w:tab w:val="right" w:leader="dot" w:pos="9350"/>
      </w:tabs>
      <w:spacing w:before="120" w:after="120"/>
      <w:ind w:left="1134" w:right="567"/>
    </w:pPr>
    <w:rPr>
      <w:rFonts w:eastAsia="Times New Roman"/>
      <w:i/>
      <w:sz w:val="22"/>
      <w:lang w:eastAsia="pt-BR"/>
    </w:rPr>
  </w:style>
  <w:style w:type="paragraph" w:styleId="Sumrio6">
    <w:name w:val="toc 6"/>
    <w:basedOn w:val="Normal"/>
    <w:next w:val="Normal"/>
    <w:autoRedefine/>
    <w:uiPriority w:val="39"/>
    <w:unhideWhenUsed/>
    <w:rsid w:val="00E25037"/>
    <w:pPr>
      <w:spacing w:after="100" w:line="276" w:lineRule="auto"/>
      <w:ind w:left="1100"/>
    </w:pPr>
    <w:rPr>
      <w:rFonts w:ascii="Calibri" w:eastAsia="Times New Roman" w:hAnsi="Calibri"/>
      <w:sz w:val="22"/>
      <w:lang w:eastAsia="pt-BR"/>
    </w:rPr>
  </w:style>
  <w:style w:type="paragraph" w:styleId="Sumrio7">
    <w:name w:val="toc 7"/>
    <w:basedOn w:val="Normal"/>
    <w:next w:val="Normal"/>
    <w:autoRedefine/>
    <w:uiPriority w:val="39"/>
    <w:unhideWhenUsed/>
    <w:rsid w:val="00E25037"/>
    <w:pPr>
      <w:spacing w:after="100" w:line="276" w:lineRule="auto"/>
      <w:ind w:left="1320"/>
    </w:pPr>
    <w:rPr>
      <w:rFonts w:ascii="Calibri" w:eastAsia="Times New Roman" w:hAnsi="Calibri"/>
      <w:sz w:val="22"/>
      <w:lang w:eastAsia="pt-BR"/>
    </w:rPr>
  </w:style>
  <w:style w:type="paragraph" w:styleId="Sumrio8">
    <w:name w:val="toc 8"/>
    <w:basedOn w:val="Normal"/>
    <w:next w:val="Normal"/>
    <w:autoRedefine/>
    <w:uiPriority w:val="39"/>
    <w:unhideWhenUsed/>
    <w:rsid w:val="00E25037"/>
    <w:pPr>
      <w:spacing w:after="100" w:line="276" w:lineRule="auto"/>
      <w:ind w:left="1540"/>
    </w:pPr>
    <w:rPr>
      <w:rFonts w:ascii="Calibri" w:eastAsia="Times New Roman" w:hAnsi="Calibri"/>
      <w:sz w:val="22"/>
      <w:lang w:eastAsia="pt-BR"/>
    </w:rPr>
  </w:style>
  <w:style w:type="paragraph" w:styleId="Sumrio9">
    <w:name w:val="toc 9"/>
    <w:basedOn w:val="Normal"/>
    <w:next w:val="Normal"/>
    <w:autoRedefine/>
    <w:uiPriority w:val="39"/>
    <w:unhideWhenUsed/>
    <w:rsid w:val="00E25037"/>
    <w:pPr>
      <w:spacing w:after="100" w:line="276" w:lineRule="auto"/>
      <w:ind w:left="1760"/>
    </w:pPr>
    <w:rPr>
      <w:rFonts w:ascii="Calibri" w:eastAsia="Times New Roman" w:hAnsi="Calibri"/>
      <w:sz w:val="22"/>
      <w:lang w:eastAsia="pt-BR"/>
    </w:rPr>
  </w:style>
  <w:style w:type="paragraph" w:customStyle="1" w:styleId="figura">
    <w:name w:val="figura"/>
    <w:basedOn w:val="Normal"/>
    <w:next w:val="Legenda"/>
    <w:qFormat/>
    <w:rsid w:val="000243C2"/>
    <w:pPr>
      <w:widowControl w:val="0"/>
      <w:spacing w:line="240" w:lineRule="auto"/>
      <w:jc w:val="center"/>
    </w:pPr>
    <w:rPr>
      <w:rFonts w:eastAsia="Times New Roman" w:cs="Arial"/>
      <w:sz w:val="22"/>
      <w:szCs w:val="20"/>
      <w:lang w:eastAsia="pt-BR"/>
    </w:rPr>
  </w:style>
  <w:style w:type="paragraph" w:customStyle="1" w:styleId="Fonte">
    <w:name w:val="Fonte"/>
    <w:basedOn w:val="Normal"/>
    <w:link w:val="FonteChar"/>
    <w:qFormat/>
    <w:rsid w:val="00AC47A2"/>
    <w:pPr>
      <w:spacing w:after="240" w:line="240" w:lineRule="auto"/>
      <w:contextualSpacing/>
      <w:jc w:val="center"/>
    </w:pPr>
    <w:rPr>
      <w:rFonts w:eastAsia="Times New Roman"/>
      <w:sz w:val="22"/>
      <w:lang w:eastAsia="pt-BR"/>
    </w:rPr>
  </w:style>
  <w:style w:type="paragraph" w:customStyle="1" w:styleId="Imagem">
    <w:name w:val="Imagem"/>
    <w:basedOn w:val="Normal"/>
    <w:uiPriority w:val="99"/>
    <w:qFormat/>
    <w:rsid w:val="009D457B"/>
    <w:pPr>
      <w:suppressAutoHyphens/>
      <w:spacing w:before="120" w:after="120"/>
      <w:contextualSpacing/>
      <w:jc w:val="center"/>
    </w:pPr>
    <w:rPr>
      <w:rFonts w:eastAsia="Times New Roman"/>
      <w:color w:val="000000"/>
      <w:szCs w:val="20"/>
      <w:lang w:eastAsia="ar-SA"/>
    </w:rPr>
  </w:style>
  <w:style w:type="character" w:customStyle="1" w:styleId="PargrafodaListaChar">
    <w:name w:val="Parágrafo da Lista Char"/>
    <w:aliases w:val="Tópicos Char,Parágrafo da Lista1 Char"/>
    <w:link w:val="PargrafodaLista"/>
    <w:uiPriority w:val="34"/>
    <w:rsid w:val="00161690"/>
    <w:rPr>
      <w:rFonts w:ascii="Arial" w:eastAsia="Times New Roman" w:hAnsi="Arial" w:cs="Arial"/>
      <w:sz w:val="24"/>
    </w:rPr>
  </w:style>
  <w:style w:type="paragraph" w:customStyle="1" w:styleId="shs-texto">
    <w:name w:val="shs - texto"/>
    <w:basedOn w:val="Normal"/>
    <w:link w:val="shs-textoChar"/>
    <w:rsid w:val="00161690"/>
    <w:pPr>
      <w:widowControl w:val="0"/>
      <w:ind w:firstLine="1134"/>
      <w:jc w:val="both"/>
    </w:pPr>
    <w:rPr>
      <w:rFonts w:eastAsia="Times New Roman"/>
      <w:szCs w:val="36"/>
      <w:lang w:val="x-none" w:eastAsia="x-none"/>
    </w:rPr>
  </w:style>
  <w:style w:type="character" w:customStyle="1" w:styleId="shs-textoChar">
    <w:name w:val="shs - texto Char"/>
    <w:link w:val="shs-texto"/>
    <w:rsid w:val="00161690"/>
    <w:rPr>
      <w:rFonts w:ascii="Arial" w:eastAsia="Times New Roman" w:hAnsi="Arial"/>
      <w:sz w:val="24"/>
      <w:szCs w:val="36"/>
    </w:rPr>
  </w:style>
  <w:style w:type="paragraph" w:customStyle="1" w:styleId="Referncias">
    <w:name w:val="Referências"/>
    <w:basedOn w:val="Normal"/>
    <w:rsid w:val="003B0F56"/>
    <w:pPr>
      <w:spacing w:before="120" w:after="120"/>
      <w:ind w:left="851" w:hanging="851"/>
      <w:contextualSpacing/>
      <w:jc w:val="both"/>
    </w:pPr>
    <w:rPr>
      <w:rFonts w:eastAsia="Times New Roman" w:cs="Arial"/>
      <w:szCs w:val="24"/>
      <w:lang w:eastAsia="pt-BR"/>
    </w:rPr>
  </w:style>
  <w:style w:type="character" w:styleId="Refdecomentrio">
    <w:name w:val="annotation reference"/>
    <w:uiPriority w:val="99"/>
    <w:semiHidden/>
    <w:unhideWhenUsed/>
    <w:rsid w:val="005A4B08"/>
    <w:rPr>
      <w:sz w:val="16"/>
      <w:szCs w:val="16"/>
    </w:rPr>
  </w:style>
  <w:style w:type="paragraph" w:styleId="Textodecomentrio">
    <w:name w:val="annotation text"/>
    <w:basedOn w:val="Normal"/>
    <w:link w:val="TextodecomentrioChar"/>
    <w:uiPriority w:val="99"/>
    <w:unhideWhenUsed/>
    <w:rsid w:val="005A4B08"/>
    <w:rPr>
      <w:sz w:val="20"/>
      <w:szCs w:val="20"/>
      <w:lang w:val="x-none"/>
    </w:rPr>
  </w:style>
  <w:style w:type="character" w:customStyle="1" w:styleId="TextodecomentrioChar">
    <w:name w:val="Texto de comentário Char"/>
    <w:link w:val="Textodecomentrio"/>
    <w:uiPriority w:val="99"/>
    <w:rsid w:val="005A4B08"/>
    <w:rPr>
      <w:rFonts w:ascii="Arial" w:hAnsi="Arial"/>
      <w:lang w:eastAsia="en-US"/>
    </w:rPr>
  </w:style>
  <w:style w:type="paragraph" w:styleId="Assuntodocomentrio">
    <w:name w:val="annotation subject"/>
    <w:basedOn w:val="Textodecomentrio"/>
    <w:next w:val="Textodecomentrio"/>
    <w:link w:val="AssuntodocomentrioChar"/>
    <w:uiPriority w:val="99"/>
    <w:semiHidden/>
    <w:unhideWhenUsed/>
    <w:rsid w:val="005A4B08"/>
    <w:rPr>
      <w:b/>
      <w:bCs/>
    </w:rPr>
  </w:style>
  <w:style w:type="character" w:customStyle="1" w:styleId="AssuntodocomentrioChar">
    <w:name w:val="Assunto do comentário Char"/>
    <w:link w:val="Assuntodocomentrio"/>
    <w:uiPriority w:val="99"/>
    <w:semiHidden/>
    <w:rsid w:val="005A4B08"/>
    <w:rPr>
      <w:rFonts w:ascii="Arial" w:hAnsi="Arial"/>
      <w:b/>
      <w:bCs/>
      <w:lang w:eastAsia="en-US"/>
    </w:rPr>
  </w:style>
  <w:style w:type="paragraph" w:styleId="Textodenotaderodap">
    <w:name w:val="footnote text"/>
    <w:basedOn w:val="Normal"/>
    <w:link w:val="TextodenotaderodapChar"/>
    <w:uiPriority w:val="99"/>
    <w:semiHidden/>
    <w:unhideWhenUsed/>
    <w:rsid w:val="00A47BCB"/>
    <w:rPr>
      <w:sz w:val="20"/>
      <w:szCs w:val="20"/>
      <w:lang w:val="x-none"/>
    </w:rPr>
  </w:style>
  <w:style w:type="character" w:customStyle="1" w:styleId="TextodenotaderodapChar">
    <w:name w:val="Texto de nota de rodapé Char"/>
    <w:link w:val="Textodenotaderodap"/>
    <w:uiPriority w:val="99"/>
    <w:semiHidden/>
    <w:rsid w:val="00A47BCB"/>
    <w:rPr>
      <w:rFonts w:ascii="Arial" w:hAnsi="Arial"/>
      <w:lang w:eastAsia="en-US"/>
    </w:rPr>
  </w:style>
  <w:style w:type="character" w:styleId="Refdenotaderodap">
    <w:name w:val="footnote reference"/>
    <w:uiPriority w:val="99"/>
    <w:semiHidden/>
    <w:unhideWhenUsed/>
    <w:rsid w:val="00A47BCB"/>
    <w:rPr>
      <w:vertAlign w:val="superscript"/>
    </w:rPr>
  </w:style>
  <w:style w:type="character" w:styleId="nfase">
    <w:name w:val="Emphasis"/>
    <w:aliases w:val="Sem numeração"/>
    <w:uiPriority w:val="20"/>
    <w:qFormat/>
    <w:rsid w:val="009F4761"/>
    <w:rPr>
      <w:i/>
      <w:iCs/>
    </w:rPr>
  </w:style>
  <w:style w:type="character" w:styleId="TextodoEspaoReservado">
    <w:name w:val="Placeholder Text"/>
    <w:uiPriority w:val="99"/>
    <w:semiHidden/>
    <w:rsid w:val="003F525F"/>
    <w:rPr>
      <w:color w:val="808080"/>
    </w:rPr>
  </w:style>
  <w:style w:type="table" w:styleId="SombreamentoClaro-nfase3">
    <w:name w:val="Light Shading Accent 3"/>
    <w:basedOn w:val="Tabelanormal"/>
    <w:uiPriority w:val="60"/>
    <w:rsid w:val="003E5877"/>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staClara-nfase3">
    <w:name w:val="Light List Accent 3"/>
    <w:basedOn w:val="Tabelanormal"/>
    <w:uiPriority w:val="61"/>
    <w:rsid w:val="003E5877"/>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styleId="Corpodetexto">
    <w:name w:val="Body Text"/>
    <w:basedOn w:val="Normal"/>
    <w:link w:val="CorpodetextoChar"/>
    <w:semiHidden/>
    <w:unhideWhenUsed/>
    <w:rsid w:val="003E5877"/>
    <w:pPr>
      <w:spacing w:before="240" w:after="200" w:line="240" w:lineRule="auto"/>
      <w:jc w:val="both"/>
    </w:pPr>
    <w:rPr>
      <w:rFonts w:ascii="Tahoma" w:eastAsia="Times New Roman" w:hAnsi="Tahoma" w:cs="Tahoma"/>
      <w:szCs w:val="24"/>
      <w:lang w:eastAsia="pt-BR"/>
    </w:rPr>
  </w:style>
  <w:style w:type="character" w:customStyle="1" w:styleId="CorpodetextoChar">
    <w:name w:val="Corpo de texto Char"/>
    <w:basedOn w:val="Fontepargpadro"/>
    <w:link w:val="Corpodetexto"/>
    <w:semiHidden/>
    <w:rsid w:val="003E5877"/>
    <w:rPr>
      <w:rFonts w:ascii="Tahoma" w:eastAsia="Times New Roman" w:hAnsi="Tahoma" w:cs="Tahoma"/>
      <w:sz w:val="24"/>
      <w:szCs w:val="24"/>
    </w:rPr>
  </w:style>
  <w:style w:type="paragraph" w:customStyle="1" w:styleId="Corpodetexto21">
    <w:name w:val="Corpo de texto 21"/>
    <w:basedOn w:val="Normal"/>
    <w:rsid w:val="003E5877"/>
    <w:pPr>
      <w:suppressAutoHyphens/>
      <w:spacing w:after="200" w:line="240" w:lineRule="auto"/>
      <w:jc w:val="both"/>
    </w:pPr>
    <w:rPr>
      <w:rFonts w:eastAsia="Times New Roman" w:cs="Arial"/>
      <w:sz w:val="20"/>
      <w:szCs w:val="20"/>
      <w:lang w:eastAsia="ar-SA"/>
    </w:rPr>
  </w:style>
  <w:style w:type="table" w:styleId="SombreamentoClaro-nfase1">
    <w:name w:val="Light Shading Accent 1"/>
    <w:basedOn w:val="Tabelanormal"/>
    <w:uiPriority w:val="60"/>
    <w:rsid w:val="003E5877"/>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FonteChar">
    <w:name w:val="Fonte Char"/>
    <w:link w:val="Fonte"/>
    <w:locked/>
    <w:rsid w:val="00AC47A2"/>
    <w:rPr>
      <w:rFonts w:ascii="Arial" w:eastAsia="Times New Roman" w:hAnsi="Arial"/>
      <w:sz w:val="22"/>
      <w:szCs w:val="22"/>
    </w:rPr>
  </w:style>
  <w:style w:type="paragraph" w:customStyle="1" w:styleId="texto1">
    <w:name w:val="texto1"/>
    <w:basedOn w:val="Normal"/>
    <w:rsid w:val="003E5877"/>
    <w:pPr>
      <w:spacing w:before="100" w:beforeAutospacing="1" w:after="100" w:afterAutospacing="1" w:line="240" w:lineRule="auto"/>
    </w:pPr>
    <w:rPr>
      <w:rFonts w:ascii="Times New Roman" w:eastAsia="Times New Roman" w:hAnsi="Times New Roman"/>
      <w:szCs w:val="24"/>
      <w:lang w:eastAsia="pt-BR"/>
    </w:rPr>
  </w:style>
  <w:style w:type="paragraph" w:customStyle="1" w:styleId="Estilo1">
    <w:name w:val="Estilo1"/>
    <w:basedOn w:val="PargrafodaLista"/>
    <w:link w:val="Estilo1Char"/>
    <w:rsid w:val="003E5877"/>
    <w:pPr>
      <w:numPr>
        <w:numId w:val="2"/>
      </w:numPr>
      <w:tabs>
        <w:tab w:val="left" w:pos="891"/>
      </w:tabs>
      <w:spacing w:before="240" w:after="200" w:line="240" w:lineRule="auto"/>
    </w:pPr>
    <w:rPr>
      <w:rFonts w:cs="Arial"/>
      <w:sz w:val="20"/>
      <w:lang w:val="pt-BR" w:eastAsia="pt-BR"/>
    </w:rPr>
  </w:style>
  <w:style w:type="paragraph" w:customStyle="1" w:styleId="SHS-Lista">
    <w:name w:val="SHS - Lista"/>
    <w:basedOn w:val="Normal"/>
    <w:link w:val="SHS-ListaChar"/>
    <w:rsid w:val="003E5877"/>
    <w:pPr>
      <w:widowControl w:val="0"/>
      <w:numPr>
        <w:numId w:val="3"/>
      </w:numPr>
      <w:spacing w:before="60" w:after="120"/>
      <w:jc w:val="both"/>
    </w:pPr>
    <w:rPr>
      <w:rFonts w:eastAsia="Times New Roman"/>
      <w:szCs w:val="24"/>
      <w:lang w:eastAsia="pt-BR"/>
    </w:rPr>
  </w:style>
  <w:style w:type="character" w:customStyle="1" w:styleId="Estilo1Char">
    <w:name w:val="Estilo1 Char"/>
    <w:link w:val="Estilo1"/>
    <w:rsid w:val="003E5877"/>
    <w:rPr>
      <w:rFonts w:ascii="Arial" w:eastAsia="Times New Roman" w:hAnsi="Arial" w:cs="Arial"/>
    </w:rPr>
  </w:style>
  <w:style w:type="paragraph" w:styleId="Ttulo">
    <w:name w:val="Title"/>
    <w:basedOn w:val="Normal"/>
    <w:next w:val="Normal"/>
    <w:link w:val="TtuloChar"/>
    <w:uiPriority w:val="10"/>
    <w:qFormat/>
    <w:rsid w:val="003E5877"/>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TtuloChar">
    <w:name w:val="Título Char"/>
    <w:basedOn w:val="Fontepargpadro"/>
    <w:link w:val="Ttulo"/>
    <w:uiPriority w:val="10"/>
    <w:rsid w:val="003E5877"/>
    <w:rPr>
      <w:rFonts w:ascii="Cambria" w:eastAsia="Times New Roman" w:hAnsi="Cambria"/>
      <w:color w:val="17365D"/>
      <w:spacing w:val="5"/>
      <w:kern w:val="28"/>
      <w:sz w:val="52"/>
      <w:szCs w:val="52"/>
      <w:lang w:eastAsia="en-US"/>
    </w:rPr>
  </w:style>
  <w:style w:type="paragraph" w:styleId="Reviso">
    <w:name w:val="Revision"/>
    <w:hidden/>
    <w:uiPriority w:val="99"/>
    <w:semiHidden/>
    <w:rsid w:val="003E5877"/>
    <w:rPr>
      <w:rFonts w:ascii="Arial" w:hAnsi="Arial" w:cs="Arial"/>
      <w:sz w:val="24"/>
      <w:szCs w:val="24"/>
      <w:lang w:eastAsia="en-US"/>
    </w:rPr>
  </w:style>
  <w:style w:type="table" w:customStyle="1" w:styleId="Tabelacomgrade1">
    <w:name w:val="Tabela com grade1"/>
    <w:basedOn w:val="Tabelanormal"/>
    <w:next w:val="Tabelacomgrade"/>
    <w:uiPriority w:val="59"/>
    <w:rsid w:val="003E5877"/>
    <w:rPr>
      <w:rFonts w:ascii="Arial" w:hAnsi="Arial" w:cs="Arial"/>
      <w:sz w:val="24"/>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itao">
    <w:name w:val="Quote"/>
    <w:basedOn w:val="Normal"/>
    <w:next w:val="Normal"/>
    <w:link w:val="CitaoChar"/>
    <w:uiPriority w:val="29"/>
    <w:qFormat/>
    <w:rsid w:val="003E5877"/>
    <w:pPr>
      <w:tabs>
        <w:tab w:val="left" w:pos="1845"/>
      </w:tabs>
      <w:ind w:firstLine="360"/>
      <w:jc w:val="both"/>
    </w:pPr>
    <w:rPr>
      <w:rFonts w:cs="Arial"/>
      <w:i/>
      <w:sz w:val="22"/>
      <w:szCs w:val="24"/>
      <w:shd w:val="clear" w:color="auto" w:fill="FFFFFF"/>
    </w:rPr>
  </w:style>
  <w:style w:type="character" w:customStyle="1" w:styleId="CitaoChar">
    <w:name w:val="Citação Char"/>
    <w:basedOn w:val="Fontepargpadro"/>
    <w:link w:val="Citao"/>
    <w:uiPriority w:val="29"/>
    <w:rsid w:val="003E5877"/>
    <w:rPr>
      <w:rFonts w:ascii="Arial" w:hAnsi="Arial" w:cs="Arial"/>
      <w:i/>
      <w:sz w:val="22"/>
      <w:szCs w:val="24"/>
      <w:lang w:eastAsia="en-US"/>
    </w:rPr>
  </w:style>
  <w:style w:type="character" w:styleId="HiperlinkVisitado">
    <w:name w:val="FollowedHyperlink"/>
    <w:uiPriority w:val="99"/>
    <w:semiHidden/>
    <w:unhideWhenUsed/>
    <w:rsid w:val="003E5877"/>
    <w:rPr>
      <w:color w:val="800080"/>
      <w:u w:val="single"/>
    </w:rPr>
  </w:style>
  <w:style w:type="character" w:customStyle="1" w:styleId="Ttulo1Char1">
    <w:name w:val="Título 1 Char1"/>
    <w:aliases w:val="Título 2_novo Char1,Título 1 - SHS Char1,Títuloy numerado Char1"/>
    <w:uiPriority w:val="9"/>
    <w:rsid w:val="003E5877"/>
    <w:rPr>
      <w:rFonts w:ascii="Cambria" w:eastAsia="Times New Roman" w:hAnsi="Cambria" w:cs="Times New Roman"/>
      <w:b/>
      <w:bCs/>
      <w:color w:val="365F91"/>
      <w:sz w:val="28"/>
      <w:szCs w:val="28"/>
      <w:lang w:eastAsia="en-US"/>
    </w:rPr>
  </w:style>
  <w:style w:type="character" w:customStyle="1" w:styleId="Ttulo2Char1">
    <w:name w:val="Título 2 Char1"/>
    <w:aliases w:val="Título 2 NUMERADO Char1"/>
    <w:uiPriority w:val="9"/>
    <w:semiHidden/>
    <w:rsid w:val="003E5877"/>
    <w:rPr>
      <w:rFonts w:ascii="Cambria" w:eastAsia="Times New Roman" w:hAnsi="Cambria" w:cs="Times New Roman" w:hint="default"/>
      <w:b/>
      <w:bCs/>
      <w:color w:val="4F81BD"/>
      <w:sz w:val="26"/>
      <w:szCs w:val="26"/>
    </w:rPr>
  </w:style>
  <w:style w:type="paragraph" w:styleId="Subttulo">
    <w:name w:val="Subtitle"/>
    <w:basedOn w:val="Normal"/>
    <w:next w:val="Normal"/>
    <w:link w:val="SubttuloChar"/>
    <w:uiPriority w:val="11"/>
    <w:qFormat/>
    <w:rsid w:val="003E5877"/>
    <w:pPr>
      <w:ind w:firstLine="709"/>
      <w:jc w:val="both"/>
    </w:pPr>
    <w:rPr>
      <w:rFonts w:ascii="Cambria" w:eastAsia="Times New Roman" w:hAnsi="Cambria"/>
      <w:i/>
      <w:iCs/>
      <w:color w:val="4F81BD"/>
      <w:spacing w:val="15"/>
      <w:szCs w:val="24"/>
    </w:rPr>
  </w:style>
  <w:style w:type="character" w:customStyle="1" w:styleId="SubttuloChar">
    <w:name w:val="Subtítulo Char"/>
    <w:basedOn w:val="Fontepargpadro"/>
    <w:link w:val="Subttulo"/>
    <w:uiPriority w:val="11"/>
    <w:rsid w:val="003E5877"/>
    <w:rPr>
      <w:rFonts w:ascii="Cambria" w:eastAsia="Times New Roman" w:hAnsi="Cambria"/>
      <w:i/>
      <w:iCs/>
      <w:color w:val="4F81BD"/>
      <w:spacing w:val="15"/>
      <w:sz w:val="24"/>
      <w:szCs w:val="24"/>
      <w:lang w:eastAsia="en-US"/>
    </w:rPr>
  </w:style>
  <w:style w:type="character" w:customStyle="1" w:styleId="SemEspaamentoChar">
    <w:name w:val="Sem Espaçamento Char"/>
    <w:link w:val="SemEspaamento"/>
    <w:uiPriority w:val="1"/>
    <w:locked/>
    <w:rsid w:val="003E5877"/>
    <w:rPr>
      <w:rFonts w:ascii="Arial" w:hAnsi="Arial" w:cs="Arial"/>
      <w:sz w:val="22"/>
      <w:szCs w:val="22"/>
      <w:lang w:eastAsia="en-US"/>
    </w:rPr>
  </w:style>
  <w:style w:type="paragraph" w:styleId="SemEspaamento">
    <w:name w:val="No Spacing"/>
    <w:link w:val="SemEspaamentoChar"/>
    <w:uiPriority w:val="1"/>
    <w:qFormat/>
    <w:rsid w:val="003E5877"/>
    <w:pPr>
      <w:spacing w:before="120" w:after="120" w:line="360" w:lineRule="auto"/>
    </w:pPr>
    <w:rPr>
      <w:rFonts w:ascii="Arial" w:hAnsi="Arial" w:cs="Arial"/>
      <w:sz w:val="22"/>
      <w:szCs w:val="22"/>
      <w:lang w:eastAsia="en-US"/>
    </w:rPr>
  </w:style>
  <w:style w:type="paragraph" w:styleId="CitaoIntensa">
    <w:name w:val="Intense Quote"/>
    <w:basedOn w:val="Normal"/>
    <w:next w:val="Normal"/>
    <w:link w:val="CitaoIntensaChar"/>
    <w:uiPriority w:val="30"/>
    <w:qFormat/>
    <w:rsid w:val="003E5877"/>
    <w:pPr>
      <w:pBdr>
        <w:bottom w:val="single" w:sz="4" w:space="4" w:color="4F81BD"/>
      </w:pBdr>
      <w:spacing w:before="200" w:after="280"/>
      <w:ind w:left="936" w:right="936" w:firstLine="709"/>
      <w:jc w:val="both"/>
    </w:pPr>
    <w:rPr>
      <w:b/>
      <w:bCs/>
      <w:i/>
      <w:iCs/>
      <w:color w:val="4F81BD"/>
    </w:rPr>
  </w:style>
  <w:style w:type="character" w:customStyle="1" w:styleId="CitaoIntensaChar">
    <w:name w:val="Citação Intensa Char"/>
    <w:basedOn w:val="Fontepargpadro"/>
    <w:link w:val="CitaoIntensa"/>
    <w:uiPriority w:val="30"/>
    <w:rsid w:val="003E5877"/>
    <w:rPr>
      <w:rFonts w:ascii="Arial" w:hAnsi="Arial"/>
      <w:b/>
      <w:bCs/>
      <w:i/>
      <w:iCs/>
      <w:color w:val="4F81BD"/>
      <w:sz w:val="24"/>
      <w:szCs w:val="22"/>
      <w:lang w:eastAsia="en-US"/>
    </w:rPr>
  </w:style>
  <w:style w:type="paragraph" w:customStyle="1" w:styleId="SHS-temdeTabelaEsquerda">
    <w:name w:val="SHS - Ítem de Tabela à Esquerda"/>
    <w:basedOn w:val="Normal"/>
    <w:next w:val="Normal"/>
    <w:rsid w:val="003E5877"/>
    <w:pPr>
      <w:widowControl w:val="0"/>
      <w:spacing w:line="240" w:lineRule="auto"/>
    </w:pPr>
    <w:rPr>
      <w:rFonts w:eastAsia="MS Mincho" w:cs="Arial"/>
      <w:sz w:val="20"/>
      <w:szCs w:val="15"/>
      <w:lang w:eastAsia="pt-BR"/>
    </w:rPr>
  </w:style>
  <w:style w:type="character" w:customStyle="1" w:styleId="SHS-ListaChar">
    <w:name w:val="SHS - Lista Char"/>
    <w:link w:val="SHS-Lista"/>
    <w:locked/>
    <w:rsid w:val="003E5877"/>
    <w:rPr>
      <w:rFonts w:ascii="Arial" w:eastAsia="Times New Roman" w:hAnsi="Arial"/>
      <w:sz w:val="24"/>
      <w:szCs w:val="24"/>
    </w:rPr>
  </w:style>
  <w:style w:type="character" w:customStyle="1" w:styleId="SHS-FonteChar">
    <w:name w:val="SHS - Fonte Char"/>
    <w:link w:val="SHS-Fonte"/>
    <w:locked/>
    <w:rsid w:val="003E5877"/>
    <w:rPr>
      <w:rFonts w:ascii="Arial" w:eastAsia="Times New Roman" w:hAnsi="Arial" w:cs="Arial"/>
      <w:szCs w:val="24"/>
    </w:rPr>
  </w:style>
  <w:style w:type="paragraph" w:customStyle="1" w:styleId="SHS-Fonte">
    <w:name w:val="SHS - Fonte"/>
    <w:basedOn w:val="Normal"/>
    <w:next w:val="Normal"/>
    <w:link w:val="SHS-FonteChar"/>
    <w:rsid w:val="003E5877"/>
    <w:pPr>
      <w:widowControl w:val="0"/>
      <w:autoSpaceDE w:val="0"/>
      <w:autoSpaceDN w:val="0"/>
      <w:adjustRightInd w:val="0"/>
      <w:spacing w:after="120" w:line="240" w:lineRule="auto"/>
      <w:jc w:val="center"/>
    </w:pPr>
    <w:rPr>
      <w:rFonts w:eastAsia="Times New Roman" w:cs="Arial"/>
      <w:sz w:val="20"/>
      <w:szCs w:val="24"/>
      <w:lang w:eastAsia="pt-BR"/>
    </w:rPr>
  </w:style>
  <w:style w:type="paragraph" w:customStyle="1" w:styleId="EstiloSHS-Ttulo03Negrito">
    <w:name w:val="Estilo SHS - Título 03 + Negrito"/>
    <w:basedOn w:val="Normal"/>
    <w:rsid w:val="003E5877"/>
    <w:pPr>
      <w:widowControl w:val="0"/>
      <w:tabs>
        <w:tab w:val="num" w:pos="720"/>
      </w:tabs>
      <w:spacing w:before="120" w:after="240"/>
      <w:ind w:left="720" w:hanging="720"/>
      <w:jc w:val="both"/>
      <w:outlineLvl w:val="2"/>
    </w:pPr>
    <w:rPr>
      <w:rFonts w:eastAsia="Times New Roman"/>
      <w:b/>
      <w:bCs/>
      <w:i/>
      <w:iCs/>
      <w:szCs w:val="24"/>
      <w:lang w:eastAsia="pt-BR"/>
    </w:rPr>
  </w:style>
  <w:style w:type="paragraph" w:customStyle="1" w:styleId="SHS-Figura">
    <w:name w:val="SHS - Figura"/>
    <w:basedOn w:val="Normal"/>
    <w:next w:val="Normal"/>
    <w:rsid w:val="003E5877"/>
    <w:pPr>
      <w:keepNext/>
      <w:widowControl w:val="0"/>
      <w:spacing w:before="60" w:after="120"/>
      <w:jc w:val="center"/>
    </w:pPr>
    <w:rPr>
      <w:rFonts w:eastAsia="Times New Roman"/>
      <w:bCs/>
      <w:szCs w:val="24"/>
      <w:lang w:eastAsia="pt-BR"/>
    </w:rPr>
  </w:style>
  <w:style w:type="paragraph" w:customStyle="1" w:styleId="N0Fonte">
    <w:name w:val="N0 Fonte"/>
    <w:basedOn w:val="Normal"/>
    <w:qFormat/>
    <w:rsid w:val="003E5877"/>
    <w:pPr>
      <w:spacing w:after="240" w:line="276" w:lineRule="auto"/>
      <w:ind w:left="709"/>
      <w:jc w:val="both"/>
    </w:pPr>
    <w:rPr>
      <w:sz w:val="20"/>
    </w:rPr>
  </w:style>
  <w:style w:type="character" w:customStyle="1" w:styleId="tabela-cabChar">
    <w:name w:val="tabela-cab Char"/>
    <w:link w:val="tabela-cab"/>
    <w:locked/>
    <w:rsid w:val="003E5877"/>
    <w:rPr>
      <w:rFonts w:ascii="Arial" w:eastAsia="Times New Roman" w:hAnsi="Arial" w:cs="Arial"/>
      <w:b/>
      <w:color w:val="000000"/>
    </w:rPr>
  </w:style>
  <w:style w:type="paragraph" w:customStyle="1" w:styleId="tabela-cab">
    <w:name w:val="tabela-cab"/>
    <w:basedOn w:val="Normal"/>
    <w:link w:val="tabela-cabChar"/>
    <w:qFormat/>
    <w:rsid w:val="003E5877"/>
    <w:pPr>
      <w:spacing w:before="60" w:after="60" w:line="240" w:lineRule="auto"/>
      <w:jc w:val="center"/>
    </w:pPr>
    <w:rPr>
      <w:rFonts w:eastAsia="Times New Roman" w:cs="Arial"/>
      <w:b/>
      <w:color w:val="000000"/>
      <w:sz w:val="20"/>
      <w:szCs w:val="20"/>
      <w:lang w:eastAsia="pt-BR"/>
    </w:rPr>
  </w:style>
  <w:style w:type="paragraph" w:customStyle="1" w:styleId="Estilo2">
    <w:name w:val="Estilo2"/>
    <w:basedOn w:val="Normal"/>
    <w:autoRedefine/>
    <w:qFormat/>
    <w:rsid w:val="003E5877"/>
    <w:pPr>
      <w:tabs>
        <w:tab w:val="left" w:pos="8504"/>
      </w:tabs>
      <w:ind w:left="1134" w:right="282" w:hanging="425"/>
      <w:jc w:val="both"/>
    </w:pPr>
    <w:rPr>
      <w:b/>
      <w:szCs w:val="24"/>
      <w:lang w:eastAsia="pt-BR"/>
    </w:rPr>
  </w:style>
  <w:style w:type="character" w:customStyle="1" w:styleId="LegendasChar">
    <w:name w:val="Legendas Char"/>
    <w:link w:val="Legendas"/>
    <w:locked/>
    <w:rsid w:val="003E5877"/>
    <w:rPr>
      <w:rFonts w:ascii="Arial" w:hAnsi="Arial" w:cs="Arial"/>
      <w:b/>
      <w:sz w:val="22"/>
      <w:szCs w:val="22"/>
      <w:lang w:eastAsia="en-US"/>
    </w:rPr>
  </w:style>
  <w:style w:type="paragraph" w:customStyle="1" w:styleId="Legendas">
    <w:name w:val="Legendas"/>
    <w:basedOn w:val="Normal"/>
    <w:link w:val="LegendasChar"/>
    <w:qFormat/>
    <w:rsid w:val="003E5877"/>
    <w:pPr>
      <w:spacing w:line="240" w:lineRule="auto"/>
      <w:jc w:val="center"/>
    </w:pPr>
    <w:rPr>
      <w:rFonts w:cs="Arial"/>
      <w:b/>
      <w:sz w:val="22"/>
    </w:rPr>
  </w:style>
  <w:style w:type="paragraph" w:customStyle="1" w:styleId="Quadro1">
    <w:name w:val="Quadro1"/>
    <w:basedOn w:val="Normal"/>
    <w:autoRedefine/>
    <w:qFormat/>
    <w:rsid w:val="003E5877"/>
    <w:pPr>
      <w:tabs>
        <w:tab w:val="left" w:pos="2418"/>
      </w:tabs>
      <w:spacing w:line="240" w:lineRule="auto"/>
      <w:jc w:val="both"/>
    </w:pPr>
    <w:rPr>
      <w:rFonts w:eastAsia="Batang"/>
      <w:sz w:val="20"/>
      <w:lang w:eastAsia="pt-BR"/>
    </w:rPr>
  </w:style>
  <w:style w:type="paragraph" w:customStyle="1" w:styleId="LegendaBaixo">
    <w:name w:val="Legenda Baixo"/>
    <w:basedOn w:val="Legenda"/>
    <w:next w:val="Legenda"/>
    <w:autoRedefine/>
    <w:qFormat/>
    <w:rsid w:val="003E5877"/>
    <w:pPr>
      <w:tabs>
        <w:tab w:val="left" w:pos="142"/>
      </w:tabs>
      <w:spacing w:before="0"/>
      <w:contextualSpacing/>
    </w:pPr>
    <w:rPr>
      <w:rFonts w:cs="Arial"/>
      <w:sz w:val="22"/>
      <w:szCs w:val="22"/>
    </w:rPr>
  </w:style>
  <w:style w:type="paragraph" w:customStyle="1" w:styleId="N0Figura">
    <w:name w:val="N0 Figura"/>
    <w:basedOn w:val="Normal"/>
    <w:next w:val="Legenda"/>
    <w:qFormat/>
    <w:rsid w:val="003E5877"/>
    <w:pPr>
      <w:jc w:val="center"/>
    </w:pPr>
    <w:rPr>
      <w:noProof/>
      <w:lang w:eastAsia="pt-BR"/>
    </w:rPr>
  </w:style>
  <w:style w:type="paragraph" w:customStyle="1" w:styleId="normal2">
    <w:name w:val="normal2"/>
    <w:basedOn w:val="Normal"/>
    <w:qFormat/>
    <w:rsid w:val="003E5877"/>
    <w:pPr>
      <w:spacing w:before="100" w:beforeAutospacing="1" w:after="100" w:afterAutospacing="1" w:line="240" w:lineRule="auto"/>
      <w:jc w:val="center"/>
    </w:pPr>
    <w:rPr>
      <w:rFonts w:eastAsia="Times New Roman" w:cs="Arial"/>
      <w:b/>
      <w:szCs w:val="24"/>
      <w:lang w:eastAsia="pt-BR"/>
    </w:rPr>
  </w:style>
  <w:style w:type="character" w:styleId="nfaseIntensa">
    <w:name w:val="Intense Emphasis"/>
    <w:uiPriority w:val="21"/>
    <w:qFormat/>
    <w:rsid w:val="003E5877"/>
    <w:rPr>
      <w:b/>
      <w:bCs/>
      <w:i/>
      <w:iCs/>
      <w:color w:val="4F81BD"/>
    </w:rPr>
  </w:style>
  <w:style w:type="character" w:styleId="RefernciaSutil">
    <w:name w:val="Subtle Reference"/>
    <w:uiPriority w:val="31"/>
    <w:qFormat/>
    <w:rsid w:val="003E5877"/>
    <w:rPr>
      <w:smallCaps/>
      <w:color w:val="C0504D"/>
      <w:u w:val="single"/>
    </w:rPr>
  </w:style>
  <w:style w:type="character" w:styleId="RefernciaIntensa">
    <w:name w:val="Intense Reference"/>
    <w:uiPriority w:val="32"/>
    <w:qFormat/>
    <w:rsid w:val="003E5877"/>
    <w:rPr>
      <w:b/>
      <w:bCs/>
      <w:smallCaps/>
      <w:color w:val="C0504D"/>
      <w:spacing w:val="5"/>
      <w:u w:val="single"/>
    </w:rPr>
  </w:style>
  <w:style w:type="character" w:styleId="TtulodoLivro">
    <w:name w:val="Book Title"/>
    <w:uiPriority w:val="33"/>
    <w:qFormat/>
    <w:rsid w:val="003E5877"/>
    <w:rPr>
      <w:b/>
      <w:bCs/>
      <w:smallCaps/>
      <w:spacing w:val="5"/>
    </w:rPr>
  </w:style>
  <w:style w:type="character" w:customStyle="1" w:styleId="TextodecomentrioChar1">
    <w:name w:val="Texto de comentário Char1"/>
    <w:uiPriority w:val="99"/>
    <w:semiHidden/>
    <w:rsid w:val="003E5877"/>
    <w:rPr>
      <w:rFonts w:ascii="Arial" w:hAnsi="Arial" w:cs="Arial" w:hint="default"/>
      <w:lang w:eastAsia="en-US"/>
    </w:rPr>
  </w:style>
  <w:style w:type="character" w:customStyle="1" w:styleId="AssuntodocomentrioChar1">
    <w:name w:val="Assunto do comentário Char1"/>
    <w:uiPriority w:val="99"/>
    <w:semiHidden/>
    <w:rsid w:val="003E5877"/>
    <w:rPr>
      <w:rFonts w:ascii="Arial" w:hAnsi="Arial" w:cs="Arial" w:hint="default"/>
      <w:b/>
      <w:bCs/>
      <w:lang w:eastAsia="en-US"/>
    </w:rPr>
  </w:style>
  <w:style w:type="character" w:customStyle="1" w:styleId="TextodenotaderodapChar1">
    <w:name w:val="Texto de nota de rodapé Char1"/>
    <w:uiPriority w:val="99"/>
    <w:semiHidden/>
    <w:rsid w:val="003E5877"/>
    <w:rPr>
      <w:rFonts w:ascii="Arial" w:hAnsi="Arial" w:cs="Arial" w:hint="default"/>
      <w:lang w:eastAsia="en-US"/>
    </w:rPr>
  </w:style>
  <w:style w:type="table" w:customStyle="1" w:styleId="SombreamentoClaro-nfase11">
    <w:name w:val="Sombreamento Claro - Ênfase 11"/>
    <w:basedOn w:val="Tabelanormal"/>
    <w:uiPriority w:val="60"/>
    <w:rsid w:val="003E5877"/>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TextodenotadefimChar">
    <w:name w:val="Texto de nota de fim Char"/>
    <w:basedOn w:val="Fontepargpadro"/>
    <w:link w:val="Textodenotadefim"/>
    <w:uiPriority w:val="99"/>
    <w:semiHidden/>
    <w:rsid w:val="00E82408"/>
    <w:rPr>
      <w:rFonts w:ascii="Arial" w:hAnsi="Arial"/>
      <w:lang w:eastAsia="en-US"/>
    </w:rPr>
  </w:style>
  <w:style w:type="paragraph" w:styleId="Textodenotadefim">
    <w:name w:val="endnote text"/>
    <w:basedOn w:val="Normal"/>
    <w:link w:val="TextodenotadefimChar"/>
    <w:uiPriority w:val="99"/>
    <w:semiHidden/>
    <w:unhideWhenUsed/>
    <w:rsid w:val="00E82408"/>
    <w:rPr>
      <w:sz w:val="20"/>
      <w:szCs w:val="20"/>
    </w:rPr>
  </w:style>
  <w:style w:type="character" w:customStyle="1" w:styleId="TextodenotadefimChar1">
    <w:name w:val="Texto de nota de fim Char1"/>
    <w:basedOn w:val="Fontepargpadro"/>
    <w:uiPriority w:val="99"/>
    <w:semiHidden/>
    <w:rsid w:val="00E82408"/>
    <w:rPr>
      <w:rFonts w:ascii="Arial" w:hAnsi="Arial"/>
      <w:lang w:eastAsia="en-US"/>
    </w:rPr>
  </w:style>
  <w:style w:type="paragraph" w:customStyle="1" w:styleId="xl25">
    <w:name w:val="xl25"/>
    <w:basedOn w:val="Normal"/>
    <w:rsid w:val="00E82408"/>
    <w:pPr>
      <w:pBdr>
        <w:bottom w:val="single" w:sz="4" w:space="0" w:color="auto"/>
      </w:pBdr>
      <w:spacing w:before="100" w:beforeAutospacing="1" w:after="100" w:afterAutospacing="1" w:line="240" w:lineRule="auto"/>
    </w:pPr>
    <w:rPr>
      <w:rFonts w:ascii="Times New Roman" w:eastAsia="Times New Roman" w:hAnsi="Times New Roman"/>
      <w:szCs w:val="24"/>
      <w:lang w:eastAsia="pt-BR"/>
    </w:rPr>
  </w:style>
  <w:style w:type="paragraph" w:customStyle="1" w:styleId="xl31">
    <w:name w:val="xl31"/>
    <w:basedOn w:val="Normal"/>
    <w:rsid w:val="00E82408"/>
    <w:pPr>
      <w:spacing w:before="100" w:beforeAutospacing="1" w:after="100" w:afterAutospacing="1" w:line="240" w:lineRule="auto"/>
      <w:jc w:val="center"/>
    </w:pPr>
    <w:rPr>
      <w:rFonts w:eastAsia="Times New Roman" w:cs="Arial"/>
      <w:b/>
      <w:bCs/>
      <w:szCs w:val="24"/>
      <w:lang w:eastAsia="pt-BR"/>
    </w:rPr>
  </w:style>
  <w:style w:type="paragraph" w:customStyle="1" w:styleId="artigo">
    <w:name w:val="artigo"/>
    <w:basedOn w:val="Normal"/>
    <w:rsid w:val="00D536C4"/>
    <w:pPr>
      <w:spacing w:before="100" w:beforeAutospacing="1" w:after="100" w:afterAutospacing="1" w:line="240" w:lineRule="auto"/>
    </w:pPr>
    <w:rPr>
      <w:rFonts w:ascii="Times New Roman" w:eastAsia="Times New Roman" w:hAnsi="Times New Roman"/>
      <w:szCs w:val="24"/>
      <w:lang w:eastAsia="pt-BR"/>
    </w:rPr>
  </w:style>
  <w:style w:type="paragraph" w:customStyle="1" w:styleId="font6">
    <w:name w:val="font6"/>
    <w:basedOn w:val="Normal"/>
    <w:uiPriority w:val="99"/>
    <w:rsid w:val="00D536C4"/>
    <w:pPr>
      <w:spacing w:before="100" w:beforeAutospacing="1" w:after="100" w:afterAutospacing="1" w:line="240" w:lineRule="auto"/>
    </w:pPr>
    <w:rPr>
      <w:rFonts w:eastAsia="Times New Roman" w:cs="Arial"/>
      <w:color w:val="000000"/>
      <w:sz w:val="20"/>
      <w:szCs w:val="20"/>
      <w:lang w:eastAsia="pt-BR"/>
    </w:rPr>
  </w:style>
  <w:style w:type="paragraph" w:customStyle="1" w:styleId="font5">
    <w:name w:val="font5"/>
    <w:basedOn w:val="Normal"/>
    <w:uiPriority w:val="99"/>
    <w:rsid w:val="00D536C4"/>
    <w:pPr>
      <w:spacing w:before="100" w:beforeAutospacing="1" w:after="100" w:afterAutospacing="1" w:line="240" w:lineRule="auto"/>
    </w:pPr>
    <w:rPr>
      <w:rFonts w:eastAsia="Times New Roman" w:cs="Arial"/>
      <w:color w:val="000000"/>
      <w:sz w:val="20"/>
      <w:szCs w:val="20"/>
      <w:lang w:eastAsia="pt-BR"/>
    </w:rPr>
  </w:style>
  <w:style w:type="paragraph" w:customStyle="1" w:styleId="font7">
    <w:name w:val="font7"/>
    <w:basedOn w:val="Normal"/>
    <w:uiPriority w:val="99"/>
    <w:rsid w:val="00D536C4"/>
    <w:pPr>
      <w:spacing w:before="100" w:beforeAutospacing="1" w:after="100" w:afterAutospacing="1" w:line="240" w:lineRule="auto"/>
    </w:pPr>
    <w:rPr>
      <w:rFonts w:eastAsia="Times New Roman" w:cs="Arial"/>
      <w:b/>
      <w:bCs/>
      <w:color w:val="000000"/>
      <w:sz w:val="18"/>
      <w:szCs w:val="18"/>
      <w:lang w:eastAsia="pt-BR"/>
    </w:rPr>
  </w:style>
  <w:style w:type="paragraph" w:customStyle="1" w:styleId="font8">
    <w:name w:val="font8"/>
    <w:basedOn w:val="Normal"/>
    <w:uiPriority w:val="99"/>
    <w:rsid w:val="00D536C4"/>
    <w:pPr>
      <w:spacing w:before="100" w:beforeAutospacing="1" w:after="100" w:afterAutospacing="1" w:line="240" w:lineRule="auto"/>
    </w:pPr>
    <w:rPr>
      <w:rFonts w:eastAsia="Times New Roman" w:cs="Arial"/>
      <w:color w:val="000000"/>
      <w:sz w:val="19"/>
      <w:szCs w:val="19"/>
      <w:lang w:eastAsia="pt-BR"/>
    </w:rPr>
  </w:style>
  <w:style w:type="paragraph" w:customStyle="1" w:styleId="xl65">
    <w:name w:val="xl65"/>
    <w:basedOn w:val="Normal"/>
    <w:uiPriority w:val="99"/>
    <w:rsid w:val="00D536C4"/>
    <w:pPr>
      <w:pBdr>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color w:val="000000"/>
      <w:sz w:val="20"/>
      <w:szCs w:val="20"/>
      <w:lang w:eastAsia="pt-BR"/>
    </w:rPr>
  </w:style>
  <w:style w:type="paragraph" w:customStyle="1" w:styleId="xl66">
    <w:name w:val="xl66"/>
    <w:basedOn w:val="Normal"/>
    <w:uiPriority w:val="99"/>
    <w:rsid w:val="00D536C4"/>
    <w:pPr>
      <w:pBdr>
        <w:top w:val="single" w:sz="8" w:space="0" w:color="auto"/>
        <w:left w:val="single" w:sz="8" w:space="0" w:color="auto"/>
        <w:right w:val="single" w:sz="8" w:space="0" w:color="auto"/>
      </w:pBdr>
      <w:shd w:val="clear" w:color="auto" w:fill="C0C0C0"/>
      <w:spacing w:before="100" w:beforeAutospacing="1" w:after="100" w:afterAutospacing="1" w:line="240" w:lineRule="auto"/>
      <w:jc w:val="center"/>
    </w:pPr>
    <w:rPr>
      <w:rFonts w:eastAsia="Times New Roman" w:cs="Arial"/>
      <w:b/>
      <w:bCs/>
      <w:color w:val="000000"/>
      <w:sz w:val="20"/>
      <w:szCs w:val="20"/>
      <w:lang w:eastAsia="pt-BR"/>
    </w:rPr>
  </w:style>
  <w:style w:type="paragraph" w:customStyle="1" w:styleId="xl67">
    <w:name w:val="xl67"/>
    <w:basedOn w:val="Normal"/>
    <w:uiPriority w:val="99"/>
    <w:rsid w:val="00D536C4"/>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Arial"/>
      <w:b/>
      <w:bCs/>
      <w:color w:val="000000"/>
      <w:sz w:val="20"/>
      <w:szCs w:val="20"/>
      <w:lang w:eastAsia="pt-BR"/>
    </w:rPr>
  </w:style>
  <w:style w:type="paragraph" w:customStyle="1" w:styleId="xl68">
    <w:name w:val="xl68"/>
    <w:basedOn w:val="Normal"/>
    <w:uiPriority w:val="99"/>
    <w:rsid w:val="00D536C4"/>
    <w:pPr>
      <w:pBdr>
        <w:bottom w:val="single" w:sz="8" w:space="0" w:color="auto"/>
        <w:right w:val="single" w:sz="8" w:space="0" w:color="auto"/>
      </w:pBdr>
      <w:shd w:val="clear" w:color="auto" w:fill="BFBFBF"/>
      <w:spacing w:before="100" w:beforeAutospacing="1" w:after="100" w:afterAutospacing="1" w:line="240" w:lineRule="auto"/>
      <w:jc w:val="center"/>
    </w:pPr>
    <w:rPr>
      <w:rFonts w:eastAsia="Times New Roman" w:cs="Arial"/>
      <w:color w:val="000000"/>
      <w:sz w:val="20"/>
      <w:szCs w:val="20"/>
      <w:lang w:eastAsia="pt-BR"/>
    </w:rPr>
  </w:style>
  <w:style w:type="paragraph" w:customStyle="1" w:styleId="xl69">
    <w:name w:val="xl69"/>
    <w:basedOn w:val="Normal"/>
    <w:uiPriority w:val="99"/>
    <w:rsid w:val="00D536C4"/>
    <w:pPr>
      <w:pBdr>
        <w:bottom w:val="single" w:sz="8" w:space="0" w:color="auto"/>
        <w:right w:val="single" w:sz="8" w:space="0" w:color="auto"/>
      </w:pBdr>
      <w:spacing w:before="100" w:beforeAutospacing="1" w:after="100" w:afterAutospacing="1" w:line="240" w:lineRule="auto"/>
      <w:jc w:val="center"/>
    </w:pPr>
    <w:rPr>
      <w:rFonts w:eastAsia="Times New Roman" w:cs="Arial"/>
      <w:color w:val="000000"/>
      <w:sz w:val="20"/>
      <w:szCs w:val="20"/>
      <w:lang w:eastAsia="pt-BR"/>
    </w:rPr>
  </w:style>
  <w:style w:type="paragraph" w:customStyle="1" w:styleId="xl70">
    <w:name w:val="xl70"/>
    <w:basedOn w:val="Normal"/>
    <w:uiPriority w:val="99"/>
    <w:rsid w:val="00D536C4"/>
    <w:pPr>
      <w:pBdr>
        <w:bottom w:val="single" w:sz="8" w:space="0" w:color="auto"/>
        <w:right w:val="single" w:sz="8" w:space="0" w:color="auto"/>
      </w:pBdr>
      <w:shd w:val="clear" w:color="auto" w:fill="BFBFBF"/>
      <w:spacing w:before="100" w:beforeAutospacing="1" w:after="100" w:afterAutospacing="1" w:line="240" w:lineRule="auto"/>
      <w:jc w:val="center"/>
    </w:pPr>
    <w:rPr>
      <w:rFonts w:eastAsia="Times New Roman" w:cs="Arial"/>
      <w:color w:val="000000"/>
      <w:sz w:val="20"/>
      <w:szCs w:val="20"/>
      <w:lang w:eastAsia="pt-BR"/>
    </w:rPr>
  </w:style>
  <w:style w:type="paragraph" w:customStyle="1" w:styleId="xl71">
    <w:name w:val="xl71"/>
    <w:basedOn w:val="Normal"/>
    <w:uiPriority w:val="99"/>
    <w:rsid w:val="00D536C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color w:val="000000"/>
      <w:sz w:val="20"/>
      <w:szCs w:val="20"/>
      <w:lang w:eastAsia="pt-BR"/>
    </w:rPr>
  </w:style>
  <w:style w:type="paragraph" w:customStyle="1" w:styleId="xl72">
    <w:name w:val="xl72"/>
    <w:basedOn w:val="Normal"/>
    <w:uiPriority w:val="99"/>
    <w:rsid w:val="00D536C4"/>
    <w:pPr>
      <w:pBdr>
        <w:top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color w:val="000000"/>
      <w:sz w:val="20"/>
      <w:szCs w:val="20"/>
      <w:lang w:eastAsia="pt-BR"/>
    </w:rPr>
  </w:style>
  <w:style w:type="paragraph" w:customStyle="1" w:styleId="xl73">
    <w:name w:val="xl73"/>
    <w:basedOn w:val="Normal"/>
    <w:uiPriority w:val="99"/>
    <w:rsid w:val="00D536C4"/>
    <w:pPr>
      <w:pBdr>
        <w:top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Arial"/>
      <w:color w:val="000000"/>
      <w:sz w:val="20"/>
      <w:szCs w:val="20"/>
      <w:lang w:eastAsia="pt-BR"/>
    </w:rPr>
  </w:style>
  <w:style w:type="paragraph" w:customStyle="1" w:styleId="xl74">
    <w:name w:val="xl74"/>
    <w:basedOn w:val="Normal"/>
    <w:uiPriority w:val="99"/>
    <w:rsid w:val="00D536C4"/>
    <w:pPr>
      <w:pBdr>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Arial"/>
      <w:color w:val="000000"/>
      <w:sz w:val="20"/>
      <w:szCs w:val="20"/>
      <w:lang w:eastAsia="pt-BR"/>
    </w:rPr>
  </w:style>
  <w:style w:type="paragraph" w:customStyle="1" w:styleId="xl75">
    <w:name w:val="xl75"/>
    <w:basedOn w:val="Normal"/>
    <w:uiPriority w:val="99"/>
    <w:rsid w:val="00D536C4"/>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eastAsia="Times New Roman" w:cs="Arial"/>
      <w:sz w:val="20"/>
      <w:szCs w:val="20"/>
      <w:lang w:eastAsia="pt-BR"/>
    </w:rPr>
  </w:style>
  <w:style w:type="paragraph" w:customStyle="1" w:styleId="xl76">
    <w:name w:val="xl76"/>
    <w:basedOn w:val="Normal"/>
    <w:uiPriority w:val="99"/>
    <w:rsid w:val="00D536C4"/>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eastAsia="Times New Roman" w:cs="Arial"/>
      <w:sz w:val="20"/>
      <w:szCs w:val="20"/>
      <w:lang w:eastAsia="pt-BR"/>
    </w:rPr>
  </w:style>
  <w:style w:type="paragraph" w:customStyle="1" w:styleId="xl77">
    <w:name w:val="xl77"/>
    <w:basedOn w:val="Normal"/>
    <w:uiPriority w:val="99"/>
    <w:rsid w:val="00D536C4"/>
    <w:pPr>
      <w:spacing w:before="100" w:beforeAutospacing="1" w:after="100" w:afterAutospacing="1" w:line="240" w:lineRule="auto"/>
      <w:jc w:val="center"/>
    </w:pPr>
    <w:rPr>
      <w:rFonts w:eastAsia="Times New Roman" w:cs="Arial"/>
      <w:sz w:val="18"/>
      <w:szCs w:val="18"/>
      <w:lang w:eastAsia="pt-BR"/>
    </w:rPr>
  </w:style>
  <w:style w:type="paragraph" w:customStyle="1" w:styleId="xl78">
    <w:name w:val="xl78"/>
    <w:basedOn w:val="Normal"/>
    <w:uiPriority w:val="99"/>
    <w:rsid w:val="00D536C4"/>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eastAsia="Times New Roman" w:cs="Arial"/>
      <w:sz w:val="20"/>
      <w:szCs w:val="20"/>
      <w:lang w:eastAsia="pt-BR"/>
    </w:rPr>
  </w:style>
  <w:style w:type="paragraph" w:customStyle="1" w:styleId="xl79">
    <w:name w:val="xl79"/>
    <w:basedOn w:val="Normal"/>
    <w:uiPriority w:val="99"/>
    <w:rsid w:val="00D536C4"/>
    <w:pPr>
      <w:pBdr>
        <w:bottom w:val="single" w:sz="8" w:space="0" w:color="auto"/>
        <w:right w:val="single" w:sz="8" w:space="0" w:color="auto"/>
      </w:pBdr>
      <w:shd w:val="clear" w:color="auto" w:fill="BFBFBF"/>
      <w:spacing w:before="100" w:beforeAutospacing="1" w:after="100" w:afterAutospacing="1" w:line="240" w:lineRule="auto"/>
      <w:jc w:val="center"/>
    </w:pPr>
    <w:rPr>
      <w:rFonts w:eastAsia="Times New Roman" w:cs="Arial"/>
      <w:sz w:val="20"/>
      <w:szCs w:val="20"/>
      <w:lang w:eastAsia="pt-BR"/>
    </w:rPr>
  </w:style>
  <w:style w:type="paragraph" w:customStyle="1" w:styleId="xl80">
    <w:name w:val="xl80"/>
    <w:basedOn w:val="Normal"/>
    <w:uiPriority w:val="99"/>
    <w:rsid w:val="00D536C4"/>
    <w:pPr>
      <w:pBdr>
        <w:bottom w:val="single" w:sz="8" w:space="0" w:color="auto"/>
        <w:right w:val="single" w:sz="8" w:space="0" w:color="auto"/>
      </w:pBdr>
      <w:spacing w:before="100" w:beforeAutospacing="1" w:after="100" w:afterAutospacing="1" w:line="240" w:lineRule="auto"/>
      <w:jc w:val="center"/>
    </w:pPr>
    <w:rPr>
      <w:rFonts w:eastAsia="Times New Roman" w:cs="Arial"/>
      <w:sz w:val="20"/>
      <w:szCs w:val="20"/>
      <w:lang w:eastAsia="pt-BR"/>
    </w:rPr>
  </w:style>
  <w:style w:type="paragraph" w:customStyle="1" w:styleId="xl81">
    <w:name w:val="xl81"/>
    <w:basedOn w:val="Normal"/>
    <w:uiPriority w:val="99"/>
    <w:rsid w:val="00D536C4"/>
    <w:pPr>
      <w:pBdr>
        <w:bottom w:val="single" w:sz="8" w:space="0" w:color="auto"/>
        <w:right w:val="single" w:sz="8" w:space="0" w:color="auto"/>
      </w:pBdr>
      <w:shd w:val="clear" w:color="auto" w:fill="BFBFBF"/>
      <w:spacing w:before="100" w:beforeAutospacing="1" w:after="100" w:afterAutospacing="1" w:line="240" w:lineRule="auto"/>
      <w:jc w:val="center"/>
    </w:pPr>
    <w:rPr>
      <w:rFonts w:eastAsia="Times New Roman" w:cs="Arial"/>
      <w:sz w:val="20"/>
      <w:szCs w:val="20"/>
      <w:lang w:eastAsia="pt-BR"/>
    </w:rPr>
  </w:style>
  <w:style w:type="paragraph" w:customStyle="1" w:styleId="xl82">
    <w:name w:val="xl82"/>
    <w:basedOn w:val="Normal"/>
    <w:uiPriority w:val="99"/>
    <w:rsid w:val="00D536C4"/>
    <w:pPr>
      <w:pBdr>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sz w:val="20"/>
      <w:szCs w:val="20"/>
      <w:lang w:eastAsia="pt-BR"/>
    </w:rPr>
  </w:style>
  <w:style w:type="paragraph" w:customStyle="1" w:styleId="xl83">
    <w:name w:val="xl83"/>
    <w:basedOn w:val="Normal"/>
    <w:uiPriority w:val="99"/>
    <w:rsid w:val="00D536C4"/>
    <w:pPr>
      <w:pBdr>
        <w:bottom w:val="single" w:sz="8" w:space="0" w:color="auto"/>
        <w:right w:val="single" w:sz="8" w:space="0" w:color="auto"/>
      </w:pBdr>
      <w:spacing w:before="100" w:beforeAutospacing="1" w:after="100" w:afterAutospacing="1" w:line="240" w:lineRule="auto"/>
      <w:jc w:val="center"/>
    </w:pPr>
    <w:rPr>
      <w:rFonts w:eastAsia="Times New Roman" w:cs="Arial"/>
      <w:sz w:val="20"/>
      <w:szCs w:val="20"/>
      <w:lang w:eastAsia="pt-BR"/>
    </w:rPr>
  </w:style>
  <w:style w:type="paragraph" w:customStyle="1" w:styleId="xl84">
    <w:name w:val="xl84"/>
    <w:basedOn w:val="Normal"/>
    <w:uiPriority w:val="99"/>
    <w:rsid w:val="00D536C4"/>
    <w:pPr>
      <w:spacing w:before="100" w:beforeAutospacing="1" w:after="100" w:afterAutospacing="1" w:line="240" w:lineRule="auto"/>
    </w:pPr>
    <w:rPr>
      <w:rFonts w:ascii="Times New Roman" w:eastAsia="Times New Roman" w:hAnsi="Times New Roman"/>
      <w:szCs w:val="24"/>
      <w:lang w:eastAsia="pt-BR"/>
    </w:rPr>
  </w:style>
  <w:style w:type="paragraph" w:customStyle="1" w:styleId="xl85">
    <w:name w:val="xl85"/>
    <w:basedOn w:val="Normal"/>
    <w:uiPriority w:val="99"/>
    <w:rsid w:val="00D536C4"/>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pPr>
    <w:rPr>
      <w:rFonts w:eastAsia="Times New Roman" w:cs="Arial"/>
      <w:color w:val="000000"/>
      <w:sz w:val="20"/>
      <w:szCs w:val="20"/>
      <w:lang w:eastAsia="pt-BR"/>
    </w:rPr>
  </w:style>
  <w:style w:type="paragraph" w:customStyle="1" w:styleId="xl86">
    <w:name w:val="xl86"/>
    <w:basedOn w:val="Normal"/>
    <w:uiPriority w:val="99"/>
    <w:rsid w:val="00D536C4"/>
    <w:pPr>
      <w:pBdr>
        <w:top w:val="single" w:sz="8" w:space="0" w:color="auto"/>
        <w:bottom w:val="single" w:sz="8" w:space="0" w:color="auto"/>
        <w:right w:val="single" w:sz="8" w:space="0" w:color="auto"/>
      </w:pBdr>
      <w:spacing w:before="100" w:beforeAutospacing="1" w:after="100" w:afterAutospacing="1" w:line="240" w:lineRule="auto"/>
      <w:jc w:val="both"/>
    </w:pPr>
    <w:rPr>
      <w:rFonts w:ascii="Times New Roman" w:eastAsia="Times New Roman" w:hAnsi="Times New Roman"/>
      <w:b/>
      <w:bCs/>
      <w:sz w:val="14"/>
      <w:szCs w:val="14"/>
      <w:lang w:eastAsia="pt-BR"/>
    </w:rPr>
  </w:style>
  <w:style w:type="paragraph" w:customStyle="1" w:styleId="xl87">
    <w:name w:val="xl87"/>
    <w:basedOn w:val="Normal"/>
    <w:uiPriority w:val="99"/>
    <w:rsid w:val="00D536C4"/>
    <w:pPr>
      <w:pBdr>
        <w:bottom w:val="single" w:sz="8" w:space="0" w:color="auto"/>
        <w:right w:val="single" w:sz="8" w:space="0" w:color="auto"/>
      </w:pBdr>
      <w:spacing w:before="100" w:beforeAutospacing="1" w:after="100" w:afterAutospacing="1" w:line="240" w:lineRule="auto"/>
      <w:jc w:val="both"/>
    </w:pPr>
    <w:rPr>
      <w:rFonts w:ascii="Times New Roman" w:eastAsia="Times New Roman" w:hAnsi="Times New Roman"/>
      <w:b/>
      <w:bCs/>
      <w:sz w:val="14"/>
      <w:szCs w:val="14"/>
      <w:lang w:eastAsia="pt-BR"/>
    </w:rPr>
  </w:style>
  <w:style w:type="paragraph" w:customStyle="1" w:styleId="xl88">
    <w:name w:val="xl88"/>
    <w:basedOn w:val="Normal"/>
    <w:uiPriority w:val="99"/>
    <w:rsid w:val="00D536C4"/>
    <w:pPr>
      <w:pBdr>
        <w:bottom w:val="single" w:sz="8" w:space="0" w:color="auto"/>
        <w:right w:val="single" w:sz="8" w:space="0" w:color="auto"/>
      </w:pBdr>
      <w:spacing w:before="100" w:beforeAutospacing="1" w:after="100" w:afterAutospacing="1" w:line="240" w:lineRule="auto"/>
      <w:jc w:val="both"/>
    </w:pPr>
    <w:rPr>
      <w:rFonts w:eastAsia="Times New Roman" w:cs="Arial"/>
      <w:b/>
      <w:bCs/>
      <w:sz w:val="18"/>
      <w:szCs w:val="18"/>
      <w:lang w:eastAsia="pt-BR"/>
    </w:rPr>
  </w:style>
  <w:style w:type="paragraph" w:customStyle="1" w:styleId="xl89">
    <w:name w:val="xl89"/>
    <w:basedOn w:val="Normal"/>
    <w:uiPriority w:val="99"/>
    <w:rsid w:val="00D536C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color w:val="000000"/>
      <w:sz w:val="19"/>
      <w:szCs w:val="19"/>
      <w:lang w:eastAsia="pt-BR"/>
    </w:rPr>
  </w:style>
  <w:style w:type="paragraph" w:customStyle="1" w:styleId="xl90">
    <w:name w:val="xl90"/>
    <w:basedOn w:val="Normal"/>
    <w:uiPriority w:val="99"/>
    <w:rsid w:val="00D536C4"/>
    <w:pPr>
      <w:pBdr>
        <w:top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Arial"/>
      <w:color w:val="000000"/>
      <w:sz w:val="19"/>
      <w:szCs w:val="19"/>
      <w:lang w:eastAsia="pt-BR"/>
    </w:rPr>
  </w:style>
  <w:style w:type="paragraph" w:customStyle="1" w:styleId="xl91">
    <w:name w:val="xl91"/>
    <w:basedOn w:val="Normal"/>
    <w:uiPriority w:val="99"/>
    <w:rsid w:val="00D536C4"/>
    <w:pPr>
      <w:pBdr>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color w:val="000000"/>
      <w:sz w:val="19"/>
      <w:szCs w:val="19"/>
      <w:lang w:eastAsia="pt-BR"/>
    </w:rPr>
  </w:style>
  <w:style w:type="paragraph" w:customStyle="1" w:styleId="xl92">
    <w:name w:val="xl92"/>
    <w:basedOn w:val="Normal"/>
    <w:uiPriority w:val="99"/>
    <w:rsid w:val="00D536C4"/>
    <w:pPr>
      <w:pBdr>
        <w:bottom w:val="single" w:sz="8" w:space="0" w:color="auto"/>
        <w:right w:val="single" w:sz="8" w:space="0" w:color="auto"/>
      </w:pBdr>
      <w:shd w:val="clear" w:color="auto" w:fill="BFBFBF"/>
      <w:spacing w:before="100" w:beforeAutospacing="1" w:after="100" w:afterAutospacing="1" w:line="240" w:lineRule="auto"/>
      <w:jc w:val="center"/>
    </w:pPr>
    <w:rPr>
      <w:rFonts w:eastAsia="Times New Roman" w:cs="Arial"/>
      <w:color w:val="000000"/>
      <w:sz w:val="19"/>
      <w:szCs w:val="19"/>
      <w:lang w:eastAsia="pt-BR"/>
    </w:rPr>
  </w:style>
  <w:style w:type="paragraph" w:customStyle="1" w:styleId="xl93">
    <w:name w:val="xl93"/>
    <w:basedOn w:val="Normal"/>
    <w:uiPriority w:val="99"/>
    <w:rsid w:val="00D536C4"/>
    <w:pPr>
      <w:pBdr>
        <w:bottom w:val="single" w:sz="8" w:space="0" w:color="auto"/>
        <w:right w:val="single" w:sz="8" w:space="0" w:color="auto"/>
      </w:pBdr>
      <w:shd w:val="clear" w:color="auto" w:fill="BFBFBF"/>
      <w:spacing w:before="100" w:beforeAutospacing="1" w:after="100" w:afterAutospacing="1" w:line="240" w:lineRule="auto"/>
      <w:jc w:val="center"/>
    </w:pPr>
    <w:rPr>
      <w:rFonts w:eastAsia="Times New Roman" w:cs="Arial"/>
      <w:color w:val="000000"/>
      <w:sz w:val="19"/>
      <w:szCs w:val="19"/>
      <w:lang w:eastAsia="pt-BR"/>
    </w:rPr>
  </w:style>
  <w:style w:type="paragraph" w:customStyle="1" w:styleId="xl94">
    <w:name w:val="xl94"/>
    <w:basedOn w:val="Normal"/>
    <w:uiPriority w:val="99"/>
    <w:rsid w:val="00D536C4"/>
    <w:pPr>
      <w:pBdr>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Arial"/>
      <w:color w:val="000000"/>
      <w:sz w:val="19"/>
      <w:szCs w:val="19"/>
      <w:lang w:eastAsia="pt-BR"/>
    </w:rPr>
  </w:style>
  <w:style w:type="paragraph" w:customStyle="1" w:styleId="xl95">
    <w:name w:val="xl95"/>
    <w:basedOn w:val="Normal"/>
    <w:uiPriority w:val="99"/>
    <w:rsid w:val="00D536C4"/>
    <w:pPr>
      <w:pBdr>
        <w:bottom w:val="single" w:sz="8" w:space="0" w:color="auto"/>
        <w:right w:val="single" w:sz="8" w:space="0" w:color="auto"/>
      </w:pBdr>
      <w:spacing w:before="100" w:beforeAutospacing="1" w:after="100" w:afterAutospacing="1" w:line="240" w:lineRule="auto"/>
      <w:jc w:val="center"/>
    </w:pPr>
    <w:rPr>
      <w:rFonts w:eastAsia="Times New Roman" w:cs="Arial"/>
      <w:color w:val="000000"/>
      <w:sz w:val="19"/>
      <w:szCs w:val="19"/>
      <w:lang w:eastAsia="pt-BR"/>
    </w:rPr>
  </w:style>
  <w:style w:type="paragraph" w:customStyle="1" w:styleId="xl96">
    <w:name w:val="xl96"/>
    <w:basedOn w:val="Normal"/>
    <w:uiPriority w:val="99"/>
    <w:rsid w:val="00D536C4"/>
    <w:pPr>
      <w:pBdr>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Arial"/>
      <w:sz w:val="20"/>
      <w:szCs w:val="20"/>
      <w:lang w:eastAsia="pt-BR"/>
    </w:rPr>
  </w:style>
  <w:style w:type="paragraph" w:customStyle="1" w:styleId="xl97">
    <w:name w:val="xl97"/>
    <w:basedOn w:val="Normal"/>
    <w:uiPriority w:val="99"/>
    <w:rsid w:val="00D536C4"/>
    <w:pPr>
      <w:pBdr>
        <w:top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color w:val="000000"/>
      <w:sz w:val="19"/>
      <w:szCs w:val="19"/>
      <w:lang w:eastAsia="pt-BR"/>
    </w:rPr>
  </w:style>
  <w:style w:type="paragraph" w:customStyle="1" w:styleId="xl98">
    <w:name w:val="xl98"/>
    <w:basedOn w:val="Normal"/>
    <w:uiPriority w:val="99"/>
    <w:rsid w:val="00D536C4"/>
    <w:pPr>
      <w:pBdr>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Arial"/>
      <w:sz w:val="19"/>
      <w:szCs w:val="19"/>
      <w:lang w:eastAsia="pt-BR"/>
    </w:rPr>
  </w:style>
  <w:style w:type="paragraph" w:customStyle="1" w:styleId="xl99">
    <w:name w:val="xl99"/>
    <w:basedOn w:val="Normal"/>
    <w:uiPriority w:val="99"/>
    <w:rsid w:val="00D536C4"/>
    <w:pPr>
      <w:pBdr>
        <w:bottom w:val="single" w:sz="8" w:space="0" w:color="auto"/>
        <w:right w:val="single" w:sz="8" w:space="0" w:color="auto"/>
      </w:pBdr>
      <w:shd w:val="clear" w:color="auto" w:fill="BFBFBF"/>
      <w:spacing w:before="100" w:beforeAutospacing="1" w:after="100" w:afterAutospacing="1" w:line="240" w:lineRule="auto"/>
      <w:jc w:val="center"/>
    </w:pPr>
    <w:rPr>
      <w:rFonts w:eastAsia="Times New Roman" w:cs="Arial"/>
      <w:sz w:val="19"/>
      <w:szCs w:val="19"/>
      <w:lang w:eastAsia="pt-BR"/>
    </w:rPr>
  </w:style>
  <w:style w:type="paragraph" w:customStyle="1" w:styleId="xl100">
    <w:name w:val="xl100"/>
    <w:basedOn w:val="Normal"/>
    <w:uiPriority w:val="99"/>
    <w:rsid w:val="00D536C4"/>
    <w:pPr>
      <w:pBdr>
        <w:bottom w:val="single" w:sz="8" w:space="0" w:color="auto"/>
        <w:right w:val="single" w:sz="8" w:space="0" w:color="auto"/>
      </w:pBdr>
      <w:spacing w:before="100" w:beforeAutospacing="1" w:after="100" w:afterAutospacing="1" w:line="240" w:lineRule="auto"/>
      <w:jc w:val="center"/>
    </w:pPr>
    <w:rPr>
      <w:rFonts w:eastAsia="Times New Roman" w:cs="Arial"/>
      <w:sz w:val="19"/>
      <w:szCs w:val="19"/>
      <w:lang w:eastAsia="pt-BR"/>
    </w:rPr>
  </w:style>
  <w:style w:type="paragraph" w:customStyle="1" w:styleId="xl101">
    <w:name w:val="xl101"/>
    <w:basedOn w:val="Normal"/>
    <w:uiPriority w:val="99"/>
    <w:rsid w:val="00D536C4"/>
    <w:pPr>
      <w:pBdr>
        <w:bottom w:val="single" w:sz="8" w:space="0" w:color="auto"/>
        <w:right w:val="single" w:sz="8" w:space="0" w:color="auto"/>
      </w:pBdr>
      <w:shd w:val="clear" w:color="auto" w:fill="BFBFBF"/>
      <w:spacing w:before="100" w:beforeAutospacing="1" w:after="100" w:afterAutospacing="1" w:line="240" w:lineRule="auto"/>
      <w:jc w:val="center"/>
    </w:pPr>
    <w:rPr>
      <w:rFonts w:eastAsia="Times New Roman" w:cs="Arial"/>
      <w:sz w:val="19"/>
      <w:szCs w:val="19"/>
      <w:lang w:eastAsia="pt-BR"/>
    </w:rPr>
  </w:style>
  <w:style w:type="paragraph" w:customStyle="1" w:styleId="xl102">
    <w:name w:val="xl102"/>
    <w:basedOn w:val="Normal"/>
    <w:uiPriority w:val="99"/>
    <w:rsid w:val="00D536C4"/>
    <w:pPr>
      <w:pBdr>
        <w:bottom w:val="single" w:sz="8" w:space="0" w:color="auto"/>
        <w:right w:val="single" w:sz="8" w:space="0" w:color="auto"/>
      </w:pBdr>
      <w:spacing w:before="100" w:beforeAutospacing="1" w:after="100" w:afterAutospacing="1" w:line="240" w:lineRule="auto"/>
      <w:jc w:val="center"/>
    </w:pPr>
    <w:rPr>
      <w:rFonts w:eastAsia="Times New Roman" w:cs="Arial"/>
      <w:sz w:val="19"/>
      <w:szCs w:val="19"/>
      <w:lang w:eastAsia="pt-BR"/>
    </w:rPr>
  </w:style>
  <w:style w:type="paragraph" w:customStyle="1" w:styleId="xl103">
    <w:name w:val="xl103"/>
    <w:basedOn w:val="Normal"/>
    <w:uiPriority w:val="99"/>
    <w:rsid w:val="00D536C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color w:val="000000"/>
      <w:sz w:val="18"/>
      <w:szCs w:val="18"/>
      <w:lang w:eastAsia="pt-BR"/>
    </w:rPr>
  </w:style>
  <w:style w:type="paragraph" w:customStyle="1" w:styleId="xl104">
    <w:name w:val="xl104"/>
    <w:basedOn w:val="Normal"/>
    <w:uiPriority w:val="99"/>
    <w:rsid w:val="00D536C4"/>
    <w:pPr>
      <w:pBdr>
        <w:top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Arial"/>
      <w:color w:val="000000"/>
      <w:sz w:val="18"/>
      <w:szCs w:val="18"/>
      <w:lang w:eastAsia="pt-BR"/>
    </w:rPr>
  </w:style>
  <w:style w:type="paragraph" w:customStyle="1" w:styleId="xl105">
    <w:name w:val="xl105"/>
    <w:basedOn w:val="Normal"/>
    <w:uiPriority w:val="99"/>
    <w:rsid w:val="00D536C4"/>
    <w:pPr>
      <w:pBdr>
        <w:top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color w:val="000000"/>
      <w:sz w:val="18"/>
      <w:szCs w:val="18"/>
      <w:lang w:eastAsia="pt-BR"/>
    </w:rPr>
  </w:style>
  <w:style w:type="paragraph" w:customStyle="1" w:styleId="xl106">
    <w:name w:val="xl106"/>
    <w:basedOn w:val="Normal"/>
    <w:uiPriority w:val="99"/>
    <w:rsid w:val="00D536C4"/>
    <w:pPr>
      <w:pBdr>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color w:val="000000"/>
      <w:sz w:val="18"/>
      <w:szCs w:val="18"/>
      <w:lang w:eastAsia="pt-BR"/>
    </w:rPr>
  </w:style>
  <w:style w:type="paragraph" w:customStyle="1" w:styleId="xl107">
    <w:name w:val="xl107"/>
    <w:basedOn w:val="Normal"/>
    <w:uiPriority w:val="99"/>
    <w:rsid w:val="00D536C4"/>
    <w:pPr>
      <w:pBdr>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Arial"/>
      <w:color w:val="000000"/>
      <w:sz w:val="18"/>
      <w:szCs w:val="18"/>
      <w:lang w:eastAsia="pt-BR"/>
    </w:rPr>
  </w:style>
  <w:style w:type="paragraph" w:customStyle="1" w:styleId="xl108">
    <w:name w:val="xl108"/>
    <w:basedOn w:val="Normal"/>
    <w:uiPriority w:val="99"/>
    <w:rsid w:val="00D536C4"/>
    <w:pPr>
      <w:pBdr>
        <w:bottom w:val="single" w:sz="8" w:space="0" w:color="auto"/>
        <w:right w:val="single" w:sz="8" w:space="0" w:color="auto"/>
      </w:pBdr>
      <w:spacing w:before="100" w:beforeAutospacing="1" w:after="100" w:afterAutospacing="1" w:line="240" w:lineRule="auto"/>
      <w:jc w:val="center"/>
    </w:pPr>
    <w:rPr>
      <w:rFonts w:eastAsia="Times New Roman" w:cs="Arial"/>
      <w:color w:val="000000"/>
      <w:sz w:val="18"/>
      <w:szCs w:val="18"/>
      <w:lang w:eastAsia="pt-BR"/>
    </w:rPr>
  </w:style>
  <w:style w:type="paragraph" w:customStyle="1" w:styleId="xl109">
    <w:name w:val="xl109"/>
    <w:basedOn w:val="Normal"/>
    <w:uiPriority w:val="99"/>
    <w:rsid w:val="00D536C4"/>
    <w:pPr>
      <w:pBdr>
        <w:bottom w:val="single" w:sz="8" w:space="0" w:color="auto"/>
        <w:right w:val="single" w:sz="8" w:space="0" w:color="auto"/>
      </w:pBdr>
      <w:shd w:val="clear" w:color="auto" w:fill="BFBFBF"/>
      <w:spacing w:before="100" w:beforeAutospacing="1" w:after="100" w:afterAutospacing="1" w:line="240" w:lineRule="auto"/>
      <w:jc w:val="center"/>
    </w:pPr>
    <w:rPr>
      <w:rFonts w:eastAsia="Times New Roman" w:cs="Arial"/>
      <w:color w:val="000000"/>
      <w:sz w:val="18"/>
      <w:szCs w:val="18"/>
      <w:lang w:eastAsia="pt-BR"/>
    </w:rPr>
  </w:style>
  <w:style w:type="paragraph" w:customStyle="1" w:styleId="xl110">
    <w:name w:val="xl110"/>
    <w:basedOn w:val="Normal"/>
    <w:uiPriority w:val="99"/>
    <w:rsid w:val="00D536C4"/>
    <w:pPr>
      <w:pBdr>
        <w:bottom w:val="single" w:sz="8" w:space="0" w:color="auto"/>
        <w:right w:val="single" w:sz="8" w:space="0" w:color="auto"/>
      </w:pBdr>
      <w:shd w:val="clear" w:color="auto" w:fill="BFBFBF"/>
      <w:spacing w:before="100" w:beforeAutospacing="1" w:after="100" w:afterAutospacing="1" w:line="240" w:lineRule="auto"/>
      <w:jc w:val="center"/>
    </w:pPr>
    <w:rPr>
      <w:rFonts w:eastAsia="Times New Roman" w:cs="Arial"/>
      <w:color w:val="000000"/>
      <w:sz w:val="18"/>
      <w:szCs w:val="18"/>
      <w:lang w:eastAsia="pt-BR"/>
    </w:rPr>
  </w:style>
  <w:style w:type="paragraph" w:customStyle="1" w:styleId="xl111">
    <w:name w:val="xl111"/>
    <w:basedOn w:val="Normal"/>
    <w:uiPriority w:val="99"/>
    <w:rsid w:val="00D536C4"/>
    <w:pPr>
      <w:pBdr>
        <w:top w:val="single" w:sz="8" w:space="0" w:color="auto"/>
        <w:bottom w:val="single" w:sz="8" w:space="0" w:color="auto"/>
        <w:right w:val="single" w:sz="8" w:space="0" w:color="auto"/>
      </w:pBdr>
      <w:shd w:val="clear" w:color="auto" w:fill="BFBFBF"/>
      <w:spacing w:before="100" w:beforeAutospacing="1" w:after="100" w:afterAutospacing="1" w:line="240" w:lineRule="auto"/>
      <w:jc w:val="center"/>
    </w:pPr>
    <w:rPr>
      <w:rFonts w:eastAsia="Times New Roman" w:cs="Arial"/>
      <w:color w:val="000000"/>
      <w:sz w:val="18"/>
      <w:szCs w:val="18"/>
      <w:lang w:eastAsia="pt-BR"/>
    </w:rPr>
  </w:style>
  <w:style w:type="paragraph" w:customStyle="1" w:styleId="xl112">
    <w:name w:val="xl112"/>
    <w:basedOn w:val="Normal"/>
    <w:uiPriority w:val="99"/>
    <w:rsid w:val="00D536C4"/>
    <w:pPr>
      <w:pBdr>
        <w:bottom w:val="single" w:sz="8" w:space="0" w:color="auto"/>
        <w:right w:val="single" w:sz="8" w:space="0" w:color="auto"/>
      </w:pBdr>
      <w:shd w:val="clear" w:color="auto" w:fill="BFBFBF"/>
      <w:spacing w:before="100" w:beforeAutospacing="1" w:after="100" w:afterAutospacing="1" w:line="240" w:lineRule="auto"/>
      <w:jc w:val="center"/>
    </w:pPr>
    <w:rPr>
      <w:rFonts w:eastAsia="Times New Roman" w:cs="Arial"/>
      <w:sz w:val="18"/>
      <w:szCs w:val="18"/>
      <w:lang w:eastAsia="pt-BR"/>
    </w:rPr>
  </w:style>
  <w:style w:type="paragraph" w:customStyle="1" w:styleId="xl113">
    <w:name w:val="xl113"/>
    <w:basedOn w:val="Normal"/>
    <w:uiPriority w:val="99"/>
    <w:rsid w:val="00D536C4"/>
    <w:pPr>
      <w:pBdr>
        <w:bottom w:val="single" w:sz="8" w:space="0" w:color="auto"/>
        <w:right w:val="single" w:sz="8" w:space="0" w:color="auto"/>
      </w:pBdr>
      <w:shd w:val="clear" w:color="auto" w:fill="BFBFBF"/>
      <w:spacing w:before="100" w:beforeAutospacing="1" w:after="100" w:afterAutospacing="1" w:line="240" w:lineRule="auto"/>
      <w:jc w:val="center"/>
    </w:pPr>
    <w:rPr>
      <w:rFonts w:eastAsia="Times New Roman" w:cs="Arial"/>
      <w:sz w:val="18"/>
      <w:szCs w:val="18"/>
      <w:lang w:eastAsia="pt-BR"/>
    </w:rPr>
  </w:style>
  <w:style w:type="paragraph" w:customStyle="1" w:styleId="xl114">
    <w:name w:val="xl114"/>
    <w:basedOn w:val="Normal"/>
    <w:uiPriority w:val="99"/>
    <w:rsid w:val="00D536C4"/>
    <w:pPr>
      <w:pBdr>
        <w:bottom w:val="single" w:sz="8" w:space="0" w:color="auto"/>
        <w:right w:val="single" w:sz="8" w:space="0" w:color="auto"/>
      </w:pBdr>
      <w:spacing w:before="100" w:beforeAutospacing="1" w:after="100" w:afterAutospacing="1" w:line="240" w:lineRule="auto"/>
      <w:jc w:val="center"/>
    </w:pPr>
    <w:rPr>
      <w:rFonts w:eastAsia="Times New Roman" w:cs="Arial"/>
      <w:sz w:val="18"/>
      <w:szCs w:val="18"/>
      <w:lang w:eastAsia="pt-BR"/>
    </w:rPr>
  </w:style>
  <w:style w:type="paragraph" w:customStyle="1" w:styleId="xl115">
    <w:name w:val="xl115"/>
    <w:basedOn w:val="Normal"/>
    <w:uiPriority w:val="99"/>
    <w:rsid w:val="00D536C4"/>
    <w:pPr>
      <w:pBdr>
        <w:bottom w:val="single" w:sz="8" w:space="0" w:color="auto"/>
        <w:right w:val="single" w:sz="8" w:space="0" w:color="auto"/>
      </w:pBdr>
      <w:shd w:val="clear" w:color="auto" w:fill="FFFFFF"/>
      <w:spacing w:before="100" w:beforeAutospacing="1" w:after="100" w:afterAutospacing="1" w:line="240" w:lineRule="auto"/>
      <w:jc w:val="center"/>
    </w:pPr>
    <w:rPr>
      <w:rFonts w:eastAsia="Times New Roman" w:cs="Arial"/>
      <w:sz w:val="18"/>
      <w:szCs w:val="18"/>
      <w:lang w:eastAsia="pt-BR"/>
    </w:rPr>
  </w:style>
  <w:style w:type="paragraph" w:customStyle="1" w:styleId="xl116">
    <w:name w:val="xl116"/>
    <w:basedOn w:val="Normal"/>
    <w:uiPriority w:val="99"/>
    <w:rsid w:val="00D536C4"/>
    <w:pPr>
      <w:pBdr>
        <w:top w:val="single" w:sz="8" w:space="0" w:color="auto"/>
        <w:left w:val="single" w:sz="8" w:space="0" w:color="auto"/>
        <w:right w:val="single" w:sz="8" w:space="0" w:color="auto"/>
      </w:pBdr>
      <w:shd w:val="clear" w:color="auto" w:fill="C0C0C0"/>
      <w:spacing w:before="100" w:beforeAutospacing="1" w:after="100" w:afterAutospacing="1" w:line="240" w:lineRule="auto"/>
      <w:jc w:val="center"/>
    </w:pPr>
    <w:rPr>
      <w:rFonts w:eastAsia="Times New Roman" w:cs="Arial"/>
      <w:b/>
      <w:bCs/>
      <w:color w:val="000000"/>
      <w:sz w:val="18"/>
      <w:szCs w:val="18"/>
      <w:lang w:eastAsia="pt-BR"/>
    </w:rPr>
  </w:style>
  <w:style w:type="paragraph" w:customStyle="1" w:styleId="xl117">
    <w:name w:val="xl117"/>
    <w:basedOn w:val="Normal"/>
    <w:uiPriority w:val="99"/>
    <w:rsid w:val="00D536C4"/>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Arial"/>
      <w:b/>
      <w:bCs/>
      <w:color w:val="000000"/>
      <w:sz w:val="18"/>
      <w:szCs w:val="18"/>
      <w:lang w:eastAsia="pt-BR"/>
    </w:rPr>
  </w:style>
  <w:style w:type="paragraph" w:customStyle="1" w:styleId="xl118">
    <w:name w:val="xl118"/>
    <w:basedOn w:val="Normal"/>
    <w:uiPriority w:val="99"/>
    <w:rsid w:val="00D536C4"/>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Arial"/>
      <w:b/>
      <w:bCs/>
      <w:color w:val="000000"/>
      <w:sz w:val="18"/>
      <w:szCs w:val="18"/>
      <w:lang w:eastAsia="pt-BR"/>
    </w:rPr>
  </w:style>
  <w:style w:type="paragraph" w:customStyle="1" w:styleId="xl119">
    <w:name w:val="xl119"/>
    <w:basedOn w:val="Normal"/>
    <w:uiPriority w:val="99"/>
    <w:rsid w:val="00D536C4"/>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pPr>
    <w:rPr>
      <w:rFonts w:eastAsia="Times New Roman" w:cs="Arial"/>
      <w:b/>
      <w:bCs/>
      <w:color w:val="000000"/>
      <w:sz w:val="20"/>
      <w:szCs w:val="20"/>
      <w:lang w:eastAsia="pt-BR"/>
    </w:rPr>
  </w:style>
  <w:style w:type="paragraph" w:customStyle="1" w:styleId="xl120">
    <w:name w:val="xl120"/>
    <w:basedOn w:val="Normal"/>
    <w:uiPriority w:val="99"/>
    <w:rsid w:val="00D536C4"/>
    <w:pPr>
      <w:pBdr>
        <w:right w:val="single" w:sz="8" w:space="0" w:color="auto"/>
      </w:pBdr>
      <w:spacing w:before="100" w:beforeAutospacing="1" w:after="100" w:afterAutospacing="1" w:line="240" w:lineRule="auto"/>
      <w:jc w:val="center"/>
    </w:pPr>
    <w:rPr>
      <w:rFonts w:eastAsia="Times New Roman" w:cs="Arial"/>
      <w:b/>
      <w:bCs/>
      <w:sz w:val="20"/>
      <w:szCs w:val="20"/>
      <w:lang w:eastAsia="pt-BR"/>
    </w:rPr>
  </w:style>
  <w:style w:type="paragraph" w:customStyle="1" w:styleId="xl121">
    <w:name w:val="xl121"/>
    <w:basedOn w:val="Normal"/>
    <w:uiPriority w:val="99"/>
    <w:rsid w:val="00D536C4"/>
    <w:pPr>
      <w:shd w:val="clear" w:color="auto" w:fill="FFFFFF"/>
      <w:spacing w:before="100" w:beforeAutospacing="1" w:after="100" w:afterAutospacing="1" w:line="240" w:lineRule="auto"/>
    </w:pPr>
    <w:rPr>
      <w:rFonts w:eastAsia="Times New Roman" w:cs="Arial"/>
      <w:b/>
      <w:bCs/>
      <w:szCs w:val="24"/>
      <w:lang w:eastAsia="pt-BR"/>
    </w:rPr>
  </w:style>
  <w:style w:type="table" w:styleId="SombreamentoClaro">
    <w:name w:val="Light Shading"/>
    <w:basedOn w:val="Tabelanormal"/>
    <w:uiPriority w:val="60"/>
    <w:rsid w:val="00D536C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fontstyle01">
    <w:name w:val="fontstyle01"/>
    <w:basedOn w:val="Fontepargpadro"/>
    <w:rsid w:val="00D10913"/>
    <w:rPr>
      <w:rFonts w:ascii="Helvetica-Bold" w:hAnsi="Helvetica-Bold" w:hint="default"/>
      <w:b/>
      <w:bCs/>
      <w:i w:val="0"/>
      <w:iCs w:val="0"/>
      <w:color w:val="000000"/>
      <w:sz w:val="20"/>
      <w:szCs w:val="20"/>
    </w:rPr>
  </w:style>
  <w:style w:type="character" w:customStyle="1" w:styleId="fontstyle21">
    <w:name w:val="fontstyle21"/>
    <w:basedOn w:val="Fontepargpadro"/>
    <w:rsid w:val="00D10913"/>
    <w:rPr>
      <w:rFonts w:ascii="Arial" w:hAnsi="Arial" w:cs="Arial" w:hint="default"/>
      <w:b w:val="0"/>
      <w:bCs w:val="0"/>
      <w:i w:val="0"/>
      <w:iCs w:val="0"/>
      <w:color w:val="000000"/>
      <w:sz w:val="24"/>
      <w:szCs w:val="24"/>
    </w:rPr>
  </w:style>
  <w:style w:type="character" w:customStyle="1" w:styleId="t1">
    <w:name w:val="t1"/>
    <w:basedOn w:val="Fontepargpadro"/>
    <w:rsid w:val="00D10913"/>
  </w:style>
  <w:style w:type="table" w:customStyle="1" w:styleId="TabeladeGrade4-nfase11">
    <w:name w:val="Tabela de Grade 4 - Ênfase 11"/>
    <w:basedOn w:val="Tabelanormal"/>
    <w:uiPriority w:val="49"/>
    <w:rsid w:val="00D10913"/>
    <w:rPr>
      <w:rFonts w:ascii="Arial" w:hAnsi="Arial" w:cs="Arial"/>
      <w:color w:val="00B0F0"/>
      <w:sz w:val="22"/>
      <w:szCs w:val="22"/>
    </w:r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tema">
    <w:name w:val="tema"/>
    <w:basedOn w:val="Fontepargpadro"/>
    <w:rsid w:val="00D10913"/>
  </w:style>
  <w:style w:type="paragraph" w:customStyle="1" w:styleId="CabealhodoSumrio1">
    <w:name w:val="Cabeçalho do Sumário1"/>
    <w:basedOn w:val="Ttulo1"/>
    <w:next w:val="Normal"/>
    <w:rsid w:val="00D10913"/>
    <w:pPr>
      <w:spacing w:line="276" w:lineRule="auto"/>
      <w:jc w:val="left"/>
      <w:outlineLvl w:val="9"/>
    </w:pPr>
    <w:rPr>
      <w:rFonts w:eastAsia="Calibri"/>
      <w:lang w:val="pt-BR" w:eastAsia="pt-BR"/>
    </w:rPr>
  </w:style>
  <w:style w:type="character" w:customStyle="1" w:styleId="nfaseSutil1">
    <w:name w:val="Ênfase Sutil1"/>
    <w:rsid w:val="00D10913"/>
    <w:rPr>
      <w:rFonts w:ascii="Arial" w:hAnsi="Arial"/>
      <w:color w:val="808080"/>
      <w:sz w:val="24"/>
      <w:u w:val="single"/>
    </w:rPr>
  </w:style>
  <w:style w:type="paragraph" w:customStyle="1" w:styleId="SemEspaamento1">
    <w:name w:val="Sem Espaçamento1"/>
    <w:basedOn w:val="Normal"/>
    <w:rsid w:val="00D10913"/>
    <w:pPr>
      <w:spacing w:line="240" w:lineRule="auto"/>
      <w:ind w:firstLine="709"/>
      <w:jc w:val="both"/>
    </w:pPr>
    <w:rPr>
      <w:szCs w:val="20"/>
      <w:lang w:eastAsia="pt-BR"/>
    </w:rPr>
  </w:style>
  <w:style w:type="paragraph" w:customStyle="1" w:styleId="Citao1">
    <w:name w:val="Citação1"/>
    <w:basedOn w:val="Normal"/>
    <w:next w:val="Normal"/>
    <w:link w:val="QuoteChar"/>
    <w:rsid w:val="00D10913"/>
    <w:pPr>
      <w:ind w:firstLine="709"/>
      <w:jc w:val="both"/>
    </w:pPr>
    <w:rPr>
      <w:i/>
      <w:iCs/>
      <w:color w:val="000000"/>
      <w:szCs w:val="20"/>
      <w:lang w:val="x-none" w:eastAsia="x-none"/>
    </w:rPr>
  </w:style>
  <w:style w:type="character" w:customStyle="1" w:styleId="QuoteChar">
    <w:name w:val="Quote Char"/>
    <w:link w:val="Citao1"/>
    <w:locked/>
    <w:rsid w:val="00D10913"/>
    <w:rPr>
      <w:rFonts w:ascii="Arial" w:hAnsi="Arial"/>
      <w:i/>
      <w:iCs/>
      <w:color w:val="000000"/>
      <w:sz w:val="24"/>
      <w:lang w:val="x-none" w:eastAsia="x-none"/>
    </w:rPr>
  </w:style>
  <w:style w:type="paragraph" w:customStyle="1" w:styleId="CitaoIntensa1">
    <w:name w:val="Citação Intensa1"/>
    <w:basedOn w:val="Normal"/>
    <w:next w:val="Normal"/>
    <w:link w:val="IntenseQuoteChar"/>
    <w:rsid w:val="00D10913"/>
    <w:pPr>
      <w:pBdr>
        <w:bottom w:val="single" w:sz="4" w:space="4" w:color="4F81BD"/>
      </w:pBdr>
      <w:spacing w:before="200" w:after="280"/>
      <w:ind w:left="936" w:right="936" w:firstLine="709"/>
      <w:jc w:val="both"/>
    </w:pPr>
    <w:rPr>
      <w:b/>
      <w:bCs/>
      <w:i/>
      <w:iCs/>
      <w:color w:val="4F81BD"/>
      <w:szCs w:val="20"/>
      <w:lang w:val="x-none" w:eastAsia="x-none"/>
    </w:rPr>
  </w:style>
  <w:style w:type="character" w:customStyle="1" w:styleId="IntenseQuoteChar">
    <w:name w:val="Intense Quote Char"/>
    <w:link w:val="CitaoIntensa1"/>
    <w:locked/>
    <w:rsid w:val="00D10913"/>
    <w:rPr>
      <w:rFonts w:ascii="Arial" w:hAnsi="Arial"/>
      <w:b/>
      <w:bCs/>
      <w:i/>
      <w:iCs/>
      <w:color w:val="4F81BD"/>
      <w:sz w:val="24"/>
      <w:lang w:val="x-none" w:eastAsia="x-none"/>
    </w:rPr>
  </w:style>
  <w:style w:type="character" w:customStyle="1" w:styleId="nfaseIntensa1">
    <w:name w:val="Ênfase Intensa1"/>
    <w:rsid w:val="00D10913"/>
    <w:rPr>
      <w:b/>
      <w:i/>
      <w:color w:val="4F81BD"/>
    </w:rPr>
  </w:style>
  <w:style w:type="character" w:customStyle="1" w:styleId="RefernciaSutil1">
    <w:name w:val="Referência Sutil1"/>
    <w:rsid w:val="00D10913"/>
    <w:rPr>
      <w:smallCaps/>
      <w:color w:val="C0504D"/>
      <w:u w:val="single"/>
    </w:rPr>
  </w:style>
  <w:style w:type="character" w:customStyle="1" w:styleId="RefernciaIntensa1">
    <w:name w:val="Referência Intensa1"/>
    <w:rsid w:val="00D10913"/>
    <w:rPr>
      <w:b/>
      <w:smallCaps/>
      <w:color w:val="C0504D"/>
      <w:spacing w:val="5"/>
      <w:u w:val="single"/>
    </w:rPr>
  </w:style>
  <w:style w:type="character" w:customStyle="1" w:styleId="TtulodoLivro1">
    <w:name w:val="Título do Livro1"/>
    <w:rsid w:val="00D10913"/>
    <w:rPr>
      <w:b/>
      <w:smallCaps/>
      <w:spacing w:val="5"/>
    </w:rPr>
  </w:style>
  <w:style w:type="table" w:customStyle="1" w:styleId="TabeladeGrade4-nfase12">
    <w:name w:val="Tabela de Grade 4 - Ênfase 12"/>
    <w:basedOn w:val="Tabelanormal"/>
    <w:uiPriority w:val="49"/>
    <w:rsid w:val="00D10913"/>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Tabelacomgrade3">
    <w:name w:val="Tabela com grade3"/>
    <w:basedOn w:val="Tabelanormal"/>
    <w:next w:val="Tabelacomgrade"/>
    <w:uiPriority w:val="59"/>
    <w:rsid w:val="00D1091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4">
    <w:name w:val="Tabela com grade4"/>
    <w:basedOn w:val="Tabelanormal"/>
    <w:next w:val="Tabelacomgrade"/>
    <w:uiPriority w:val="59"/>
    <w:rsid w:val="00D1091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apadoDocumentoChar1">
    <w:name w:val="Mapa do Documento Char1"/>
    <w:basedOn w:val="Fontepargpadro"/>
    <w:uiPriority w:val="99"/>
    <w:semiHidden/>
    <w:rsid w:val="00D10913"/>
    <w:rPr>
      <w:rFonts w:ascii="Tahoma" w:eastAsia="Calibri" w:hAnsi="Tahoma" w:cs="Tahoma" w:hint="default"/>
      <w:sz w:val="16"/>
      <w:szCs w:val="16"/>
    </w:rPr>
  </w:style>
  <w:style w:type="character" w:styleId="Refdenotadefim">
    <w:name w:val="endnote reference"/>
    <w:uiPriority w:val="99"/>
    <w:unhideWhenUsed/>
    <w:rsid w:val="00040A36"/>
    <w:rPr>
      <w:vertAlign w:val="superscript"/>
    </w:rPr>
  </w:style>
  <w:style w:type="paragraph" w:customStyle="1" w:styleId="Normal1">
    <w:name w:val="Normal1"/>
    <w:rsid w:val="00040A36"/>
    <w:pPr>
      <w:spacing w:line="276" w:lineRule="auto"/>
    </w:pPr>
    <w:rPr>
      <w:rFonts w:ascii="Arial" w:eastAsia="Arial" w:hAnsi="Arial" w:cs="Arial"/>
      <w:color w:val="000000"/>
      <w:sz w:val="22"/>
      <w:szCs w:val="22"/>
    </w:rPr>
  </w:style>
  <w:style w:type="paragraph" w:customStyle="1" w:styleId="texto10">
    <w:name w:val="texto10"/>
    <w:basedOn w:val="Normal"/>
    <w:rsid w:val="00040A36"/>
    <w:pPr>
      <w:spacing w:before="100" w:beforeAutospacing="1" w:after="100" w:afterAutospacing="1" w:line="240" w:lineRule="auto"/>
      <w:ind w:left="85"/>
    </w:pPr>
    <w:rPr>
      <w:rFonts w:ascii="Times New Roman" w:eastAsia="Times New Roman" w:hAnsi="Times New Roman"/>
      <w:szCs w:val="24"/>
      <w:lang w:eastAsia="pt-BR"/>
    </w:rPr>
  </w:style>
  <w:style w:type="paragraph" w:customStyle="1" w:styleId="texto2">
    <w:name w:val="texto2"/>
    <w:basedOn w:val="Normal"/>
    <w:rsid w:val="00040A36"/>
    <w:pPr>
      <w:spacing w:before="100" w:beforeAutospacing="1" w:after="100" w:afterAutospacing="1" w:line="240" w:lineRule="auto"/>
      <w:ind w:left="85"/>
    </w:pPr>
    <w:rPr>
      <w:rFonts w:ascii="Times New Roman" w:eastAsia="Times New Roman" w:hAnsi="Times New Roman"/>
      <w:szCs w:val="24"/>
      <w:lang w:eastAsia="pt-BR"/>
    </w:rPr>
  </w:style>
  <w:style w:type="paragraph" w:customStyle="1" w:styleId="artart">
    <w:name w:val="artart"/>
    <w:basedOn w:val="Normal"/>
    <w:rsid w:val="00040A36"/>
    <w:pPr>
      <w:spacing w:before="100" w:beforeAutospacing="1" w:after="100" w:afterAutospacing="1" w:line="240" w:lineRule="auto"/>
      <w:ind w:left="85"/>
    </w:pPr>
    <w:rPr>
      <w:rFonts w:ascii="Times New Roman" w:eastAsia="Times New Roman" w:hAnsi="Times New Roman"/>
      <w:szCs w:val="24"/>
      <w:lang w:eastAsia="pt-BR"/>
    </w:rPr>
  </w:style>
  <w:style w:type="numbering" w:customStyle="1" w:styleId="Semlista1">
    <w:name w:val="Sem lista1"/>
    <w:next w:val="Semlista"/>
    <w:uiPriority w:val="99"/>
    <w:semiHidden/>
    <w:unhideWhenUsed/>
    <w:rsid w:val="00573D5B"/>
  </w:style>
  <w:style w:type="table" w:customStyle="1" w:styleId="SombreamentoClaro-nfase31">
    <w:name w:val="Sombreamento Claro - Ênfase 31"/>
    <w:basedOn w:val="Tabelanormal"/>
    <w:next w:val="SombreamentoClaro-nfase3"/>
    <w:uiPriority w:val="60"/>
    <w:rsid w:val="00573D5B"/>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staClara-nfase31">
    <w:name w:val="Lista Clara - Ênfase 31"/>
    <w:basedOn w:val="Tabelanormal"/>
    <w:next w:val="ListaClara-nfase3"/>
    <w:uiPriority w:val="61"/>
    <w:rsid w:val="00573D5B"/>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Tabelacomgrade11">
    <w:name w:val="Tabela com grade11"/>
    <w:basedOn w:val="Tabelanormal"/>
    <w:next w:val="Tabelacomgrade"/>
    <w:uiPriority w:val="59"/>
    <w:rsid w:val="00573D5B"/>
    <w:rPr>
      <w:rFonts w:ascii="Arial" w:hAnsi="Arial" w:cs="Arial"/>
      <w:sz w:val="24"/>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11">
    <w:name w:val="Sem lista11"/>
    <w:next w:val="Semlista"/>
    <w:uiPriority w:val="99"/>
    <w:semiHidden/>
    <w:unhideWhenUsed/>
    <w:rsid w:val="00573D5B"/>
  </w:style>
  <w:style w:type="table" w:customStyle="1" w:styleId="Tabelacomgrade2">
    <w:name w:val="Tabela com grade2"/>
    <w:basedOn w:val="Tabelanormal"/>
    <w:next w:val="Tabelacomgrade"/>
    <w:uiPriority w:val="59"/>
    <w:rsid w:val="00573D5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ortal-description">
    <w:name w:val="portal-description"/>
    <w:rsid w:val="00573D5B"/>
  </w:style>
  <w:style w:type="table" w:customStyle="1" w:styleId="Tabelacomgrade12">
    <w:name w:val="Tabela com grade12"/>
    <w:basedOn w:val="Tabelanormal"/>
    <w:next w:val="Tabelacomgrade"/>
    <w:uiPriority w:val="59"/>
    <w:rsid w:val="00573D5B"/>
    <w:rPr>
      <w:rFonts w:ascii="Arial" w:hAnsi="Arial" w:cs="Arial"/>
      <w:sz w:val="24"/>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ombreamentoClaro-nfase111">
    <w:name w:val="Sombreamento Claro - Ênfase 111"/>
    <w:basedOn w:val="Tabelanormal"/>
    <w:uiPriority w:val="60"/>
    <w:rsid w:val="00573D5B"/>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mentoClaro-nfase12">
    <w:name w:val="Sombreamento Claro - Ênfase 12"/>
    <w:basedOn w:val="Tabelanormal"/>
    <w:next w:val="SombreamentoClaro-nfase1"/>
    <w:uiPriority w:val="60"/>
    <w:rsid w:val="00573D5B"/>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Semlista2">
    <w:name w:val="Sem lista2"/>
    <w:next w:val="Semlista"/>
    <w:uiPriority w:val="99"/>
    <w:semiHidden/>
    <w:unhideWhenUsed/>
    <w:rsid w:val="00573D5B"/>
  </w:style>
  <w:style w:type="numbering" w:customStyle="1" w:styleId="Semlista3">
    <w:name w:val="Sem lista3"/>
    <w:next w:val="Semlista"/>
    <w:uiPriority w:val="99"/>
    <w:semiHidden/>
    <w:unhideWhenUsed/>
    <w:rsid w:val="00573D5B"/>
  </w:style>
  <w:style w:type="paragraph" w:customStyle="1" w:styleId="western">
    <w:name w:val="western"/>
    <w:basedOn w:val="Normal"/>
    <w:rsid w:val="00573D5B"/>
    <w:pPr>
      <w:spacing w:before="100" w:beforeAutospacing="1" w:after="100" w:afterAutospacing="1" w:line="240" w:lineRule="auto"/>
    </w:pPr>
    <w:rPr>
      <w:rFonts w:ascii="Times New Roman" w:eastAsia="Times New Roman" w:hAnsi="Times New Roman"/>
      <w:szCs w:val="24"/>
      <w:lang w:eastAsia="pt-BR"/>
    </w:rPr>
  </w:style>
  <w:style w:type="paragraph" w:customStyle="1" w:styleId="gmail-msolistparagraph">
    <w:name w:val="gmail-msolistparagraph"/>
    <w:basedOn w:val="Normal"/>
    <w:rsid w:val="00573D5B"/>
    <w:pPr>
      <w:spacing w:before="100" w:beforeAutospacing="1" w:after="100" w:afterAutospacing="1" w:line="240" w:lineRule="auto"/>
    </w:pPr>
    <w:rPr>
      <w:rFonts w:ascii="Times New Roman" w:hAnsi="Times New Roman"/>
      <w:szCs w:val="24"/>
      <w:lang w:eastAsia="pt-BR"/>
    </w:rPr>
  </w:style>
  <w:style w:type="character" w:customStyle="1" w:styleId="apple-style-span">
    <w:name w:val="apple-style-span"/>
    <w:rsid w:val="00573D5B"/>
  </w:style>
  <w:style w:type="paragraph" w:styleId="Numerada3">
    <w:name w:val="List Number 3"/>
    <w:basedOn w:val="Normal"/>
    <w:rsid w:val="00573D5B"/>
    <w:pPr>
      <w:numPr>
        <w:numId w:val="57"/>
      </w:numPr>
      <w:contextualSpacing/>
      <w:jc w:val="both"/>
    </w:pPr>
    <w:rPr>
      <w:rFonts w:eastAsia="Times New Roman" w:cs="Arial"/>
      <w:szCs w:val="20"/>
      <w:lang w:eastAsia="pt-BR"/>
    </w:rPr>
  </w:style>
  <w:style w:type="character" w:customStyle="1" w:styleId="SHS-Ttulo02Char">
    <w:name w:val="SHS - Título 02 Char"/>
    <w:link w:val="SHS-Ttulo02"/>
    <w:uiPriority w:val="99"/>
    <w:rsid w:val="00810C89"/>
    <w:rPr>
      <w:rFonts w:ascii="Arial" w:eastAsia="Times New Roman" w:hAnsi="Arial" w:cs="Arial"/>
      <w:b/>
      <w:sz w:val="24"/>
      <w:szCs w:val="24"/>
    </w:rPr>
  </w:style>
  <w:style w:type="table" w:customStyle="1" w:styleId="Tabelacomgrade5">
    <w:name w:val="Tabela com grade5"/>
    <w:basedOn w:val="Tabelanormal"/>
    <w:next w:val="Tabelacomgrade"/>
    <w:uiPriority w:val="59"/>
    <w:rsid w:val="00573D5B"/>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ylinename">
    <w:name w:val="byline__name"/>
    <w:rsid w:val="00573D5B"/>
  </w:style>
  <w:style w:type="character" w:customStyle="1" w:styleId="bylinetitle">
    <w:name w:val="byline__title"/>
    <w:rsid w:val="00573D5B"/>
  </w:style>
  <w:style w:type="table" w:customStyle="1" w:styleId="Tabelacomgrade6">
    <w:name w:val="Tabela com grade6"/>
    <w:basedOn w:val="Tabelanormal"/>
    <w:next w:val="Tabelacomgrade"/>
    <w:uiPriority w:val="59"/>
    <w:rsid w:val="006716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4">
    <w:name w:val="Sem lista4"/>
    <w:next w:val="Semlista"/>
    <w:uiPriority w:val="99"/>
    <w:semiHidden/>
    <w:unhideWhenUsed/>
    <w:rsid w:val="00671620"/>
  </w:style>
  <w:style w:type="table" w:customStyle="1" w:styleId="Tabelacomgrade7">
    <w:name w:val="Tabela com grade7"/>
    <w:basedOn w:val="Tabelanormal"/>
    <w:next w:val="Tabelacomgrade"/>
    <w:uiPriority w:val="59"/>
    <w:rsid w:val="006716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ombreamentoClaro-nfase32">
    <w:name w:val="Sombreamento Claro - Ênfase 32"/>
    <w:basedOn w:val="Tabelanormal"/>
    <w:next w:val="SombreamentoClaro-nfase3"/>
    <w:uiPriority w:val="60"/>
    <w:rsid w:val="00671620"/>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staClara-nfase32">
    <w:name w:val="Lista Clara - Ênfase 32"/>
    <w:basedOn w:val="Tabelanormal"/>
    <w:next w:val="ListaClara-nfase3"/>
    <w:uiPriority w:val="61"/>
    <w:rsid w:val="00671620"/>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SombreamentoClaro-nfase311">
    <w:name w:val="Sombreamento Claro - Ênfase 311"/>
    <w:basedOn w:val="Tabelanormal"/>
    <w:next w:val="SombreamentoClaro-nfase3"/>
    <w:uiPriority w:val="60"/>
    <w:rsid w:val="00671620"/>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staClara-nfase311">
    <w:name w:val="Lista Clara - Ênfase 311"/>
    <w:basedOn w:val="Tabelanormal"/>
    <w:next w:val="ListaClara-nfase3"/>
    <w:uiPriority w:val="61"/>
    <w:rsid w:val="00671620"/>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Tabelacomgrade111">
    <w:name w:val="Tabela com grade111"/>
    <w:basedOn w:val="Tabelanormal"/>
    <w:next w:val="Tabelacomgrade"/>
    <w:uiPriority w:val="59"/>
    <w:rsid w:val="00671620"/>
    <w:rPr>
      <w:rFonts w:ascii="Arial" w:hAnsi="Arial" w:cs="Arial"/>
      <w:sz w:val="24"/>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111">
    <w:name w:val="Sem lista111"/>
    <w:next w:val="Semlista"/>
    <w:uiPriority w:val="99"/>
    <w:semiHidden/>
    <w:unhideWhenUsed/>
    <w:rsid w:val="00671620"/>
  </w:style>
  <w:style w:type="table" w:customStyle="1" w:styleId="Tabelacomgrade21">
    <w:name w:val="Tabela com grade21"/>
    <w:basedOn w:val="Tabelanormal"/>
    <w:next w:val="Tabelacomgrade"/>
    <w:uiPriority w:val="59"/>
    <w:rsid w:val="006716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ombreamentoClaro-nfase1111">
    <w:name w:val="Sombreamento Claro - Ênfase 1111"/>
    <w:basedOn w:val="Tabelanormal"/>
    <w:uiPriority w:val="60"/>
    <w:rsid w:val="00671620"/>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Semlista21">
    <w:name w:val="Sem lista21"/>
    <w:next w:val="Semlista"/>
    <w:uiPriority w:val="99"/>
    <w:semiHidden/>
    <w:unhideWhenUsed/>
    <w:rsid w:val="00671620"/>
  </w:style>
  <w:style w:type="numbering" w:customStyle="1" w:styleId="Semlista31">
    <w:name w:val="Sem lista31"/>
    <w:next w:val="Semlista"/>
    <w:uiPriority w:val="99"/>
    <w:semiHidden/>
    <w:unhideWhenUsed/>
    <w:rsid w:val="00671620"/>
  </w:style>
  <w:style w:type="table" w:customStyle="1" w:styleId="Tabelacomgrade31">
    <w:name w:val="Tabela com grade31"/>
    <w:basedOn w:val="Tabelanormal"/>
    <w:next w:val="Tabelacomgrade"/>
    <w:uiPriority w:val="59"/>
    <w:rsid w:val="00671620"/>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41">
    <w:name w:val="Tabela com grade41"/>
    <w:basedOn w:val="Tabelanormal"/>
    <w:next w:val="Tabelacomgrade"/>
    <w:uiPriority w:val="59"/>
    <w:rsid w:val="00671620"/>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51">
    <w:name w:val="Tabela com grade51"/>
    <w:basedOn w:val="Tabelanormal"/>
    <w:next w:val="Tabelacomgrade"/>
    <w:uiPriority w:val="59"/>
    <w:rsid w:val="00671620"/>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671620"/>
  </w:style>
  <w:style w:type="table" w:customStyle="1" w:styleId="Tabelacomgrade8">
    <w:name w:val="Tabela com grade8"/>
    <w:basedOn w:val="Tabelanormal"/>
    <w:next w:val="Tabelacomgrade"/>
    <w:uiPriority w:val="59"/>
    <w:rsid w:val="006716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ombreamentoClaro1">
    <w:name w:val="Sombreamento Claro1"/>
    <w:basedOn w:val="Tabelanormal"/>
    <w:next w:val="SombreamentoClaro"/>
    <w:uiPriority w:val="60"/>
    <w:rsid w:val="00671620"/>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highlight">
    <w:name w:val="highlight"/>
    <w:rsid w:val="00671620"/>
  </w:style>
  <w:style w:type="character" w:customStyle="1" w:styleId="documentpublished">
    <w:name w:val="documentpublished"/>
    <w:rsid w:val="0067162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uiPriority="35" w:qFormat="1"/>
    <w:lsdException w:name="List Number 3"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F6E94"/>
    <w:pPr>
      <w:spacing w:line="360" w:lineRule="auto"/>
    </w:pPr>
    <w:rPr>
      <w:rFonts w:ascii="Arial" w:hAnsi="Arial"/>
      <w:sz w:val="24"/>
      <w:szCs w:val="22"/>
      <w:lang w:eastAsia="en-US"/>
    </w:rPr>
  </w:style>
  <w:style w:type="paragraph" w:styleId="Ttulo1">
    <w:name w:val="heading 1"/>
    <w:aliases w:val="Título 2_novo,Título 1 - SHS,Títuloy numerado"/>
    <w:basedOn w:val="Normal"/>
    <w:next w:val="Normal"/>
    <w:link w:val="Ttulo1Char"/>
    <w:autoRedefine/>
    <w:uiPriority w:val="9"/>
    <w:qFormat/>
    <w:rsid w:val="00F71D26"/>
    <w:pPr>
      <w:keepNext/>
      <w:keepLines/>
      <w:spacing w:before="240" w:after="240"/>
      <w:jc w:val="center"/>
      <w:outlineLvl w:val="0"/>
    </w:pPr>
    <w:rPr>
      <w:rFonts w:eastAsia="Times New Roman"/>
      <w:b/>
      <w:bCs/>
      <w:sz w:val="28"/>
      <w:szCs w:val="28"/>
      <w:lang w:val="x-none" w:eastAsia="x-none"/>
    </w:rPr>
  </w:style>
  <w:style w:type="paragraph" w:styleId="Ttulo2">
    <w:name w:val="heading 2"/>
    <w:aliases w:val="Título 2 NUMERADO"/>
    <w:basedOn w:val="Normal"/>
    <w:next w:val="Normal"/>
    <w:link w:val="Ttulo2Char"/>
    <w:autoRedefine/>
    <w:uiPriority w:val="9"/>
    <w:unhideWhenUsed/>
    <w:qFormat/>
    <w:rsid w:val="000341EF"/>
    <w:pPr>
      <w:keepNext/>
      <w:keepLines/>
      <w:tabs>
        <w:tab w:val="left" w:pos="567"/>
        <w:tab w:val="left" w:pos="709"/>
        <w:tab w:val="left" w:pos="993"/>
      </w:tabs>
      <w:spacing w:before="240" w:after="240"/>
      <w:jc w:val="both"/>
      <w:outlineLvl w:val="1"/>
    </w:pPr>
    <w:rPr>
      <w:rFonts w:eastAsia="Times New Roman"/>
      <w:b/>
      <w:bCs/>
      <w:szCs w:val="24"/>
      <w:lang w:val="x-none" w:eastAsia="x-none"/>
    </w:rPr>
  </w:style>
  <w:style w:type="paragraph" w:styleId="Ttulo3">
    <w:name w:val="heading 3"/>
    <w:aliases w:val="Título 3 SHS"/>
    <w:basedOn w:val="SHS-Ttulo02"/>
    <w:next w:val="Normal"/>
    <w:link w:val="Ttulo3Char"/>
    <w:autoRedefine/>
    <w:unhideWhenUsed/>
    <w:qFormat/>
    <w:rsid w:val="00810C89"/>
    <w:pPr>
      <w:widowControl/>
      <w:numPr>
        <w:ilvl w:val="2"/>
      </w:numPr>
      <w:spacing w:before="120" w:after="120"/>
      <w:jc w:val="left"/>
      <w:outlineLvl w:val="2"/>
    </w:pPr>
    <w:rPr>
      <w:rFonts w:cs="Times New Roman"/>
      <w:i/>
      <w:color w:val="000000"/>
      <w:lang w:val="x-none" w:eastAsia="x-none"/>
    </w:rPr>
  </w:style>
  <w:style w:type="paragraph" w:styleId="Ttulo4">
    <w:name w:val="heading 4"/>
    <w:basedOn w:val="Ttulo3"/>
    <w:next w:val="Normal"/>
    <w:link w:val="Ttulo4Char"/>
    <w:autoRedefine/>
    <w:unhideWhenUsed/>
    <w:qFormat/>
    <w:rsid w:val="00810C89"/>
    <w:pPr>
      <w:numPr>
        <w:ilvl w:val="3"/>
      </w:numPr>
      <w:ind w:left="1134" w:hanging="1134"/>
      <w:outlineLvl w:val="3"/>
    </w:pPr>
    <w:rPr>
      <w:i w:val="0"/>
      <w:sz w:val="22"/>
      <w:szCs w:val="22"/>
    </w:rPr>
  </w:style>
  <w:style w:type="paragraph" w:styleId="Ttulo5">
    <w:name w:val="heading 5"/>
    <w:basedOn w:val="Ttulo4"/>
    <w:next w:val="Normal"/>
    <w:link w:val="Ttulo5Char"/>
    <w:autoRedefine/>
    <w:qFormat/>
    <w:rsid w:val="00810C89"/>
    <w:pPr>
      <w:numPr>
        <w:ilvl w:val="4"/>
      </w:numPr>
      <w:ind w:left="1418" w:hanging="1418"/>
      <w:outlineLvl w:val="4"/>
    </w:pPr>
    <w:rPr>
      <w:i/>
    </w:rPr>
  </w:style>
  <w:style w:type="paragraph" w:styleId="Ttulo6">
    <w:name w:val="heading 6"/>
    <w:basedOn w:val="Ttulo5"/>
    <w:next w:val="Normal"/>
    <w:link w:val="Ttulo6Char"/>
    <w:uiPriority w:val="9"/>
    <w:qFormat/>
    <w:rsid w:val="00615E6E"/>
    <w:pPr>
      <w:numPr>
        <w:ilvl w:val="6"/>
      </w:numPr>
      <w:outlineLvl w:val="5"/>
    </w:pPr>
  </w:style>
  <w:style w:type="paragraph" w:styleId="Ttulo7">
    <w:name w:val="heading 7"/>
    <w:basedOn w:val="Normal"/>
    <w:next w:val="Normal"/>
    <w:link w:val="Ttulo7Char"/>
    <w:uiPriority w:val="9"/>
    <w:qFormat/>
    <w:rsid w:val="000A0514"/>
    <w:pPr>
      <w:tabs>
        <w:tab w:val="num" w:pos="2430"/>
      </w:tabs>
      <w:spacing w:before="240" w:after="60"/>
      <w:ind w:left="2430" w:hanging="1296"/>
      <w:contextualSpacing/>
      <w:jc w:val="both"/>
      <w:outlineLvl w:val="6"/>
    </w:pPr>
    <w:rPr>
      <w:rFonts w:ascii="Times New Roman" w:eastAsia="Times New Roman" w:hAnsi="Times New Roman"/>
      <w:szCs w:val="24"/>
      <w:lang w:val="x-none" w:eastAsia="x-none"/>
    </w:rPr>
  </w:style>
  <w:style w:type="paragraph" w:styleId="Ttulo8">
    <w:name w:val="heading 8"/>
    <w:basedOn w:val="Ttulo3"/>
    <w:next w:val="Normal"/>
    <w:link w:val="Ttulo8Char"/>
    <w:uiPriority w:val="9"/>
    <w:qFormat/>
    <w:rsid w:val="000A0514"/>
    <w:pPr>
      <w:keepNext/>
      <w:numPr>
        <w:ilvl w:val="0"/>
        <w:numId w:val="0"/>
      </w:numPr>
      <w:tabs>
        <w:tab w:val="num" w:pos="2410"/>
      </w:tabs>
      <w:ind w:left="2410" w:hanging="864"/>
      <w:outlineLvl w:val="7"/>
    </w:pPr>
    <w:rPr>
      <w:bCs/>
      <w:i w:val="0"/>
      <w:color w:val="auto"/>
      <w:sz w:val="22"/>
      <w:szCs w:val="22"/>
    </w:rPr>
  </w:style>
  <w:style w:type="paragraph" w:styleId="Ttulo9">
    <w:name w:val="heading 9"/>
    <w:basedOn w:val="Normal"/>
    <w:next w:val="Normal"/>
    <w:link w:val="Ttulo9Char"/>
    <w:uiPriority w:val="9"/>
    <w:unhideWhenUsed/>
    <w:qFormat/>
    <w:rsid w:val="00931FC2"/>
    <w:pPr>
      <w:spacing w:before="240" w:after="60"/>
      <w:outlineLvl w:val="8"/>
    </w:pPr>
    <w:rPr>
      <w:rFonts w:ascii="Cambria" w:eastAsia="Times New Roman" w:hAnsi="Cambria"/>
      <w:sz w:val="22"/>
      <w:lang w:val="x-non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styleId="Tabelacomgrade">
    <w:name w:val="Table Grid"/>
    <w:basedOn w:val="Tabelanormal"/>
    <w:uiPriority w:val="59"/>
    <w:rsid w:val="00AF19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FE00F2"/>
    <w:pPr>
      <w:spacing w:before="100" w:beforeAutospacing="1" w:after="100" w:afterAutospacing="1" w:line="240" w:lineRule="auto"/>
    </w:pPr>
    <w:rPr>
      <w:rFonts w:ascii="Times New Roman" w:eastAsia="Times New Roman" w:hAnsi="Times New Roman"/>
      <w:szCs w:val="24"/>
      <w:lang w:eastAsia="pt-BR"/>
    </w:rPr>
  </w:style>
  <w:style w:type="character" w:customStyle="1" w:styleId="Ttulo1Char">
    <w:name w:val="Título 1 Char"/>
    <w:aliases w:val="Título 2_novo Char,Título 1 - SHS Char,Títuloy numerado Char"/>
    <w:link w:val="Ttulo1"/>
    <w:uiPriority w:val="9"/>
    <w:rsid w:val="00F71D26"/>
    <w:rPr>
      <w:rFonts w:ascii="Arial" w:eastAsia="Times New Roman" w:hAnsi="Arial" w:cs="Arial"/>
      <w:b/>
      <w:bCs/>
      <w:sz w:val="28"/>
      <w:szCs w:val="28"/>
      <w:lang w:eastAsia="x-none"/>
    </w:rPr>
  </w:style>
  <w:style w:type="paragraph" w:customStyle="1" w:styleId="Capa">
    <w:name w:val="Capa"/>
    <w:basedOn w:val="Normal"/>
    <w:rsid w:val="008F3022"/>
    <w:pPr>
      <w:widowControl w:val="0"/>
      <w:spacing w:before="60" w:after="120"/>
      <w:jc w:val="center"/>
    </w:pPr>
    <w:rPr>
      <w:rFonts w:eastAsia="Times New Roman" w:cs="Arial"/>
      <w:b/>
      <w:bCs/>
      <w:smallCaps/>
      <w:sz w:val="28"/>
      <w:szCs w:val="20"/>
    </w:rPr>
  </w:style>
  <w:style w:type="paragraph" w:styleId="Rodap">
    <w:name w:val="footer"/>
    <w:link w:val="RodapChar"/>
    <w:uiPriority w:val="99"/>
    <w:qFormat/>
    <w:rsid w:val="003E5877"/>
    <w:pPr>
      <w:widowControl w:val="0"/>
      <w:tabs>
        <w:tab w:val="center" w:pos="4252"/>
        <w:tab w:val="right" w:pos="8504"/>
      </w:tabs>
      <w:contextualSpacing/>
      <w:jc w:val="both"/>
    </w:pPr>
    <w:rPr>
      <w:rFonts w:ascii="Baha" w:eastAsia="Times New Roman" w:hAnsi="Baha"/>
      <w:i/>
      <w:color w:val="A6A6A6" w:themeColor="background1" w:themeShade="A6"/>
      <w:lang w:val="x-none" w:eastAsia="x-none"/>
    </w:rPr>
  </w:style>
  <w:style w:type="character" w:customStyle="1" w:styleId="RodapChar">
    <w:name w:val="Rodapé Char"/>
    <w:link w:val="Rodap"/>
    <w:uiPriority w:val="99"/>
    <w:rsid w:val="003E5877"/>
    <w:rPr>
      <w:rFonts w:ascii="Baha" w:eastAsia="Times New Roman" w:hAnsi="Baha"/>
      <w:i/>
      <w:color w:val="A6A6A6" w:themeColor="background1" w:themeShade="A6"/>
      <w:lang w:val="x-none" w:eastAsia="x-none"/>
    </w:rPr>
  </w:style>
  <w:style w:type="paragraph" w:styleId="Cabealho">
    <w:name w:val="header"/>
    <w:basedOn w:val="Normal"/>
    <w:link w:val="CabealhoChar"/>
    <w:uiPriority w:val="99"/>
    <w:rsid w:val="008F3022"/>
    <w:pPr>
      <w:widowControl w:val="0"/>
      <w:tabs>
        <w:tab w:val="center" w:pos="4252"/>
        <w:tab w:val="right" w:pos="8504"/>
      </w:tabs>
      <w:spacing w:before="60" w:after="120"/>
      <w:ind w:firstLine="567"/>
      <w:jc w:val="both"/>
    </w:pPr>
    <w:rPr>
      <w:rFonts w:eastAsia="Times New Roman"/>
      <w:sz w:val="22"/>
      <w:szCs w:val="20"/>
      <w:lang w:val="x-none" w:eastAsia="x-none"/>
    </w:rPr>
  </w:style>
  <w:style w:type="character" w:customStyle="1" w:styleId="CabealhoChar">
    <w:name w:val="Cabeçalho Char"/>
    <w:link w:val="Cabealho"/>
    <w:uiPriority w:val="99"/>
    <w:rsid w:val="008F3022"/>
    <w:rPr>
      <w:rFonts w:ascii="Arial" w:eastAsia="Times New Roman" w:hAnsi="Arial" w:cs="Arial"/>
      <w:sz w:val="22"/>
    </w:rPr>
  </w:style>
  <w:style w:type="paragraph" w:styleId="Textodebalo">
    <w:name w:val="Balloon Text"/>
    <w:basedOn w:val="Normal"/>
    <w:link w:val="TextodebaloChar"/>
    <w:uiPriority w:val="99"/>
    <w:semiHidden/>
    <w:unhideWhenUsed/>
    <w:rsid w:val="008F3022"/>
    <w:pPr>
      <w:spacing w:line="240" w:lineRule="auto"/>
      <w:jc w:val="both"/>
    </w:pPr>
    <w:rPr>
      <w:rFonts w:ascii="Tahoma" w:eastAsia="Times New Roman" w:hAnsi="Tahoma"/>
      <w:sz w:val="16"/>
      <w:szCs w:val="16"/>
      <w:lang w:val="x-none" w:eastAsia="x-none"/>
    </w:rPr>
  </w:style>
  <w:style w:type="character" w:customStyle="1" w:styleId="TextodebaloChar">
    <w:name w:val="Texto de balão Char"/>
    <w:link w:val="Textodebalo"/>
    <w:uiPriority w:val="99"/>
    <w:semiHidden/>
    <w:rsid w:val="008F3022"/>
    <w:rPr>
      <w:rFonts w:ascii="Tahoma" w:eastAsia="Times New Roman" w:hAnsi="Tahoma" w:cs="Tahoma"/>
      <w:sz w:val="16"/>
      <w:szCs w:val="16"/>
    </w:rPr>
  </w:style>
  <w:style w:type="paragraph" w:styleId="Legenda">
    <w:name w:val="caption"/>
    <w:aliases w:val="Cima,SHS - Legenda"/>
    <w:basedOn w:val="Normal"/>
    <w:next w:val="Normal"/>
    <w:link w:val="LegendaChar"/>
    <w:uiPriority w:val="35"/>
    <w:unhideWhenUsed/>
    <w:qFormat/>
    <w:rsid w:val="00E95583"/>
    <w:pPr>
      <w:keepNext/>
      <w:spacing w:before="120" w:line="240" w:lineRule="auto"/>
      <w:jc w:val="center"/>
    </w:pPr>
    <w:rPr>
      <w:rFonts w:eastAsia="Times New Roman"/>
      <w:b/>
      <w:bCs/>
      <w:sz w:val="20"/>
      <w:szCs w:val="24"/>
      <w:lang w:val="x-none" w:eastAsia="x-none"/>
    </w:rPr>
  </w:style>
  <w:style w:type="paragraph" w:styleId="PargrafodaLista">
    <w:name w:val="List Paragraph"/>
    <w:aliases w:val="Tópicos,Parágrafo da Lista1"/>
    <w:basedOn w:val="Normal"/>
    <w:link w:val="PargrafodaListaChar"/>
    <w:uiPriority w:val="34"/>
    <w:qFormat/>
    <w:rsid w:val="008F3022"/>
    <w:pPr>
      <w:ind w:left="720"/>
      <w:contextualSpacing/>
      <w:jc w:val="both"/>
    </w:pPr>
    <w:rPr>
      <w:rFonts w:eastAsia="Times New Roman"/>
      <w:szCs w:val="20"/>
      <w:lang w:val="x-none" w:eastAsia="x-none"/>
    </w:rPr>
  </w:style>
  <w:style w:type="paragraph" w:styleId="CabealhodoSumrio">
    <w:name w:val="TOC Heading"/>
    <w:basedOn w:val="Ttulo1"/>
    <w:next w:val="Normal"/>
    <w:uiPriority w:val="39"/>
    <w:unhideWhenUsed/>
    <w:qFormat/>
    <w:rsid w:val="008F3022"/>
    <w:pPr>
      <w:spacing w:line="276" w:lineRule="auto"/>
      <w:jc w:val="left"/>
      <w:outlineLvl w:val="9"/>
    </w:pPr>
  </w:style>
  <w:style w:type="paragraph" w:styleId="Sumrio1">
    <w:name w:val="toc 1"/>
    <w:basedOn w:val="Normal"/>
    <w:next w:val="Normal"/>
    <w:autoRedefine/>
    <w:uiPriority w:val="39"/>
    <w:unhideWhenUsed/>
    <w:qFormat/>
    <w:rsid w:val="00FF7681"/>
    <w:pPr>
      <w:tabs>
        <w:tab w:val="right" w:leader="dot" w:pos="9350"/>
      </w:tabs>
      <w:spacing w:before="120" w:after="120"/>
      <w:ind w:right="567"/>
      <w:jc w:val="both"/>
    </w:pPr>
    <w:rPr>
      <w:rFonts w:eastAsia="Times New Roman" w:cs="Arial"/>
      <w:b/>
      <w:szCs w:val="20"/>
      <w:lang w:eastAsia="pt-BR"/>
    </w:rPr>
  </w:style>
  <w:style w:type="character" w:styleId="Hyperlink">
    <w:name w:val="Hyperlink"/>
    <w:uiPriority w:val="99"/>
    <w:unhideWhenUsed/>
    <w:rsid w:val="008F3022"/>
    <w:rPr>
      <w:color w:val="0000FF"/>
      <w:u w:val="single"/>
    </w:rPr>
  </w:style>
  <w:style w:type="character" w:customStyle="1" w:styleId="LegendaChar">
    <w:name w:val="Legenda Char"/>
    <w:aliases w:val="Cima Char,SHS - Legenda Char"/>
    <w:link w:val="Legenda"/>
    <w:uiPriority w:val="35"/>
    <w:rsid w:val="00E95583"/>
    <w:rPr>
      <w:rFonts w:ascii="Arial" w:eastAsia="Times New Roman" w:hAnsi="Arial"/>
      <w:b/>
      <w:bCs/>
      <w:szCs w:val="24"/>
      <w:lang w:val="x-none" w:eastAsia="x-none"/>
    </w:rPr>
  </w:style>
  <w:style w:type="character" w:styleId="Forte">
    <w:name w:val="Strong"/>
    <w:uiPriority w:val="22"/>
    <w:qFormat/>
    <w:rsid w:val="008F3022"/>
    <w:rPr>
      <w:b/>
      <w:bCs/>
    </w:rPr>
  </w:style>
  <w:style w:type="character" w:customStyle="1" w:styleId="Ttulo2Char">
    <w:name w:val="Título 2 Char"/>
    <w:aliases w:val="Título 2 NUMERADO Char"/>
    <w:link w:val="Ttulo2"/>
    <w:uiPriority w:val="9"/>
    <w:rsid w:val="000341EF"/>
    <w:rPr>
      <w:rFonts w:ascii="Arial" w:eastAsia="Times New Roman" w:hAnsi="Arial" w:cs="Arial"/>
      <w:b/>
      <w:bCs/>
      <w:sz w:val="24"/>
      <w:szCs w:val="24"/>
      <w:lang w:eastAsia="x-none"/>
    </w:rPr>
  </w:style>
  <w:style w:type="character" w:styleId="nfaseSutil">
    <w:name w:val="Subtle Emphasis"/>
    <w:uiPriority w:val="19"/>
    <w:qFormat/>
    <w:rsid w:val="008F3022"/>
    <w:rPr>
      <w:rFonts w:ascii="Arial" w:hAnsi="Arial"/>
      <w:iCs/>
      <w:color w:val="808080"/>
      <w:sz w:val="24"/>
      <w:u w:val="single"/>
    </w:rPr>
  </w:style>
  <w:style w:type="paragraph" w:styleId="Sumrio2">
    <w:name w:val="toc 2"/>
    <w:basedOn w:val="Normal"/>
    <w:next w:val="Normal"/>
    <w:autoRedefine/>
    <w:uiPriority w:val="39"/>
    <w:unhideWhenUsed/>
    <w:qFormat/>
    <w:rsid w:val="00FF7681"/>
    <w:pPr>
      <w:tabs>
        <w:tab w:val="right" w:leader="dot" w:pos="9350"/>
      </w:tabs>
      <w:spacing w:before="120" w:after="120"/>
      <w:ind w:left="284" w:right="567"/>
      <w:jc w:val="both"/>
    </w:pPr>
  </w:style>
  <w:style w:type="paragraph" w:customStyle="1" w:styleId="SHS-Ttulo01">
    <w:name w:val="SHS - Título 01"/>
    <w:basedOn w:val="Normal"/>
    <w:next w:val="Normal"/>
    <w:autoRedefine/>
    <w:uiPriority w:val="99"/>
    <w:qFormat/>
    <w:rsid w:val="00BC01B1"/>
    <w:pPr>
      <w:widowControl w:val="0"/>
      <w:numPr>
        <w:numId w:val="1"/>
      </w:numPr>
      <w:spacing w:before="240" w:after="240"/>
      <w:ind w:left="426" w:hanging="426"/>
      <w:jc w:val="both"/>
      <w:outlineLvl w:val="0"/>
    </w:pPr>
    <w:rPr>
      <w:rFonts w:eastAsia="Times New Roman" w:cs="Arial"/>
      <w:b/>
      <w:sz w:val="28"/>
      <w:szCs w:val="28"/>
      <w:lang w:eastAsia="pt-BR"/>
    </w:rPr>
  </w:style>
  <w:style w:type="paragraph" w:customStyle="1" w:styleId="SHS-Ttulo02">
    <w:name w:val="SHS - Título 02"/>
    <w:basedOn w:val="SHS-Ttulo01"/>
    <w:next w:val="Normal"/>
    <w:link w:val="SHS-Ttulo02Char"/>
    <w:autoRedefine/>
    <w:uiPriority w:val="99"/>
    <w:qFormat/>
    <w:rsid w:val="00810C89"/>
    <w:pPr>
      <w:numPr>
        <w:ilvl w:val="1"/>
      </w:numPr>
      <w:outlineLvl w:val="1"/>
    </w:pPr>
    <w:rPr>
      <w:sz w:val="24"/>
      <w:szCs w:val="24"/>
    </w:rPr>
  </w:style>
  <w:style w:type="paragraph" w:styleId="ndicedeilustraes">
    <w:name w:val="table of figures"/>
    <w:basedOn w:val="Normal"/>
    <w:next w:val="Normal"/>
    <w:uiPriority w:val="99"/>
    <w:unhideWhenUsed/>
    <w:rsid w:val="006822CA"/>
    <w:pPr>
      <w:tabs>
        <w:tab w:val="right" w:leader="dot" w:pos="9350"/>
      </w:tabs>
      <w:spacing w:before="120" w:after="120"/>
      <w:ind w:right="567"/>
      <w:jc w:val="both"/>
    </w:pPr>
  </w:style>
  <w:style w:type="paragraph" w:customStyle="1" w:styleId="Default">
    <w:name w:val="Default"/>
    <w:rsid w:val="00C058B7"/>
    <w:pPr>
      <w:autoSpaceDE w:val="0"/>
      <w:autoSpaceDN w:val="0"/>
      <w:adjustRightInd w:val="0"/>
    </w:pPr>
    <w:rPr>
      <w:rFonts w:ascii="Arial" w:hAnsi="Arial" w:cs="Arial"/>
      <w:color w:val="000000"/>
      <w:sz w:val="24"/>
      <w:szCs w:val="24"/>
    </w:rPr>
  </w:style>
  <w:style w:type="paragraph" w:customStyle="1" w:styleId="fmn-autor">
    <w:name w:val="fmn-autor"/>
    <w:basedOn w:val="Normal"/>
    <w:rsid w:val="00B039FE"/>
    <w:pPr>
      <w:spacing w:line="480" w:lineRule="auto"/>
      <w:jc w:val="center"/>
    </w:pPr>
    <w:rPr>
      <w:rFonts w:ascii="Times New Roman" w:eastAsia="Times New Roman" w:hAnsi="Times New Roman" w:cs="Arial"/>
      <w:sz w:val="32"/>
      <w:szCs w:val="32"/>
      <w:lang w:eastAsia="pt-BR"/>
    </w:rPr>
  </w:style>
  <w:style w:type="character" w:customStyle="1" w:styleId="Ttulo3Char">
    <w:name w:val="Título 3 Char"/>
    <w:aliases w:val="Título 3 SHS Char"/>
    <w:link w:val="Ttulo3"/>
    <w:rsid w:val="00810C89"/>
    <w:rPr>
      <w:rFonts w:ascii="Arial" w:eastAsia="Times New Roman" w:hAnsi="Arial"/>
      <w:b/>
      <w:i/>
      <w:color w:val="000000"/>
      <w:sz w:val="24"/>
      <w:szCs w:val="24"/>
      <w:lang w:val="x-none" w:eastAsia="x-none"/>
    </w:rPr>
  </w:style>
  <w:style w:type="paragraph" w:styleId="MapadoDocumento">
    <w:name w:val="Document Map"/>
    <w:basedOn w:val="Normal"/>
    <w:link w:val="MapadoDocumentoChar"/>
    <w:uiPriority w:val="99"/>
    <w:semiHidden/>
    <w:unhideWhenUsed/>
    <w:rsid w:val="00DB2758"/>
    <w:rPr>
      <w:rFonts w:ascii="Tahoma" w:eastAsia="Times New Roman" w:hAnsi="Tahoma"/>
      <w:sz w:val="16"/>
      <w:szCs w:val="16"/>
      <w:lang w:val="x-none" w:eastAsia="x-none"/>
    </w:rPr>
  </w:style>
  <w:style w:type="paragraph" w:styleId="Sumrio3">
    <w:name w:val="toc 3"/>
    <w:basedOn w:val="Normal"/>
    <w:next w:val="Normal"/>
    <w:autoRedefine/>
    <w:uiPriority w:val="39"/>
    <w:unhideWhenUsed/>
    <w:qFormat/>
    <w:rsid w:val="00FF7681"/>
    <w:pPr>
      <w:tabs>
        <w:tab w:val="right" w:leader="dot" w:pos="9350"/>
      </w:tabs>
      <w:spacing w:before="120" w:after="120"/>
      <w:ind w:left="567" w:right="567"/>
      <w:jc w:val="both"/>
    </w:pPr>
    <w:rPr>
      <w:i/>
    </w:rPr>
  </w:style>
  <w:style w:type="character" w:customStyle="1" w:styleId="MapadoDocumentoChar">
    <w:name w:val="Mapa do Documento Char"/>
    <w:link w:val="MapadoDocumento"/>
    <w:uiPriority w:val="99"/>
    <w:semiHidden/>
    <w:rsid w:val="00DB2758"/>
    <w:rPr>
      <w:rFonts w:ascii="Tahoma" w:eastAsia="Times New Roman" w:hAnsi="Tahoma" w:cs="Tahoma"/>
      <w:sz w:val="16"/>
      <w:szCs w:val="16"/>
    </w:rPr>
  </w:style>
  <w:style w:type="character" w:customStyle="1" w:styleId="apple-converted-space">
    <w:name w:val="apple-converted-space"/>
    <w:rsid w:val="0068763A"/>
  </w:style>
  <w:style w:type="character" w:customStyle="1" w:styleId="Ttulo5Char">
    <w:name w:val="Título 5 Char"/>
    <w:link w:val="Ttulo5"/>
    <w:rsid w:val="00810C89"/>
    <w:rPr>
      <w:rFonts w:ascii="Arial" w:eastAsia="Times New Roman" w:hAnsi="Arial"/>
      <w:b/>
      <w:i/>
      <w:color w:val="000000"/>
      <w:sz w:val="22"/>
      <w:szCs w:val="22"/>
      <w:lang w:val="x-none" w:eastAsia="x-none"/>
    </w:rPr>
  </w:style>
  <w:style w:type="character" w:customStyle="1" w:styleId="Ttulo6Char">
    <w:name w:val="Título 6 Char"/>
    <w:link w:val="Ttulo6"/>
    <w:uiPriority w:val="9"/>
    <w:rsid w:val="00615E6E"/>
    <w:rPr>
      <w:rFonts w:ascii="Arial" w:eastAsia="Times New Roman" w:hAnsi="Arial"/>
      <w:b/>
      <w:i/>
      <w:sz w:val="22"/>
      <w:szCs w:val="22"/>
      <w:lang w:val="x-none" w:eastAsia="x-none"/>
    </w:rPr>
  </w:style>
  <w:style w:type="character" w:customStyle="1" w:styleId="Ttulo7Char">
    <w:name w:val="Título 7 Char"/>
    <w:link w:val="Ttulo7"/>
    <w:uiPriority w:val="9"/>
    <w:rsid w:val="000A0514"/>
    <w:rPr>
      <w:rFonts w:ascii="Times New Roman" w:eastAsia="Times New Roman" w:hAnsi="Times New Roman"/>
      <w:sz w:val="24"/>
      <w:szCs w:val="24"/>
    </w:rPr>
  </w:style>
  <w:style w:type="character" w:customStyle="1" w:styleId="Ttulo8Char">
    <w:name w:val="Título 8 Char"/>
    <w:link w:val="Ttulo8"/>
    <w:uiPriority w:val="9"/>
    <w:rsid w:val="000A0514"/>
    <w:rPr>
      <w:rFonts w:ascii="Arial" w:eastAsia="Times New Roman" w:hAnsi="Arial" w:cs="Arial"/>
      <w:b/>
      <w:bCs/>
      <w:i/>
      <w:sz w:val="22"/>
      <w:szCs w:val="22"/>
    </w:rPr>
  </w:style>
  <w:style w:type="character" w:customStyle="1" w:styleId="Ttulo4Char">
    <w:name w:val="Título 4 Char"/>
    <w:link w:val="Ttulo4"/>
    <w:rsid w:val="00810C89"/>
    <w:rPr>
      <w:rFonts w:ascii="Arial" w:eastAsia="Times New Roman" w:hAnsi="Arial"/>
      <w:b/>
      <w:color w:val="000000"/>
      <w:sz w:val="22"/>
      <w:szCs w:val="22"/>
      <w:lang w:val="x-none" w:eastAsia="x-none"/>
    </w:rPr>
  </w:style>
  <w:style w:type="character" w:customStyle="1" w:styleId="Ttulo9Char">
    <w:name w:val="Título 9 Char"/>
    <w:link w:val="Ttulo9"/>
    <w:uiPriority w:val="9"/>
    <w:rsid w:val="00931FC2"/>
    <w:rPr>
      <w:rFonts w:ascii="Cambria" w:eastAsia="Times New Roman" w:hAnsi="Cambria" w:cs="Times New Roman"/>
      <w:sz w:val="22"/>
      <w:szCs w:val="22"/>
      <w:lang w:eastAsia="en-US"/>
    </w:rPr>
  </w:style>
  <w:style w:type="paragraph" w:styleId="Sumrio4">
    <w:name w:val="toc 4"/>
    <w:basedOn w:val="Normal"/>
    <w:next w:val="Normal"/>
    <w:autoRedefine/>
    <w:uiPriority w:val="39"/>
    <w:unhideWhenUsed/>
    <w:rsid w:val="00FF7681"/>
    <w:pPr>
      <w:tabs>
        <w:tab w:val="right" w:leader="dot" w:pos="9350"/>
      </w:tabs>
      <w:spacing w:before="120" w:after="120"/>
      <w:ind w:left="851" w:right="567"/>
    </w:pPr>
    <w:rPr>
      <w:rFonts w:eastAsia="Times New Roman"/>
      <w:sz w:val="22"/>
      <w:lang w:eastAsia="pt-BR"/>
    </w:rPr>
  </w:style>
  <w:style w:type="paragraph" w:styleId="Sumrio5">
    <w:name w:val="toc 5"/>
    <w:basedOn w:val="Normal"/>
    <w:next w:val="Normal"/>
    <w:autoRedefine/>
    <w:uiPriority w:val="39"/>
    <w:unhideWhenUsed/>
    <w:rsid w:val="00FF7681"/>
    <w:pPr>
      <w:tabs>
        <w:tab w:val="right" w:leader="dot" w:pos="9350"/>
      </w:tabs>
      <w:spacing w:before="120" w:after="120"/>
      <w:ind w:left="1134" w:right="567"/>
    </w:pPr>
    <w:rPr>
      <w:rFonts w:eastAsia="Times New Roman"/>
      <w:i/>
      <w:sz w:val="22"/>
      <w:lang w:eastAsia="pt-BR"/>
    </w:rPr>
  </w:style>
  <w:style w:type="paragraph" w:styleId="Sumrio6">
    <w:name w:val="toc 6"/>
    <w:basedOn w:val="Normal"/>
    <w:next w:val="Normal"/>
    <w:autoRedefine/>
    <w:uiPriority w:val="39"/>
    <w:unhideWhenUsed/>
    <w:rsid w:val="00E25037"/>
    <w:pPr>
      <w:spacing w:after="100" w:line="276" w:lineRule="auto"/>
      <w:ind w:left="1100"/>
    </w:pPr>
    <w:rPr>
      <w:rFonts w:ascii="Calibri" w:eastAsia="Times New Roman" w:hAnsi="Calibri"/>
      <w:sz w:val="22"/>
      <w:lang w:eastAsia="pt-BR"/>
    </w:rPr>
  </w:style>
  <w:style w:type="paragraph" w:styleId="Sumrio7">
    <w:name w:val="toc 7"/>
    <w:basedOn w:val="Normal"/>
    <w:next w:val="Normal"/>
    <w:autoRedefine/>
    <w:uiPriority w:val="39"/>
    <w:unhideWhenUsed/>
    <w:rsid w:val="00E25037"/>
    <w:pPr>
      <w:spacing w:after="100" w:line="276" w:lineRule="auto"/>
      <w:ind w:left="1320"/>
    </w:pPr>
    <w:rPr>
      <w:rFonts w:ascii="Calibri" w:eastAsia="Times New Roman" w:hAnsi="Calibri"/>
      <w:sz w:val="22"/>
      <w:lang w:eastAsia="pt-BR"/>
    </w:rPr>
  </w:style>
  <w:style w:type="paragraph" w:styleId="Sumrio8">
    <w:name w:val="toc 8"/>
    <w:basedOn w:val="Normal"/>
    <w:next w:val="Normal"/>
    <w:autoRedefine/>
    <w:uiPriority w:val="39"/>
    <w:unhideWhenUsed/>
    <w:rsid w:val="00E25037"/>
    <w:pPr>
      <w:spacing w:after="100" w:line="276" w:lineRule="auto"/>
      <w:ind w:left="1540"/>
    </w:pPr>
    <w:rPr>
      <w:rFonts w:ascii="Calibri" w:eastAsia="Times New Roman" w:hAnsi="Calibri"/>
      <w:sz w:val="22"/>
      <w:lang w:eastAsia="pt-BR"/>
    </w:rPr>
  </w:style>
  <w:style w:type="paragraph" w:styleId="Sumrio9">
    <w:name w:val="toc 9"/>
    <w:basedOn w:val="Normal"/>
    <w:next w:val="Normal"/>
    <w:autoRedefine/>
    <w:uiPriority w:val="39"/>
    <w:unhideWhenUsed/>
    <w:rsid w:val="00E25037"/>
    <w:pPr>
      <w:spacing w:after="100" w:line="276" w:lineRule="auto"/>
      <w:ind w:left="1760"/>
    </w:pPr>
    <w:rPr>
      <w:rFonts w:ascii="Calibri" w:eastAsia="Times New Roman" w:hAnsi="Calibri"/>
      <w:sz w:val="22"/>
      <w:lang w:eastAsia="pt-BR"/>
    </w:rPr>
  </w:style>
  <w:style w:type="paragraph" w:customStyle="1" w:styleId="figura">
    <w:name w:val="figura"/>
    <w:basedOn w:val="Normal"/>
    <w:next w:val="Legenda"/>
    <w:qFormat/>
    <w:rsid w:val="000243C2"/>
    <w:pPr>
      <w:widowControl w:val="0"/>
      <w:spacing w:line="240" w:lineRule="auto"/>
      <w:jc w:val="center"/>
    </w:pPr>
    <w:rPr>
      <w:rFonts w:eastAsia="Times New Roman" w:cs="Arial"/>
      <w:sz w:val="22"/>
      <w:szCs w:val="20"/>
      <w:lang w:eastAsia="pt-BR"/>
    </w:rPr>
  </w:style>
  <w:style w:type="paragraph" w:customStyle="1" w:styleId="Fonte">
    <w:name w:val="Fonte"/>
    <w:basedOn w:val="Normal"/>
    <w:link w:val="FonteChar"/>
    <w:qFormat/>
    <w:rsid w:val="00AC47A2"/>
    <w:pPr>
      <w:spacing w:after="240" w:line="240" w:lineRule="auto"/>
      <w:contextualSpacing/>
      <w:jc w:val="center"/>
    </w:pPr>
    <w:rPr>
      <w:rFonts w:eastAsia="Times New Roman"/>
      <w:sz w:val="22"/>
      <w:lang w:eastAsia="pt-BR"/>
    </w:rPr>
  </w:style>
  <w:style w:type="paragraph" w:customStyle="1" w:styleId="Imagem">
    <w:name w:val="Imagem"/>
    <w:basedOn w:val="Normal"/>
    <w:uiPriority w:val="99"/>
    <w:qFormat/>
    <w:rsid w:val="009D457B"/>
    <w:pPr>
      <w:suppressAutoHyphens/>
      <w:spacing w:before="120" w:after="120"/>
      <w:contextualSpacing/>
      <w:jc w:val="center"/>
    </w:pPr>
    <w:rPr>
      <w:rFonts w:eastAsia="Times New Roman"/>
      <w:color w:val="000000"/>
      <w:szCs w:val="20"/>
      <w:lang w:eastAsia="ar-SA"/>
    </w:rPr>
  </w:style>
  <w:style w:type="character" w:customStyle="1" w:styleId="PargrafodaListaChar">
    <w:name w:val="Parágrafo da Lista Char"/>
    <w:aliases w:val="Tópicos Char,Parágrafo da Lista1 Char"/>
    <w:link w:val="PargrafodaLista"/>
    <w:uiPriority w:val="34"/>
    <w:rsid w:val="00161690"/>
    <w:rPr>
      <w:rFonts w:ascii="Arial" w:eastAsia="Times New Roman" w:hAnsi="Arial" w:cs="Arial"/>
      <w:sz w:val="24"/>
    </w:rPr>
  </w:style>
  <w:style w:type="paragraph" w:customStyle="1" w:styleId="shs-texto">
    <w:name w:val="shs - texto"/>
    <w:basedOn w:val="Normal"/>
    <w:link w:val="shs-textoChar"/>
    <w:rsid w:val="00161690"/>
    <w:pPr>
      <w:widowControl w:val="0"/>
      <w:ind w:firstLine="1134"/>
      <w:jc w:val="both"/>
    </w:pPr>
    <w:rPr>
      <w:rFonts w:eastAsia="Times New Roman"/>
      <w:szCs w:val="36"/>
      <w:lang w:val="x-none" w:eastAsia="x-none"/>
    </w:rPr>
  </w:style>
  <w:style w:type="character" w:customStyle="1" w:styleId="shs-textoChar">
    <w:name w:val="shs - texto Char"/>
    <w:link w:val="shs-texto"/>
    <w:rsid w:val="00161690"/>
    <w:rPr>
      <w:rFonts w:ascii="Arial" w:eastAsia="Times New Roman" w:hAnsi="Arial"/>
      <w:sz w:val="24"/>
      <w:szCs w:val="36"/>
    </w:rPr>
  </w:style>
  <w:style w:type="paragraph" w:customStyle="1" w:styleId="Referncias">
    <w:name w:val="Referências"/>
    <w:basedOn w:val="Normal"/>
    <w:rsid w:val="003B0F56"/>
    <w:pPr>
      <w:spacing w:before="120" w:after="120"/>
      <w:ind w:left="851" w:hanging="851"/>
      <w:contextualSpacing/>
      <w:jc w:val="both"/>
    </w:pPr>
    <w:rPr>
      <w:rFonts w:eastAsia="Times New Roman" w:cs="Arial"/>
      <w:szCs w:val="24"/>
      <w:lang w:eastAsia="pt-BR"/>
    </w:rPr>
  </w:style>
  <w:style w:type="character" w:styleId="Refdecomentrio">
    <w:name w:val="annotation reference"/>
    <w:uiPriority w:val="99"/>
    <w:semiHidden/>
    <w:unhideWhenUsed/>
    <w:rsid w:val="005A4B08"/>
    <w:rPr>
      <w:sz w:val="16"/>
      <w:szCs w:val="16"/>
    </w:rPr>
  </w:style>
  <w:style w:type="paragraph" w:styleId="Textodecomentrio">
    <w:name w:val="annotation text"/>
    <w:basedOn w:val="Normal"/>
    <w:link w:val="TextodecomentrioChar"/>
    <w:uiPriority w:val="99"/>
    <w:unhideWhenUsed/>
    <w:rsid w:val="005A4B08"/>
    <w:rPr>
      <w:sz w:val="20"/>
      <w:szCs w:val="20"/>
      <w:lang w:val="x-none"/>
    </w:rPr>
  </w:style>
  <w:style w:type="character" w:customStyle="1" w:styleId="TextodecomentrioChar">
    <w:name w:val="Texto de comentário Char"/>
    <w:link w:val="Textodecomentrio"/>
    <w:uiPriority w:val="99"/>
    <w:rsid w:val="005A4B08"/>
    <w:rPr>
      <w:rFonts w:ascii="Arial" w:hAnsi="Arial"/>
      <w:lang w:eastAsia="en-US"/>
    </w:rPr>
  </w:style>
  <w:style w:type="paragraph" w:styleId="Assuntodocomentrio">
    <w:name w:val="annotation subject"/>
    <w:basedOn w:val="Textodecomentrio"/>
    <w:next w:val="Textodecomentrio"/>
    <w:link w:val="AssuntodocomentrioChar"/>
    <w:uiPriority w:val="99"/>
    <w:semiHidden/>
    <w:unhideWhenUsed/>
    <w:rsid w:val="005A4B08"/>
    <w:rPr>
      <w:b/>
      <w:bCs/>
    </w:rPr>
  </w:style>
  <w:style w:type="character" w:customStyle="1" w:styleId="AssuntodocomentrioChar">
    <w:name w:val="Assunto do comentário Char"/>
    <w:link w:val="Assuntodocomentrio"/>
    <w:uiPriority w:val="99"/>
    <w:semiHidden/>
    <w:rsid w:val="005A4B08"/>
    <w:rPr>
      <w:rFonts w:ascii="Arial" w:hAnsi="Arial"/>
      <w:b/>
      <w:bCs/>
      <w:lang w:eastAsia="en-US"/>
    </w:rPr>
  </w:style>
  <w:style w:type="paragraph" w:styleId="Textodenotaderodap">
    <w:name w:val="footnote text"/>
    <w:basedOn w:val="Normal"/>
    <w:link w:val="TextodenotaderodapChar"/>
    <w:uiPriority w:val="99"/>
    <w:semiHidden/>
    <w:unhideWhenUsed/>
    <w:rsid w:val="00A47BCB"/>
    <w:rPr>
      <w:sz w:val="20"/>
      <w:szCs w:val="20"/>
      <w:lang w:val="x-none"/>
    </w:rPr>
  </w:style>
  <w:style w:type="character" w:customStyle="1" w:styleId="TextodenotaderodapChar">
    <w:name w:val="Texto de nota de rodapé Char"/>
    <w:link w:val="Textodenotaderodap"/>
    <w:uiPriority w:val="99"/>
    <w:semiHidden/>
    <w:rsid w:val="00A47BCB"/>
    <w:rPr>
      <w:rFonts w:ascii="Arial" w:hAnsi="Arial"/>
      <w:lang w:eastAsia="en-US"/>
    </w:rPr>
  </w:style>
  <w:style w:type="character" w:styleId="Refdenotaderodap">
    <w:name w:val="footnote reference"/>
    <w:uiPriority w:val="99"/>
    <w:semiHidden/>
    <w:unhideWhenUsed/>
    <w:rsid w:val="00A47BCB"/>
    <w:rPr>
      <w:vertAlign w:val="superscript"/>
    </w:rPr>
  </w:style>
  <w:style w:type="character" w:styleId="nfase">
    <w:name w:val="Emphasis"/>
    <w:aliases w:val="Sem numeração"/>
    <w:uiPriority w:val="20"/>
    <w:qFormat/>
    <w:rsid w:val="009F4761"/>
    <w:rPr>
      <w:i/>
      <w:iCs/>
    </w:rPr>
  </w:style>
  <w:style w:type="character" w:styleId="TextodoEspaoReservado">
    <w:name w:val="Placeholder Text"/>
    <w:uiPriority w:val="99"/>
    <w:semiHidden/>
    <w:rsid w:val="003F525F"/>
    <w:rPr>
      <w:color w:val="808080"/>
    </w:rPr>
  </w:style>
  <w:style w:type="table" w:styleId="SombreamentoClaro-nfase3">
    <w:name w:val="Light Shading Accent 3"/>
    <w:basedOn w:val="Tabelanormal"/>
    <w:uiPriority w:val="60"/>
    <w:rsid w:val="003E5877"/>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staClara-nfase3">
    <w:name w:val="Light List Accent 3"/>
    <w:basedOn w:val="Tabelanormal"/>
    <w:uiPriority w:val="61"/>
    <w:rsid w:val="003E5877"/>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styleId="Corpodetexto">
    <w:name w:val="Body Text"/>
    <w:basedOn w:val="Normal"/>
    <w:link w:val="CorpodetextoChar"/>
    <w:semiHidden/>
    <w:unhideWhenUsed/>
    <w:rsid w:val="003E5877"/>
    <w:pPr>
      <w:spacing w:before="240" w:after="200" w:line="240" w:lineRule="auto"/>
      <w:jc w:val="both"/>
    </w:pPr>
    <w:rPr>
      <w:rFonts w:ascii="Tahoma" w:eastAsia="Times New Roman" w:hAnsi="Tahoma" w:cs="Tahoma"/>
      <w:szCs w:val="24"/>
      <w:lang w:eastAsia="pt-BR"/>
    </w:rPr>
  </w:style>
  <w:style w:type="character" w:customStyle="1" w:styleId="CorpodetextoChar">
    <w:name w:val="Corpo de texto Char"/>
    <w:basedOn w:val="Fontepargpadro"/>
    <w:link w:val="Corpodetexto"/>
    <w:semiHidden/>
    <w:rsid w:val="003E5877"/>
    <w:rPr>
      <w:rFonts w:ascii="Tahoma" w:eastAsia="Times New Roman" w:hAnsi="Tahoma" w:cs="Tahoma"/>
      <w:sz w:val="24"/>
      <w:szCs w:val="24"/>
    </w:rPr>
  </w:style>
  <w:style w:type="paragraph" w:customStyle="1" w:styleId="Corpodetexto21">
    <w:name w:val="Corpo de texto 21"/>
    <w:basedOn w:val="Normal"/>
    <w:rsid w:val="003E5877"/>
    <w:pPr>
      <w:suppressAutoHyphens/>
      <w:spacing w:after="200" w:line="240" w:lineRule="auto"/>
      <w:jc w:val="both"/>
    </w:pPr>
    <w:rPr>
      <w:rFonts w:eastAsia="Times New Roman" w:cs="Arial"/>
      <w:sz w:val="20"/>
      <w:szCs w:val="20"/>
      <w:lang w:eastAsia="ar-SA"/>
    </w:rPr>
  </w:style>
  <w:style w:type="table" w:styleId="SombreamentoClaro-nfase1">
    <w:name w:val="Light Shading Accent 1"/>
    <w:basedOn w:val="Tabelanormal"/>
    <w:uiPriority w:val="60"/>
    <w:rsid w:val="003E5877"/>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FonteChar">
    <w:name w:val="Fonte Char"/>
    <w:link w:val="Fonte"/>
    <w:locked/>
    <w:rsid w:val="00AC47A2"/>
    <w:rPr>
      <w:rFonts w:ascii="Arial" w:eastAsia="Times New Roman" w:hAnsi="Arial"/>
      <w:sz w:val="22"/>
      <w:szCs w:val="22"/>
    </w:rPr>
  </w:style>
  <w:style w:type="paragraph" w:customStyle="1" w:styleId="texto1">
    <w:name w:val="texto1"/>
    <w:basedOn w:val="Normal"/>
    <w:rsid w:val="003E5877"/>
    <w:pPr>
      <w:spacing w:before="100" w:beforeAutospacing="1" w:after="100" w:afterAutospacing="1" w:line="240" w:lineRule="auto"/>
    </w:pPr>
    <w:rPr>
      <w:rFonts w:ascii="Times New Roman" w:eastAsia="Times New Roman" w:hAnsi="Times New Roman"/>
      <w:szCs w:val="24"/>
      <w:lang w:eastAsia="pt-BR"/>
    </w:rPr>
  </w:style>
  <w:style w:type="paragraph" w:customStyle="1" w:styleId="Estilo1">
    <w:name w:val="Estilo1"/>
    <w:basedOn w:val="PargrafodaLista"/>
    <w:link w:val="Estilo1Char"/>
    <w:rsid w:val="003E5877"/>
    <w:pPr>
      <w:numPr>
        <w:numId w:val="2"/>
      </w:numPr>
      <w:tabs>
        <w:tab w:val="left" w:pos="891"/>
      </w:tabs>
      <w:spacing w:before="240" w:after="200" w:line="240" w:lineRule="auto"/>
    </w:pPr>
    <w:rPr>
      <w:rFonts w:cs="Arial"/>
      <w:sz w:val="20"/>
      <w:lang w:val="pt-BR" w:eastAsia="pt-BR"/>
    </w:rPr>
  </w:style>
  <w:style w:type="paragraph" w:customStyle="1" w:styleId="SHS-Lista">
    <w:name w:val="SHS - Lista"/>
    <w:basedOn w:val="Normal"/>
    <w:link w:val="SHS-ListaChar"/>
    <w:rsid w:val="003E5877"/>
    <w:pPr>
      <w:widowControl w:val="0"/>
      <w:numPr>
        <w:numId w:val="3"/>
      </w:numPr>
      <w:spacing w:before="60" w:after="120"/>
      <w:jc w:val="both"/>
    </w:pPr>
    <w:rPr>
      <w:rFonts w:eastAsia="Times New Roman"/>
      <w:szCs w:val="24"/>
      <w:lang w:eastAsia="pt-BR"/>
    </w:rPr>
  </w:style>
  <w:style w:type="character" w:customStyle="1" w:styleId="Estilo1Char">
    <w:name w:val="Estilo1 Char"/>
    <w:link w:val="Estilo1"/>
    <w:rsid w:val="003E5877"/>
    <w:rPr>
      <w:rFonts w:ascii="Arial" w:eastAsia="Times New Roman" w:hAnsi="Arial" w:cs="Arial"/>
    </w:rPr>
  </w:style>
  <w:style w:type="paragraph" w:styleId="Ttulo">
    <w:name w:val="Title"/>
    <w:basedOn w:val="Normal"/>
    <w:next w:val="Normal"/>
    <w:link w:val="TtuloChar"/>
    <w:uiPriority w:val="10"/>
    <w:qFormat/>
    <w:rsid w:val="003E5877"/>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TtuloChar">
    <w:name w:val="Título Char"/>
    <w:basedOn w:val="Fontepargpadro"/>
    <w:link w:val="Ttulo"/>
    <w:uiPriority w:val="10"/>
    <w:rsid w:val="003E5877"/>
    <w:rPr>
      <w:rFonts w:ascii="Cambria" w:eastAsia="Times New Roman" w:hAnsi="Cambria"/>
      <w:color w:val="17365D"/>
      <w:spacing w:val="5"/>
      <w:kern w:val="28"/>
      <w:sz w:val="52"/>
      <w:szCs w:val="52"/>
      <w:lang w:eastAsia="en-US"/>
    </w:rPr>
  </w:style>
  <w:style w:type="paragraph" w:styleId="Reviso">
    <w:name w:val="Revision"/>
    <w:hidden/>
    <w:uiPriority w:val="99"/>
    <w:semiHidden/>
    <w:rsid w:val="003E5877"/>
    <w:rPr>
      <w:rFonts w:ascii="Arial" w:hAnsi="Arial" w:cs="Arial"/>
      <w:sz w:val="24"/>
      <w:szCs w:val="24"/>
      <w:lang w:eastAsia="en-US"/>
    </w:rPr>
  </w:style>
  <w:style w:type="table" w:customStyle="1" w:styleId="Tabelacomgrade1">
    <w:name w:val="Tabela com grade1"/>
    <w:basedOn w:val="Tabelanormal"/>
    <w:next w:val="Tabelacomgrade"/>
    <w:uiPriority w:val="59"/>
    <w:rsid w:val="003E5877"/>
    <w:rPr>
      <w:rFonts w:ascii="Arial" w:hAnsi="Arial" w:cs="Arial"/>
      <w:sz w:val="24"/>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itao">
    <w:name w:val="Quote"/>
    <w:basedOn w:val="Normal"/>
    <w:next w:val="Normal"/>
    <w:link w:val="CitaoChar"/>
    <w:uiPriority w:val="29"/>
    <w:qFormat/>
    <w:rsid w:val="003E5877"/>
    <w:pPr>
      <w:tabs>
        <w:tab w:val="left" w:pos="1845"/>
      </w:tabs>
      <w:ind w:firstLine="360"/>
      <w:jc w:val="both"/>
    </w:pPr>
    <w:rPr>
      <w:rFonts w:cs="Arial"/>
      <w:i/>
      <w:sz w:val="22"/>
      <w:szCs w:val="24"/>
      <w:shd w:val="clear" w:color="auto" w:fill="FFFFFF"/>
    </w:rPr>
  </w:style>
  <w:style w:type="character" w:customStyle="1" w:styleId="CitaoChar">
    <w:name w:val="Citação Char"/>
    <w:basedOn w:val="Fontepargpadro"/>
    <w:link w:val="Citao"/>
    <w:uiPriority w:val="29"/>
    <w:rsid w:val="003E5877"/>
    <w:rPr>
      <w:rFonts w:ascii="Arial" w:hAnsi="Arial" w:cs="Arial"/>
      <w:i/>
      <w:sz w:val="22"/>
      <w:szCs w:val="24"/>
      <w:lang w:eastAsia="en-US"/>
    </w:rPr>
  </w:style>
  <w:style w:type="character" w:styleId="HiperlinkVisitado">
    <w:name w:val="FollowedHyperlink"/>
    <w:uiPriority w:val="99"/>
    <w:semiHidden/>
    <w:unhideWhenUsed/>
    <w:rsid w:val="003E5877"/>
    <w:rPr>
      <w:color w:val="800080"/>
      <w:u w:val="single"/>
    </w:rPr>
  </w:style>
  <w:style w:type="character" w:customStyle="1" w:styleId="Ttulo1Char1">
    <w:name w:val="Título 1 Char1"/>
    <w:aliases w:val="Título 2_novo Char1,Título 1 - SHS Char1,Títuloy numerado Char1"/>
    <w:uiPriority w:val="9"/>
    <w:rsid w:val="003E5877"/>
    <w:rPr>
      <w:rFonts w:ascii="Cambria" w:eastAsia="Times New Roman" w:hAnsi="Cambria" w:cs="Times New Roman"/>
      <w:b/>
      <w:bCs/>
      <w:color w:val="365F91"/>
      <w:sz w:val="28"/>
      <w:szCs w:val="28"/>
      <w:lang w:eastAsia="en-US"/>
    </w:rPr>
  </w:style>
  <w:style w:type="character" w:customStyle="1" w:styleId="Ttulo2Char1">
    <w:name w:val="Título 2 Char1"/>
    <w:aliases w:val="Título 2 NUMERADO Char1"/>
    <w:uiPriority w:val="9"/>
    <w:semiHidden/>
    <w:rsid w:val="003E5877"/>
    <w:rPr>
      <w:rFonts w:ascii="Cambria" w:eastAsia="Times New Roman" w:hAnsi="Cambria" w:cs="Times New Roman" w:hint="default"/>
      <w:b/>
      <w:bCs/>
      <w:color w:val="4F81BD"/>
      <w:sz w:val="26"/>
      <w:szCs w:val="26"/>
    </w:rPr>
  </w:style>
  <w:style w:type="paragraph" w:styleId="Subttulo">
    <w:name w:val="Subtitle"/>
    <w:basedOn w:val="Normal"/>
    <w:next w:val="Normal"/>
    <w:link w:val="SubttuloChar"/>
    <w:uiPriority w:val="11"/>
    <w:qFormat/>
    <w:rsid w:val="003E5877"/>
    <w:pPr>
      <w:ind w:firstLine="709"/>
      <w:jc w:val="both"/>
    </w:pPr>
    <w:rPr>
      <w:rFonts w:ascii="Cambria" w:eastAsia="Times New Roman" w:hAnsi="Cambria"/>
      <w:i/>
      <w:iCs/>
      <w:color w:val="4F81BD"/>
      <w:spacing w:val="15"/>
      <w:szCs w:val="24"/>
    </w:rPr>
  </w:style>
  <w:style w:type="character" w:customStyle="1" w:styleId="SubttuloChar">
    <w:name w:val="Subtítulo Char"/>
    <w:basedOn w:val="Fontepargpadro"/>
    <w:link w:val="Subttulo"/>
    <w:uiPriority w:val="11"/>
    <w:rsid w:val="003E5877"/>
    <w:rPr>
      <w:rFonts w:ascii="Cambria" w:eastAsia="Times New Roman" w:hAnsi="Cambria"/>
      <w:i/>
      <w:iCs/>
      <w:color w:val="4F81BD"/>
      <w:spacing w:val="15"/>
      <w:sz w:val="24"/>
      <w:szCs w:val="24"/>
      <w:lang w:eastAsia="en-US"/>
    </w:rPr>
  </w:style>
  <w:style w:type="character" w:customStyle="1" w:styleId="SemEspaamentoChar">
    <w:name w:val="Sem Espaçamento Char"/>
    <w:link w:val="SemEspaamento"/>
    <w:uiPriority w:val="1"/>
    <w:locked/>
    <w:rsid w:val="003E5877"/>
    <w:rPr>
      <w:rFonts w:ascii="Arial" w:hAnsi="Arial" w:cs="Arial"/>
      <w:sz w:val="22"/>
      <w:szCs w:val="22"/>
      <w:lang w:eastAsia="en-US"/>
    </w:rPr>
  </w:style>
  <w:style w:type="paragraph" w:styleId="SemEspaamento">
    <w:name w:val="No Spacing"/>
    <w:link w:val="SemEspaamentoChar"/>
    <w:uiPriority w:val="1"/>
    <w:qFormat/>
    <w:rsid w:val="003E5877"/>
    <w:pPr>
      <w:spacing w:before="120" w:after="120" w:line="360" w:lineRule="auto"/>
    </w:pPr>
    <w:rPr>
      <w:rFonts w:ascii="Arial" w:hAnsi="Arial" w:cs="Arial"/>
      <w:sz w:val="22"/>
      <w:szCs w:val="22"/>
      <w:lang w:eastAsia="en-US"/>
    </w:rPr>
  </w:style>
  <w:style w:type="paragraph" w:styleId="CitaoIntensa">
    <w:name w:val="Intense Quote"/>
    <w:basedOn w:val="Normal"/>
    <w:next w:val="Normal"/>
    <w:link w:val="CitaoIntensaChar"/>
    <w:uiPriority w:val="30"/>
    <w:qFormat/>
    <w:rsid w:val="003E5877"/>
    <w:pPr>
      <w:pBdr>
        <w:bottom w:val="single" w:sz="4" w:space="4" w:color="4F81BD"/>
      </w:pBdr>
      <w:spacing w:before="200" w:after="280"/>
      <w:ind w:left="936" w:right="936" w:firstLine="709"/>
      <w:jc w:val="both"/>
    </w:pPr>
    <w:rPr>
      <w:b/>
      <w:bCs/>
      <w:i/>
      <w:iCs/>
      <w:color w:val="4F81BD"/>
    </w:rPr>
  </w:style>
  <w:style w:type="character" w:customStyle="1" w:styleId="CitaoIntensaChar">
    <w:name w:val="Citação Intensa Char"/>
    <w:basedOn w:val="Fontepargpadro"/>
    <w:link w:val="CitaoIntensa"/>
    <w:uiPriority w:val="30"/>
    <w:rsid w:val="003E5877"/>
    <w:rPr>
      <w:rFonts w:ascii="Arial" w:hAnsi="Arial"/>
      <w:b/>
      <w:bCs/>
      <w:i/>
      <w:iCs/>
      <w:color w:val="4F81BD"/>
      <w:sz w:val="24"/>
      <w:szCs w:val="22"/>
      <w:lang w:eastAsia="en-US"/>
    </w:rPr>
  </w:style>
  <w:style w:type="paragraph" w:customStyle="1" w:styleId="SHS-temdeTabelaEsquerda">
    <w:name w:val="SHS - Ítem de Tabela à Esquerda"/>
    <w:basedOn w:val="Normal"/>
    <w:next w:val="Normal"/>
    <w:rsid w:val="003E5877"/>
    <w:pPr>
      <w:widowControl w:val="0"/>
      <w:spacing w:line="240" w:lineRule="auto"/>
    </w:pPr>
    <w:rPr>
      <w:rFonts w:eastAsia="MS Mincho" w:cs="Arial"/>
      <w:sz w:val="20"/>
      <w:szCs w:val="15"/>
      <w:lang w:eastAsia="pt-BR"/>
    </w:rPr>
  </w:style>
  <w:style w:type="character" w:customStyle="1" w:styleId="SHS-ListaChar">
    <w:name w:val="SHS - Lista Char"/>
    <w:link w:val="SHS-Lista"/>
    <w:locked/>
    <w:rsid w:val="003E5877"/>
    <w:rPr>
      <w:rFonts w:ascii="Arial" w:eastAsia="Times New Roman" w:hAnsi="Arial"/>
      <w:sz w:val="24"/>
      <w:szCs w:val="24"/>
    </w:rPr>
  </w:style>
  <w:style w:type="character" w:customStyle="1" w:styleId="SHS-FonteChar">
    <w:name w:val="SHS - Fonte Char"/>
    <w:link w:val="SHS-Fonte"/>
    <w:locked/>
    <w:rsid w:val="003E5877"/>
    <w:rPr>
      <w:rFonts w:ascii="Arial" w:eastAsia="Times New Roman" w:hAnsi="Arial" w:cs="Arial"/>
      <w:szCs w:val="24"/>
    </w:rPr>
  </w:style>
  <w:style w:type="paragraph" w:customStyle="1" w:styleId="SHS-Fonte">
    <w:name w:val="SHS - Fonte"/>
    <w:basedOn w:val="Normal"/>
    <w:next w:val="Normal"/>
    <w:link w:val="SHS-FonteChar"/>
    <w:rsid w:val="003E5877"/>
    <w:pPr>
      <w:widowControl w:val="0"/>
      <w:autoSpaceDE w:val="0"/>
      <w:autoSpaceDN w:val="0"/>
      <w:adjustRightInd w:val="0"/>
      <w:spacing w:after="120" w:line="240" w:lineRule="auto"/>
      <w:jc w:val="center"/>
    </w:pPr>
    <w:rPr>
      <w:rFonts w:eastAsia="Times New Roman" w:cs="Arial"/>
      <w:sz w:val="20"/>
      <w:szCs w:val="24"/>
      <w:lang w:eastAsia="pt-BR"/>
    </w:rPr>
  </w:style>
  <w:style w:type="paragraph" w:customStyle="1" w:styleId="EstiloSHS-Ttulo03Negrito">
    <w:name w:val="Estilo SHS - Título 03 + Negrito"/>
    <w:basedOn w:val="Normal"/>
    <w:rsid w:val="003E5877"/>
    <w:pPr>
      <w:widowControl w:val="0"/>
      <w:tabs>
        <w:tab w:val="num" w:pos="720"/>
      </w:tabs>
      <w:spacing w:before="120" w:after="240"/>
      <w:ind w:left="720" w:hanging="720"/>
      <w:jc w:val="both"/>
      <w:outlineLvl w:val="2"/>
    </w:pPr>
    <w:rPr>
      <w:rFonts w:eastAsia="Times New Roman"/>
      <w:b/>
      <w:bCs/>
      <w:i/>
      <w:iCs/>
      <w:szCs w:val="24"/>
      <w:lang w:eastAsia="pt-BR"/>
    </w:rPr>
  </w:style>
  <w:style w:type="paragraph" w:customStyle="1" w:styleId="SHS-Figura">
    <w:name w:val="SHS - Figura"/>
    <w:basedOn w:val="Normal"/>
    <w:next w:val="Normal"/>
    <w:rsid w:val="003E5877"/>
    <w:pPr>
      <w:keepNext/>
      <w:widowControl w:val="0"/>
      <w:spacing w:before="60" w:after="120"/>
      <w:jc w:val="center"/>
    </w:pPr>
    <w:rPr>
      <w:rFonts w:eastAsia="Times New Roman"/>
      <w:bCs/>
      <w:szCs w:val="24"/>
      <w:lang w:eastAsia="pt-BR"/>
    </w:rPr>
  </w:style>
  <w:style w:type="paragraph" w:customStyle="1" w:styleId="N0Fonte">
    <w:name w:val="N0 Fonte"/>
    <w:basedOn w:val="Normal"/>
    <w:qFormat/>
    <w:rsid w:val="003E5877"/>
    <w:pPr>
      <w:spacing w:after="240" w:line="276" w:lineRule="auto"/>
      <w:ind w:left="709"/>
      <w:jc w:val="both"/>
    </w:pPr>
    <w:rPr>
      <w:sz w:val="20"/>
    </w:rPr>
  </w:style>
  <w:style w:type="character" w:customStyle="1" w:styleId="tabela-cabChar">
    <w:name w:val="tabela-cab Char"/>
    <w:link w:val="tabela-cab"/>
    <w:locked/>
    <w:rsid w:val="003E5877"/>
    <w:rPr>
      <w:rFonts w:ascii="Arial" w:eastAsia="Times New Roman" w:hAnsi="Arial" w:cs="Arial"/>
      <w:b/>
      <w:color w:val="000000"/>
    </w:rPr>
  </w:style>
  <w:style w:type="paragraph" w:customStyle="1" w:styleId="tabela-cab">
    <w:name w:val="tabela-cab"/>
    <w:basedOn w:val="Normal"/>
    <w:link w:val="tabela-cabChar"/>
    <w:qFormat/>
    <w:rsid w:val="003E5877"/>
    <w:pPr>
      <w:spacing w:before="60" w:after="60" w:line="240" w:lineRule="auto"/>
      <w:jc w:val="center"/>
    </w:pPr>
    <w:rPr>
      <w:rFonts w:eastAsia="Times New Roman" w:cs="Arial"/>
      <w:b/>
      <w:color w:val="000000"/>
      <w:sz w:val="20"/>
      <w:szCs w:val="20"/>
      <w:lang w:eastAsia="pt-BR"/>
    </w:rPr>
  </w:style>
  <w:style w:type="paragraph" w:customStyle="1" w:styleId="Estilo2">
    <w:name w:val="Estilo2"/>
    <w:basedOn w:val="Normal"/>
    <w:autoRedefine/>
    <w:qFormat/>
    <w:rsid w:val="003E5877"/>
    <w:pPr>
      <w:tabs>
        <w:tab w:val="left" w:pos="8504"/>
      </w:tabs>
      <w:ind w:left="1134" w:right="282" w:hanging="425"/>
      <w:jc w:val="both"/>
    </w:pPr>
    <w:rPr>
      <w:b/>
      <w:szCs w:val="24"/>
      <w:lang w:eastAsia="pt-BR"/>
    </w:rPr>
  </w:style>
  <w:style w:type="character" w:customStyle="1" w:styleId="LegendasChar">
    <w:name w:val="Legendas Char"/>
    <w:link w:val="Legendas"/>
    <w:locked/>
    <w:rsid w:val="003E5877"/>
    <w:rPr>
      <w:rFonts w:ascii="Arial" w:hAnsi="Arial" w:cs="Arial"/>
      <w:b/>
      <w:sz w:val="22"/>
      <w:szCs w:val="22"/>
      <w:lang w:eastAsia="en-US"/>
    </w:rPr>
  </w:style>
  <w:style w:type="paragraph" w:customStyle="1" w:styleId="Legendas">
    <w:name w:val="Legendas"/>
    <w:basedOn w:val="Normal"/>
    <w:link w:val="LegendasChar"/>
    <w:qFormat/>
    <w:rsid w:val="003E5877"/>
    <w:pPr>
      <w:spacing w:line="240" w:lineRule="auto"/>
      <w:jc w:val="center"/>
    </w:pPr>
    <w:rPr>
      <w:rFonts w:cs="Arial"/>
      <w:b/>
      <w:sz w:val="22"/>
    </w:rPr>
  </w:style>
  <w:style w:type="paragraph" w:customStyle="1" w:styleId="Quadro1">
    <w:name w:val="Quadro1"/>
    <w:basedOn w:val="Normal"/>
    <w:autoRedefine/>
    <w:qFormat/>
    <w:rsid w:val="003E5877"/>
    <w:pPr>
      <w:tabs>
        <w:tab w:val="left" w:pos="2418"/>
      </w:tabs>
      <w:spacing w:line="240" w:lineRule="auto"/>
      <w:jc w:val="both"/>
    </w:pPr>
    <w:rPr>
      <w:rFonts w:eastAsia="Batang"/>
      <w:sz w:val="20"/>
      <w:lang w:eastAsia="pt-BR"/>
    </w:rPr>
  </w:style>
  <w:style w:type="paragraph" w:customStyle="1" w:styleId="LegendaBaixo">
    <w:name w:val="Legenda Baixo"/>
    <w:basedOn w:val="Legenda"/>
    <w:next w:val="Legenda"/>
    <w:autoRedefine/>
    <w:qFormat/>
    <w:rsid w:val="003E5877"/>
    <w:pPr>
      <w:tabs>
        <w:tab w:val="left" w:pos="142"/>
      </w:tabs>
      <w:spacing w:before="0"/>
      <w:contextualSpacing/>
    </w:pPr>
    <w:rPr>
      <w:rFonts w:cs="Arial"/>
      <w:sz w:val="22"/>
      <w:szCs w:val="22"/>
    </w:rPr>
  </w:style>
  <w:style w:type="paragraph" w:customStyle="1" w:styleId="N0Figura">
    <w:name w:val="N0 Figura"/>
    <w:basedOn w:val="Normal"/>
    <w:next w:val="Legenda"/>
    <w:qFormat/>
    <w:rsid w:val="003E5877"/>
    <w:pPr>
      <w:jc w:val="center"/>
    </w:pPr>
    <w:rPr>
      <w:noProof/>
      <w:lang w:eastAsia="pt-BR"/>
    </w:rPr>
  </w:style>
  <w:style w:type="paragraph" w:customStyle="1" w:styleId="normal2">
    <w:name w:val="normal2"/>
    <w:basedOn w:val="Normal"/>
    <w:qFormat/>
    <w:rsid w:val="003E5877"/>
    <w:pPr>
      <w:spacing w:before="100" w:beforeAutospacing="1" w:after="100" w:afterAutospacing="1" w:line="240" w:lineRule="auto"/>
      <w:jc w:val="center"/>
    </w:pPr>
    <w:rPr>
      <w:rFonts w:eastAsia="Times New Roman" w:cs="Arial"/>
      <w:b/>
      <w:szCs w:val="24"/>
      <w:lang w:eastAsia="pt-BR"/>
    </w:rPr>
  </w:style>
  <w:style w:type="character" w:styleId="nfaseIntensa">
    <w:name w:val="Intense Emphasis"/>
    <w:uiPriority w:val="21"/>
    <w:qFormat/>
    <w:rsid w:val="003E5877"/>
    <w:rPr>
      <w:b/>
      <w:bCs/>
      <w:i/>
      <w:iCs/>
      <w:color w:val="4F81BD"/>
    </w:rPr>
  </w:style>
  <w:style w:type="character" w:styleId="RefernciaSutil">
    <w:name w:val="Subtle Reference"/>
    <w:uiPriority w:val="31"/>
    <w:qFormat/>
    <w:rsid w:val="003E5877"/>
    <w:rPr>
      <w:smallCaps/>
      <w:color w:val="C0504D"/>
      <w:u w:val="single"/>
    </w:rPr>
  </w:style>
  <w:style w:type="character" w:styleId="RefernciaIntensa">
    <w:name w:val="Intense Reference"/>
    <w:uiPriority w:val="32"/>
    <w:qFormat/>
    <w:rsid w:val="003E5877"/>
    <w:rPr>
      <w:b/>
      <w:bCs/>
      <w:smallCaps/>
      <w:color w:val="C0504D"/>
      <w:spacing w:val="5"/>
      <w:u w:val="single"/>
    </w:rPr>
  </w:style>
  <w:style w:type="character" w:styleId="TtulodoLivro">
    <w:name w:val="Book Title"/>
    <w:uiPriority w:val="33"/>
    <w:qFormat/>
    <w:rsid w:val="003E5877"/>
    <w:rPr>
      <w:b/>
      <w:bCs/>
      <w:smallCaps/>
      <w:spacing w:val="5"/>
    </w:rPr>
  </w:style>
  <w:style w:type="character" w:customStyle="1" w:styleId="TextodecomentrioChar1">
    <w:name w:val="Texto de comentário Char1"/>
    <w:uiPriority w:val="99"/>
    <w:semiHidden/>
    <w:rsid w:val="003E5877"/>
    <w:rPr>
      <w:rFonts w:ascii="Arial" w:hAnsi="Arial" w:cs="Arial" w:hint="default"/>
      <w:lang w:eastAsia="en-US"/>
    </w:rPr>
  </w:style>
  <w:style w:type="character" w:customStyle="1" w:styleId="AssuntodocomentrioChar1">
    <w:name w:val="Assunto do comentário Char1"/>
    <w:uiPriority w:val="99"/>
    <w:semiHidden/>
    <w:rsid w:val="003E5877"/>
    <w:rPr>
      <w:rFonts w:ascii="Arial" w:hAnsi="Arial" w:cs="Arial" w:hint="default"/>
      <w:b/>
      <w:bCs/>
      <w:lang w:eastAsia="en-US"/>
    </w:rPr>
  </w:style>
  <w:style w:type="character" w:customStyle="1" w:styleId="TextodenotaderodapChar1">
    <w:name w:val="Texto de nota de rodapé Char1"/>
    <w:uiPriority w:val="99"/>
    <w:semiHidden/>
    <w:rsid w:val="003E5877"/>
    <w:rPr>
      <w:rFonts w:ascii="Arial" w:hAnsi="Arial" w:cs="Arial" w:hint="default"/>
      <w:lang w:eastAsia="en-US"/>
    </w:rPr>
  </w:style>
  <w:style w:type="table" w:customStyle="1" w:styleId="SombreamentoClaro-nfase11">
    <w:name w:val="Sombreamento Claro - Ênfase 11"/>
    <w:basedOn w:val="Tabelanormal"/>
    <w:uiPriority w:val="60"/>
    <w:rsid w:val="003E5877"/>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TextodenotadefimChar">
    <w:name w:val="Texto de nota de fim Char"/>
    <w:basedOn w:val="Fontepargpadro"/>
    <w:link w:val="Textodenotadefim"/>
    <w:uiPriority w:val="99"/>
    <w:semiHidden/>
    <w:rsid w:val="00E82408"/>
    <w:rPr>
      <w:rFonts w:ascii="Arial" w:hAnsi="Arial"/>
      <w:lang w:eastAsia="en-US"/>
    </w:rPr>
  </w:style>
  <w:style w:type="paragraph" w:styleId="Textodenotadefim">
    <w:name w:val="endnote text"/>
    <w:basedOn w:val="Normal"/>
    <w:link w:val="TextodenotadefimChar"/>
    <w:uiPriority w:val="99"/>
    <w:semiHidden/>
    <w:unhideWhenUsed/>
    <w:rsid w:val="00E82408"/>
    <w:rPr>
      <w:sz w:val="20"/>
      <w:szCs w:val="20"/>
    </w:rPr>
  </w:style>
  <w:style w:type="character" w:customStyle="1" w:styleId="TextodenotadefimChar1">
    <w:name w:val="Texto de nota de fim Char1"/>
    <w:basedOn w:val="Fontepargpadro"/>
    <w:uiPriority w:val="99"/>
    <w:semiHidden/>
    <w:rsid w:val="00E82408"/>
    <w:rPr>
      <w:rFonts w:ascii="Arial" w:hAnsi="Arial"/>
      <w:lang w:eastAsia="en-US"/>
    </w:rPr>
  </w:style>
  <w:style w:type="paragraph" w:customStyle="1" w:styleId="xl25">
    <w:name w:val="xl25"/>
    <w:basedOn w:val="Normal"/>
    <w:rsid w:val="00E82408"/>
    <w:pPr>
      <w:pBdr>
        <w:bottom w:val="single" w:sz="4" w:space="0" w:color="auto"/>
      </w:pBdr>
      <w:spacing w:before="100" w:beforeAutospacing="1" w:after="100" w:afterAutospacing="1" w:line="240" w:lineRule="auto"/>
    </w:pPr>
    <w:rPr>
      <w:rFonts w:ascii="Times New Roman" w:eastAsia="Times New Roman" w:hAnsi="Times New Roman"/>
      <w:szCs w:val="24"/>
      <w:lang w:eastAsia="pt-BR"/>
    </w:rPr>
  </w:style>
  <w:style w:type="paragraph" w:customStyle="1" w:styleId="xl31">
    <w:name w:val="xl31"/>
    <w:basedOn w:val="Normal"/>
    <w:rsid w:val="00E82408"/>
    <w:pPr>
      <w:spacing w:before="100" w:beforeAutospacing="1" w:after="100" w:afterAutospacing="1" w:line="240" w:lineRule="auto"/>
      <w:jc w:val="center"/>
    </w:pPr>
    <w:rPr>
      <w:rFonts w:eastAsia="Times New Roman" w:cs="Arial"/>
      <w:b/>
      <w:bCs/>
      <w:szCs w:val="24"/>
      <w:lang w:eastAsia="pt-BR"/>
    </w:rPr>
  </w:style>
  <w:style w:type="paragraph" w:customStyle="1" w:styleId="artigo">
    <w:name w:val="artigo"/>
    <w:basedOn w:val="Normal"/>
    <w:rsid w:val="00D536C4"/>
    <w:pPr>
      <w:spacing w:before="100" w:beforeAutospacing="1" w:after="100" w:afterAutospacing="1" w:line="240" w:lineRule="auto"/>
    </w:pPr>
    <w:rPr>
      <w:rFonts w:ascii="Times New Roman" w:eastAsia="Times New Roman" w:hAnsi="Times New Roman"/>
      <w:szCs w:val="24"/>
      <w:lang w:eastAsia="pt-BR"/>
    </w:rPr>
  </w:style>
  <w:style w:type="paragraph" w:customStyle="1" w:styleId="font6">
    <w:name w:val="font6"/>
    <w:basedOn w:val="Normal"/>
    <w:uiPriority w:val="99"/>
    <w:rsid w:val="00D536C4"/>
    <w:pPr>
      <w:spacing w:before="100" w:beforeAutospacing="1" w:after="100" w:afterAutospacing="1" w:line="240" w:lineRule="auto"/>
    </w:pPr>
    <w:rPr>
      <w:rFonts w:eastAsia="Times New Roman" w:cs="Arial"/>
      <w:color w:val="000000"/>
      <w:sz w:val="20"/>
      <w:szCs w:val="20"/>
      <w:lang w:eastAsia="pt-BR"/>
    </w:rPr>
  </w:style>
  <w:style w:type="paragraph" w:customStyle="1" w:styleId="font5">
    <w:name w:val="font5"/>
    <w:basedOn w:val="Normal"/>
    <w:uiPriority w:val="99"/>
    <w:rsid w:val="00D536C4"/>
    <w:pPr>
      <w:spacing w:before="100" w:beforeAutospacing="1" w:after="100" w:afterAutospacing="1" w:line="240" w:lineRule="auto"/>
    </w:pPr>
    <w:rPr>
      <w:rFonts w:eastAsia="Times New Roman" w:cs="Arial"/>
      <w:color w:val="000000"/>
      <w:sz w:val="20"/>
      <w:szCs w:val="20"/>
      <w:lang w:eastAsia="pt-BR"/>
    </w:rPr>
  </w:style>
  <w:style w:type="paragraph" w:customStyle="1" w:styleId="font7">
    <w:name w:val="font7"/>
    <w:basedOn w:val="Normal"/>
    <w:uiPriority w:val="99"/>
    <w:rsid w:val="00D536C4"/>
    <w:pPr>
      <w:spacing w:before="100" w:beforeAutospacing="1" w:after="100" w:afterAutospacing="1" w:line="240" w:lineRule="auto"/>
    </w:pPr>
    <w:rPr>
      <w:rFonts w:eastAsia="Times New Roman" w:cs="Arial"/>
      <w:b/>
      <w:bCs/>
      <w:color w:val="000000"/>
      <w:sz w:val="18"/>
      <w:szCs w:val="18"/>
      <w:lang w:eastAsia="pt-BR"/>
    </w:rPr>
  </w:style>
  <w:style w:type="paragraph" w:customStyle="1" w:styleId="font8">
    <w:name w:val="font8"/>
    <w:basedOn w:val="Normal"/>
    <w:uiPriority w:val="99"/>
    <w:rsid w:val="00D536C4"/>
    <w:pPr>
      <w:spacing w:before="100" w:beforeAutospacing="1" w:after="100" w:afterAutospacing="1" w:line="240" w:lineRule="auto"/>
    </w:pPr>
    <w:rPr>
      <w:rFonts w:eastAsia="Times New Roman" w:cs="Arial"/>
      <w:color w:val="000000"/>
      <w:sz w:val="19"/>
      <w:szCs w:val="19"/>
      <w:lang w:eastAsia="pt-BR"/>
    </w:rPr>
  </w:style>
  <w:style w:type="paragraph" w:customStyle="1" w:styleId="xl65">
    <w:name w:val="xl65"/>
    <w:basedOn w:val="Normal"/>
    <w:uiPriority w:val="99"/>
    <w:rsid w:val="00D536C4"/>
    <w:pPr>
      <w:pBdr>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color w:val="000000"/>
      <w:sz w:val="20"/>
      <w:szCs w:val="20"/>
      <w:lang w:eastAsia="pt-BR"/>
    </w:rPr>
  </w:style>
  <w:style w:type="paragraph" w:customStyle="1" w:styleId="xl66">
    <w:name w:val="xl66"/>
    <w:basedOn w:val="Normal"/>
    <w:uiPriority w:val="99"/>
    <w:rsid w:val="00D536C4"/>
    <w:pPr>
      <w:pBdr>
        <w:top w:val="single" w:sz="8" w:space="0" w:color="auto"/>
        <w:left w:val="single" w:sz="8" w:space="0" w:color="auto"/>
        <w:right w:val="single" w:sz="8" w:space="0" w:color="auto"/>
      </w:pBdr>
      <w:shd w:val="clear" w:color="auto" w:fill="C0C0C0"/>
      <w:spacing w:before="100" w:beforeAutospacing="1" w:after="100" w:afterAutospacing="1" w:line="240" w:lineRule="auto"/>
      <w:jc w:val="center"/>
    </w:pPr>
    <w:rPr>
      <w:rFonts w:eastAsia="Times New Roman" w:cs="Arial"/>
      <w:b/>
      <w:bCs/>
      <w:color w:val="000000"/>
      <w:sz w:val="20"/>
      <w:szCs w:val="20"/>
      <w:lang w:eastAsia="pt-BR"/>
    </w:rPr>
  </w:style>
  <w:style w:type="paragraph" w:customStyle="1" w:styleId="xl67">
    <w:name w:val="xl67"/>
    <w:basedOn w:val="Normal"/>
    <w:uiPriority w:val="99"/>
    <w:rsid w:val="00D536C4"/>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Arial"/>
      <w:b/>
      <w:bCs/>
      <w:color w:val="000000"/>
      <w:sz w:val="20"/>
      <w:szCs w:val="20"/>
      <w:lang w:eastAsia="pt-BR"/>
    </w:rPr>
  </w:style>
  <w:style w:type="paragraph" w:customStyle="1" w:styleId="xl68">
    <w:name w:val="xl68"/>
    <w:basedOn w:val="Normal"/>
    <w:uiPriority w:val="99"/>
    <w:rsid w:val="00D536C4"/>
    <w:pPr>
      <w:pBdr>
        <w:bottom w:val="single" w:sz="8" w:space="0" w:color="auto"/>
        <w:right w:val="single" w:sz="8" w:space="0" w:color="auto"/>
      </w:pBdr>
      <w:shd w:val="clear" w:color="auto" w:fill="BFBFBF"/>
      <w:spacing w:before="100" w:beforeAutospacing="1" w:after="100" w:afterAutospacing="1" w:line="240" w:lineRule="auto"/>
      <w:jc w:val="center"/>
    </w:pPr>
    <w:rPr>
      <w:rFonts w:eastAsia="Times New Roman" w:cs="Arial"/>
      <w:color w:val="000000"/>
      <w:sz w:val="20"/>
      <w:szCs w:val="20"/>
      <w:lang w:eastAsia="pt-BR"/>
    </w:rPr>
  </w:style>
  <w:style w:type="paragraph" w:customStyle="1" w:styleId="xl69">
    <w:name w:val="xl69"/>
    <w:basedOn w:val="Normal"/>
    <w:uiPriority w:val="99"/>
    <w:rsid w:val="00D536C4"/>
    <w:pPr>
      <w:pBdr>
        <w:bottom w:val="single" w:sz="8" w:space="0" w:color="auto"/>
        <w:right w:val="single" w:sz="8" w:space="0" w:color="auto"/>
      </w:pBdr>
      <w:spacing w:before="100" w:beforeAutospacing="1" w:after="100" w:afterAutospacing="1" w:line="240" w:lineRule="auto"/>
      <w:jc w:val="center"/>
    </w:pPr>
    <w:rPr>
      <w:rFonts w:eastAsia="Times New Roman" w:cs="Arial"/>
      <w:color w:val="000000"/>
      <w:sz w:val="20"/>
      <w:szCs w:val="20"/>
      <w:lang w:eastAsia="pt-BR"/>
    </w:rPr>
  </w:style>
  <w:style w:type="paragraph" w:customStyle="1" w:styleId="xl70">
    <w:name w:val="xl70"/>
    <w:basedOn w:val="Normal"/>
    <w:uiPriority w:val="99"/>
    <w:rsid w:val="00D536C4"/>
    <w:pPr>
      <w:pBdr>
        <w:bottom w:val="single" w:sz="8" w:space="0" w:color="auto"/>
        <w:right w:val="single" w:sz="8" w:space="0" w:color="auto"/>
      </w:pBdr>
      <w:shd w:val="clear" w:color="auto" w:fill="BFBFBF"/>
      <w:spacing w:before="100" w:beforeAutospacing="1" w:after="100" w:afterAutospacing="1" w:line="240" w:lineRule="auto"/>
      <w:jc w:val="center"/>
    </w:pPr>
    <w:rPr>
      <w:rFonts w:eastAsia="Times New Roman" w:cs="Arial"/>
      <w:color w:val="000000"/>
      <w:sz w:val="20"/>
      <w:szCs w:val="20"/>
      <w:lang w:eastAsia="pt-BR"/>
    </w:rPr>
  </w:style>
  <w:style w:type="paragraph" w:customStyle="1" w:styleId="xl71">
    <w:name w:val="xl71"/>
    <w:basedOn w:val="Normal"/>
    <w:uiPriority w:val="99"/>
    <w:rsid w:val="00D536C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color w:val="000000"/>
      <w:sz w:val="20"/>
      <w:szCs w:val="20"/>
      <w:lang w:eastAsia="pt-BR"/>
    </w:rPr>
  </w:style>
  <w:style w:type="paragraph" w:customStyle="1" w:styleId="xl72">
    <w:name w:val="xl72"/>
    <w:basedOn w:val="Normal"/>
    <w:uiPriority w:val="99"/>
    <w:rsid w:val="00D536C4"/>
    <w:pPr>
      <w:pBdr>
        <w:top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color w:val="000000"/>
      <w:sz w:val="20"/>
      <w:szCs w:val="20"/>
      <w:lang w:eastAsia="pt-BR"/>
    </w:rPr>
  </w:style>
  <w:style w:type="paragraph" w:customStyle="1" w:styleId="xl73">
    <w:name w:val="xl73"/>
    <w:basedOn w:val="Normal"/>
    <w:uiPriority w:val="99"/>
    <w:rsid w:val="00D536C4"/>
    <w:pPr>
      <w:pBdr>
        <w:top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Arial"/>
      <w:color w:val="000000"/>
      <w:sz w:val="20"/>
      <w:szCs w:val="20"/>
      <w:lang w:eastAsia="pt-BR"/>
    </w:rPr>
  </w:style>
  <w:style w:type="paragraph" w:customStyle="1" w:styleId="xl74">
    <w:name w:val="xl74"/>
    <w:basedOn w:val="Normal"/>
    <w:uiPriority w:val="99"/>
    <w:rsid w:val="00D536C4"/>
    <w:pPr>
      <w:pBdr>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Arial"/>
      <w:color w:val="000000"/>
      <w:sz w:val="20"/>
      <w:szCs w:val="20"/>
      <w:lang w:eastAsia="pt-BR"/>
    </w:rPr>
  </w:style>
  <w:style w:type="paragraph" w:customStyle="1" w:styleId="xl75">
    <w:name w:val="xl75"/>
    <w:basedOn w:val="Normal"/>
    <w:uiPriority w:val="99"/>
    <w:rsid w:val="00D536C4"/>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eastAsia="Times New Roman" w:cs="Arial"/>
      <w:sz w:val="20"/>
      <w:szCs w:val="20"/>
      <w:lang w:eastAsia="pt-BR"/>
    </w:rPr>
  </w:style>
  <w:style w:type="paragraph" w:customStyle="1" w:styleId="xl76">
    <w:name w:val="xl76"/>
    <w:basedOn w:val="Normal"/>
    <w:uiPriority w:val="99"/>
    <w:rsid w:val="00D536C4"/>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eastAsia="Times New Roman" w:cs="Arial"/>
      <w:sz w:val="20"/>
      <w:szCs w:val="20"/>
      <w:lang w:eastAsia="pt-BR"/>
    </w:rPr>
  </w:style>
  <w:style w:type="paragraph" w:customStyle="1" w:styleId="xl77">
    <w:name w:val="xl77"/>
    <w:basedOn w:val="Normal"/>
    <w:uiPriority w:val="99"/>
    <w:rsid w:val="00D536C4"/>
    <w:pPr>
      <w:spacing w:before="100" w:beforeAutospacing="1" w:after="100" w:afterAutospacing="1" w:line="240" w:lineRule="auto"/>
      <w:jc w:val="center"/>
    </w:pPr>
    <w:rPr>
      <w:rFonts w:eastAsia="Times New Roman" w:cs="Arial"/>
      <w:sz w:val="18"/>
      <w:szCs w:val="18"/>
      <w:lang w:eastAsia="pt-BR"/>
    </w:rPr>
  </w:style>
  <w:style w:type="paragraph" w:customStyle="1" w:styleId="xl78">
    <w:name w:val="xl78"/>
    <w:basedOn w:val="Normal"/>
    <w:uiPriority w:val="99"/>
    <w:rsid w:val="00D536C4"/>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eastAsia="Times New Roman" w:cs="Arial"/>
      <w:sz w:val="20"/>
      <w:szCs w:val="20"/>
      <w:lang w:eastAsia="pt-BR"/>
    </w:rPr>
  </w:style>
  <w:style w:type="paragraph" w:customStyle="1" w:styleId="xl79">
    <w:name w:val="xl79"/>
    <w:basedOn w:val="Normal"/>
    <w:uiPriority w:val="99"/>
    <w:rsid w:val="00D536C4"/>
    <w:pPr>
      <w:pBdr>
        <w:bottom w:val="single" w:sz="8" w:space="0" w:color="auto"/>
        <w:right w:val="single" w:sz="8" w:space="0" w:color="auto"/>
      </w:pBdr>
      <w:shd w:val="clear" w:color="auto" w:fill="BFBFBF"/>
      <w:spacing w:before="100" w:beforeAutospacing="1" w:after="100" w:afterAutospacing="1" w:line="240" w:lineRule="auto"/>
      <w:jc w:val="center"/>
    </w:pPr>
    <w:rPr>
      <w:rFonts w:eastAsia="Times New Roman" w:cs="Arial"/>
      <w:sz w:val="20"/>
      <w:szCs w:val="20"/>
      <w:lang w:eastAsia="pt-BR"/>
    </w:rPr>
  </w:style>
  <w:style w:type="paragraph" w:customStyle="1" w:styleId="xl80">
    <w:name w:val="xl80"/>
    <w:basedOn w:val="Normal"/>
    <w:uiPriority w:val="99"/>
    <w:rsid w:val="00D536C4"/>
    <w:pPr>
      <w:pBdr>
        <w:bottom w:val="single" w:sz="8" w:space="0" w:color="auto"/>
        <w:right w:val="single" w:sz="8" w:space="0" w:color="auto"/>
      </w:pBdr>
      <w:spacing w:before="100" w:beforeAutospacing="1" w:after="100" w:afterAutospacing="1" w:line="240" w:lineRule="auto"/>
      <w:jc w:val="center"/>
    </w:pPr>
    <w:rPr>
      <w:rFonts w:eastAsia="Times New Roman" w:cs="Arial"/>
      <w:sz w:val="20"/>
      <w:szCs w:val="20"/>
      <w:lang w:eastAsia="pt-BR"/>
    </w:rPr>
  </w:style>
  <w:style w:type="paragraph" w:customStyle="1" w:styleId="xl81">
    <w:name w:val="xl81"/>
    <w:basedOn w:val="Normal"/>
    <w:uiPriority w:val="99"/>
    <w:rsid w:val="00D536C4"/>
    <w:pPr>
      <w:pBdr>
        <w:bottom w:val="single" w:sz="8" w:space="0" w:color="auto"/>
        <w:right w:val="single" w:sz="8" w:space="0" w:color="auto"/>
      </w:pBdr>
      <w:shd w:val="clear" w:color="auto" w:fill="BFBFBF"/>
      <w:spacing w:before="100" w:beforeAutospacing="1" w:after="100" w:afterAutospacing="1" w:line="240" w:lineRule="auto"/>
      <w:jc w:val="center"/>
    </w:pPr>
    <w:rPr>
      <w:rFonts w:eastAsia="Times New Roman" w:cs="Arial"/>
      <w:sz w:val="20"/>
      <w:szCs w:val="20"/>
      <w:lang w:eastAsia="pt-BR"/>
    </w:rPr>
  </w:style>
  <w:style w:type="paragraph" w:customStyle="1" w:styleId="xl82">
    <w:name w:val="xl82"/>
    <w:basedOn w:val="Normal"/>
    <w:uiPriority w:val="99"/>
    <w:rsid w:val="00D536C4"/>
    <w:pPr>
      <w:pBdr>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sz w:val="20"/>
      <w:szCs w:val="20"/>
      <w:lang w:eastAsia="pt-BR"/>
    </w:rPr>
  </w:style>
  <w:style w:type="paragraph" w:customStyle="1" w:styleId="xl83">
    <w:name w:val="xl83"/>
    <w:basedOn w:val="Normal"/>
    <w:uiPriority w:val="99"/>
    <w:rsid w:val="00D536C4"/>
    <w:pPr>
      <w:pBdr>
        <w:bottom w:val="single" w:sz="8" w:space="0" w:color="auto"/>
        <w:right w:val="single" w:sz="8" w:space="0" w:color="auto"/>
      </w:pBdr>
      <w:spacing w:before="100" w:beforeAutospacing="1" w:after="100" w:afterAutospacing="1" w:line="240" w:lineRule="auto"/>
      <w:jc w:val="center"/>
    </w:pPr>
    <w:rPr>
      <w:rFonts w:eastAsia="Times New Roman" w:cs="Arial"/>
      <w:sz w:val="20"/>
      <w:szCs w:val="20"/>
      <w:lang w:eastAsia="pt-BR"/>
    </w:rPr>
  </w:style>
  <w:style w:type="paragraph" w:customStyle="1" w:styleId="xl84">
    <w:name w:val="xl84"/>
    <w:basedOn w:val="Normal"/>
    <w:uiPriority w:val="99"/>
    <w:rsid w:val="00D536C4"/>
    <w:pPr>
      <w:spacing w:before="100" w:beforeAutospacing="1" w:after="100" w:afterAutospacing="1" w:line="240" w:lineRule="auto"/>
    </w:pPr>
    <w:rPr>
      <w:rFonts w:ascii="Times New Roman" w:eastAsia="Times New Roman" w:hAnsi="Times New Roman"/>
      <w:szCs w:val="24"/>
      <w:lang w:eastAsia="pt-BR"/>
    </w:rPr>
  </w:style>
  <w:style w:type="paragraph" w:customStyle="1" w:styleId="xl85">
    <w:name w:val="xl85"/>
    <w:basedOn w:val="Normal"/>
    <w:uiPriority w:val="99"/>
    <w:rsid w:val="00D536C4"/>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pPr>
    <w:rPr>
      <w:rFonts w:eastAsia="Times New Roman" w:cs="Arial"/>
      <w:color w:val="000000"/>
      <w:sz w:val="20"/>
      <w:szCs w:val="20"/>
      <w:lang w:eastAsia="pt-BR"/>
    </w:rPr>
  </w:style>
  <w:style w:type="paragraph" w:customStyle="1" w:styleId="xl86">
    <w:name w:val="xl86"/>
    <w:basedOn w:val="Normal"/>
    <w:uiPriority w:val="99"/>
    <w:rsid w:val="00D536C4"/>
    <w:pPr>
      <w:pBdr>
        <w:top w:val="single" w:sz="8" w:space="0" w:color="auto"/>
        <w:bottom w:val="single" w:sz="8" w:space="0" w:color="auto"/>
        <w:right w:val="single" w:sz="8" w:space="0" w:color="auto"/>
      </w:pBdr>
      <w:spacing w:before="100" w:beforeAutospacing="1" w:after="100" w:afterAutospacing="1" w:line="240" w:lineRule="auto"/>
      <w:jc w:val="both"/>
    </w:pPr>
    <w:rPr>
      <w:rFonts w:ascii="Times New Roman" w:eastAsia="Times New Roman" w:hAnsi="Times New Roman"/>
      <w:b/>
      <w:bCs/>
      <w:sz w:val="14"/>
      <w:szCs w:val="14"/>
      <w:lang w:eastAsia="pt-BR"/>
    </w:rPr>
  </w:style>
  <w:style w:type="paragraph" w:customStyle="1" w:styleId="xl87">
    <w:name w:val="xl87"/>
    <w:basedOn w:val="Normal"/>
    <w:uiPriority w:val="99"/>
    <w:rsid w:val="00D536C4"/>
    <w:pPr>
      <w:pBdr>
        <w:bottom w:val="single" w:sz="8" w:space="0" w:color="auto"/>
        <w:right w:val="single" w:sz="8" w:space="0" w:color="auto"/>
      </w:pBdr>
      <w:spacing w:before="100" w:beforeAutospacing="1" w:after="100" w:afterAutospacing="1" w:line="240" w:lineRule="auto"/>
      <w:jc w:val="both"/>
    </w:pPr>
    <w:rPr>
      <w:rFonts w:ascii="Times New Roman" w:eastAsia="Times New Roman" w:hAnsi="Times New Roman"/>
      <w:b/>
      <w:bCs/>
      <w:sz w:val="14"/>
      <w:szCs w:val="14"/>
      <w:lang w:eastAsia="pt-BR"/>
    </w:rPr>
  </w:style>
  <w:style w:type="paragraph" w:customStyle="1" w:styleId="xl88">
    <w:name w:val="xl88"/>
    <w:basedOn w:val="Normal"/>
    <w:uiPriority w:val="99"/>
    <w:rsid w:val="00D536C4"/>
    <w:pPr>
      <w:pBdr>
        <w:bottom w:val="single" w:sz="8" w:space="0" w:color="auto"/>
        <w:right w:val="single" w:sz="8" w:space="0" w:color="auto"/>
      </w:pBdr>
      <w:spacing w:before="100" w:beforeAutospacing="1" w:after="100" w:afterAutospacing="1" w:line="240" w:lineRule="auto"/>
      <w:jc w:val="both"/>
    </w:pPr>
    <w:rPr>
      <w:rFonts w:eastAsia="Times New Roman" w:cs="Arial"/>
      <w:b/>
      <w:bCs/>
      <w:sz w:val="18"/>
      <w:szCs w:val="18"/>
      <w:lang w:eastAsia="pt-BR"/>
    </w:rPr>
  </w:style>
  <w:style w:type="paragraph" w:customStyle="1" w:styleId="xl89">
    <w:name w:val="xl89"/>
    <w:basedOn w:val="Normal"/>
    <w:uiPriority w:val="99"/>
    <w:rsid w:val="00D536C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color w:val="000000"/>
      <w:sz w:val="19"/>
      <w:szCs w:val="19"/>
      <w:lang w:eastAsia="pt-BR"/>
    </w:rPr>
  </w:style>
  <w:style w:type="paragraph" w:customStyle="1" w:styleId="xl90">
    <w:name w:val="xl90"/>
    <w:basedOn w:val="Normal"/>
    <w:uiPriority w:val="99"/>
    <w:rsid w:val="00D536C4"/>
    <w:pPr>
      <w:pBdr>
        <w:top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Arial"/>
      <w:color w:val="000000"/>
      <w:sz w:val="19"/>
      <w:szCs w:val="19"/>
      <w:lang w:eastAsia="pt-BR"/>
    </w:rPr>
  </w:style>
  <w:style w:type="paragraph" w:customStyle="1" w:styleId="xl91">
    <w:name w:val="xl91"/>
    <w:basedOn w:val="Normal"/>
    <w:uiPriority w:val="99"/>
    <w:rsid w:val="00D536C4"/>
    <w:pPr>
      <w:pBdr>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color w:val="000000"/>
      <w:sz w:val="19"/>
      <w:szCs w:val="19"/>
      <w:lang w:eastAsia="pt-BR"/>
    </w:rPr>
  </w:style>
  <w:style w:type="paragraph" w:customStyle="1" w:styleId="xl92">
    <w:name w:val="xl92"/>
    <w:basedOn w:val="Normal"/>
    <w:uiPriority w:val="99"/>
    <w:rsid w:val="00D536C4"/>
    <w:pPr>
      <w:pBdr>
        <w:bottom w:val="single" w:sz="8" w:space="0" w:color="auto"/>
        <w:right w:val="single" w:sz="8" w:space="0" w:color="auto"/>
      </w:pBdr>
      <w:shd w:val="clear" w:color="auto" w:fill="BFBFBF"/>
      <w:spacing w:before="100" w:beforeAutospacing="1" w:after="100" w:afterAutospacing="1" w:line="240" w:lineRule="auto"/>
      <w:jc w:val="center"/>
    </w:pPr>
    <w:rPr>
      <w:rFonts w:eastAsia="Times New Roman" w:cs="Arial"/>
      <w:color w:val="000000"/>
      <w:sz w:val="19"/>
      <w:szCs w:val="19"/>
      <w:lang w:eastAsia="pt-BR"/>
    </w:rPr>
  </w:style>
  <w:style w:type="paragraph" w:customStyle="1" w:styleId="xl93">
    <w:name w:val="xl93"/>
    <w:basedOn w:val="Normal"/>
    <w:uiPriority w:val="99"/>
    <w:rsid w:val="00D536C4"/>
    <w:pPr>
      <w:pBdr>
        <w:bottom w:val="single" w:sz="8" w:space="0" w:color="auto"/>
        <w:right w:val="single" w:sz="8" w:space="0" w:color="auto"/>
      </w:pBdr>
      <w:shd w:val="clear" w:color="auto" w:fill="BFBFBF"/>
      <w:spacing w:before="100" w:beforeAutospacing="1" w:after="100" w:afterAutospacing="1" w:line="240" w:lineRule="auto"/>
      <w:jc w:val="center"/>
    </w:pPr>
    <w:rPr>
      <w:rFonts w:eastAsia="Times New Roman" w:cs="Arial"/>
      <w:color w:val="000000"/>
      <w:sz w:val="19"/>
      <w:szCs w:val="19"/>
      <w:lang w:eastAsia="pt-BR"/>
    </w:rPr>
  </w:style>
  <w:style w:type="paragraph" w:customStyle="1" w:styleId="xl94">
    <w:name w:val="xl94"/>
    <w:basedOn w:val="Normal"/>
    <w:uiPriority w:val="99"/>
    <w:rsid w:val="00D536C4"/>
    <w:pPr>
      <w:pBdr>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Arial"/>
      <w:color w:val="000000"/>
      <w:sz w:val="19"/>
      <w:szCs w:val="19"/>
      <w:lang w:eastAsia="pt-BR"/>
    </w:rPr>
  </w:style>
  <w:style w:type="paragraph" w:customStyle="1" w:styleId="xl95">
    <w:name w:val="xl95"/>
    <w:basedOn w:val="Normal"/>
    <w:uiPriority w:val="99"/>
    <w:rsid w:val="00D536C4"/>
    <w:pPr>
      <w:pBdr>
        <w:bottom w:val="single" w:sz="8" w:space="0" w:color="auto"/>
        <w:right w:val="single" w:sz="8" w:space="0" w:color="auto"/>
      </w:pBdr>
      <w:spacing w:before="100" w:beforeAutospacing="1" w:after="100" w:afterAutospacing="1" w:line="240" w:lineRule="auto"/>
      <w:jc w:val="center"/>
    </w:pPr>
    <w:rPr>
      <w:rFonts w:eastAsia="Times New Roman" w:cs="Arial"/>
      <w:color w:val="000000"/>
      <w:sz w:val="19"/>
      <w:szCs w:val="19"/>
      <w:lang w:eastAsia="pt-BR"/>
    </w:rPr>
  </w:style>
  <w:style w:type="paragraph" w:customStyle="1" w:styleId="xl96">
    <w:name w:val="xl96"/>
    <w:basedOn w:val="Normal"/>
    <w:uiPriority w:val="99"/>
    <w:rsid w:val="00D536C4"/>
    <w:pPr>
      <w:pBdr>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Arial"/>
      <w:sz w:val="20"/>
      <w:szCs w:val="20"/>
      <w:lang w:eastAsia="pt-BR"/>
    </w:rPr>
  </w:style>
  <w:style w:type="paragraph" w:customStyle="1" w:styleId="xl97">
    <w:name w:val="xl97"/>
    <w:basedOn w:val="Normal"/>
    <w:uiPriority w:val="99"/>
    <w:rsid w:val="00D536C4"/>
    <w:pPr>
      <w:pBdr>
        <w:top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color w:val="000000"/>
      <w:sz w:val="19"/>
      <w:szCs w:val="19"/>
      <w:lang w:eastAsia="pt-BR"/>
    </w:rPr>
  </w:style>
  <w:style w:type="paragraph" w:customStyle="1" w:styleId="xl98">
    <w:name w:val="xl98"/>
    <w:basedOn w:val="Normal"/>
    <w:uiPriority w:val="99"/>
    <w:rsid w:val="00D536C4"/>
    <w:pPr>
      <w:pBdr>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Arial"/>
      <w:sz w:val="19"/>
      <w:szCs w:val="19"/>
      <w:lang w:eastAsia="pt-BR"/>
    </w:rPr>
  </w:style>
  <w:style w:type="paragraph" w:customStyle="1" w:styleId="xl99">
    <w:name w:val="xl99"/>
    <w:basedOn w:val="Normal"/>
    <w:uiPriority w:val="99"/>
    <w:rsid w:val="00D536C4"/>
    <w:pPr>
      <w:pBdr>
        <w:bottom w:val="single" w:sz="8" w:space="0" w:color="auto"/>
        <w:right w:val="single" w:sz="8" w:space="0" w:color="auto"/>
      </w:pBdr>
      <w:shd w:val="clear" w:color="auto" w:fill="BFBFBF"/>
      <w:spacing w:before="100" w:beforeAutospacing="1" w:after="100" w:afterAutospacing="1" w:line="240" w:lineRule="auto"/>
      <w:jc w:val="center"/>
    </w:pPr>
    <w:rPr>
      <w:rFonts w:eastAsia="Times New Roman" w:cs="Arial"/>
      <w:sz w:val="19"/>
      <w:szCs w:val="19"/>
      <w:lang w:eastAsia="pt-BR"/>
    </w:rPr>
  </w:style>
  <w:style w:type="paragraph" w:customStyle="1" w:styleId="xl100">
    <w:name w:val="xl100"/>
    <w:basedOn w:val="Normal"/>
    <w:uiPriority w:val="99"/>
    <w:rsid w:val="00D536C4"/>
    <w:pPr>
      <w:pBdr>
        <w:bottom w:val="single" w:sz="8" w:space="0" w:color="auto"/>
        <w:right w:val="single" w:sz="8" w:space="0" w:color="auto"/>
      </w:pBdr>
      <w:spacing w:before="100" w:beforeAutospacing="1" w:after="100" w:afterAutospacing="1" w:line="240" w:lineRule="auto"/>
      <w:jc w:val="center"/>
    </w:pPr>
    <w:rPr>
      <w:rFonts w:eastAsia="Times New Roman" w:cs="Arial"/>
      <w:sz w:val="19"/>
      <w:szCs w:val="19"/>
      <w:lang w:eastAsia="pt-BR"/>
    </w:rPr>
  </w:style>
  <w:style w:type="paragraph" w:customStyle="1" w:styleId="xl101">
    <w:name w:val="xl101"/>
    <w:basedOn w:val="Normal"/>
    <w:uiPriority w:val="99"/>
    <w:rsid w:val="00D536C4"/>
    <w:pPr>
      <w:pBdr>
        <w:bottom w:val="single" w:sz="8" w:space="0" w:color="auto"/>
        <w:right w:val="single" w:sz="8" w:space="0" w:color="auto"/>
      </w:pBdr>
      <w:shd w:val="clear" w:color="auto" w:fill="BFBFBF"/>
      <w:spacing w:before="100" w:beforeAutospacing="1" w:after="100" w:afterAutospacing="1" w:line="240" w:lineRule="auto"/>
      <w:jc w:val="center"/>
    </w:pPr>
    <w:rPr>
      <w:rFonts w:eastAsia="Times New Roman" w:cs="Arial"/>
      <w:sz w:val="19"/>
      <w:szCs w:val="19"/>
      <w:lang w:eastAsia="pt-BR"/>
    </w:rPr>
  </w:style>
  <w:style w:type="paragraph" w:customStyle="1" w:styleId="xl102">
    <w:name w:val="xl102"/>
    <w:basedOn w:val="Normal"/>
    <w:uiPriority w:val="99"/>
    <w:rsid w:val="00D536C4"/>
    <w:pPr>
      <w:pBdr>
        <w:bottom w:val="single" w:sz="8" w:space="0" w:color="auto"/>
        <w:right w:val="single" w:sz="8" w:space="0" w:color="auto"/>
      </w:pBdr>
      <w:spacing w:before="100" w:beforeAutospacing="1" w:after="100" w:afterAutospacing="1" w:line="240" w:lineRule="auto"/>
      <w:jc w:val="center"/>
    </w:pPr>
    <w:rPr>
      <w:rFonts w:eastAsia="Times New Roman" w:cs="Arial"/>
      <w:sz w:val="19"/>
      <w:szCs w:val="19"/>
      <w:lang w:eastAsia="pt-BR"/>
    </w:rPr>
  </w:style>
  <w:style w:type="paragraph" w:customStyle="1" w:styleId="xl103">
    <w:name w:val="xl103"/>
    <w:basedOn w:val="Normal"/>
    <w:uiPriority w:val="99"/>
    <w:rsid w:val="00D536C4"/>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color w:val="000000"/>
      <w:sz w:val="18"/>
      <w:szCs w:val="18"/>
      <w:lang w:eastAsia="pt-BR"/>
    </w:rPr>
  </w:style>
  <w:style w:type="paragraph" w:customStyle="1" w:styleId="xl104">
    <w:name w:val="xl104"/>
    <w:basedOn w:val="Normal"/>
    <w:uiPriority w:val="99"/>
    <w:rsid w:val="00D536C4"/>
    <w:pPr>
      <w:pBdr>
        <w:top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Arial"/>
      <w:color w:val="000000"/>
      <w:sz w:val="18"/>
      <w:szCs w:val="18"/>
      <w:lang w:eastAsia="pt-BR"/>
    </w:rPr>
  </w:style>
  <w:style w:type="paragraph" w:customStyle="1" w:styleId="xl105">
    <w:name w:val="xl105"/>
    <w:basedOn w:val="Normal"/>
    <w:uiPriority w:val="99"/>
    <w:rsid w:val="00D536C4"/>
    <w:pPr>
      <w:pBdr>
        <w:top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color w:val="000000"/>
      <w:sz w:val="18"/>
      <w:szCs w:val="18"/>
      <w:lang w:eastAsia="pt-BR"/>
    </w:rPr>
  </w:style>
  <w:style w:type="paragraph" w:customStyle="1" w:styleId="xl106">
    <w:name w:val="xl106"/>
    <w:basedOn w:val="Normal"/>
    <w:uiPriority w:val="99"/>
    <w:rsid w:val="00D536C4"/>
    <w:pPr>
      <w:pBdr>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Arial"/>
      <w:color w:val="000000"/>
      <w:sz w:val="18"/>
      <w:szCs w:val="18"/>
      <w:lang w:eastAsia="pt-BR"/>
    </w:rPr>
  </w:style>
  <w:style w:type="paragraph" w:customStyle="1" w:styleId="xl107">
    <w:name w:val="xl107"/>
    <w:basedOn w:val="Normal"/>
    <w:uiPriority w:val="99"/>
    <w:rsid w:val="00D536C4"/>
    <w:pPr>
      <w:pBdr>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Arial"/>
      <w:color w:val="000000"/>
      <w:sz w:val="18"/>
      <w:szCs w:val="18"/>
      <w:lang w:eastAsia="pt-BR"/>
    </w:rPr>
  </w:style>
  <w:style w:type="paragraph" w:customStyle="1" w:styleId="xl108">
    <w:name w:val="xl108"/>
    <w:basedOn w:val="Normal"/>
    <w:uiPriority w:val="99"/>
    <w:rsid w:val="00D536C4"/>
    <w:pPr>
      <w:pBdr>
        <w:bottom w:val="single" w:sz="8" w:space="0" w:color="auto"/>
        <w:right w:val="single" w:sz="8" w:space="0" w:color="auto"/>
      </w:pBdr>
      <w:spacing w:before="100" w:beforeAutospacing="1" w:after="100" w:afterAutospacing="1" w:line="240" w:lineRule="auto"/>
      <w:jc w:val="center"/>
    </w:pPr>
    <w:rPr>
      <w:rFonts w:eastAsia="Times New Roman" w:cs="Arial"/>
      <w:color w:val="000000"/>
      <w:sz w:val="18"/>
      <w:szCs w:val="18"/>
      <w:lang w:eastAsia="pt-BR"/>
    </w:rPr>
  </w:style>
  <w:style w:type="paragraph" w:customStyle="1" w:styleId="xl109">
    <w:name w:val="xl109"/>
    <w:basedOn w:val="Normal"/>
    <w:uiPriority w:val="99"/>
    <w:rsid w:val="00D536C4"/>
    <w:pPr>
      <w:pBdr>
        <w:bottom w:val="single" w:sz="8" w:space="0" w:color="auto"/>
        <w:right w:val="single" w:sz="8" w:space="0" w:color="auto"/>
      </w:pBdr>
      <w:shd w:val="clear" w:color="auto" w:fill="BFBFBF"/>
      <w:spacing w:before="100" w:beforeAutospacing="1" w:after="100" w:afterAutospacing="1" w:line="240" w:lineRule="auto"/>
      <w:jc w:val="center"/>
    </w:pPr>
    <w:rPr>
      <w:rFonts w:eastAsia="Times New Roman" w:cs="Arial"/>
      <w:color w:val="000000"/>
      <w:sz w:val="18"/>
      <w:szCs w:val="18"/>
      <w:lang w:eastAsia="pt-BR"/>
    </w:rPr>
  </w:style>
  <w:style w:type="paragraph" w:customStyle="1" w:styleId="xl110">
    <w:name w:val="xl110"/>
    <w:basedOn w:val="Normal"/>
    <w:uiPriority w:val="99"/>
    <w:rsid w:val="00D536C4"/>
    <w:pPr>
      <w:pBdr>
        <w:bottom w:val="single" w:sz="8" w:space="0" w:color="auto"/>
        <w:right w:val="single" w:sz="8" w:space="0" w:color="auto"/>
      </w:pBdr>
      <w:shd w:val="clear" w:color="auto" w:fill="BFBFBF"/>
      <w:spacing w:before="100" w:beforeAutospacing="1" w:after="100" w:afterAutospacing="1" w:line="240" w:lineRule="auto"/>
      <w:jc w:val="center"/>
    </w:pPr>
    <w:rPr>
      <w:rFonts w:eastAsia="Times New Roman" w:cs="Arial"/>
      <w:color w:val="000000"/>
      <w:sz w:val="18"/>
      <w:szCs w:val="18"/>
      <w:lang w:eastAsia="pt-BR"/>
    </w:rPr>
  </w:style>
  <w:style w:type="paragraph" w:customStyle="1" w:styleId="xl111">
    <w:name w:val="xl111"/>
    <w:basedOn w:val="Normal"/>
    <w:uiPriority w:val="99"/>
    <w:rsid w:val="00D536C4"/>
    <w:pPr>
      <w:pBdr>
        <w:top w:val="single" w:sz="8" w:space="0" w:color="auto"/>
        <w:bottom w:val="single" w:sz="8" w:space="0" w:color="auto"/>
        <w:right w:val="single" w:sz="8" w:space="0" w:color="auto"/>
      </w:pBdr>
      <w:shd w:val="clear" w:color="auto" w:fill="BFBFBF"/>
      <w:spacing w:before="100" w:beforeAutospacing="1" w:after="100" w:afterAutospacing="1" w:line="240" w:lineRule="auto"/>
      <w:jc w:val="center"/>
    </w:pPr>
    <w:rPr>
      <w:rFonts w:eastAsia="Times New Roman" w:cs="Arial"/>
      <w:color w:val="000000"/>
      <w:sz w:val="18"/>
      <w:szCs w:val="18"/>
      <w:lang w:eastAsia="pt-BR"/>
    </w:rPr>
  </w:style>
  <w:style w:type="paragraph" w:customStyle="1" w:styleId="xl112">
    <w:name w:val="xl112"/>
    <w:basedOn w:val="Normal"/>
    <w:uiPriority w:val="99"/>
    <w:rsid w:val="00D536C4"/>
    <w:pPr>
      <w:pBdr>
        <w:bottom w:val="single" w:sz="8" w:space="0" w:color="auto"/>
        <w:right w:val="single" w:sz="8" w:space="0" w:color="auto"/>
      </w:pBdr>
      <w:shd w:val="clear" w:color="auto" w:fill="BFBFBF"/>
      <w:spacing w:before="100" w:beforeAutospacing="1" w:after="100" w:afterAutospacing="1" w:line="240" w:lineRule="auto"/>
      <w:jc w:val="center"/>
    </w:pPr>
    <w:rPr>
      <w:rFonts w:eastAsia="Times New Roman" w:cs="Arial"/>
      <w:sz w:val="18"/>
      <w:szCs w:val="18"/>
      <w:lang w:eastAsia="pt-BR"/>
    </w:rPr>
  </w:style>
  <w:style w:type="paragraph" w:customStyle="1" w:styleId="xl113">
    <w:name w:val="xl113"/>
    <w:basedOn w:val="Normal"/>
    <w:uiPriority w:val="99"/>
    <w:rsid w:val="00D536C4"/>
    <w:pPr>
      <w:pBdr>
        <w:bottom w:val="single" w:sz="8" w:space="0" w:color="auto"/>
        <w:right w:val="single" w:sz="8" w:space="0" w:color="auto"/>
      </w:pBdr>
      <w:shd w:val="clear" w:color="auto" w:fill="BFBFBF"/>
      <w:spacing w:before="100" w:beforeAutospacing="1" w:after="100" w:afterAutospacing="1" w:line="240" w:lineRule="auto"/>
      <w:jc w:val="center"/>
    </w:pPr>
    <w:rPr>
      <w:rFonts w:eastAsia="Times New Roman" w:cs="Arial"/>
      <w:sz w:val="18"/>
      <w:szCs w:val="18"/>
      <w:lang w:eastAsia="pt-BR"/>
    </w:rPr>
  </w:style>
  <w:style w:type="paragraph" w:customStyle="1" w:styleId="xl114">
    <w:name w:val="xl114"/>
    <w:basedOn w:val="Normal"/>
    <w:uiPriority w:val="99"/>
    <w:rsid w:val="00D536C4"/>
    <w:pPr>
      <w:pBdr>
        <w:bottom w:val="single" w:sz="8" w:space="0" w:color="auto"/>
        <w:right w:val="single" w:sz="8" w:space="0" w:color="auto"/>
      </w:pBdr>
      <w:spacing w:before="100" w:beforeAutospacing="1" w:after="100" w:afterAutospacing="1" w:line="240" w:lineRule="auto"/>
      <w:jc w:val="center"/>
    </w:pPr>
    <w:rPr>
      <w:rFonts w:eastAsia="Times New Roman" w:cs="Arial"/>
      <w:sz w:val="18"/>
      <w:szCs w:val="18"/>
      <w:lang w:eastAsia="pt-BR"/>
    </w:rPr>
  </w:style>
  <w:style w:type="paragraph" w:customStyle="1" w:styleId="xl115">
    <w:name w:val="xl115"/>
    <w:basedOn w:val="Normal"/>
    <w:uiPriority w:val="99"/>
    <w:rsid w:val="00D536C4"/>
    <w:pPr>
      <w:pBdr>
        <w:bottom w:val="single" w:sz="8" w:space="0" w:color="auto"/>
        <w:right w:val="single" w:sz="8" w:space="0" w:color="auto"/>
      </w:pBdr>
      <w:shd w:val="clear" w:color="auto" w:fill="FFFFFF"/>
      <w:spacing w:before="100" w:beforeAutospacing="1" w:after="100" w:afterAutospacing="1" w:line="240" w:lineRule="auto"/>
      <w:jc w:val="center"/>
    </w:pPr>
    <w:rPr>
      <w:rFonts w:eastAsia="Times New Roman" w:cs="Arial"/>
      <w:sz w:val="18"/>
      <w:szCs w:val="18"/>
      <w:lang w:eastAsia="pt-BR"/>
    </w:rPr>
  </w:style>
  <w:style w:type="paragraph" w:customStyle="1" w:styleId="xl116">
    <w:name w:val="xl116"/>
    <w:basedOn w:val="Normal"/>
    <w:uiPriority w:val="99"/>
    <w:rsid w:val="00D536C4"/>
    <w:pPr>
      <w:pBdr>
        <w:top w:val="single" w:sz="8" w:space="0" w:color="auto"/>
        <w:left w:val="single" w:sz="8" w:space="0" w:color="auto"/>
        <w:right w:val="single" w:sz="8" w:space="0" w:color="auto"/>
      </w:pBdr>
      <w:shd w:val="clear" w:color="auto" w:fill="C0C0C0"/>
      <w:spacing w:before="100" w:beforeAutospacing="1" w:after="100" w:afterAutospacing="1" w:line="240" w:lineRule="auto"/>
      <w:jc w:val="center"/>
    </w:pPr>
    <w:rPr>
      <w:rFonts w:eastAsia="Times New Roman" w:cs="Arial"/>
      <w:b/>
      <w:bCs/>
      <w:color w:val="000000"/>
      <w:sz w:val="18"/>
      <w:szCs w:val="18"/>
      <w:lang w:eastAsia="pt-BR"/>
    </w:rPr>
  </w:style>
  <w:style w:type="paragraph" w:customStyle="1" w:styleId="xl117">
    <w:name w:val="xl117"/>
    <w:basedOn w:val="Normal"/>
    <w:uiPriority w:val="99"/>
    <w:rsid w:val="00D536C4"/>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Arial"/>
      <w:b/>
      <w:bCs/>
      <w:color w:val="000000"/>
      <w:sz w:val="18"/>
      <w:szCs w:val="18"/>
      <w:lang w:eastAsia="pt-BR"/>
    </w:rPr>
  </w:style>
  <w:style w:type="paragraph" w:customStyle="1" w:styleId="xl118">
    <w:name w:val="xl118"/>
    <w:basedOn w:val="Normal"/>
    <w:uiPriority w:val="99"/>
    <w:rsid w:val="00D536C4"/>
    <w:pPr>
      <w:pBdr>
        <w:left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eastAsia="Times New Roman" w:cs="Arial"/>
      <w:b/>
      <w:bCs/>
      <w:color w:val="000000"/>
      <w:sz w:val="18"/>
      <w:szCs w:val="18"/>
      <w:lang w:eastAsia="pt-BR"/>
    </w:rPr>
  </w:style>
  <w:style w:type="paragraph" w:customStyle="1" w:styleId="xl119">
    <w:name w:val="xl119"/>
    <w:basedOn w:val="Normal"/>
    <w:uiPriority w:val="99"/>
    <w:rsid w:val="00D536C4"/>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pPr>
    <w:rPr>
      <w:rFonts w:eastAsia="Times New Roman" w:cs="Arial"/>
      <w:b/>
      <w:bCs/>
      <w:color w:val="000000"/>
      <w:sz w:val="20"/>
      <w:szCs w:val="20"/>
      <w:lang w:eastAsia="pt-BR"/>
    </w:rPr>
  </w:style>
  <w:style w:type="paragraph" w:customStyle="1" w:styleId="xl120">
    <w:name w:val="xl120"/>
    <w:basedOn w:val="Normal"/>
    <w:uiPriority w:val="99"/>
    <w:rsid w:val="00D536C4"/>
    <w:pPr>
      <w:pBdr>
        <w:right w:val="single" w:sz="8" w:space="0" w:color="auto"/>
      </w:pBdr>
      <w:spacing w:before="100" w:beforeAutospacing="1" w:after="100" w:afterAutospacing="1" w:line="240" w:lineRule="auto"/>
      <w:jc w:val="center"/>
    </w:pPr>
    <w:rPr>
      <w:rFonts w:eastAsia="Times New Roman" w:cs="Arial"/>
      <w:b/>
      <w:bCs/>
      <w:sz w:val="20"/>
      <w:szCs w:val="20"/>
      <w:lang w:eastAsia="pt-BR"/>
    </w:rPr>
  </w:style>
  <w:style w:type="paragraph" w:customStyle="1" w:styleId="xl121">
    <w:name w:val="xl121"/>
    <w:basedOn w:val="Normal"/>
    <w:uiPriority w:val="99"/>
    <w:rsid w:val="00D536C4"/>
    <w:pPr>
      <w:shd w:val="clear" w:color="auto" w:fill="FFFFFF"/>
      <w:spacing w:before="100" w:beforeAutospacing="1" w:after="100" w:afterAutospacing="1" w:line="240" w:lineRule="auto"/>
    </w:pPr>
    <w:rPr>
      <w:rFonts w:eastAsia="Times New Roman" w:cs="Arial"/>
      <w:b/>
      <w:bCs/>
      <w:szCs w:val="24"/>
      <w:lang w:eastAsia="pt-BR"/>
    </w:rPr>
  </w:style>
  <w:style w:type="table" w:styleId="SombreamentoClaro">
    <w:name w:val="Light Shading"/>
    <w:basedOn w:val="Tabelanormal"/>
    <w:uiPriority w:val="60"/>
    <w:rsid w:val="00D536C4"/>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fontstyle01">
    <w:name w:val="fontstyle01"/>
    <w:basedOn w:val="Fontepargpadro"/>
    <w:rsid w:val="00D10913"/>
    <w:rPr>
      <w:rFonts w:ascii="Helvetica-Bold" w:hAnsi="Helvetica-Bold" w:hint="default"/>
      <w:b/>
      <w:bCs/>
      <w:i w:val="0"/>
      <w:iCs w:val="0"/>
      <w:color w:val="000000"/>
      <w:sz w:val="20"/>
      <w:szCs w:val="20"/>
    </w:rPr>
  </w:style>
  <w:style w:type="character" w:customStyle="1" w:styleId="fontstyle21">
    <w:name w:val="fontstyle21"/>
    <w:basedOn w:val="Fontepargpadro"/>
    <w:rsid w:val="00D10913"/>
    <w:rPr>
      <w:rFonts w:ascii="Arial" w:hAnsi="Arial" w:cs="Arial" w:hint="default"/>
      <w:b w:val="0"/>
      <w:bCs w:val="0"/>
      <w:i w:val="0"/>
      <w:iCs w:val="0"/>
      <w:color w:val="000000"/>
      <w:sz w:val="24"/>
      <w:szCs w:val="24"/>
    </w:rPr>
  </w:style>
  <w:style w:type="character" w:customStyle="1" w:styleId="t1">
    <w:name w:val="t1"/>
    <w:basedOn w:val="Fontepargpadro"/>
    <w:rsid w:val="00D10913"/>
  </w:style>
  <w:style w:type="table" w:customStyle="1" w:styleId="TabeladeGrade4-nfase11">
    <w:name w:val="Tabela de Grade 4 - Ênfase 11"/>
    <w:basedOn w:val="Tabelanormal"/>
    <w:uiPriority w:val="49"/>
    <w:rsid w:val="00D10913"/>
    <w:rPr>
      <w:rFonts w:ascii="Arial" w:hAnsi="Arial" w:cs="Arial"/>
      <w:color w:val="00B0F0"/>
      <w:sz w:val="22"/>
      <w:szCs w:val="22"/>
    </w:r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tema">
    <w:name w:val="tema"/>
    <w:basedOn w:val="Fontepargpadro"/>
    <w:rsid w:val="00D10913"/>
  </w:style>
  <w:style w:type="paragraph" w:customStyle="1" w:styleId="CabealhodoSumrio1">
    <w:name w:val="Cabeçalho do Sumário1"/>
    <w:basedOn w:val="Ttulo1"/>
    <w:next w:val="Normal"/>
    <w:rsid w:val="00D10913"/>
    <w:pPr>
      <w:spacing w:line="276" w:lineRule="auto"/>
      <w:jc w:val="left"/>
      <w:outlineLvl w:val="9"/>
    </w:pPr>
    <w:rPr>
      <w:rFonts w:eastAsia="Calibri"/>
      <w:lang w:val="pt-BR" w:eastAsia="pt-BR"/>
    </w:rPr>
  </w:style>
  <w:style w:type="character" w:customStyle="1" w:styleId="nfaseSutil1">
    <w:name w:val="Ênfase Sutil1"/>
    <w:rsid w:val="00D10913"/>
    <w:rPr>
      <w:rFonts w:ascii="Arial" w:hAnsi="Arial"/>
      <w:color w:val="808080"/>
      <w:sz w:val="24"/>
      <w:u w:val="single"/>
    </w:rPr>
  </w:style>
  <w:style w:type="paragraph" w:customStyle="1" w:styleId="SemEspaamento1">
    <w:name w:val="Sem Espaçamento1"/>
    <w:basedOn w:val="Normal"/>
    <w:rsid w:val="00D10913"/>
    <w:pPr>
      <w:spacing w:line="240" w:lineRule="auto"/>
      <w:ind w:firstLine="709"/>
      <w:jc w:val="both"/>
    </w:pPr>
    <w:rPr>
      <w:szCs w:val="20"/>
      <w:lang w:eastAsia="pt-BR"/>
    </w:rPr>
  </w:style>
  <w:style w:type="paragraph" w:customStyle="1" w:styleId="Citao1">
    <w:name w:val="Citação1"/>
    <w:basedOn w:val="Normal"/>
    <w:next w:val="Normal"/>
    <w:link w:val="QuoteChar"/>
    <w:rsid w:val="00D10913"/>
    <w:pPr>
      <w:ind w:firstLine="709"/>
      <w:jc w:val="both"/>
    </w:pPr>
    <w:rPr>
      <w:i/>
      <w:iCs/>
      <w:color w:val="000000"/>
      <w:szCs w:val="20"/>
      <w:lang w:val="x-none" w:eastAsia="x-none"/>
    </w:rPr>
  </w:style>
  <w:style w:type="character" w:customStyle="1" w:styleId="QuoteChar">
    <w:name w:val="Quote Char"/>
    <w:link w:val="Citao1"/>
    <w:locked/>
    <w:rsid w:val="00D10913"/>
    <w:rPr>
      <w:rFonts w:ascii="Arial" w:hAnsi="Arial"/>
      <w:i/>
      <w:iCs/>
      <w:color w:val="000000"/>
      <w:sz w:val="24"/>
      <w:lang w:val="x-none" w:eastAsia="x-none"/>
    </w:rPr>
  </w:style>
  <w:style w:type="paragraph" w:customStyle="1" w:styleId="CitaoIntensa1">
    <w:name w:val="Citação Intensa1"/>
    <w:basedOn w:val="Normal"/>
    <w:next w:val="Normal"/>
    <w:link w:val="IntenseQuoteChar"/>
    <w:rsid w:val="00D10913"/>
    <w:pPr>
      <w:pBdr>
        <w:bottom w:val="single" w:sz="4" w:space="4" w:color="4F81BD"/>
      </w:pBdr>
      <w:spacing w:before="200" w:after="280"/>
      <w:ind w:left="936" w:right="936" w:firstLine="709"/>
      <w:jc w:val="both"/>
    </w:pPr>
    <w:rPr>
      <w:b/>
      <w:bCs/>
      <w:i/>
      <w:iCs/>
      <w:color w:val="4F81BD"/>
      <w:szCs w:val="20"/>
      <w:lang w:val="x-none" w:eastAsia="x-none"/>
    </w:rPr>
  </w:style>
  <w:style w:type="character" w:customStyle="1" w:styleId="IntenseQuoteChar">
    <w:name w:val="Intense Quote Char"/>
    <w:link w:val="CitaoIntensa1"/>
    <w:locked/>
    <w:rsid w:val="00D10913"/>
    <w:rPr>
      <w:rFonts w:ascii="Arial" w:hAnsi="Arial"/>
      <w:b/>
      <w:bCs/>
      <w:i/>
      <w:iCs/>
      <w:color w:val="4F81BD"/>
      <w:sz w:val="24"/>
      <w:lang w:val="x-none" w:eastAsia="x-none"/>
    </w:rPr>
  </w:style>
  <w:style w:type="character" w:customStyle="1" w:styleId="nfaseIntensa1">
    <w:name w:val="Ênfase Intensa1"/>
    <w:rsid w:val="00D10913"/>
    <w:rPr>
      <w:b/>
      <w:i/>
      <w:color w:val="4F81BD"/>
    </w:rPr>
  </w:style>
  <w:style w:type="character" w:customStyle="1" w:styleId="RefernciaSutil1">
    <w:name w:val="Referência Sutil1"/>
    <w:rsid w:val="00D10913"/>
    <w:rPr>
      <w:smallCaps/>
      <w:color w:val="C0504D"/>
      <w:u w:val="single"/>
    </w:rPr>
  </w:style>
  <w:style w:type="character" w:customStyle="1" w:styleId="RefernciaIntensa1">
    <w:name w:val="Referência Intensa1"/>
    <w:rsid w:val="00D10913"/>
    <w:rPr>
      <w:b/>
      <w:smallCaps/>
      <w:color w:val="C0504D"/>
      <w:spacing w:val="5"/>
      <w:u w:val="single"/>
    </w:rPr>
  </w:style>
  <w:style w:type="character" w:customStyle="1" w:styleId="TtulodoLivro1">
    <w:name w:val="Título do Livro1"/>
    <w:rsid w:val="00D10913"/>
    <w:rPr>
      <w:b/>
      <w:smallCaps/>
      <w:spacing w:val="5"/>
    </w:rPr>
  </w:style>
  <w:style w:type="table" w:customStyle="1" w:styleId="TabeladeGrade4-nfase12">
    <w:name w:val="Tabela de Grade 4 - Ênfase 12"/>
    <w:basedOn w:val="Tabelanormal"/>
    <w:uiPriority w:val="49"/>
    <w:rsid w:val="00D10913"/>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Tabelacomgrade3">
    <w:name w:val="Tabela com grade3"/>
    <w:basedOn w:val="Tabelanormal"/>
    <w:next w:val="Tabelacomgrade"/>
    <w:uiPriority w:val="59"/>
    <w:rsid w:val="00D1091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4">
    <w:name w:val="Tabela com grade4"/>
    <w:basedOn w:val="Tabelanormal"/>
    <w:next w:val="Tabelacomgrade"/>
    <w:uiPriority w:val="59"/>
    <w:rsid w:val="00D1091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apadoDocumentoChar1">
    <w:name w:val="Mapa do Documento Char1"/>
    <w:basedOn w:val="Fontepargpadro"/>
    <w:uiPriority w:val="99"/>
    <w:semiHidden/>
    <w:rsid w:val="00D10913"/>
    <w:rPr>
      <w:rFonts w:ascii="Tahoma" w:eastAsia="Calibri" w:hAnsi="Tahoma" w:cs="Tahoma" w:hint="default"/>
      <w:sz w:val="16"/>
      <w:szCs w:val="16"/>
    </w:rPr>
  </w:style>
  <w:style w:type="character" w:styleId="Refdenotadefim">
    <w:name w:val="endnote reference"/>
    <w:uiPriority w:val="99"/>
    <w:unhideWhenUsed/>
    <w:rsid w:val="00040A36"/>
    <w:rPr>
      <w:vertAlign w:val="superscript"/>
    </w:rPr>
  </w:style>
  <w:style w:type="paragraph" w:customStyle="1" w:styleId="Normal1">
    <w:name w:val="Normal1"/>
    <w:rsid w:val="00040A36"/>
    <w:pPr>
      <w:spacing w:line="276" w:lineRule="auto"/>
    </w:pPr>
    <w:rPr>
      <w:rFonts w:ascii="Arial" w:eastAsia="Arial" w:hAnsi="Arial" w:cs="Arial"/>
      <w:color w:val="000000"/>
      <w:sz w:val="22"/>
      <w:szCs w:val="22"/>
    </w:rPr>
  </w:style>
  <w:style w:type="paragraph" w:customStyle="1" w:styleId="texto10">
    <w:name w:val="texto10"/>
    <w:basedOn w:val="Normal"/>
    <w:rsid w:val="00040A36"/>
    <w:pPr>
      <w:spacing w:before="100" w:beforeAutospacing="1" w:after="100" w:afterAutospacing="1" w:line="240" w:lineRule="auto"/>
      <w:ind w:left="85"/>
    </w:pPr>
    <w:rPr>
      <w:rFonts w:ascii="Times New Roman" w:eastAsia="Times New Roman" w:hAnsi="Times New Roman"/>
      <w:szCs w:val="24"/>
      <w:lang w:eastAsia="pt-BR"/>
    </w:rPr>
  </w:style>
  <w:style w:type="paragraph" w:customStyle="1" w:styleId="texto2">
    <w:name w:val="texto2"/>
    <w:basedOn w:val="Normal"/>
    <w:rsid w:val="00040A36"/>
    <w:pPr>
      <w:spacing w:before="100" w:beforeAutospacing="1" w:after="100" w:afterAutospacing="1" w:line="240" w:lineRule="auto"/>
      <w:ind w:left="85"/>
    </w:pPr>
    <w:rPr>
      <w:rFonts w:ascii="Times New Roman" w:eastAsia="Times New Roman" w:hAnsi="Times New Roman"/>
      <w:szCs w:val="24"/>
      <w:lang w:eastAsia="pt-BR"/>
    </w:rPr>
  </w:style>
  <w:style w:type="paragraph" w:customStyle="1" w:styleId="artart">
    <w:name w:val="artart"/>
    <w:basedOn w:val="Normal"/>
    <w:rsid w:val="00040A36"/>
    <w:pPr>
      <w:spacing w:before="100" w:beforeAutospacing="1" w:after="100" w:afterAutospacing="1" w:line="240" w:lineRule="auto"/>
      <w:ind w:left="85"/>
    </w:pPr>
    <w:rPr>
      <w:rFonts w:ascii="Times New Roman" w:eastAsia="Times New Roman" w:hAnsi="Times New Roman"/>
      <w:szCs w:val="24"/>
      <w:lang w:eastAsia="pt-BR"/>
    </w:rPr>
  </w:style>
  <w:style w:type="numbering" w:customStyle="1" w:styleId="Semlista1">
    <w:name w:val="Sem lista1"/>
    <w:next w:val="Semlista"/>
    <w:uiPriority w:val="99"/>
    <w:semiHidden/>
    <w:unhideWhenUsed/>
    <w:rsid w:val="00573D5B"/>
  </w:style>
  <w:style w:type="table" w:customStyle="1" w:styleId="SombreamentoClaro-nfase31">
    <w:name w:val="Sombreamento Claro - Ênfase 31"/>
    <w:basedOn w:val="Tabelanormal"/>
    <w:next w:val="SombreamentoClaro-nfase3"/>
    <w:uiPriority w:val="60"/>
    <w:rsid w:val="00573D5B"/>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staClara-nfase31">
    <w:name w:val="Lista Clara - Ênfase 31"/>
    <w:basedOn w:val="Tabelanormal"/>
    <w:next w:val="ListaClara-nfase3"/>
    <w:uiPriority w:val="61"/>
    <w:rsid w:val="00573D5B"/>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Tabelacomgrade11">
    <w:name w:val="Tabela com grade11"/>
    <w:basedOn w:val="Tabelanormal"/>
    <w:next w:val="Tabelacomgrade"/>
    <w:uiPriority w:val="59"/>
    <w:rsid w:val="00573D5B"/>
    <w:rPr>
      <w:rFonts w:ascii="Arial" w:hAnsi="Arial" w:cs="Arial"/>
      <w:sz w:val="24"/>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11">
    <w:name w:val="Sem lista11"/>
    <w:next w:val="Semlista"/>
    <w:uiPriority w:val="99"/>
    <w:semiHidden/>
    <w:unhideWhenUsed/>
    <w:rsid w:val="00573D5B"/>
  </w:style>
  <w:style w:type="table" w:customStyle="1" w:styleId="Tabelacomgrade2">
    <w:name w:val="Tabela com grade2"/>
    <w:basedOn w:val="Tabelanormal"/>
    <w:next w:val="Tabelacomgrade"/>
    <w:uiPriority w:val="59"/>
    <w:rsid w:val="00573D5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ortal-description">
    <w:name w:val="portal-description"/>
    <w:rsid w:val="00573D5B"/>
  </w:style>
  <w:style w:type="table" w:customStyle="1" w:styleId="Tabelacomgrade12">
    <w:name w:val="Tabela com grade12"/>
    <w:basedOn w:val="Tabelanormal"/>
    <w:next w:val="Tabelacomgrade"/>
    <w:uiPriority w:val="59"/>
    <w:rsid w:val="00573D5B"/>
    <w:rPr>
      <w:rFonts w:ascii="Arial" w:hAnsi="Arial" w:cs="Arial"/>
      <w:sz w:val="24"/>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ombreamentoClaro-nfase111">
    <w:name w:val="Sombreamento Claro - Ênfase 111"/>
    <w:basedOn w:val="Tabelanormal"/>
    <w:uiPriority w:val="60"/>
    <w:rsid w:val="00573D5B"/>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mentoClaro-nfase12">
    <w:name w:val="Sombreamento Claro - Ênfase 12"/>
    <w:basedOn w:val="Tabelanormal"/>
    <w:next w:val="SombreamentoClaro-nfase1"/>
    <w:uiPriority w:val="60"/>
    <w:rsid w:val="00573D5B"/>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Semlista2">
    <w:name w:val="Sem lista2"/>
    <w:next w:val="Semlista"/>
    <w:uiPriority w:val="99"/>
    <w:semiHidden/>
    <w:unhideWhenUsed/>
    <w:rsid w:val="00573D5B"/>
  </w:style>
  <w:style w:type="numbering" w:customStyle="1" w:styleId="Semlista3">
    <w:name w:val="Sem lista3"/>
    <w:next w:val="Semlista"/>
    <w:uiPriority w:val="99"/>
    <w:semiHidden/>
    <w:unhideWhenUsed/>
    <w:rsid w:val="00573D5B"/>
  </w:style>
  <w:style w:type="paragraph" w:customStyle="1" w:styleId="western">
    <w:name w:val="western"/>
    <w:basedOn w:val="Normal"/>
    <w:rsid w:val="00573D5B"/>
    <w:pPr>
      <w:spacing w:before="100" w:beforeAutospacing="1" w:after="100" w:afterAutospacing="1" w:line="240" w:lineRule="auto"/>
    </w:pPr>
    <w:rPr>
      <w:rFonts w:ascii="Times New Roman" w:eastAsia="Times New Roman" w:hAnsi="Times New Roman"/>
      <w:szCs w:val="24"/>
      <w:lang w:eastAsia="pt-BR"/>
    </w:rPr>
  </w:style>
  <w:style w:type="paragraph" w:customStyle="1" w:styleId="gmail-msolistparagraph">
    <w:name w:val="gmail-msolistparagraph"/>
    <w:basedOn w:val="Normal"/>
    <w:rsid w:val="00573D5B"/>
    <w:pPr>
      <w:spacing w:before="100" w:beforeAutospacing="1" w:after="100" w:afterAutospacing="1" w:line="240" w:lineRule="auto"/>
    </w:pPr>
    <w:rPr>
      <w:rFonts w:ascii="Times New Roman" w:hAnsi="Times New Roman"/>
      <w:szCs w:val="24"/>
      <w:lang w:eastAsia="pt-BR"/>
    </w:rPr>
  </w:style>
  <w:style w:type="character" w:customStyle="1" w:styleId="apple-style-span">
    <w:name w:val="apple-style-span"/>
    <w:rsid w:val="00573D5B"/>
  </w:style>
  <w:style w:type="paragraph" w:styleId="Numerada3">
    <w:name w:val="List Number 3"/>
    <w:basedOn w:val="Normal"/>
    <w:rsid w:val="00573D5B"/>
    <w:pPr>
      <w:numPr>
        <w:numId w:val="57"/>
      </w:numPr>
      <w:contextualSpacing/>
      <w:jc w:val="both"/>
    </w:pPr>
    <w:rPr>
      <w:rFonts w:eastAsia="Times New Roman" w:cs="Arial"/>
      <w:szCs w:val="20"/>
      <w:lang w:eastAsia="pt-BR"/>
    </w:rPr>
  </w:style>
  <w:style w:type="character" w:customStyle="1" w:styleId="SHS-Ttulo02Char">
    <w:name w:val="SHS - Título 02 Char"/>
    <w:link w:val="SHS-Ttulo02"/>
    <w:uiPriority w:val="99"/>
    <w:rsid w:val="00810C89"/>
    <w:rPr>
      <w:rFonts w:ascii="Arial" w:eastAsia="Times New Roman" w:hAnsi="Arial" w:cs="Arial"/>
      <w:b/>
      <w:sz w:val="24"/>
      <w:szCs w:val="24"/>
    </w:rPr>
  </w:style>
  <w:style w:type="table" w:customStyle="1" w:styleId="Tabelacomgrade5">
    <w:name w:val="Tabela com grade5"/>
    <w:basedOn w:val="Tabelanormal"/>
    <w:next w:val="Tabelacomgrade"/>
    <w:uiPriority w:val="59"/>
    <w:rsid w:val="00573D5B"/>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ylinename">
    <w:name w:val="byline__name"/>
    <w:rsid w:val="00573D5B"/>
  </w:style>
  <w:style w:type="character" w:customStyle="1" w:styleId="bylinetitle">
    <w:name w:val="byline__title"/>
    <w:rsid w:val="00573D5B"/>
  </w:style>
  <w:style w:type="table" w:customStyle="1" w:styleId="Tabelacomgrade6">
    <w:name w:val="Tabela com grade6"/>
    <w:basedOn w:val="Tabelanormal"/>
    <w:next w:val="Tabelacomgrade"/>
    <w:uiPriority w:val="59"/>
    <w:rsid w:val="006716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4">
    <w:name w:val="Sem lista4"/>
    <w:next w:val="Semlista"/>
    <w:uiPriority w:val="99"/>
    <w:semiHidden/>
    <w:unhideWhenUsed/>
    <w:rsid w:val="00671620"/>
  </w:style>
  <w:style w:type="table" w:customStyle="1" w:styleId="Tabelacomgrade7">
    <w:name w:val="Tabela com grade7"/>
    <w:basedOn w:val="Tabelanormal"/>
    <w:next w:val="Tabelacomgrade"/>
    <w:uiPriority w:val="59"/>
    <w:rsid w:val="006716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ombreamentoClaro-nfase32">
    <w:name w:val="Sombreamento Claro - Ênfase 32"/>
    <w:basedOn w:val="Tabelanormal"/>
    <w:next w:val="SombreamentoClaro-nfase3"/>
    <w:uiPriority w:val="60"/>
    <w:rsid w:val="00671620"/>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staClara-nfase32">
    <w:name w:val="Lista Clara - Ênfase 32"/>
    <w:basedOn w:val="Tabelanormal"/>
    <w:next w:val="ListaClara-nfase3"/>
    <w:uiPriority w:val="61"/>
    <w:rsid w:val="00671620"/>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SombreamentoClaro-nfase311">
    <w:name w:val="Sombreamento Claro - Ênfase 311"/>
    <w:basedOn w:val="Tabelanormal"/>
    <w:next w:val="SombreamentoClaro-nfase3"/>
    <w:uiPriority w:val="60"/>
    <w:rsid w:val="00671620"/>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staClara-nfase311">
    <w:name w:val="Lista Clara - Ênfase 311"/>
    <w:basedOn w:val="Tabelanormal"/>
    <w:next w:val="ListaClara-nfase3"/>
    <w:uiPriority w:val="61"/>
    <w:rsid w:val="00671620"/>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Tabelacomgrade111">
    <w:name w:val="Tabela com grade111"/>
    <w:basedOn w:val="Tabelanormal"/>
    <w:next w:val="Tabelacomgrade"/>
    <w:uiPriority w:val="59"/>
    <w:rsid w:val="00671620"/>
    <w:rPr>
      <w:rFonts w:ascii="Arial" w:hAnsi="Arial" w:cs="Arial"/>
      <w:sz w:val="24"/>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111">
    <w:name w:val="Sem lista111"/>
    <w:next w:val="Semlista"/>
    <w:uiPriority w:val="99"/>
    <w:semiHidden/>
    <w:unhideWhenUsed/>
    <w:rsid w:val="00671620"/>
  </w:style>
  <w:style w:type="table" w:customStyle="1" w:styleId="Tabelacomgrade21">
    <w:name w:val="Tabela com grade21"/>
    <w:basedOn w:val="Tabelanormal"/>
    <w:next w:val="Tabelacomgrade"/>
    <w:uiPriority w:val="59"/>
    <w:rsid w:val="006716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ombreamentoClaro-nfase1111">
    <w:name w:val="Sombreamento Claro - Ênfase 1111"/>
    <w:basedOn w:val="Tabelanormal"/>
    <w:uiPriority w:val="60"/>
    <w:rsid w:val="00671620"/>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Semlista21">
    <w:name w:val="Sem lista21"/>
    <w:next w:val="Semlista"/>
    <w:uiPriority w:val="99"/>
    <w:semiHidden/>
    <w:unhideWhenUsed/>
    <w:rsid w:val="00671620"/>
  </w:style>
  <w:style w:type="numbering" w:customStyle="1" w:styleId="Semlista31">
    <w:name w:val="Sem lista31"/>
    <w:next w:val="Semlista"/>
    <w:uiPriority w:val="99"/>
    <w:semiHidden/>
    <w:unhideWhenUsed/>
    <w:rsid w:val="00671620"/>
  </w:style>
  <w:style w:type="table" w:customStyle="1" w:styleId="Tabelacomgrade31">
    <w:name w:val="Tabela com grade31"/>
    <w:basedOn w:val="Tabelanormal"/>
    <w:next w:val="Tabelacomgrade"/>
    <w:uiPriority w:val="59"/>
    <w:rsid w:val="00671620"/>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41">
    <w:name w:val="Tabela com grade41"/>
    <w:basedOn w:val="Tabelanormal"/>
    <w:next w:val="Tabelacomgrade"/>
    <w:uiPriority w:val="59"/>
    <w:rsid w:val="00671620"/>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ade51">
    <w:name w:val="Tabela com grade51"/>
    <w:basedOn w:val="Tabelanormal"/>
    <w:next w:val="Tabelacomgrade"/>
    <w:uiPriority w:val="59"/>
    <w:rsid w:val="00671620"/>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671620"/>
  </w:style>
  <w:style w:type="table" w:customStyle="1" w:styleId="Tabelacomgrade8">
    <w:name w:val="Tabela com grade8"/>
    <w:basedOn w:val="Tabelanormal"/>
    <w:next w:val="Tabelacomgrade"/>
    <w:uiPriority w:val="59"/>
    <w:rsid w:val="006716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SombreamentoClaro1">
    <w:name w:val="Sombreamento Claro1"/>
    <w:basedOn w:val="Tabelanormal"/>
    <w:next w:val="SombreamentoClaro"/>
    <w:uiPriority w:val="60"/>
    <w:rsid w:val="00671620"/>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highlight">
    <w:name w:val="highlight"/>
    <w:rsid w:val="00671620"/>
  </w:style>
  <w:style w:type="character" w:customStyle="1" w:styleId="documentpublished">
    <w:name w:val="documentpublished"/>
    <w:rsid w:val="006716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135791">
      <w:bodyDiv w:val="1"/>
      <w:marLeft w:val="0"/>
      <w:marRight w:val="0"/>
      <w:marTop w:val="0"/>
      <w:marBottom w:val="0"/>
      <w:divBdr>
        <w:top w:val="none" w:sz="0" w:space="0" w:color="auto"/>
        <w:left w:val="none" w:sz="0" w:space="0" w:color="auto"/>
        <w:bottom w:val="none" w:sz="0" w:space="0" w:color="auto"/>
        <w:right w:val="none" w:sz="0" w:space="0" w:color="auto"/>
      </w:divBdr>
    </w:div>
    <w:div w:id="39324002">
      <w:bodyDiv w:val="1"/>
      <w:marLeft w:val="0"/>
      <w:marRight w:val="0"/>
      <w:marTop w:val="0"/>
      <w:marBottom w:val="0"/>
      <w:divBdr>
        <w:top w:val="none" w:sz="0" w:space="0" w:color="auto"/>
        <w:left w:val="none" w:sz="0" w:space="0" w:color="auto"/>
        <w:bottom w:val="none" w:sz="0" w:space="0" w:color="auto"/>
        <w:right w:val="none" w:sz="0" w:space="0" w:color="auto"/>
      </w:divBdr>
    </w:div>
    <w:div w:id="51779708">
      <w:bodyDiv w:val="1"/>
      <w:marLeft w:val="0"/>
      <w:marRight w:val="0"/>
      <w:marTop w:val="0"/>
      <w:marBottom w:val="0"/>
      <w:divBdr>
        <w:top w:val="none" w:sz="0" w:space="0" w:color="auto"/>
        <w:left w:val="none" w:sz="0" w:space="0" w:color="auto"/>
        <w:bottom w:val="none" w:sz="0" w:space="0" w:color="auto"/>
        <w:right w:val="none" w:sz="0" w:space="0" w:color="auto"/>
      </w:divBdr>
    </w:div>
    <w:div w:id="67506601">
      <w:bodyDiv w:val="1"/>
      <w:marLeft w:val="0"/>
      <w:marRight w:val="0"/>
      <w:marTop w:val="0"/>
      <w:marBottom w:val="0"/>
      <w:divBdr>
        <w:top w:val="none" w:sz="0" w:space="0" w:color="auto"/>
        <w:left w:val="none" w:sz="0" w:space="0" w:color="auto"/>
        <w:bottom w:val="none" w:sz="0" w:space="0" w:color="auto"/>
        <w:right w:val="none" w:sz="0" w:space="0" w:color="auto"/>
      </w:divBdr>
    </w:div>
    <w:div w:id="89201548">
      <w:bodyDiv w:val="1"/>
      <w:marLeft w:val="0"/>
      <w:marRight w:val="0"/>
      <w:marTop w:val="0"/>
      <w:marBottom w:val="0"/>
      <w:divBdr>
        <w:top w:val="none" w:sz="0" w:space="0" w:color="auto"/>
        <w:left w:val="none" w:sz="0" w:space="0" w:color="auto"/>
        <w:bottom w:val="none" w:sz="0" w:space="0" w:color="auto"/>
        <w:right w:val="none" w:sz="0" w:space="0" w:color="auto"/>
      </w:divBdr>
    </w:div>
    <w:div w:id="90012003">
      <w:bodyDiv w:val="1"/>
      <w:marLeft w:val="0"/>
      <w:marRight w:val="0"/>
      <w:marTop w:val="0"/>
      <w:marBottom w:val="0"/>
      <w:divBdr>
        <w:top w:val="none" w:sz="0" w:space="0" w:color="auto"/>
        <w:left w:val="none" w:sz="0" w:space="0" w:color="auto"/>
        <w:bottom w:val="none" w:sz="0" w:space="0" w:color="auto"/>
        <w:right w:val="none" w:sz="0" w:space="0" w:color="auto"/>
      </w:divBdr>
    </w:div>
    <w:div w:id="150298165">
      <w:bodyDiv w:val="1"/>
      <w:marLeft w:val="0"/>
      <w:marRight w:val="0"/>
      <w:marTop w:val="0"/>
      <w:marBottom w:val="0"/>
      <w:divBdr>
        <w:top w:val="none" w:sz="0" w:space="0" w:color="auto"/>
        <w:left w:val="none" w:sz="0" w:space="0" w:color="auto"/>
        <w:bottom w:val="none" w:sz="0" w:space="0" w:color="auto"/>
        <w:right w:val="none" w:sz="0" w:space="0" w:color="auto"/>
      </w:divBdr>
    </w:div>
    <w:div w:id="186797704">
      <w:bodyDiv w:val="1"/>
      <w:marLeft w:val="0"/>
      <w:marRight w:val="0"/>
      <w:marTop w:val="0"/>
      <w:marBottom w:val="0"/>
      <w:divBdr>
        <w:top w:val="none" w:sz="0" w:space="0" w:color="auto"/>
        <w:left w:val="none" w:sz="0" w:space="0" w:color="auto"/>
        <w:bottom w:val="none" w:sz="0" w:space="0" w:color="auto"/>
        <w:right w:val="none" w:sz="0" w:space="0" w:color="auto"/>
      </w:divBdr>
    </w:div>
    <w:div w:id="225772471">
      <w:bodyDiv w:val="1"/>
      <w:marLeft w:val="0"/>
      <w:marRight w:val="0"/>
      <w:marTop w:val="0"/>
      <w:marBottom w:val="0"/>
      <w:divBdr>
        <w:top w:val="none" w:sz="0" w:space="0" w:color="auto"/>
        <w:left w:val="none" w:sz="0" w:space="0" w:color="auto"/>
        <w:bottom w:val="none" w:sz="0" w:space="0" w:color="auto"/>
        <w:right w:val="none" w:sz="0" w:space="0" w:color="auto"/>
      </w:divBdr>
    </w:div>
    <w:div w:id="269438648">
      <w:bodyDiv w:val="1"/>
      <w:marLeft w:val="0"/>
      <w:marRight w:val="0"/>
      <w:marTop w:val="0"/>
      <w:marBottom w:val="0"/>
      <w:divBdr>
        <w:top w:val="none" w:sz="0" w:space="0" w:color="auto"/>
        <w:left w:val="none" w:sz="0" w:space="0" w:color="auto"/>
        <w:bottom w:val="none" w:sz="0" w:space="0" w:color="auto"/>
        <w:right w:val="none" w:sz="0" w:space="0" w:color="auto"/>
      </w:divBdr>
    </w:div>
    <w:div w:id="272323572">
      <w:bodyDiv w:val="1"/>
      <w:marLeft w:val="0"/>
      <w:marRight w:val="0"/>
      <w:marTop w:val="0"/>
      <w:marBottom w:val="0"/>
      <w:divBdr>
        <w:top w:val="none" w:sz="0" w:space="0" w:color="auto"/>
        <w:left w:val="none" w:sz="0" w:space="0" w:color="auto"/>
        <w:bottom w:val="none" w:sz="0" w:space="0" w:color="auto"/>
        <w:right w:val="none" w:sz="0" w:space="0" w:color="auto"/>
      </w:divBdr>
    </w:div>
    <w:div w:id="285745144">
      <w:bodyDiv w:val="1"/>
      <w:marLeft w:val="0"/>
      <w:marRight w:val="0"/>
      <w:marTop w:val="0"/>
      <w:marBottom w:val="0"/>
      <w:divBdr>
        <w:top w:val="none" w:sz="0" w:space="0" w:color="auto"/>
        <w:left w:val="none" w:sz="0" w:space="0" w:color="auto"/>
        <w:bottom w:val="none" w:sz="0" w:space="0" w:color="auto"/>
        <w:right w:val="none" w:sz="0" w:space="0" w:color="auto"/>
      </w:divBdr>
    </w:div>
    <w:div w:id="372735390">
      <w:bodyDiv w:val="1"/>
      <w:marLeft w:val="0"/>
      <w:marRight w:val="0"/>
      <w:marTop w:val="0"/>
      <w:marBottom w:val="0"/>
      <w:divBdr>
        <w:top w:val="none" w:sz="0" w:space="0" w:color="auto"/>
        <w:left w:val="none" w:sz="0" w:space="0" w:color="auto"/>
        <w:bottom w:val="none" w:sz="0" w:space="0" w:color="auto"/>
        <w:right w:val="none" w:sz="0" w:space="0" w:color="auto"/>
      </w:divBdr>
    </w:div>
    <w:div w:id="389575827">
      <w:bodyDiv w:val="1"/>
      <w:marLeft w:val="0"/>
      <w:marRight w:val="0"/>
      <w:marTop w:val="0"/>
      <w:marBottom w:val="0"/>
      <w:divBdr>
        <w:top w:val="none" w:sz="0" w:space="0" w:color="auto"/>
        <w:left w:val="none" w:sz="0" w:space="0" w:color="auto"/>
        <w:bottom w:val="none" w:sz="0" w:space="0" w:color="auto"/>
        <w:right w:val="none" w:sz="0" w:space="0" w:color="auto"/>
      </w:divBdr>
    </w:div>
    <w:div w:id="401216138">
      <w:bodyDiv w:val="1"/>
      <w:marLeft w:val="0"/>
      <w:marRight w:val="0"/>
      <w:marTop w:val="0"/>
      <w:marBottom w:val="0"/>
      <w:divBdr>
        <w:top w:val="none" w:sz="0" w:space="0" w:color="auto"/>
        <w:left w:val="none" w:sz="0" w:space="0" w:color="auto"/>
        <w:bottom w:val="none" w:sz="0" w:space="0" w:color="auto"/>
        <w:right w:val="none" w:sz="0" w:space="0" w:color="auto"/>
      </w:divBdr>
    </w:div>
    <w:div w:id="487088178">
      <w:bodyDiv w:val="1"/>
      <w:marLeft w:val="0"/>
      <w:marRight w:val="0"/>
      <w:marTop w:val="0"/>
      <w:marBottom w:val="0"/>
      <w:divBdr>
        <w:top w:val="none" w:sz="0" w:space="0" w:color="auto"/>
        <w:left w:val="none" w:sz="0" w:space="0" w:color="auto"/>
        <w:bottom w:val="none" w:sz="0" w:space="0" w:color="auto"/>
        <w:right w:val="none" w:sz="0" w:space="0" w:color="auto"/>
      </w:divBdr>
    </w:div>
    <w:div w:id="658460773">
      <w:bodyDiv w:val="1"/>
      <w:marLeft w:val="0"/>
      <w:marRight w:val="0"/>
      <w:marTop w:val="0"/>
      <w:marBottom w:val="0"/>
      <w:divBdr>
        <w:top w:val="none" w:sz="0" w:space="0" w:color="auto"/>
        <w:left w:val="none" w:sz="0" w:space="0" w:color="auto"/>
        <w:bottom w:val="none" w:sz="0" w:space="0" w:color="auto"/>
        <w:right w:val="none" w:sz="0" w:space="0" w:color="auto"/>
      </w:divBdr>
    </w:div>
    <w:div w:id="665402215">
      <w:bodyDiv w:val="1"/>
      <w:marLeft w:val="0"/>
      <w:marRight w:val="0"/>
      <w:marTop w:val="0"/>
      <w:marBottom w:val="0"/>
      <w:divBdr>
        <w:top w:val="none" w:sz="0" w:space="0" w:color="auto"/>
        <w:left w:val="none" w:sz="0" w:space="0" w:color="auto"/>
        <w:bottom w:val="none" w:sz="0" w:space="0" w:color="auto"/>
        <w:right w:val="none" w:sz="0" w:space="0" w:color="auto"/>
      </w:divBdr>
    </w:div>
    <w:div w:id="681737450">
      <w:bodyDiv w:val="1"/>
      <w:marLeft w:val="0"/>
      <w:marRight w:val="0"/>
      <w:marTop w:val="0"/>
      <w:marBottom w:val="0"/>
      <w:divBdr>
        <w:top w:val="none" w:sz="0" w:space="0" w:color="auto"/>
        <w:left w:val="none" w:sz="0" w:space="0" w:color="auto"/>
        <w:bottom w:val="none" w:sz="0" w:space="0" w:color="auto"/>
        <w:right w:val="none" w:sz="0" w:space="0" w:color="auto"/>
      </w:divBdr>
    </w:div>
    <w:div w:id="764037429">
      <w:bodyDiv w:val="1"/>
      <w:marLeft w:val="0"/>
      <w:marRight w:val="0"/>
      <w:marTop w:val="0"/>
      <w:marBottom w:val="0"/>
      <w:divBdr>
        <w:top w:val="none" w:sz="0" w:space="0" w:color="auto"/>
        <w:left w:val="none" w:sz="0" w:space="0" w:color="auto"/>
        <w:bottom w:val="none" w:sz="0" w:space="0" w:color="auto"/>
        <w:right w:val="none" w:sz="0" w:space="0" w:color="auto"/>
      </w:divBdr>
    </w:div>
    <w:div w:id="791170961">
      <w:bodyDiv w:val="1"/>
      <w:marLeft w:val="0"/>
      <w:marRight w:val="0"/>
      <w:marTop w:val="0"/>
      <w:marBottom w:val="0"/>
      <w:divBdr>
        <w:top w:val="none" w:sz="0" w:space="0" w:color="auto"/>
        <w:left w:val="none" w:sz="0" w:space="0" w:color="auto"/>
        <w:bottom w:val="none" w:sz="0" w:space="0" w:color="auto"/>
        <w:right w:val="none" w:sz="0" w:space="0" w:color="auto"/>
      </w:divBdr>
    </w:div>
    <w:div w:id="811948432">
      <w:bodyDiv w:val="1"/>
      <w:marLeft w:val="0"/>
      <w:marRight w:val="0"/>
      <w:marTop w:val="0"/>
      <w:marBottom w:val="0"/>
      <w:divBdr>
        <w:top w:val="none" w:sz="0" w:space="0" w:color="auto"/>
        <w:left w:val="none" w:sz="0" w:space="0" w:color="auto"/>
        <w:bottom w:val="none" w:sz="0" w:space="0" w:color="auto"/>
        <w:right w:val="none" w:sz="0" w:space="0" w:color="auto"/>
      </w:divBdr>
    </w:div>
    <w:div w:id="880168779">
      <w:bodyDiv w:val="1"/>
      <w:marLeft w:val="0"/>
      <w:marRight w:val="0"/>
      <w:marTop w:val="0"/>
      <w:marBottom w:val="0"/>
      <w:divBdr>
        <w:top w:val="none" w:sz="0" w:space="0" w:color="auto"/>
        <w:left w:val="none" w:sz="0" w:space="0" w:color="auto"/>
        <w:bottom w:val="none" w:sz="0" w:space="0" w:color="auto"/>
        <w:right w:val="none" w:sz="0" w:space="0" w:color="auto"/>
      </w:divBdr>
    </w:div>
    <w:div w:id="884293145">
      <w:bodyDiv w:val="1"/>
      <w:marLeft w:val="0"/>
      <w:marRight w:val="0"/>
      <w:marTop w:val="0"/>
      <w:marBottom w:val="0"/>
      <w:divBdr>
        <w:top w:val="none" w:sz="0" w:space="0" w:color="auto"/>
        <w:left w:val="none" w:sz="0" w:space="0" w:color="auto"/>
        <w:bottom w:val="none" w:sz="0" w:space="0" w:color="auto"/>
        <w:right w:val="none" w:sz="0" w:space="0" w:color="auto"/>
      </w:divBdr>
    </w:div>
    <w:div w:id="902569001">
      <w:bodyDiv w:val="1"/>
      <w:marLeft w:val="0"/>
      <w:marRight w:val="0"/>
      <w:marTop w:val="0"/>
      <w:marBottom w:val="0"/>
      <w:divBdr>
        <w:top w:val="none" w:sz="0" w:space="0" w:color="auto"/>
        <w:left w:val="none" w:sz="0" w:space="0" w:color="auto"/>
        <w:bottom w:val="none" w:sz="0" w:space="0" w:color="auto"/>
        <w:right w:val="none" w:sz="0" w:space="0" w:color="auto"/>
      </w:divBdr>
    </w:div>
    <w:div w:id="907300411">
      <w:bodyDiv w:val="1"/>
      <w:marLeft w:val="0"/>
      <w:marRight w:val="0"/>
      <w:marTop w:val="0"/>
      <w:marBottom w:val="0"/>
      <w:divBdr>
        <w:top w:val="none" w:sz="0" w:space="0" w:color="auto"/>
        <w:left w:val="none" w:sz="0" w:space="0" w:color="auto"/>
        <w:bottom w:val="none" w:sz="0" w:space="0" w:color="auto"/>
        <w:right w:val="none" w:sz="0" w:space="0" w:color="auto"/>
      </w:divBdr>
    </w:div>
    <w:div w:id="913130551">
      <w:bodyDiv w:val="1"/>
      <w:marLeft w:val="0"/>
      <w:marRight w:val="0"/>
      <w:marTop w:val="0"/>
      <w:marBottom w:val="0"/>
      <w:divBdr>
        <w:top w:val="none" w:sz="0" w:space="0" w:color="auto"/>
        <w:left w:val="none" w:sz="0" w:space="0" w:color="auto"/>
        <w:bottom w:val="none" w:sz="0" w:space="0" w:color="auto"/>
        <w:right w:val="none" w:sz="0" w:space="0" w:color="auto"/>
      </w:divBdr>
    </w:div>
    <w:div w:id="965310765">
      <w:bodyDiv w:val="1"/>
      <w:marLeft w:val="0"/>
      <w:marRight w:val="0"/>
      <w:marTop w:val="0"/>
      <w:marBottom w:val="0"/>
      <w:divBdr>
        <w:top w:val="none" w:sz="0" w:space="0" w:color="auto"/>
        <w:left w:val="none" w:sz="0" w:space="0" w:color="auto"/>
        <w:bottom w:val="none" w:sz="0" w:space="0" w:color="auto"/>
        <w:right w:val="none" w:sz="0" w:space="0" w:color="auto"/>
      </w:divBdr>
    </w:div>
    <w:div w:id="989822172">
      <w:bodyDiv w:val="1"/>
      <w:marLeft w:val="0"/>
      <w:marRight w:val="0"/>
      <w:marTop w:val="0"/>
      <w:marBottom w:val="0"/>
      <w:divBdr>
        <w:top w:val="none" w:sz="0" w:space="0" w:color="auto"/>
        <w:left w:val="none" w:sz="0" w:space="0" w:color="auto"/>
        <w:bottom w:val="none" w:sz="0" w:space="0" w:color="auto"/>
        <w:right w:val="none" w:sz="0" w:space="0" w:color="auto"/>
      </w:divBdr>
    </w:div>
    <w:div w:id="999194069">
      <w:bodyDiv w:val="1"/>
      <w:marLeft w:val="0"/>
      <w:marRight w:val="0"/>
      <w:marTop w:val="0"/>
      <w:marBottom w:val="0"/>
      <w:divBdr>
        <w:top w:val="none" w:sz="0" w:space="0" w:color="auto"/>
        <w:left w:val="none" w:sz="0" w:space="0" w:color="auto"/>
        <w:bottom w:val="none" w:sz="0" w:space="0" w:color="auto"/>
        <w:right w:val="none" w:sz="0" w:space="0" w:color="auto"/>
      </w:divBdr>
    </w:div>
    <w:div w:id="1112435236">
      <w:bodyDiv w:val="1"/>
      <w:marLeft w:val="0"/>
      <w:marRight w:val="0"/>
      <w:marTop w:val="0"/>
      <w:marBottom w:val="0"/>
      <w:divBdr>
        <w:top w:val="none" w:sz="0" w:space="0" w:color="auto"/>
        <w:left w:val="none" w:sz="0" w:space="0" w:color="auto"/>
        <w:bottom w:val="none" w:sz="0" w:space="0" w:color="auto"/>
        <w:right w:val="none" w:sz="0" w:space="0" w:color="auto"/>
      </w:divBdr>
    </w:div>
    <w:div w:id="1140731637">
      <w:bodyDiv w:val="1"/>
      <w:marLeft w:val="0"/>
      <w:marRight w:val="0"/>
      <w:marTop w:val="0"/>
      <w:marBottom w:val="0"/>
      <w:divBdr>
        <w:top w:val="none" w:sz="0" w:space="0" w:color="auto"/>
        <w:left w:val="none" w:sz="0" w:space="0" w:color="auto"/>
        <w:bottom w:val="none" w:sz="0" w:space="0" w:color="auto"/>
        <w:right w:val="none" w:sz="0" w:space="0" w:color="auto"/>
      </w:divBdr>
    </w:div>
    <w:div w:id="1215239588">
      <w:bodyDiv w:val="1"/>
      <w:marLeft w:val="0"/>
      <w:marRight w:val="0"/>
      <w:marTop w:val="0"/>
      <w:marBottom w:val="0"/>
      <w:divBdr>
        <w:top w:val="none" w:sz="0" w:space="0" w:color="auto"/>
        <w:left w:val="none" w:sz="0" w:space="0" w:color="auto"/>
        <w:bottom w:val="none" w:sz="0" w:space="0" w:color="auto"/>
        <w:right w:val="none" w:sz="0" w:space="0" w:color="auto"/>
      </w:divBdr>
    </w:div>
    <w:div w:id="1231380259">
      <w:bodyDiv w:val="1"/>
      <w:marLeft w:val="0"/>
      <w:marRight w:val="0"/>
      <w:marTop w:val="0"/>
      <w:marBottom w:val="0"/>
      <w:divBdr>
        <w:top w:val="none" w:sz="0" w:space="0" w:color="auto"/>
        <w:left w:val="none" w:sz="0" w:space="0" w:color="auto"/>
        <w:bottom w:val="none" w:sz="0" w:space="0" w:color="auto"/>
        <w:right w:val="none" w:sz="0" w:space="0" w:color="auto"/>
      </w:divBdr>
    </w:div>
    <w:div w:id="1343437401">
      <w:bodyDiv w:val="1"/>
      <w:marLeft w:val="0"/>
      <w:marRight w:val="0"/>
      <w:marTop w:val="0"/>
      <w:marBottom w:val="0"/>
      <w:divBdr>
        <w:top w:val="none" w:sz="0" w:space="0" w:color="auto"/>
        <w:left w:val="none" w:sz="0" w:space="0" w:color="auto"/>
        <w:bottom w:val="none" w:sz="0" w:space="0" w:color="auto"/>
        <w:right w:val="none" w:sz="0" w:space="0" w:color="auto"/>
      </w:divBdr>
    </w:div>
    <w:div w:id="1368412698">
      <w:bodyDiv w:val="1"/>
      <w:marLeft w:val="0"/>
      <w:marRight w:val="0"/>
      <w:marTop w:val="0"/>
      <w:marBottom w:val="0"/>
      <w:divBdr>
        <w:top w:val="none" w:sz="0" w:space="0" w:color="auto"/>
        <w:left w:val="none" w:sz="0" w:space="0" w:color="auto"/>
        <w:bottom w:val="none" w:sz="0" w:space="0" w:color="auto"/>
        <w:right w:val="none" w:sz="0" w:space="0" w:color="auto"/>
      </w:divBdr>
    </w:div>
    <w:div w:id="1398894426">
      <w:bodyDiv w:val="1"/>
      <w:marLeft w:val="0"/>
      <w:marRight w:val="0"/>
      <w:marTop w:val="0"/>
      <w:marBottom w:val="0"/>
      <w:divBdr>
        <w:top w:val="none" w:sz="0" w:space="0" w:color="auto"/>
        <w:left w:val="none" w:sz="0" w:space="0" w:color="auto"/>
        <w:bottom w:val="none" w:sz="0" w:space="0" w:color="auto"/>
        <w:right w:val="none" w:sz="0" w:space="0" w:color="auto"/>
      </w:divBdr>
    </w:div>
    <w:div w:id="1580403349">
      <w:bodyDiv w:val="1"/>
      <w:marLeft w:val="0"/>
      <w:marRight w:val="0"/>
      <w:marTop w:val="0"/>
      <w:marBottom w:val="0"/>
      <w:divBdr>
        <w:top w:val="none" w:sz="0" w:space="0" w:color="auto"/>
        <w:left w:val="none" w:sz="0" w:space="0" w:color="auto"/>
        <w:bottom w:val="none" w:sz="0" w:space="0" w:color="auto"/>
        <w:right w:val="none" w:sz="0" w:space="0" w:color="auto"/>
      </w:divBdr>
    </w:div>
    <w:div w:id="1595047694">
      <w:bodyDiv w:val="1"/>
      <w:marLeft w:val="0"/>
      <w:marRight w:val="0"/>
      <w:marTop w:val="0"/>
      <w:marBottom w:val="0"/>
      <w:divBdr>
        <w:top w:val="none" w:sz="0" w:space="0" w:color="auto"/>
        <w:left w:val="none" w:sz="0" w:space="0" w:color="auto"/>
        <w:bottom w:val="none" w:sz="0" w:space="0" w:color="auto"/>
        <w:right w:val="none" w:sz="0" w:space="0" w:color="auto"/>
      </w:divBdr>
    </w:div>
    <w:div w:id="1625966289">
      <w:bodyDiv w:val="1"/>
      <w:marLeft w:val="0"/>
      <w:marRight w:val="0"/>
      <w:marTop w:val="0"/>
      <w:marBottom w:val="0"/>
      <w:divBdr>
        <w:top w:val="none" w:sz="0" w:space="0" w:color="auto"/>
        <w:left w:val="none" w:sz="0" w:space="0" w:color="auto"/>
        <w:bottom w:val="none" w:sz="0" w:space="0" w:color="auto"/>
        <w:right w:val="none" w:sz="0" w:space="0" w:color="auto"/>
      </w:divBdr>
    </w:div>
    <w:div w:id="1629700459">
      <w:bodyDiv w:val="1"/>
      <w:marLeft w:val="0"/>
      <w:marRight w:val="0"/>
      <w:marTop w:val="0"/>
      <w:marBottom w:val="0"/>
      <w:divBdr>
        <w:top w:val="none" w:sz="0" w:space="0" w:color="auto"/>
        <w:left w:val="none" w:sz="0" w:space="0" w:color="auto"/>
        <w:bottom w:val="none" w:sz="0" w:space="0" w:color="auto"/>
        <w:right w:val="none" w:sz="0" w:space="0" w:color="auto"/>
      </w:divBdr>
    </w:div>
    <w:div w:id="1669674314">
      <w:bodyDiv w:val="1"/>
      <w:marLeft w:val="0"/>
      <w:marRight w:val="0"/>
      <w:marTop w:val="0"/>
      <w:marBottom w:val="0"/>
      <w:divBdr>
        <w:top w:val="none" w:sz="0" w:space="0" w:color="auto"/>
        <w:left w:val="none" w:sz="0" w:space="0" w:color="auto"/>
        <w:bottom w:val="none" w:sz="0" w:space="0" w:color="auto"/>
        <w:right w:val="none" w:sz="0" w:space="0" w:color="auto"/>
      </w:divBdr>
    </w:div>
    <w:div w:id="1696342573">
      <w:bodyDiv w:val="1"/>
      <w:marLeft w:val="0"/>
      <w:marRight w:val="0"/>
      <w:marTop w:val="0"/>
      <w:marBottom w:val="0"/>
      <w:divBdr>
        <w:top w:val="none" w:sz="0" w:space="0" w:color="auto"/>
        <w:left w:val="none" w:sz="0" w:space="0" w:color="auto"/>
        <w:bottom w:val="none" w:sz="0" w:space="0" w:color="auto"/>
        <w:right w:val="none" w:sz="0" w:space="0" w:color="auto"/>
      </w:divBdr>
    </w:div>
    <w:div w:id="1727945800">
      <w:bodyDiv w:val="1"/>
      <w:marLeft w:val="0"/>
      <w:marRight w:val="0"/>
      <w:marTop w:val="0"/>
      <w:marBottom w:val="0"/>
      <w:divBdr>
        <w:top w:val="none" w:sz="0" w:space="0" w:color="auto"/>
        <w:left w:val="none" w:sz="0" w:space="0" w:color="auto"/>
        <w:bottom w:val="none" w:sz="0" w:space="0" w:color="auto"/>
        <w:right w:val="none" w:sz="0" w:space="0" w:color="auto"/>
      </w:divBdr>
    </w:div>
    <w:div w:id="1776173759">
      <w:bodyDiv w:val="1"/>
      <w:marLeft w:val="0"/>
      <w:marRight w:val="0"/>
      <w:marTop w:val="0"/>
      <w:marBottom w:val="0"/>
      <w:divBdr>
        <w:top w:val="none" w:sz="0" w:space="0" w:color="auto"/>
        <w:left w:val="none" w:sz="0" w:space="0" w:color="auto"/>
        <w:bottom w:val="none" w:sz="0" w:space="0" w:color="auto"/>
        <w:right w:val="none" w:sz="0" w:space="0" w:color="auto"/>
      </w:divBdr>
    </w:div>
    <w:div w:id="1781073492">
      <w:bodyDiv w:val="1"/>
      <w:marLeft w:val="0"/>
      <w:marRight w:val="0"/>
      <w:marTop w:val="0"/>
      <w:marBottom w:val="0"/>
      <w:divBdr>
        <w:top w:val="none" w:sz="0" w:space="0" w:color="auto"/>
        <w:left w:val="none" w:sz="0" w:space="0" w:color="auto"/>
        <w:bottom w:val="none" w:sz="0" w:space="0" w:color="auto"/>
        <w:right w:val="none" w:sz="0" w:space="0" w:color="auto"/>
      </w:divBdr>
    </w:div>
    <w:div w:id="1827699152">
      <w:bodyDiv w:val="1"/>
      <w:marLeft w:val="0"/>
      <w:marRight w:val="0"/>
      <w:marTop w:val="0"/>
      <w:marBottom w:val="0"/>
      <w:divBdr>
        <w:top w:val="none" w:sz="0" w:space="0" w:color="auto"/>
        <w:left w:val="none" w:sz="0" w:space="0" w:color="auto"/>
        <w:bottom w:val="none" w:sz="0" w:space="0" w:color="auto"/>
        <w:right w:val="none" w:sz="0" w:space="0" w:color="auto"/>
      </w:divBdr>
    </w:div>
    <w:div w:id="1844126491">
      <w:bodyDiv w:val="1"/>
      <w:marLeft w:val="0"/>
      <w:marRight w:val="0"/>
      <w:marTop w:val="0"/>
      <w:marBottom w:val="0"/>
      <w:divBdr>
        <w:top w:val="none" w:sz="0" w:space="0" w:color="auto"/>
        <w:left w:val="none" w:sz="0" w:space="0" w:color="auto"/>
        <w:bottom w:val="none" w:sz="0" w:space="0" w:color="auto"/>
        <w:right w:val="none" w:sz="0" w:space="0" w:color="auto"/>
      </w:divBdr>
    </w:div>
    <w:div w:id="1872960709">
      <w:bodyDiv w:val="1"/>
      <w:marLeft w:val="0"/>
      <w:marRight w:val="0"/>
      <w:marTop w:val="0"/>
      <w:marBottom w:val="0"/>
      <w:divBdr>
        <w:top w:val="none" w:sz="0" w:space="0" w:color="auto"/>
        <w:left w:val="none" w:sz="0" w:space="0" w:color="auto"/>
        <w:bottom w:val="none" w:sz="0" w:space="0" w:color="auto"/>
        <w:right w:val="none" w:sz="0" w:space="0" w:color="auto"/>
      </w:divBdr>
    </w:div>
    <w:div w:id="1952130510">
      <w:bodyDiv w:val="1"/>
      <w:marLeft w:val="0"/>
      <w:marRight w:val="0"/>
      <w:marTop w:val="0"/>
      <w:marBottom w:val="0"/>
      <w:divBdr>
        <w:top w:val="none" w:sz="0" w:space="0" w:color="auto"/>
        <w:left w:val="none" w:sz="0" w:space="0" w:color="auto"/>
        <w:bottom w:val="none" w:sz="0" w:space="0" w:color="auto"/>
        <w:right w:val="none" w:sz="0" w:space="0" w:color="auto"/>
      </w:divBdr>
    </w:div>
    <w:div w:id="1962376388">
      <w:bodyDiv w:val="1"/>
      <w:marLeft w:val="0"/>
      <w:marRight w:val="0"/>
      <w:marTop w:val="0"/>
      <w:marBottom w:val="0"/>
      <w:divBdr>
        <w:top w:val="none" w:sz="0" w:space="0" w:color="auto"/>
        <w:left w:val="none" w:sz="0" w:space="0" w:color="auto"/>
        <w:bottom w:val="none" w:sz="0" w:space="0" w:color="auto"/>
        <w:right w:val="none" w:sz="0" w:space="0" w:color="auto"/>
      </w:divBdr>
    </w:div>
    <w:div w:id="2018074073">
      <w:bodyDiv w:val="1"/>
      <w:marLeft w:val="0"/>
      <w:marRight w:val="0"/>
      <w:marTop w:val="0"/>
      <w:marBottom w:val="0"/>
      <w:divBdr>
        <w:top w:val="none" w:sz="0" w:space="0" w:color="auto"/>
        <w:left w:val="none" w:sz="0" w:space="0" w:color="auto"/>
        <w:bottom w:val="none" w:sz="0" w:space="0" w:color="auto"/>
        <w:right w:val="none" w:sz="0" w:space="0" w:color="auto"/>
      </w:divBdr>
    </w:div>
    <w:div w:id="2127309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117" Type="http://schemas.openxmlformats.org/officeDocument/2006/relationships/hyperlink" Target="http://www.cisab.com.br/" TargetMode="External"/><Relationship Id="rId21" Type="http://schemas.openxmlformats.org/officeDocument/2006/relationships/hyperlink" Target="https://pt.wikipedia.org/wiki/Sa%C3%BAde_p%C3%BAblica" TargetMode="External"/><Relationship Id="rId42" Type="http://schemas.openxmlformats.org/officeDocument/2006/relationships/footer" Target="footer11.xml"/><Relationship Id="rId47" Type="http://schemas.openxmlformats.org/officeDocument/2006/relationships/footer" Target="footer16.xml"/><Relationship Id="rId63" Type="http://schemas.openxmlformats.org/officeDocument/2006/relationships/footer" Target="footer31.xml"/><Relationship Id="rId68" Type="http://schemas.openxmlformats.org/officeDocument/2006/relationships/footer" Target="footer33.xml"/><Relationship Id="rId84" Type="http://schemas.openxmlformats.org/officeDocument/2006/relationships/hyperlink" Target="http://www.funasa.gov.br/site/acesso-a-informacao/acoes-e-programas/melhorias-sanitarias-domiciliares/" TargetMode="External"/><Relationship Id="rId89" Type="http://schemas.openxmlformats.org/officeDocument/2006/relationships/hyperlink" Target="http://www.funasa.gov.br/site/acoes-e-programas/sistemas-publicos-de-abastecimento-de-agua-2/" TargetMode="External"/><Relationship Id="rId112" Type="http://schemas.openxmlformats.org/officeDocument/2006/relationships/hyperlink" Target="http://www.funasa.gov.br/site/engenharia-de-saude-publica-2/saneamento-rural/" TargetMode="External"/><Relationship Id="rId133" Type="http://schemas.openxmlformats.org/officeDocument/2006/relationships/hyperlink" Target="http://www2.datasus.gov.br/DATASUS/index.php?area=060701" TargetMode="External"/><Relationship Id="rId138" Type="http://schemas.openxmlformats.org/officeDocument/2006/relationships/hyperlink" Target="http://www.snis.gov.br/diagnostico-residuos-solidos/diagnostico-rs-2014" TargetMode="External"/><Relationship Id="rId16" Type="http://schemas.openxmlformats.org/officeDocument/2006/relationships/hyperlink" Target="http://www.ibioagbdoce.org.br" TargetMode="External"/><Relationship Id="rId107" Type="http://schemas.openxmlformats.org/officeDocument/2006/relationships/hyperlink" Target="http://www.funasa.gov.br/site/wp-content/files_mf/dir_ed_sau.pdf" TargetMode="External"/><Relationship Id="rId11" Type="http://schemas.openxmlformats.org/officeDocument/2006/relationships/header" Target="header2.xml"/><Relationship Id="rId32" Type="http://schemas.openxmlformats.org/officeDocument/2006/relationships/header" Target="header5.xml"/><Relationship Id="rId37" Type="http://schemas.openxmlformats.org/officeDocument/2006/relationships/image" Target="media/image14.png"/><Relationship Id="rId53" Type="http://schemas.openxmlformats.org/officeDocument/2006/relationships/footer" Target="footer21.xml"/><Relationship Id="rId58" Type="http://schemas.openxmlformats.org/officeDocument/2006/relationships/footer" Target="footer26.xml"/><Relationship Id="rId74" Type="http://schemas.openxmlformats.org/officeDocument/2006/relationships/image" Target="media/image18.png"/><Relationship Id="rId79" Type="http://schemas.openxmlformats.org/officeDocument/2006/relationships/image" Target="media/image20.png"/><Relationship Id="rId102" Type="http://schemas.openxmlformats.org/officeDocument/2006/relationships/image" Target="media/image27.png"/><Relationship Id="rId123" Type="http://schemas.openxmlformats.org/officeDocument/2006/relationships/hyperlink" Target="http://www.cidades.ibge.gov.br/xtras/perfil.php?lang=_EN&amp;codmun=310630&amp;search=minas-gerais|belo-oriente|infograficos:-informacoes-completas" TargetMode="External"/><Relationship Id="rId128" Type="http://schemas.openxmlformats.org/officeDocument/2006/relationships/hyperlink" Target="http://rededecidades.ning.com/" TargetMode="External"/><Relationship Id="rId144" Type="http://schemas.openxmlformats.org/officeDocument/2006/relationships/image" Target="media/image29.png"/><Relationship Id="rId5" Type="http://schemas.openxmlformats.org/officeDocument/2006/relationships/settings" Target="settings.xml"/><Relationship Id="rId90" Type="http://schemas.openxmlformats.org/officeDocument/2006/relationships/hyperlink" Target="http://www.funasa.gov.br/site/acoes-e-programas/projetos-de-saneamento/" TargetMode="External"/><Relationship Id="rId95" Type="http://schemas.openxmlformats.org/officeDocument/2006/relationships/hyperlink" Target="http://hera.almg.gov.br/cgi-bin/nph-brs?d=NJMG&amp;f=G&amp;l=20&amp;n=&amp;p=1&amp;r=1&amp;u=http://www.almg.gov.br/njmg/chama_pesquisa.asp&amp;SECT1=IMAGE&amp;SECT2=THESOFF&amp;SECT3=PLUROFF&amp;SECT6=HITIMG&amp;SECT7=LINKON&amp;SECT8=DIRINJMG&amp;SECT9=TODODOC&amp;co1=E&amp;co2=E&amp;co3=E&amp;co4=E&amp;s1=&amp;s2=13199&amp;s3=1999&amp;s4=&amp;s5=" TargetMode="External"/><Relationship Id="rId22" Type="http://schemas.openxmlformats.org/officeDocument/2006/relationships/hyperlink" Target="https://pt.wikipedia.org/wiki/Popula%C3%A7%C3%A3o" TargetMode="External"/><Relationship Id="rId27" Type="http://schemas.openxmlformats.org/officeDocument/2006/relationships/image" Target="media/image9.png"/><Relationship Id="rId43" Type="http://schemas.openxmlformats.org/officeDocument/2006/relationships/footer" Target="footer12.xml"/><Relationship Id="rId48" Type="http://schemas.openxmlformats.org/officeDocument/2006/relationships/footer" Target="footer17.xml"/><Relationship Id="rId64" Type="http://schemas.openxmlformats.org/officeDocument/2006/relationships/hyperlink" Target="http://legislacao.planalto.gov.br/legisla/legislacao.nsf/Viw_Identificacao/lei%2012.340-2010?OpenDocument" TargetMode="External"/><Relationship Id="rId69" Type="http://schemas.openxmlformats.org/officeDocument/2006/relationships/footer" Target="footer34.xml"/><Relationship Id="rId113" Type="http://schemas.openxmlformats.org/officeDocument/2006/relationships/hyperlink" Target="http://www.cadastroindustrialmg.com.br/" TargetMode="External"/><Relationship Id="rId118" Type="http://schemas.openxmlformats.org/officeDocument/2006/relationships/hyperlink" Target="http://tabnet.datasus.gov.br/tabdata/cadernos/mg.htm" TargetMode="External"/><Relationship Id="rId134" Type="http://schemas.openxmlformats.org/officeDocument/2006/relationships/hyperlink" Target="http://www.snis.gov.br/" TargetMode="External"/><Relationship Id="rId139" Type="http://schemas.openxmlformats.org/officeDocument/2006/relationships/hyperlink" Target="http://www.snis.gov.br/diagnostico-residuos-solidos/diagnostico-rs-2014" TargetMode="External"/><Relationship Id="rId80" Type="http://schemas.openxmlformats.org/officeDocument/2006/relationships/hyperlink" Target="http://www.cidades.gov.br/images/stories/ArquivosSNSA/Arquivos_PDF/Anexo-Documentos-da-Proposta-Tcnica.pdf" TargetMode="External"/><Relationship Id="rId85" Type="http://schemas.openxmlformats.org/officeDocument/2006/relationships/hyperlink" Target="http://www.funasa.gov.br/site/acoes-e-programas/sistemas-publicos-de-manejo-de-residuos-solidos/"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3.png"/><Relationship Id="rId25" Type="http://schemas.openxmlformats.org/officeDocument/2006/relationships/image" Target="media/image7.png"/><Relationship Id="rId33" Type="http://schemas.openxmlformats.org/officeDocument/2006/relationships/footer" Target="footer6.xml"/><Relationship Id="rId38" Type="http://schemas.openxmlformats.org/officeDocument/2006/relationships/image" Target="media/image15.png"/><Relationship Id="rId46" Type="http://schemas.openxmlformats.org/officeDocument/2006/relationships/footer" Target="footer15.xml"/><Relationship Id="rId59" Type="http://schemas.openxmlformats.org/officeDocument/2006/relationships/footer" Target="footer27.xml"/><Relationship Id="rId67" Type="http://schemas.openxmlformats.org/officeDocument/2006/relationships/footer" Target="footer32.xml"/><Relationship Id="rId103" Type="http://schemas.openxmlformats.org/officeDocument/2006/relationships/hyperlink" Target="http://metadados.ana.gov.br/geonetwork/srv/pt/metadata.show?id=180&amp;currTab=distribution" TargetMode="External"/><Relationship Id="rId108" Type="http://schemas.openxmlformats.org/officeDocument/2006/relationships/hyperlink" Target="http://www.planalto.gov.br/ccivil_03/leis/L9074cons.htm" TargetMode="External"/><Relationship Id="rId116" Type="http://schemas.openxmlformats.org/officeDocument/2006/relationships/hyperlink" Target="http://educacaointegral.org.br/glossario/oficinas/" TargetMode="External"/><Relationship Id="rId124" Type="http://schemas.openxmlformats.org/officeDocument/2006/relationships/hyperlink" Target="http://portaldemapas.ibge.gov.br/portal.php" TargetMode="External"/><Relationship Id="rId129" Type="http://schemas.openxmlformats.org/officeDocument/2006/relationships/hyperlink" Target="http://www3.ethos.org.br/" TargetMode="External"/><Relationship Id="rId137" Type="http://schemas.openxmlformats.org/officeDocument/2006/relationships/hyperlink" Target="http://www.snis.gov.br/" TargetMode="External"/><Relationship Id="rId20" Type="http://schemas.openxmlformats.org/officeDocument/2006/relationships/hyperlink" Target="https://pt.wikipedia.org/wiki/Meio_ambiente" TargetMode="External"/><Relationship Id="rId41" Type="http://schemas.openxmlformats.org/officeDocument/2006/relationships/footer" Target="footer10.xml"/><Relationship Id="rId54" Type="http://schemas.openxmlformats.org/officeDocument/2006/relationships/footer" Target="footer22.xml"/><Relationship Id="rId62" Type="http://schemas.openxmlformats.org/officeDocument/2006/relationships/footer" Target="footer30.xml"/><Relationship Id="rId70" Type="http://schemas.openxmlformats.org/officeDocument/2006/relationships/footer" Target="footer35.xml"/><Relationship Id="rId75" Type="http://schemas.openxmlformats.org/officeDocument/2006/relationships/image" Target="media/image19.png"/><Relationship Id="rId83" Type="http://schemas.openxmlformats.org/officeDocument/2006/relationships/hyperlink" Target="http://www.funasa.gov.br/site/acoes-e-programas/apoio-a-gestao-dos-sistemas-de-saneamento-basico/" TargetMode="External"/><Relationship Id="rId88" Type="http://schemas.openxmlformats.org/officeDocument/2006/relationships/hyperlink" Target="http://www.funasa.gov.br/site/acoes-e-programas/sistemas-publicos-de-manejo-de-residuos-solidos-2/" TargetMode="External"/><Relationship Id="rId91" Type="http://schemas.openxmlformats.org/officeDocument/2006/relationships/hyperlink" Target="http://www.funasa.gov.br/site/acoes-e-programas/servicos-de-drenagem-e-manejo-ambiental/" TargetMode="External"/><Relationship Id="rId96" Type="http://schemas.openxmlformats.org/officeDocument/2006/relationships/image" Target="media/image21.png"/><Relationship Id="rId111" Type="http://schemas.openxmlformats.org/officeDocument/2006/relationships/hyperlink" Target="https://s2id.mi.gov.br/" TargetMode="External"/><Relationship Id="rId132" Type="http://schemas.openxmlformats.org/officeDocument/2006/relationships/hyperlink" Target="http://www.polis.org.br/uploads/1042/1042.pdf" TargetMode="External"/><Relationship Id="rId140" Type="http://schemas.openxmlformats.org/officeDocument/2006/relationships/hyperlink" Target="http://www.snis.gov.br/" TargetMode="External"/><Relationship Id="rId145" Type="http://schemas.openxmlformats.org/officeDocument/2006/relationships/footer" Target="footer38.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eader" Target="header4.xml"/><Relationship Id="rId28" Type="http://schemas.openxmlformats.org/officeDocument/2006/relationships/image" Target="media/image10.png"/><Relationship Id="rId36" Type="http://schemas.openxmlformats.org/officeDocument/2006/relationships/image" Target="media/image13.png"/><Relationship Id="rId49" Type="http://schemas.openxmlformats.org/officeDocument/2006/relationships/footer" Target="footer18.xml"/><Relationship Id="rId57" Type="http://schemas.openxmlformats.org/officeDocument/2006/relationships/footer" Target="footer25.xml"/><Relationship Id="rId106" Type="http://schemas.openxmlformats.org/officeDocument/2006/relationships/hyperlink" Target="http://www.bndes.gov.br/SiteBNDES/bndes/bndes_pt/Institucional/Apoio_Financeiro/Produtos/FINEM/saneamento.html" TargetMode="External"/><Relationship Id="rId114" Type="http://schemas.openxmlformats.org/officeDocument/2006/relationships/hyperlink" Target="http://www1.caixa.gov.br/gov/gov_social/municipal/assistencia_tecnica/produtos/financiamento/saneamento_para_todos/index.asp" TargetMode="External"/><Relationship Id="rId119" Type="http://schemas.openxmlformats.org/officeDocument/2006/relationships/hyperlink" Target="http://brasilescola.uol.com.br/redacao/o-seminarioque-e-como-realizalo.htm" TargetMode="External"/><Relationship Id="rId127" Type="http://schemas.openxmlformats.org/officeDocument/2006/relationships/hyperlink" Target="http://www.nossasaopaulo.org.br/portal/" TargetMode="External"/><Relationship Id="rId10" Type="http://schemas.openxmlformats.org/officeDocument/2006/relationships/footer" Target="footer1.xml"/><Relationship Id="rId31" Type="http://schemas.openxmlformats.org/officeDocument/2006/relationships/footer" Target="footer5.xml"/><Relationship Id="rId44" Type="http://schemas.openxmlformats.org/officeDocument/2006/relationships/footer" Target="footer13.xml"/><Relationship Id="rId52" Type="http://schemas.openxmlformats.org/officeDocument/2006/relationships/footer" Target="footer20.xml"/><Relationship Id="rId60" Type="http://schemas.openxmlformats.org/officeDocument/2006/relationships/footer" Target="footer28.xml"/><Relationship Id="rId65" Type="http://schemas.openxmlformats.org/officeDocument/2006/relationships/hyperlink" Target="http://www.planalto.gov.br/ccivil_03/_ato2007-2010/2010/Mpv/494.htm" TargetMode="External"/><Relationship Id="rId73" Type="http://schemas.openxmlformats.org/officeDocument/2006/relationships/image" Target="media/image17.png"/><Relationship Id="rId78" Type="http://schemas.openxmlformats.org/officeDocument/2006/relationships/hyperlink" Target="http://www.cidades.gov.br/" TargetMode="External"/><Relationship Id="rId81" Type="http://schemas.openxmlformats.org/officeDocument/2006/relationships/hyperlink" Target="http://www.funasa.gov.br/site/sistemas-publicos-de-abastecimento-de-agua/" TargetMode="External"/><Relationship Id="rId86" Type="http://schemas.openxmlformats.org/officeDocument/2006/relationships/hyperlink" Target="http://www.funasa.gov.br/site/acoes-e-programas/saneamento-em-areas-rurais-areas-especiais/" TargetMode="External"/><Relationship Id="rId94" Type="http://schemas.openxmlformats.org/officeDocument/2006/relationships/hyperlink" Target="http://www.funasa.gov.br/site/acesso-a-informacao/acoes-e-programas/educacao-em-saude-ambiental/" TargetMode="External"/><Relationship Id="rId99" Type="http://schemas.openxmlformats.org/officeDocument/2006/relationships/image" Target="media/image24.jpeg"/><Relationship Id="rId101" Type="http://schemas.openxmlformats.org/officeDocument/2006/relationships/image" Target="media/image26.png"/><Relationship Id="rId122" Type="http://schemas.openxmlformats.org/officeDocument/2006/relationships/hyperlink" Target="https://www.abes-dn.org.br/publicacoes/engenharia/resaonline/v11n04/v11n04a03_060_%2006.pdf" TargetMode="External"/><Relationship Id="rId130" Type="http://schemas.openxmlformats.org/officeDocument/2006/relationships/hyperlink" Target="http://www.cidadessustentaveis.org.br/noticias/premio-cidades-sustentaveis-e-entregue-municipios-que-promovem-politicas-publicas-exitosas" TargetMode="External"/><Relationship Id="rId135" Type="http://schemas.openxmlformats.org/officeDocument/2006/relationships/hyperlink" Target="http://www.snis.gov.br/diagnostico-agua-e-esgotos/diagnostico-ae-2014" TargetMode="External"/><Relationship Id="rId143" Type="http://schemas.openxmlformats.org/officeDocument/2006/relationships/image" Target="media/image28.png"/><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1.jpeg"/><Relationship Id="rId39" Type="http://schemas.openxmlformats.org/officeDocument/2006/relationships/footer" Target="footer8.xml"/><Relationship Id="rId109" Type="http://schemas.openxmlformats.org/officeDocument/2006/relationships/hyperlink" Target="http://www.planalto.gov.br/ccivil_03/_ato2004-2006/2004/lei/l11079.htm" TargetMode="External"/><Relationship Id="rId34" Type="http://schemas.openxmlformats.org/officeDocument/2006/relationships/footer" Target="footer7.xml"/><Relationship Id="rId50" Type="http://schemas.openxmlformats.org/officeDocument/2006/relationships/footer" Target="footer19.xml"/><Relationship Id="rId55" Type="http://schemas.openxmlformats.org/officeDocument/2006/relationships/footer" Target="footer23.xml"/><Relationship Id="rId76" Type="http://schemas.openxmlformats.org/officeDocument/2006/relationships/hyperlink" Target="http://www.pac.gov.br/sobre-o-pac/publicacoesnacionais" TargetMode="External"/><Relationship Id="rId97" Type="http://schemas.openxmlformats.org/officeDocument/2006/relationships/image" Target="media/image22.jpeg"/><Relationship Id="rId104" Type="http://schemas.openxmlformats.org/officeDocument/2006/relationships/hyperlink" Target="http://www2.ana.gov.br/Paginas/projetos/Prodes.aspx" TargetMode="External"/><Relationship Id="rId120" Type="http://schemas.openxmlformats.org/officeDocument/2006/relationships/hyperlink" Target="http://datagerais.fjp.mg.gov.br/home/index" TargetMode="External"/><Relationship Id="rId125" Type="http://schemas.openxmlformats.org/officeDocument/2006/relationships/hyperlink" Target="http://geosisemanet.meioambiente.mg.gov.br/inventarioFlorestal/" TargetMode="External"/><Relationship Id="rId141" Type="http://schemas.openxmlformats.org/officeDocument/2006/relationships/hyperlink" Target="http://www.snis.gov.br/glossarios" TargetMode="External"/><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footer" Target="footer36.xml"/><Relationship Id="rId92" Type="http://schemas.openxmlformats.org/officeDocument/2006/relationships/hyperlink" Target="http://www.funasa.gov.br/site/acoes-e-programas/coleta-e-reciclagem-de-materiais/" TargetMode="External"/><Relationship Id="rId2" Type="http://schemas.openxmlformats.org/officeDocument/2006/relationships/numbering" Target="numbering.xml"/><Relationship Id="rId29" Type="http://schemas.openxmlformats.org/officeDocument/2006/relationships/hyperlink" Target="http://www.planalto.gov.br/ccivil_03/_ato2007-2010/2007/lei/l11445.htm" TargetMode="External"/><Relationship Id="rId24" Type="http://schemas.openxmlformats.org/officeDocument/2006/relationships/footer" Target="footer4.xml"/><Relationship Id="rId40" Type="http://schemas.openxmlformats.org/officeDocument/2006/relationships/footer" Target="footer9.xml"/><Relationship Id="rId45" Type="http://schemas.openxmlformats.org/officeDocument/2006/relationships/footer" Target="footer14.xml"/><Relationship Id="rId66" Type="http://schemas.openxmlformats.org/officeDocument/2006/relationships/hyperlink" Target="https://pt.wikipedia.org/wiki/Brasil" TargetMode="External"/><Relationship Id="rId87" Type="http://schemas.openxmlformats.org/officeDocument/2006/relationships/hyperlink" Target="http://www.funasa.gov.br/site/acoes-e-programas/sistemas-publicos-de-esgotamento-sanitario-2/" TargetMode="External"/><Relationship Id="rId110" Type="http://schemas.openxmlformats.org/officeDocument/2006/relationships/hyperlink" Target="http://www.cidades.gov.br/ultimas-noticias/5430-ministerio-das-cidades-divulga-lista-de-propostas-do-avancar-cidades-saneamento" TargetMode="External"/><Relationship Id="rId115" Type="http://schemas.openxmlformats.org/officeDocument/2006/relationships/hyperlink" Target="https://sosgisbr.com/2011/07/11/shapes-disponibilizados-pelo-comite-da-bh-do-rio-sao-francisco/" TargetMode="External"/><Relationship Id="rId131" Type="http://schemas.openxmlformats.org/officeDocument/2006/relationships/hyperlink" Target="http://www.consad.org.br/sites/1500/1504/00002002.pdf" TargetMode="External"/><Relationship Id="rId136" Type="http://schemas.openxmlformats.org/officeDocument/2006/relationships/hyperlink" Target="http://www.snis.gov.br/diagnostico-agua-e-esgotos" TargetMode="External"/><Relationship Id="rId61" Type="http://schemas.openxmlformats.org/officeDocument/2006/relationships/footer" Target="footer29.xml"/><Relationship Id="rId82" Type="http://schemas.openxmlformats.org/officeDocument/2006/relationships/hyperlink" Target="http://www.funasa.gov.br/site/sistemas-publicos-de-esgotamento-sanitario/" TargetMode="External"/><Relationship Id="rId19" Type="http://schemas.openxmlformats.org/officeDocument/2006/relationships/image" Target="media/image6.jpeg"/><Relationship Id="rId14" Type="http://schemas.openxmlformats.org/officeDocument/2006/relationships/footer" Target="footer3.xml"/><Relationship Id="rId30" Type="http://schemas.openxmlformats.org/officeDocument/2006/relationships/image" Target="media/image11.png"/><Relationship Id="rId35" Type="http://schemas.openxmlformats.org/officeDocument/2006/relationships/image" Target="media/image12.png"/><Relationship Id="rId56" Type="http://schemas.openxmlformats.org/officeDocument/2006/relationships/footer" Target="footer24.xml"/><Relationship Id="rId77" Type="http://schemas.openxmlformats.org/officeDocument/2006/relationships/hyperlink" Target="http://www.pac.gov.br/noticia/3cda3a2e" TargetMode="External"/><Relationship Id="rId100" Type="http://schemas.openxmlformats.org/officeDocument/2006/relationships/image" Target="media/image25.png"/><Relationship Id="rId105" Type="http://schemas.openxmlformats.org/officeDocument/2006/relationships/hyperlink" Target="http://www2.ana.gov.br/Paginas/institucional/SobreaAna/gestaoderecursoshidricos.aspx" TargetMode="External"/><Relationship Id="rId126" Type="http://schemas.openxmlformats.org/officeDocument/2006/relationships/hyperlink" Target="http://www.corregonovo.mg.gov.br/" TargetMode="External"/><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16.png"/><Relationship Id="rId72" Type="http://schemas.openxmlformats.org/officeDocument/2006/relationships/footer" Target="footer37.xml"/><Relationship Id="rId93" Type="http://schemas.openxmlformats.org/officeDocument/2006/relationships/hyperlink" Target="http://www.funasa.gov.br/site/acoes-e-programas/apoio-ao-controle-da-qualidade-da-agua-para-consumo-humano/" TargetMode="External"/><Relationship Id="rId98" Type="http://schemas.openxmlformats.org/officeDocument/2006/relationships/image" Target="media/image23.jpeg"/><Relationship Id="rId121" Type="http://schemas.openxmlformats.org/officeDocument/2006/relationships/hyperlink" Target="http://www.brasil.gov.br/economia-e-emprego/2017/06/conselho-monetario-reduz-meta-de-inflacao-para-2019-e-2020" TargetMode="External"/><Relationship Id="rId142" Type="http://schemas.openxmlformats.org/officeDocument/2006/relationships/hyperlink" Target="http://www.snis.gov.br/glossarios"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jpeg"/></Relationships>
</file>

<file path=word/_rels/header4.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jpeg"/></Relationships>
</file>

<file path=word/_rels/header5.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8352D3E-4C23-43E3-B877-9DBFAE7EEF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TotalTime>
  <Pages>93</Pages>
  <Words>117700</Words>
  <Characters>635586</Characters>
  <Application>Microsoft Office Word</Application>
  <DocSecurity>0</DocSecurity>
  <Lines>5296</Lines>
  <Paragraphs>1503</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751783</CharactersWithSpaces>
  <SharedDoc>false</SharedDoc>
  <HLinks>
    <vt:vector size="1746" baseType="variant">
      <vt:variant>
        <vt:i4>7340090</vt:i4>
      </vt:variant>
      <vt:variant>
        <vt:i4>2805</vt:i4>
      </vt:variant>
      <vt:variant>
        <vt:i4>0</vt:i4>
      </vt:variant>
      <vt:variant>
        <vt:i4>5</vt:i4>
      </vt:variant>
      <vt:variant>
        <vt:lpwstr>http://www.feam.br/</vt:lpwstr>
      </vt:variant>
      <vt:variant>
        <vt:lpwstr/>
      </vt:variant>
      <vt:variant>
        <vt:i4>3145787</vt:i4>
      </vt:variant>
      <vt:variant>
        <vt:i4>2802</vt:i4>
      </vt:variant>
      <vt:variant>
        <vt:i4>0</vt:i4>
      </vt:variant>
      <vt:variant>
        <vt:i4>5</vt:i4>
      </vt:variant>
      <vt:variant>
        <vt:lpwstr>http://www2.datasus.gov.br/DATASUS/index.php?area=0203</vt:lpwstr>
      </vt:variant>
      <vt:variant>
        <vt:lpwstr/>
      </vt:variant>
      <vt:variant>
        <vt:i4>4063287</vt:i4>
      </vt:variant>
      <vt:variant>
        <vt:i4>2799</vt:i4>
      </vt:variant>
      <vt:variant>
        <vt:i4>0</vt:i4>
      </vt:variant>
      <vt:variant>
        <vt:i4>5</vt:i4>
      </vt:variant>
      <vt:variant>
        <vt:lpwstr>http://www.copasa.com.br/wps/portal/internet/agencia-virtual/mais-servicos/agua-esgoto/relatorio-anual-de-qualidade-da-agua/!ut/p/a1/xVLRbsIgFP0aHwl00hYfO5NZW52LW2LblwUprRgLtdBm2dcP3LJsydTtabzce8nhcM4BWMAMFpIOoqZGKEkPbi6C5wVKozhNUbJaz-9QlK5Xs9X8dn3vBXADC1gwaVqzg7kWhgOmWqqpLdLwvlR6hITtOsmN67QRpmcn8hGiNZdMUDCIzvRuo6FCA827QTB3kNY9BVzXyqgR6viBGtUJBai0YFBycLRVlNR2JQUO7MS0lrXkWtTyNDFRwnzihWFQYh_4DG8BrjwKtuMgBCH2mR9ghgki1mtuvaIzK0LXokguAvDYXXDTLafL2ok0OyBkpWD2aeI9S0vxgOZTD89QQmJEUERCbxJP0djH3gfggsbcmgjPiogD-PjHVJJrtq0rsT8ei8j-A_fmLwZm__8Rfs76Gy3MvtDC7Fe0bdOQfbXwD0Mbvz5VzYbo6A0Uhz-p/dl5/d5/L2dBISEvZ0FBIS9nQSEh/</vt:lpwstr>
      </vt:variant>
      <vt:variant>
        <vt:lpwstr/>
      </vt:variant>
      <vt:variant>
        <vt:i4>4980804</vt:i4>
      </vt:variant>
      <vt:variant>
        <vt:i4>2796</vt:i4>
      </vt:variant>
      <vt:variant>
        <vt:i4>0</vt:i4>
      </vt:variant>
      <vt:variant>
        <vt:i4>5</vt:i4>
      </vt:variant>
      <vt:variant>
        <vt:lpwstr>http://www.cidade-brasil.com.br/municipio-mutum.html</vt:lpwstr>
      </vt:variant>
      <vt:variant>
        <vt:lpwstr/>
      </vt:variant>
      <vt:variant>
        <vt:i4>1835082</vt:i4>
      </vt:variant>
      <vt:variant>
        <vt:i4>2223</vt:i4>
      </vt:variant>
      <vt:variant>
        <vt:i4>0</vt:i4>
      </vt:variant>
      <vt:variant>
        <vt:i4>5</vt:i4>
      </vt:variant>
      <vt:variant>
        <vt:lpwstr>http://s.km/</vt:lpwstr>
      </vt:variant>
      <vt:variant>
        <vt:lpwstr/>
      </vt:variant>
      <vt:variant>
        <vt:i4>1703991</vt:i4>
      </vt:variant>
      <vt:variant>
        <vt:i4>1724</vt:i4>
      </vt:variant>
      <vt:variant>
        <vt:i4>0</vt:i4>
      </vt:variant>
      <vt:variant>
        <vt:i4>5</vt:i4>
      </vt:variant>
      <vt:variant>
        <vt:lpwstr/>
      </vt:variant>
      <vt:variant>
        <vt:lpwstr>_Toc432759407</vt:lpwstr>
      </vt:variant>
      <vt:variant>
        <vt:i4>1703991</vt:i4>
      </vt:variant>
      <vt:variant>
        <vt:i4>1718</vt:i4>
      </vt:variant>
      <vt:variant>
        <vt:i4>0</vt:i4>
      </vt:variant>
      <vt:variant>
        <vt:i4>5</vt:i4>
      </vt:variant>
      <vt:variant>
        <vt:lpwstr/>
      </vt:variant>
      <vt:variant>
        <vt:lpwstr>_Toc432759406</vt:lpwstr>
      </vt:variant>
      <vt:variant>
        <vt:i4>1703991</vt:i4>
      </vt:variant>
      <vt:variant>
        <vt:i4>1709</vt:i4>
      </vt:variant>
      <vt:variant>
        <vt:i4>0</vt:i4>
      </vt:variant>
      <vt:variant>
        <vt:i4>5</vt:i4>
      </vt:variant>
      <vt:variant>
        <vt:lpwstr/>
      </vt:variant>
      <vt:variant>
        <vt:lpwstr>_Toc432759405</vt:lpwstr>
      </vt:variant>
      <vt:variant>
        <vt:i4>1703991</vt:i4>
      </vt:variant>
      <vt:variant>
        <vt:i4>1703</vt:i4>
      </vt:variant>
      <vt:variant>
        <vt:i4>0</vt:i4>
      </vt:variant>
      <vt:variant>
        <vt:i4>5</vt:i4>
      </vt:variant>
      <vt:variant>
        <vt:lpwstr/>
      </vt:variant>
      <vt:variant>
        <vt:lpwstr>_Toc432759404</vt:lpwstr>
      </vt:variant>
      <vt:variant>
        <vt:i4>1703991</vt:i4>
      </vt:variant>
      <vt:variant>
        <vt:i4>1697</vt:i4>
      </vt:variant>
      <vt:variant>
        <vt:i4>0</vt:i4>
      </vt:variant>
      <vt:variant>
        <vt:i4>5</vt:i4>
      </vt:variant>
      <vt:variant>
        <vt:lpwstr/>
      </vt:variant>
      <vt:variant>
        <vt:lpwstr>_Toc432759403</vt:lpwstr>
      </vt:variant>
      <vt:variant>
        <vt:i4>1703991</vt:i4>
      </vt:variant>
      <vt:variant>
        <vt:i4>1691</vt:i4>
      </vt:variant>
      <vt:variant>
        <vt:i4>0</vt:i4>
      </vt:variant>
      <vt:variant>
        <vt:i4>5</vt:i4>
      </vt:variant>
      <vt:variant>
        <vt:lpwstr/>
      </vt:variant>
      <vt:variant>
        <vt:lpwstr>_Toc432759402</vt:lpwstr>
      </vt:variant>
      <vt:variant>
        <vt:i4>1703991</vt:i4>
      </vt:variant>
      <vt:variant>
        <vt:i4>1685</vt:i4>
      </vt:variant>
      <vt:variant>
        <vt:i4>0</vt:i4>
      </vt:variant>
      <vt:variant>
        <vt:i4>5</vt:i4>
      </vt:variant>
      <vt:variant>
        <vt:lpwstr/>
      </vt:variant>
      <vt:variant>
        <vt:lpwstr>_Toc432759401</vt:lpwstr>
      </vt:variant>
      <vt:variant>
        <vt:i4>1703991</vt:i4>
      </vt:variant>
      <vt:variant>
        <vt:i4>1679</vt:i4>
      </vt:variant>
      <vt:variant>
        <vt:i4>0</vt:i4>
      </vt:variant>
      <vt:variant>
        <vt:i4>5</vt:i4>
      </vt:variant>
      <vt:variant>
        <vt:lpwstr/>
      </vt:variant>
      <vt:variant>
        <vt:lpwstr>_Toc432759400</vt:lpwstr>
      </vt:variant>
      <vt:variant>
        <vt:i4>1245232</vt:i4>
      </vt:variant>
      <vt:variant>
        <vt:i4>1673</vt:i4>
      </vt:variant>
      <vt:variant>
        <vt:i4>0</vt:i4>
      </vt:variant>
      <vt:variant>
        <vt:i4>5</vt:i4>
      </vt:variant>
      <vt:variant>
        <vt:lpwstr/>
      </vt:variant>
      <vt:variant>
        <vt:lpwstr>_Toc432759399</vt:lpwstr>
      </vt:variant>
      <vt:variant>
        <vt:i4>1245232</vt:i4>
      </vt:variant>
      <vt:variant>
        <vt:i4>1667</vt:i4>
      </vt:variant>
      <vt:variant>
        <vt:i4>0</vt:i4>
      </vt:variant>
      <vt:variant>
        <vt:i4>5</vt:i4>
      </vt:variant>
      <vt:variant>
        <vt:lpwstr/>
      </vt:variant>
      <vt:variant>
        <vt:lpwstr>_Toc432759398</vt:lpwstr>
      </vt:variant>
      <vt:variant>
        <vt:i4>1245232</vt:i4>
      </vt:variant>
      <vt:variant>
        <vt:i4>1661</vt:i4>
      </vt:variant>
      <vt:variant>
        <vt:i4>0</vt:i4>
      </vt:variant>
      <vt:variant>
        <vt:i4>5</vt:i4>
      </vt:variant>
      <vt:variant>
        <vt:lpwstr/>
      </vt:variant>
      <vt:variant>
        <vt:lpwstr>_Toc432759397</vt:lpwstr>
      </vt:variant>
      <vt:variant>
        <vt:i4>1245232</vt:i4>
      </vt:variant>
      <vt:variant>
        <vt:i4>1655</vt:i4>
      </vt:variant>
      <vt:variant>
        <vt:i4>0</vt:i4>
      </vt:variant>
      <vt:variant>
        <vt:i4>5</vt:i4>
      </vt:variant>
      <vt:variant>
        <vt:lpwstr/>
      </vt:variant>
      <vt:variant>
        <vt:lpwstr>_Toc432759396</vt:lpwstr>
      </vt:variant>
      <vt:variant>
        <vt:i4>1245232</vt:i4>
      </vt:variant>
      <vt:variant>
        <vt:i4>1649</vt:i4>
      </vt:variant>
      <vt:variant>
        <vt:i4>0</vt:i4>
      </vt:variant>
      <vt:variant>
        <vt:i4>5</vt:i4>
      </vt:variant>
      <vt:variant>
        <vt:lpwstr/>
      </vt:variant>
      <vt:variant>
        <vt:lpwstr>_Toc432759395</vt:lpwstr>
      </vt:variant>
      <vt:variant>
        <vt:i4>1245232</vt:i4>
      </vt:variant>
      <vt:variant>
        <vt:i4>1643</vt:i4>
      </vt:variant>
      <vt:variant>
        <vt:i4>0</vt:i4>
      </vt:variant>
      <vt:variant>
        <vt:i4>5</vt:i4>
      </vt:variant>
      <vt:variant>
        <vt:lpwstr/>
      </vt:variant>
      <vt:variant>
        <vt:lpwstr>_Toc432759394</vt:lpwstr>
      </vt:variant>
      <vt:variant>
        <vt:i4>1245232</vt:i4>
      </vt:variant>
      <vt:variant>
        <vt:i4>1637</vt:i4>
      </vt:variant>
      <vt:variant>
        <vt:i4>0</vt:i4>
      </vt:variant>
      <vt:variant>
        <vt:i4>5</vt:i4>
      </vt:variant>
      <vt:variant>
        <vt:lpwstr/>
      </vt:variant>
      <vt:variant>
        <vt:lpwstr>_Toc432759393</vt:lpwstr>
      </vt:variant>
      <vt:variant>
        <vt:i4>1245232</vt:i4>
      </vt:variant>
      <vt:variant>
        <vt:i4>1631</vt:i4>
      </vt:variant>
      <vt:variant>
        <vt:i4>0</vt:i4>
      </vt:variant>
      <vt:variant>
        <vt:i4>5</vt:i4>
      </vt:variant>
      <vt:variant>
        <vt:lpwstr/>
      </vt:variant>
      <vt:variant>
        <vt:lpwstr>_Toc432759392</vt:lpwstr>
      </vt:variant>
      <vt:variant>
        <vt:i4>1245232</vt:i4>
      </vt:variant>
      <vt:variant>
        <vt:i4>1625</vt:i4>
      </vt:variant>
      <vt:variant>
        <vt:i4>0</vt:i4>
      </vt:variant>
      <vt:variant>
        <vt:i4>5</vt:i4>
      </vt:variant>
      <vt:variant>
        <vt:lpwstr/>
      </vt:variant>
      <vt:variant>
        <vt:lpwstr>_Toc432759391</vt:lpwstr>
      </vt:variant>
      <vt:variant>
        <vt:i4>1245232</vt:i4>
      </vt:variant>
      <vt:variant>
        <vt:i4>1619</vt:i4>
      </vt:variant>
      <vt:variant>
        <vt:i4>0</vt:i4>
      </vt:variant>
      <vt:variant>
        <vt:i4>5</vt:i4>
      </vt:variant>
      <vt:variant>
        <vt:lpwstr/>
      </vt:variant>
      <vt:variant>
        <vt:lpwstr>_Toc432759390</vt:lpwstr>
      </vt:variant>
      <vt:variant>
        <vt:i4>1179696</vt:i4>
      </vt:variant>
      <vt:variant>
        <vt:i4>1613</vt:i4>
      </vt:variant>
      <vt:variant>
        <vt:i4>0</vt:i4>
      </vt:variant>
      <vt:variant>
        <vt:i4>5</vt:i4>
      </vt:variant>
      <vt:variant>
        <vt:lpwstr/>
      </vt:variant>
      <vt:variant>
        <vt:lpwstr>_Toc432759389</vt:lpwstr>
      </vt:variant>
      <vt:variant>
        <vt:i4>1179696</vt:i4>
      </vt:variant>
      <vt:variant>
        <vt:i4>1607</vt:i4>
      </vt:variant>
      <vt:variant>
        <vt:i4>0</vt:i4>
      </vt:variant>
      <vt:variant>
        <vt:i4>5</vt:i4>
      </vt:variant>
      <vt:variant>
        <vt:lpwstr/>
      </vt:variant>
      <vt:variant>
        <vt:lpwstr>_Toc432759388</vt:lpwstr>
      </vt:variant>
      <vt:variant>
        <vt:i4>1179696</vt:i4>
      </vt:variant>
      <vt:variant>
        <vt:i4>1601</vt:i4>
      </vt:variant>
      <vt:variant>
        <vt:i4>0</vt:i4>
      </vt:variant>
      <vt:variant>
        <vt:i4>5</vt:i4>
      </vt:variant>
      <vt:variant>
        <vt:lpwstr/>
      </vt:variant>
      <vt:variant>
        <vt:lpwstr>_Toc432759387</vt:lpwstr>
      </vt:variant>
      <vt:variant>
        <vt:i4>1179696</vt:i4>
      </vt:variant>
      <vt:variant>
        <vt:i4>1595</vt:i4>
      </vt:variant>
      <vt:variant>
        <vt:i4>0</vt:i4>
      </vt:variant>
      <vt:variant>
        <vt:i4>5</vt:i4>
      </vt:variant>
      <vt:variant>
        <vt:lpwstr/>
      </vt:variant>
      <vt:variant>
        <vt:lpwstr>_Toc432759386</vt:lpwstr>
      </vt:variant>
      <vt:variant>
        <vt:i4>1179696</vt:i4>
      </vt:variant>
      <vt:variant>
        <vt:i4>1589</vt:i4>
      </vt:variant>
      <vt:variant>
        <vt:i4>0</vt:i4>
      </vt:variant>
      <vt:variant>
        <vt:i4>5</vt:i4>
      </vt:variant>
      <vt:variant>
        <vt:lpwstr/>
      </vt:variant>
      <vt:variant>
        <vt:lpwstr>_Toc432759385</vt:lpwstr>
      </vt:variant>
      <vt:variant>
        <vt:i4>1179696</vt:i4>
      </vt:variant>
      <vt:variant>
        <vt:i4>1583</vt:i4>
      </vt:variant>
      <vt:variant>
        <vt:i4>0</vt:i4>
      </vt:variant>
      <vt:variant>
        <vt:i4>5</vt:i4>
      </vt:variant>
      <vt:variant>
        <vt:lpwstr/>
      </vt:variant>
      <vt:variant>
        <vt:lpwstr>_Toc432759384</vt:lpwstr>
      </vt:variant>
      <vt:variant>
        <vt:i4>1179696</vt:i4>
      </vt:variant>
      <vt:variant>
        <vt:i4>1577</vt:i4>
      </vt:variant>
      <vt:variant>
        <vt:i4>0</vt:i4>
      </vt:variant>
      <vt:variant>
        <vt:i4>5</vt:i4>
      </vt:variant>
      <vt:variant>
        <vt:lpwstr/>
      </vt:variant>
      <vt:variant>
        <vt:lpwstr>_Toc432759383</vt:lpwstr>
      </vt:variant>
      <vt:variant>
        <vt:i4>1179696</vt:i4>
      </vt:variant>
      <vt:variant>
        <vt:i4>1571</vt:i4>
      </vt:variant>
      <vt:variant>
        <vt:i4>0</vt:i4>
      </vt:variant>
      <vt:variant>
        <vt:i4>5</vt:i4>
      </vt:variant>
      <vt:variant>
        <vt:lpwstr/>
      </vt:variant>
      <vt:variant>
        <vt:lpwstr>_Toc432759382</vt:lpwstr>
      </vt:variant>
      <vt:variant>
        <vt:i4>1179696</vt:i4>
      </vt:variant>
      <vt:variant>
        <vt:i4>1565</vt:i4>
      </vt:variant>
      <vt:variant>
        <vt:i4>0</vt:i4>
      </vt:variant>
      <vt:variant>
        <vt:i4>5</vt:i4>
      </vt:variant>
      <vt:variant>
        <vt:lpwstr/>
      </vt:variant>
      <vt:variant>
        <vt:lpwstr>_Toc432759381</vt:lpwstr>
      </vt:variant>
      <vt:variant>
        <vt:i4>1179696</vt:i4>
      </vt:variant>
      <vt:variant>
        <vt:i4>1559</vt:i4>
      </vt:variant>
      <vt:variant>
        <vt:i4>0</vt:i4>
      </vt:variant>
      <vt:variant>
        <vt:i4>5</vt:i4>
      </vt:variant>
      <vt:variant>
        <vt:lpwstr/>
      </vt:variant>
      <vt:variant>
        <vt:lpwstr>_Toc432759380</vt:lpwstr>
      </vt:variant>
      <vt:variant>
        <vt:i4>1900592</vt:i4>
      </vt:variant>
      <vt:variant>
        <vt:i4>1553</vt:i4>
      </vt:variant>
      <vt:variant>
        <vt:i4>0</vt:i4>
      </vt:variant>
      <vt:variant>
        <vt:i4>5</vt:i4>
      </vt:variant>
      <vt:variant>
        <vt:lpwstr/>
      </vt:variant>
      <vt:variant>
        <vt:lpwstr>_Toc432759379</vt:lpwstr>
      </vt:variant>
      <vt:variant>
        <vt:i4>1900592</vt:i4>
      </vt:variant>
      <vt:variant>
        <vt:i4>1547</vt:i4>
      </vt:variant>
      <vt:variant>
        <vt:i4>0</vt:i4>
      </vt:variant>
      <vt:variant>
        <vt:i4>5</vt:i4>
      </vt:variant>
      <vt:variant>
        <vt:lpwstr/>
      </vt:variant>
      <vt:variant>
        <vt:lpwstr>_Toc432759378</vt:lpwstr>
      </vt:variant>
      <vt:variant>
        <vt:i4>1900592</vt:i4>
      </vt:variant>
      <vt:variant>
        <vt:i4>1541</vt:i4>
      </vt:variant>
      <vt:variant>
        <vt:i4>0</vt:i4>
      </vt:variant>
      <vt:variant>
        <vt:i4>5</vt:i4>
      </vt:variant>
      <vt:variant>
        <vt:lpwstr/>
      </vt:variant>
      <vt:variant>
        <vt:lpwstr>_Toc432759377</vt:lpwstr>
      </vt:variant>
      <vt:variant>
        <vt:i4>1900592</vt:i4>
      </vt:variant>
      <vt:variant>
        <vt:i4>1535</vt:i4>
      </vt:variant>
      <vt:variant>
        <vt:i4>0</vt:i4>
      </vt:variant>
      <vt:variant>
        <vt:i4>5</vt:i4>
      </vt:variant>
      <vt:variant>
        <vt:lpwstr/>
      </vt:variant>
      <vt:variant>
        <vt:lpwstr>_Toc432759376</vt:lpwstr>
      </vt:variant>
      <vt:variant>
        <vt:i4>1900592</vt:i4>
      </vt:variant>
      <vt:variant>
        <vt:i4>1529</vt:i4>
      </vt:variant>
      <vt:variant>
        <vt:i4>0</vt:i4>
      </vt:variant>
      <vt:variant>
        <vt:i4>5</vt:i4>
      </vt:variant>
      <vt:variant>
        <vt:lpwstr/>
      </vt:variant>
      <vt:variant>
        <vt:lpwstr>_Toc432759375</vt:lpwstr>
      </vt:variant>
      <vt:variant>
        <vt:i4>1900592</vt:i4>
      </vt:variant>
      <vt:variant>
        <vt:i4>1523</vt:i4>
      </vt:variant>
      <vt:variant>
        <vt:i4>0</vt:i4>
      </vt:variant>
      <vt:variant>
        <vt:i4>5</vt:i4>
      </vt:variant>
      <vt:variant>
        <vt:lpwstr/>
      </vt:variant>
      <vt:variant>
        <vt:lpwstr>_Toc432759374</vt:lpwstr>
      </vt:variant>
      <vt:variant>
        <vt:i4>1900592</vt:i4>
      </vt:variant>
      <vt:variant>
        <vt:i4>1517</vt:i4>
      </vt:variant>
      <vt:variant>
        <vt:i4>0</vt:i4>
      </vt:variant>
      <vt:variant>
        <vt:i4>5</vt:i4>
      </vt:variant>
      <vt:variant>
        <vt:lpwstr/>
      </vt:variant>
      <vt:variant>
        <vt:lpwstr>_Toc432759373</vt:lpwstr>
      </vt:variant>
      <vt:variant>
        <vt:i4>1900592</vt:i4>
      </vt:variant>
      <vt:variant>
        <vt:i4>1511</vt:i4>
      </vt:variant>
      <vt:variant>
        <vt:i4>0</vt:i4>
      </vt:variant>
      <vt:variant>
        <vt:i4>5</vt:i4>
      </vt:variant>
      <vt:variant>
        <vt:lpwstr/>
      </vt:variant>
      <vt:variant>
        <vt:lpwstr>_Toc432759372</vt:lpwstr>
      </vt:variant>
      <vt:variant>
        <vt:i4>1900592</vt:i4>
      </vt:variant>
      <vt:variant>
        <vt:i4>1505</vt:i4>
      </vt:variant>
      <vt:variant>
        <vt:i4>0</vt:i4>
      </vt:variant>
      <vt:variant>
        <vt:i4>5</vt:i4>
      </vt:variant>
      <vt:variant>
        <vt:lpwstr/>
      </vt:variant>
      <vt:variant>
        <vt:lpwstr>_Toc432759371</vt:lpwstr>
      </vt:variant>
      <vt:variant>
        <vt:i4>1900592</vt:i4>
      </vt:variant>
      <vt:variant>
        <vt:i4>1499</vt:i4>
      </vt:variant>
      <vt:variant>
        <vt:i4>0</vt:i4>
      </vt:variant>
      <vt:variant>
        <vt:i4>5</vt:i4>
      </vt:variant>
      <vt:variant>
        <vt:lpwstr/>
      </vt:variant>
      <vt:variant>
        <vt:lpwstr>_Toc432759370</vt:lpwstr>
      </vt:variant>
      <vt:variant>
        <vt:i4>1835056</vt:i4>
      </vt:variant>
      <vt:variant>
        <vt:i4>1493</vt:i4>
      </vt:variant>
      <vt:variant>
        <vt:i4>0</vt:i4>
      </vt:variant>
      <vt:variant>
        <vt:i4>5</vt:i4>
      </vt:variant>
      <vt:variant>
        <vt:lpwstr/>
      </vt:variant>
      <vt:variant>
        <vt:lpwstr>_Toc432759369</vt:lpwstr>
      </vt:variant>
      <vt:variant>
        <vt:i4>1835056</vt:i4>
      </vt:variant>
      <vt:variant>
        <vt:i4>1487</vt:i4>
      </vt:variant>
      <vt:variant>
        <vt:i4>0</vt:i4>
      </vt:variant>
      <vt:variant>
        <vt:i4>5</vt:i4>
      </vt:variant>
      <vt:variant>
        <vt:lpwstr/>
      </vt:variant>
      <vt:variant>
        <vt:lpwstr>_Toc432759368</vt:lpwstr>
      </vt:variant>
      <vt:variant>
        <vt:i4>1835056</vt:i4>
      </vt:variant>
      <vt:variant>
        <vt:i4>1481</vt:i4>
      </vt:variant>
      <vt:variant>
        <vt:i4>0</vt:i4>
      </vt:variant>
      <vt:variant>
        <vt:i4>5</vt:i4>
      </vt:variant>
      <vt:variant>
        <vt:lpwstr/>
      </vt:variant>
      <vt:variant>
        <vt:lpwstr>_Toc432759367</vt:lpwstr>
      </vt:variant>
      <vt:variant>
        <vt:i4>1835056</vt:i4>
      </vt:variant>
      <vt:variant>
        <vt:i4>1475</vt:i4>
      </vt:variant>
      <vt:variant>
        <vt:i4>0</vt:i4>
      </vt:variant>
      <vt:variant>
        <vt:i4>5</vt:i4>
      </vt:variant>
      <vt:variant>
        <vt:lpwstr/>
      </vt:variant>
      <vt:variant>
        <vt:lpwstr>_Toc432759366</vt:lpwstr>
      </vt:variant>
      <vt:variant>
        <vt:i4>1835056</vt:i4>
      </vt:variant>
      <vt:variant>
        <vt:i4>1469</vt:i4>
      </vt:variant>
      <vt:variant>
        <vt:i4>0</vt:i4>
      </vt:variant>
      <vt:variant>
        <vt:i4>5</vt:i4>
      </vt:variant>
      <vt:variant>
        <vt:lpwstr/>
      </vt:variant>
      <vt:variant>
        <vt:lpwstr>_Toc432759365</vt:lpwstr>
      </vt:variant>
      <vt:variant>
        <vt:i4>1835056</vt:i4>
      </vt:variant>
      <vt:variant>
        <vt:i4>1463</vt:i4>
      </vt:variant>
      <vt:variant>
        <vt:i4>0</vt:i4>
      </vt:variant>
      <vt:variant>
        <vt:i4>5</vt:i4>
      </vt:variant>
      <vt:variant>
        <vt:lpwstr/>
      </vt:variant>
      <vt:variant>
        <vt:lpwstr>_Toc432759364</vt:lpwstr>
      </vt:variant>
      <vt:variant>
        <vt:i4>1835056</vt:i4>
      </vt:variant>
      <vt:variant>
        <vt:i4>1457</vt:i4>
      </vt:variant>
      <vt:variant>
        <vt:i4>0</vt:i4>
      </vt:variant>
      <vt:variant>
        <vt:i4>5</vt:i4>
      </vt:variant>
      <vt:variant>
        <vt:lpwstr/>
      </vt:variant>
      <vt:variant>
        <vt:lpwstr>_Toc432759363</vt:lpwstr>
      </vt:variant>
      <vt:variant>
        <vt:i4>1835056</vt:i4>
      </vt:variant>
      <vt:variant>
        <vt:i4>1451</vt:i4>
      </vt:variant>
      <vt:variant>
        <vt:i4>0</vt:i4>
      </vt:variant>
      <vt:variant>
        <vt:i4>5</vt:i4>
      </vt:variant>
      <vt:variant>
        <vt:lpwstr/>
      </vt:variant>
      <vt:variant>
        <vt:lpwstr>_Toc432759362</vt:lpwstr>
      </vt:variant>
      <vt:variant>
        <vt:i4>1835056</vt:i4>
      </vt:variant>
      <vt:variant>
        <vt:i4>1445</vt:i4>
      </vt:variant>
      <vt:variant>
        <vt:i4>0</vt:i4>
      </vt:variant>
      <vt:variant>
        <vt:i4>5</vt:i4>
      </vt:variant>
      <vt:variant>
        <vt:lpwstr/>
      </vt:variant>
      <vt:variant>
        <vt:lpwstr>_Toc432759361</vt:lpwstr>
      </vt:variant>
      <vt:variant>
        <vt:i4>1835056</vt:i4>
      </vt:variant>
      <vt:variant>
        <vt:i4>1439</vt:i4>
      </vt:variant>
      <vt:variant>
        <vt:i4>0</vt:i4>
      </vt:variant>
      <vt:variant>
        <vt:i4>5</vt:i4>
      </vt:variant>
      <vt:variant>
        <vt:lpwstr/>
      </vt:variant>
      <vt:variant>
        <vt:lpwstr>_Toc432759360</vt:lpwstr>
      </vt:variant>
      <vt:variant>
        <vt:i4>2031664</vt:i4>
      </vt:variant>
      <vt:variant>
        <vt:i4>1433</vt:i4>
      </vt:variant>
      <vt:variant>
        <vt:i4>0</vt:i4>
      </vt:variant>
      <vt:variant>
        <vt:i4>5</vt:i4>
      </vt:variant>
      <vt:variant>
        <vt:lpwstr/>
      </vt:variant>
      <vt:variant>
        <vt:lpwstr>_Toc432759359</vt:lpwstr>
      </vt:variant>
      <vt:variant>
        <vt:i4>2031664</vt:i4>
      </vt:variant>
      <vt:variant>
        <vt:i4>1427</vt:i4>
      </vt:variant>
      <vt:variant>
        <vt:i4>0</vt:i4>
      </vt:variant>
      <vt:variant>
        <vt:i4>5</vt:i4>
      </vt:variant>
      <vt:variant>
        <vt:lpwstr/>
      </vt:variant>
      <vt:variant>
        <vt:lpwstr>_Toc432759358</vt:lpwstr>
      </vt:variant>
      <vt:variant>
        <vt:i4>2031664</vt:i4>
      </vt:variant>
      <vt:variant>
        <vt:i4>1421</vt:i4>
      </vt:variant>
      <vt:variant>
        <vt:i4>0</vt:i4>
      </vt:variant>
      <vt:variant>
        <vt:i4>5</vt:i4>
      </vt:variant>
      <vt:variant>
        <vt:lpwstr/>
      </vt:variant>
      <vt:variant>
        <vt:lpwstr>_Toc432759357</vt:lpwstr>
      </vt:variant>
      <vt:variant>
        <vt:i4>2031664</vt:i4>
      </vt:variant>
      <vt:variant>
        <vt:i4>1415</vt:i4>
      </vt:variant>
      <vt:variant>
        <vt:i4>0</vt:i4>
      </vt:variant>
      <vt:variant>
        <vt:i4>5</vt:i4>
      </vt:variant>
      <vt:variant>
        <vt:lpwstr/>
      </vt:variant>
      <vt:variant>
        <vt:lpwstr>_Toc432759356</vt:lpwstr>
      </vt:variant>
      <vt:variant>
        <vt:i4>2031664</vt:i4>
      </vt:variant>
      <vt:variant>
        <vt:i4>1409</vt:i4>
      </vt:variant>
      <vt:variant>
        <vt:i4>0</vt:i4>
      </vt:variant>
      <vt:variant>
        <vt:i4>5</vt:i4>
      </vt:variant>
      <vt:variant>
        <vt:lpwstr/>
      </vt:variant>
      <vt:variant>
        <vt:lpwstr>_Toc432759355</vt:lpwstr>
      </vt:variant>
      <vt:variant>
        <vt:i4>2031664</vt:i4>
      </vt:variant>
      <vt:variant>
        <vt:i4>1403</vt:i4>
      </vt:variant>
      <vt:variant>
        <vt:i4>0</vt:i4>
      </vt:variant>
      <vt:variant>
        <vt:i4>5</vt:i4>
      </vt:variant>
      <vt:variant>
        <vt:lpwstr/>
      </vt:variant>
      <vt:variant>
        <vt:lpwstr>_Toc432759354</vt:lpwstr>
      </vt:variant>
      <vt:variant>
        <vt:i4>2031664</vt:i4>
      </vt:variant>
      <vt:variant>
        <vt:i4>1397</vt:i4>
      </vt:variant>
      <vt:variant>
        <vt:i4>0</vt:i4>
      </vt:variant>
      <vt:variant>
        <vt:i4>5</vt:i4>
      </vt:variant>
      <vt:variant>
        <vt:lpwstr/>
      </vt:variant>
      <vt:variant>
        <vt:lpwstr>_Toc432759353</vt:lpwstr>
      </vt:variant>
      <vt:variant>
        <vt:i4>2031664</vt:i4>
      </vt:variant>
      <vt:variant>
        <vt:i4>1391</vt:i4>
      </vt:variant>
      <vt:variant>
        <vt:i4>0</vt:i4>
      </vt:variant>
      <vt:variant>
        <vt:i4>5</vt:i4>
      </vt:variant>
      <vt:variant>
        <vt:lpwstr/>
      </vt:variant>
      <vt:variant>
        <vt:lpwstr>_Toc432759352</vt:lpwstr>
      </vt:variant>
      <vt:variant>
        <vt:i4>2031664</vt:i4>
      </vt:variant>
      <vt:variant>
        <vt:i4>1385</vt:i4>
      </vt:variant>
      <vt:variant>
        <vt:i4>0</vt:i4>
      </vt:variant>
      <vt:variant>
        <vt:i4>5</vt:i4>
      </vt:variant>
      <vt:variant>
        <vt:lpwstr/>
      </vt:variant>
      <vt:variant>
        <vt:lpwstr>_Toc432759351</vt:lpwstr>
      </vt:variant>
      <vt:variant>
        <vt:i4>2031664</vt:i4>
      </vt:variant>
      <vt:variant>
        <vt:i4>1379</vt:i4>
      </vt:variant>
      <vt:variant>
        <vt:i4>0</vt:i4>
      </vt:variant>
      <vt:variant>
        <vt:i4>5</vt:i4>
      </vt:variant>
      <vt:variant>
        <vt:lpwstr/>
      </vt:variant>
      <vt:variant>
        <vt:lpwstr>_Toc432759350</vt:lpwstr>
      </vt:variant>
      <vt:variant>
        <vt:i4>1966128</vt:i4>
      </vt:variant>
      <vt:variant>
        <vt:i4>1373</vt:i4>
      </vt:variant>
      <vt:variant>
        <vt:i4>0</vt:i4>
      </vt:variant>
      <vt:variant>
        <vt:i4>5</vt:i4>
      </vt:variant>
      <vt:variant>
        <vt:lpwstr/>
      </vt:variant>
      <vt:variant>
        <vt:lpwstr>_Toc432759349</vt:lpwstr>
      </vt:variant>
      <vt:variant>
        <vt:i4>1966128</vt:i4>
      </vt:variant>
      <vt:variant>
        <vt:i4>1367</vt:i4>
      </vt:variant>
      <vt:variant>
        <vt:i4>0</vt:i4>
      </vt:variant>
      <vt:variant>
        <vt:i4>5</vt:i4>
      </vt:variant>
      <vt:variant>
        <vt:lpwstr/>
      </vt:variant>
      <vt:variant>
        <vt:lpwstr>_Toc432759348</vt:lpwstr>
      </vt:variant>
      <vt:variant>
        <vt:i4>1966128</vt:i4>
      </vt:variant>
      <vt:variant>
        <vt:i4>1361</vt:i4>
      </vt:variant>
      <vt:variant>
        <vt:i4>0</vt:i4>
      </vt:variant>
      <vt:variant>
        <vt:i4>5</vt:i4>
      </vt:variant>
      <vt:variant>
        <vt:lpwstr/>
      </vt:variant>
      <vt:variant>
        <vt:lpwstr>_Toc432759347</vt:lpwstr>
      </vt:variant>
      <vt:variant>
        <vt:i4>1966128</vt:i4>
      </vt:variant>
      <vt:variant>
        <vt:i4>1355</vt:i4>
      </vt:variant>
      <vt:variant>
        <vt:i4>0</vt:i4>
      </vt:variant>
      <vt:variant>
        <vt:i4>5</vt:i4>
      </vt:variant>
      <vt:variant>
        <vt:lpwstr/>
      </vt:variant>
      <vt:variant>
        <vt:lpwstr>_Toc432759346</vt:lpwstr>
      </vt:variant>
      <vt:variant>
        <vt:i4>1966128</vt:i4>
      </vt:variant>
      <vt:variant>
        <vt:i4>1349</vt:i4>
      </vt:variant>
      <vt:variant>
        <vt:i4>0</vt:i4>
      </vt:variant>
      <vt:variant>
        <vt:i4>5</vt:i4>
      </vt:variant>
      <vt:variant>
        <vt:lpwstr/>
      </vt:variant>
      <vt:variant>
        <vt:lpwstr>_Toc432759345</vt:lpwstr>
      </vt:variant>
      <vt:variant>
        <vt:i4>1966128</vt:i4>
      </vt:variant>
      <vt:variant>
        <vt:i4>1343</vt:i4>
      </vt:variant>
      <vt:variant>
        <vt:i4>0</vt:i4>
      </vt:variant>
      <vt:variant>
        <vt:i4>5</vt:i4>
      </vt:variant>
      <vt:variant>
        <vt:lpwstr/>
      </vt:variant>
      <vt:variant>
        <vt:lpwstr>_Toc432759344</vt:lpwstr>
      </vt:variant>
      <vt:variant>
        <vt:i4>1966128</vt:i4>
      </vt:variant>
      <vt:variant>
        <vt:i4>1337</vt:i4>
      </vt:variant>
      <vt:variant>
        <vt:i4>0</vt:i4>
      </vt:variant>
      <vt:variant>
        <vt:i4>5</vt:i4>
      </vt:variant>
      <vt:variant>
        <vt:lpwstr/>
      </vt:variant>
      <vt:variant>
        <vt:lpwstr>_Toc432759343</vt:lpwstr>
      </vt:variant>
      <vt:variant>
        <vt:i4>1966128</vt:i4>
      </vt:variant>
      <vt:variant>
        <vt:i4>1331</vt:i4>
      </vt:variant>
      <vt:variant>
        <vt:i4>0</vt:i4>
      </vt:variant>
      <vt:variant>
        <vt:i4>5</vt:i4>
      </vt:variant>
      <vt:variant>
        <vt:lpwstr/>
      </vt:variant>
      <vt:variant>
        <vt:lpwstr>_Toc432759342</vt:lpwstr>
      </vt:variant>
      <vt:variant>
        <vt:i4>1966128</vt:i4>
      </vt:variant>
      <vt:variant>
        <vt:i4>1325</vt:i4>
      </vt:variant>
      <vt:variant>
        <vt:i4>0</vt:i4>
      </vt:variant>
      <vt:variant>
        <vt:i4>5</vt:i4>
      </vt:variant>
      <vt:variant>
        <vt:lpwstr/>
      </vt:variant>
      <vt:variant>
        <vt:lpwstr>_Toc432759341</vt:lpwstr>
      </vt:variant>
      <vt:variant>
        <vt:i4>1966128</vt:i4>
      </vt:variant>
      <vt:variant>
        <vt:i4>1319</vt:i4>
      </vt:variant>
      <vt:variant>
        <vt:i4>0</vt:i4>
      </vt:variant>
      <vt:variant>
        <vt:i4>5</vt:i4>
      </vt:variant>
      <vt:variant>
        <vt:lpwstr/>
      </vt:variant>
      <vt:variant>
        <vt:lpwstr>_Toc432759340</vt:lpwstr>
      </vt:variant>
      <vt:variant>
        <vt:i4>1638448</vt:i4>
      </vt:variant>
      <vt:variant>
        <vt:i4>1313</vt:i4>
      </vt:variant>
      <vt:variant>
        <vt:i4>0</vt:i4>
      </vt:variant>
      <vt:variant>
        <vt:i4>5</vt:i4>
      </vt:variant>
      <vt:variant>
        <vt:lpwstr/>
      </vt:variant>
      <vt:variant>
        <vt:lpwstr>_Toc432759339</vt:lpwstr>
      </vt:variant>
      <vt:variant>
        <vt:i4>1638448</vt:i4>
      </vt:variant>
      <vt:variant>
        <vt:i4>1307</vt:i4>
      </vt:variant>
      <vt:variant>
        <vt:i4>0</vt:i4>
      </vt:variant>
      <vt:variant>
        <vt:i4>5</vt:i4>
      </vt:variant>
      <vt:variant>
        <vt:lpwstr/>
      </vt:variant>
      <vt:variant>
        <vt:lpwstr>_Toc432759338</vt:lpwstr>
      </vt:variant>
      <vt:variant>
        <vt:i4>1638448</vt:i4>
      </vt:variant>
      <vt:variant>
        <vt:i4>1301</vt:i4>
      </vt:variant>
      <vt:variant>
        <vt:i4>0</vt:i4>
      </vt:variant>
      <vt:variant>
        <vt:i4>5</vt:i4>
      </vt:variant>
      <vt:variant>
        <vt:lpwstr/>
      </vt:variant>
      <vt:variant>
        <vt:lpwstr>_Toc432759337</vt:lpwstr>
      </vt:variant>
      <vt:variant>
        <vt:i4>1638448</vt:i4>
      </vt:variant>
      <vt:variant>
        <vt:i4>1295</vt:i4>
      </vt:variant>
      <vt:variant>
        <vt:i4>0</vt:i4>
      </vt:variant>
      <vt:variant>
        <vt:i4>5</vt:i4>
      </vt:variant>
      <vt:variant>
        <vt:lpwstr/>
      </vt:variant>
      <vt:variant>
        <vt:lpwstr>_Toc432759336</vt:lpwstr>
      </vt:variant>
      <vt:variant>
        <vt:i4>1638448</vt:i4>
      </vt:variant>
      <vt:variant>
        <vt:i4>1289</vt:i4>
      </vt:variant>
      <vt:variant>
        <vt:i4>0</vt:i4>
      </vt:variant>
      <vt:variant>
        <vt:i4>5</vt:i4>
      </vt:variant>
      <vt:variant>
        <vt:lpwstr/>
      </vt:variant>
      <vt:variant>
        <vt:lpwstr>_Toc432759335</vt:lpwstr>
      </vt:variant>
      <vt:variant>
        <vt:i4>1638448</vt:i4>
      </vt:variant>
      <vt:variant>
        <vt:i4>1280</vt:i4>
      </vt:variant>
      <vt:variant>
        <vt:i4>0</vt:i4>
      </vt:variant>
      <vt:variant>
        <vt:i4>5</vt:i4>
      </vt:variant>
      <vt:variant>
        <vt:lpwstr/>
      </vt:variant>
      <vt:variant>
        <vt:lpwstr>_Toc432759334</vt:lpwstr>
      </vt:variant>
      <vt:variant>
        <vt:i4>1638448</vt:i4>
      </vt:variant>
      <vt:variant>
        <vt:i4>1274</vt:i4>
      </vt:variant>
      <vt:variant>
        <vt:i4>0</vt:i4>
      </vt:variant>
      <vt:variant>
        <vt:i4>5</vt:i4>
      </vt:variant>
      <vt:variant>
        <vt:lpwstr/>
      </vt:variant>
      <vt:variant>
        <vt:lpwstr>_Toc432759333</vt:lpwstr>
      </vt:variant>
      <vt:variant>
        <vt:i4>1638448</vt:i4>
      </vt:variant>
      <vt:variant>
        <vt:i4>1268</vt:i4>
      </vt:variant>
      <vt:variant>
        <vt:i4>0</vt:i4>
      </vt:variant>
      <vt:variant>
        <vt:i4>5</vt:i4>
      </vt:variant>
      <vt:variant>
        <vt:lpwstr/>
      </vt:variant>
      <vt:variant>
        <vt:lpwstr>_Toc432759332</vt:lpwstr>
      </vt:variant>
      <vt:variant>
        <vt:i4>1638448</vt:i4>
      </vt:variant>
      <vt:variant>
        <vt:i4>1262</vt:i4>
      </vt:variant>
      <vt:variant>
        <vt:i4>0</vt:i4>
      </vt:variant>
      <vt:variant>
        <vt:i4>5</vt:i4>
      </vt:variant>
      <vt:variant>
        <vt:lpwstr/>
      </vt:variant>
      <vt:variant>
        <vt:lpwstr>_Toc432759331</vt:lpwstr>
      </vt:variant>
      <vt:variant>
        <vt:i4>1638448</vt:i4>
      </vt:variant>
      <vt:variant>
        <vt:i4>1256</vt:i4>
      </vt:variant>
      <vt:variant>
        <vt:i4>0</vt:i4>
      </vt:variant>
      <vt:variant>
        <vt:i4>5</vt:i4>
      </vt:variant>
      <vt:variant>
        <vt:lpwstr/>
      </vt:variant>
      <vt:variant>
        <vt:lpwstr>_Toc432759330</vt:lpwstr>
      </vt:variant>
      <vt:variant>
        <vt:i4>1572912</vt:i4>
      </vt:variant>
      <vt:variant>
        <vt:i4>1250</vt:i4>
      </vt:variant>
      <vt:variant>
        <vt:i4>0</vt:i4>
      </vt:variant>
      <vt:variant>
        <vt:i4>5</vt:i4>
      </vt:variant>
      <vt:variant>
        <vt:lpwstr/>
      </vt:variant>
      <vt:variant>
        <vt:lpwstr>_Toc432759329</vt:lpwstr>
      </vt:variant>
      <vt:variant>
        <vt:i4>1572912</vt:i4>
      </vt:variant>
      <vt:variant>
        <vt:i4>1244</vt:i4>
      </vt:variant>
      <vt:variant>
        <vt:i4>0</vt:i4>
      </vt:variant>
      <vt:variant>
        <vt:i4>5</vt:i4>
      </vt:variant>
      <vt:variant>
        <vt:lpwstr/>
      </vt:variant>
      <vt:variant>
        <vt:lpwstr>_Toc432759328</vt:lpwstr>
      </vt:variant>
      <vt:variant>
        <vt:i4>1572912</vt:i4>
      </vt:variant>
      <vt:variant>
        <vt:i4>1238</vt:i4>
      </vt:variant>
      <vt:variant>
        <vt:i4>0</vt:i4>
      </vt:variant>
      <vt:variant>
        <vt:i4>5</vt:i4>
      </vt:variant>
      <vt:variant>
        <vt:lpwstr/>
      </vt:variant>
      <vt:variant>
        <vt:lpwstr>_Toc432759327</vt:lpwstr>
      </vt:variant>
      <vt:variant>
        <vt:i4>1572912</vt:i4>
      </vt:variant>
      <vt:variant>
        <vt:i4>1232</vt:i4>
      </vt:variant>
      <vt:variant>
        <vt:i4>0</vt:i4>
      </vt:variant>
      <vt:variant>
        <vt:i4>5</vt:i4>
      </vt:variant>
      <vt:variant>
        <vt:lpwstr/>
      </vt:variant>
      <vt:variant>
        <vt:lpwstr>_Toc432759326</vt:lpwstr>
      </vt:variant>
      <vt:variant>
        <vt:i4>1572912</vt:i4>
      </vt:variant>
      <vt:variant>
        <vt:i4>1223</vt:i4>
      </vt:variant>
      <vt:variant>
        <vt:i4>0</vt:i4>
      </vt:variant>
      <vt:variant>
        <vt:i4>5</vt:i4>
      </vt:variant>
      <vt:variant>
        <vt:lpwstr/>
      </vt:variant>
      <vt:variant>
        <vt:lpwstr>_Toc432759325</vt:lpwstr>
      </vt:variant>
      <vt:variant>
        <vt:i4>1572912</vt:i4>
      </vt:variant>
      <vt:variant>
        <vt:i4>1217</vt:i4>
      </vt:variant>
      <vt:variant>
        <vt:i4>0</vt:i4>
      </vt:variant>
      <vt:variant>
        <vt:i4>5</vt:i4>
      </vt:variant>
      <vt:variant>
        <vt:lpwstr/>
      </vt:variant>
      <vt:variant>
        <vt:lpwstr>_Toc432759324</vt:lpwstr>
      </vt:variant>
      <vt:variant>
        <vt:i4>1572912</vt:i4>
      </vt:variant>
      <vt:variant>
        <vt:i4>1211</vt:i4>
      </vt:variant>
      <vt:variant>
        <vt:i4>0</vt:i4>
      </vt:variant>
      <vt:variant>
        <vt:i4>5</vt:i4>
      </vt:variant>
      <vt:variant>
        <vt:lpwstr/>
      </vt:variant>
      <vt:variant>
        <vt:lpwstr>_Toc432759323</vt:lpwstr>
      </vt:variant>
      <vt:variant>
        <vt:i4>1572912</vt:i4>
      </vt:variant>
      <vt:variant>
        <vt:i4>1205</vt:i4>
      </vt:variant>
      <vt:variant>
        <vt:i4>0</vt:i4>
      </vt:variant>
      <vt:variant>
        <vt:i4>5</vt:i4>
      </vt:variant>
      <vt:variant>
        <vt:lpwstr/>
      </vt:variant>
      <vt:variant>
        <vt:lpwstr>_Toc432759322</vt:lpwstr>
      </vt:variant>
      <vt:variant>
        <vt:i4>1572912</vt:i4>
      </vt:variant>
      <vt:variant>
        <vt:i4>1199</vt:i4>
      </vt:variant>
      <vt:variant>
        <vt:i4>0</vt:i4>
      </vt:variant>
      <vt:variant>
        <vt:i4>5</vt:i4>
      </vt:variant>
      <vt:variant>
        <vt:lpwstr/>
      </vt:variant>
      <vt:variant>
        <vt:lpwstr>_Toc432759321</vt:lpwstr>
      </vt:variant>
      <vt:variant>
        <vt:i4>1572912</vt:i4>
      </vt:variant>
      <vt:variant>
        <vt:i4>1193</vt:i4>
      </vt:variant>
      <vt:variant>
        <vt:i4>0</vt:i4>
      </vt:variant>
      <vt:variant>
        <vt:i4>5</vt:i4>
      </vt:variant>
      <vt:variant>
        <vt:lpwstr/>
      </vt:variant>
      <vt:variant>
        <vt:lpwstr>_Toc432759320</vt:lpwstr>
      </vt:variant>
      <vt:variant>
        <vt:i4>1769520</vt:i4>
      </vt:variant>
      <vt:variant>
        <vt:i4>1187</vt:i4>
      </vt:variant>
      <vt:variant>
        <vt:i4>0</vt:i4>
      </vt:variant>
      <vt:variant>
        <vt:i4>5</vt:i4>
      </vt:variant>
      <vt:variant>
        <vt:lpwstr/>
      </vt:variant>
      <vt:variant>
        <vt:lpwstr>_Toc432759319</vt:lpwstr>
      </vt:variant>
      <vt:variant>
        <vt:i4>1769520</vt:i4>
      </vt:variant>
      <vt:variant>
        <vt:i4>1181</vt:i4>
      </vt:variant>
      <vt:variant>
        <vt:i4>0</vt:i4>
      </vt:variant>
      <vt:variant>
        <vt:i4>5</vt:i4>
      </vt:variant>
      <vt:variant>
        <vt:lpwstr/>
      </vt:variant>
      <vt:variant>
        <vt:lpwstr>_Toc432759318</vt:lpwstr>
      </vt:variant>
      <vt:variant>
        <vt:i4>1769520</vt:i4>
      </vt:variant>
      <vt:variant>
        <vt:i4>1175</vt:i4>
      </vt:variant>
      <vt:variant>
        <vt:i4>0</vt:i4>
      </vt:variant>
      <vt:variant>
        <vt:i4>5</vt:i4>
      </vt:variant>
      <vt:variant>
        <vt:lpwstr/>
      </vt:variant>
      <vt:variant>
        <vt:lpwstr>_Toc432759317</vt:lpwstr>
      </vt:variant>
      <vt:variant>
        <vt:i4>1769520</vt:i4>
      </vt:variant>
      <vt:variant>
        <vt:i4>1169</vt:i4>
      </vt:variant>
      <vt:variant>
        <vt:i4>0</vt:i4>
      </vt:variant>
      <vt:variant>
        <vt:i4>5</vt:i4>
      </vt:variant>
      <vt:variant>
        <vt:lpwstr/>
      </vt:variant>
      <vt:variant>
        <vt:lpwstr>_Toc432759316</vt:lpwstr>
      </vt:variant>
      <vt:variant>
        <vt:i4>1769520</vt:i4>
      </vt:variant>
      <vt:variant>
        <vt:i4>1163</vt:i4>
      </vt:variant>
      <vt:variant>
        <vt:i4>0</vt:i4>
      </vt:variant>
      <vt:variant>
        <vt:i4>5</vt:i4>
      </vt:variant>
      <vt:variant>
        <vt:lpwstr/>
      </vt:variant>
      <vt:variant>
        <vt:lpwstr>_Toc432759315</vt:lpwstr>
      </vt:variant>
      <vt:variant>
        <vt:i4>1769520</vt:i4>
      </vt:variant>
      <vt:variant>
        <vt:i4>1157</vt:i4>
      </vt:variant>
      <vt:variant>
        <vt:i4>0</vt:i4>
      </vt:variant>
      <vt:variant>
        <vt:i4>5</vt:i4>
      </vt:variant>
      <vt:variant>
        <vt:lpwstr/>
      </vt:variant>
      <vt:variant>
        <vt:lpwstr>_Toc432759314</vt:lpwstr>
      </vt:variant>
      <vt:variant>
        <vt:i4>1769520</vt:i4>
      </vt:variant>
      <vt:variant>
        <vt:i4>1151</vt:i4>
      </vt:variant>
      <vt:variant>
        <vt:i4>0</vt:i4>
      </vt:variant>
      <vt:variant>
        <vt:i4>5</vt:i4>
      </vt:variant>
      <vt:variant>
        <vt:lpwstr/>
      </vt:variant>
      <vt:variant>
        <vt:lpwstr>_Toc432759313</vt:lpwstr>
      </vt:variant>
      <vt:variant>
        <vt:i4>1769520</vt:i4>
      </vt:variant>
      <vt:variant>
        <vt:i4>1145</vt:i4>
      </vt:variant>
      <vt:variant>
        <vt:i4>0</vt:i4>
      </vt:variant>
      <vt:variant>
        <vt:i4>5</vt:i4>
      </vt:variant>
      <vt:variant>
        <vt:lpwstr/>
      </vt:variant>
      <vt:variant>
        <vt:lpwstr>_Toc432759312</vt:lpwstr>
      </vt:variant>
      <vt:variant>
        <vt:i4>1769520</vt:i4>
      </vt:variant>
      <vt:variant>
        <vt:i4>1139</vt:i4>
      </vt:variant>
      <vt:variant>
        <vt:i4>0</vt:i4>
      </vt:variant>
      <vt:variant>
        <vt:i4>5</vt:i4>
      </vt:variant>
      <vt:variant>
        <vt:lpwstr/>
      </vt:variant>
      <vt:variant>
        <vt:lpwstr>_Toc432759311</vt:lpwstr>
      </vt:variant>
      <vt:variant>
        <vt:i4>1769520</vt:i4>
      </vt:variant>
      <vt:variant>
        <vt:i4>1133</vt:i4>
      </vt:variant>
      <vt:variant>
        <vt:i4>0</vt:i4>
      </vt:variant>
      <vt:variant>
        <vt:i4>5</vt:i4>
      </vt:variant>
      <vt:variant>
        <vt:lpwstr/>
      </vt:variant>
      <vt:variant>
        <vt:lpwstr>_Toc432759310</vt:lpwstr>
      </vt:variant>
      <vt:variant>
        <vt:i4>1703984</vt:i4>
      </vt:variant>
      <vt:variant>
        <vt:i4>1127</vt:i4>
      </vt:variant>
      <vt:variant>
        <vt:i4>0</vt:i4>
      </vt:variant>
      <vt:variant>
        <vt:i4>5</vt:i4>
      </vt:variant>
      <vt:variant>
        <vt:lpwstr/>
      </vt:variant>
      <vt:variant>
        <vt:lpwstr>_Toc432759309</vt:lpwstr>
      </vt:variant>
      <vt:variant>
        <vt:i4>1703984</vt:i4>
      </vt:variant>
      <vt:variant>
        <vt:i4>1121</vt:i4>
      </vt:variant>
      <vt:variant>
        <vt:i4>0</vt:i4>
      </vt:variant>
      <vt:variant>
        <vt:i4>5</vt:i4>
      </vt:variant>
      <vt:variant>
        <vt:lpwstr/>
      </vt:variant>
      <vt:variant>
        <vt:lpwstr>_Toc432759308</vt:lpwstr>
      </vt:variant>
      <vt:variant>
        <vt:i4>1703984</vt:i4>
      </vt:variant>
      <vt:variant>
        <vt:i4>1115</vt:i4>
      </vt:variant>
      <vt:variant>
        <vt:i4>0</vt:i4>
      </vt:variant>
      <vt:variant>
        <vt:i4>5</vt:i4>
      </vt:variant>
      <vt:variant>
        <vt:lpwstr/>
      </vt:variant>
      <vt:variant>
        <vt:lpwstr>_Toc432759307</vt:lpwstr>
      </vt:variant>
      <vt:variant>
        <vt:i4>1703984</vt:i4>
      </vt:variant>
      <vt:variant>
        <vt:i4>1109</vt:i4>
      </vt:variant>
      <vt:variant>
        <vt:i4>0</vt:i4>
      </vt:variant>
      <vt:variant>
        <vt:i4>5</vt:i4>
      </vt:variant>
      <vt:variant>
        <vt:lpwstr/>
      </vt:variant>
      <vt:variant>
        <vt:lpwstr>_Toc432759306</vt:lpwstr>
      </vt:variant>
      <vt:variant>
        <vt:i4>1703984</vt:i4>
      </vt:variant>
      <vt:variant>
        <vt:i4>1103</vt:i4>
      </vt:variant>
      <vt:variant>
        <vt:i4>0</vt:i4>
      </vt:variant>
      <vt:variant>
        <vt:i4>5</vt:i4>
      </vt:variant>
      <vt:variant>
        <vt:lpwstr/>
      </vt:variant>
      <vt:variant>
        <vt:lpwstr>_Toc432759305</vt:lpwstr>
      </vt:variant>
      <vt:variant>
        <vt:i4>1703984</vt:i4>
      </vt:variant>
      <vt:variant>
        <vt:i4>1097</vt:i4>
      </vt:variant>
      <vt:variant>
        <vt:i4>0</vt:i4>
      </vt:variant>
      <vt:variant>
        <vt:i4>5</vt:i4>
      </vt:variant>
      <vt:variant>
        <vt:lpwstr/>
      </vt:variant>
      <vt:variant>
        <vt:lpwstr>_Toc432759304</vt:lpwstr>
      </vt:variant>
      <vt:variant>
        <vt:i4>1703984</vt:i4>
      </vt:variant>
      <vt:variant>
        <vt:i4>1091</vt:i4>
      </vt:variant>
      <vt:variant>
        <vt:i4>0</vt:i4>
      </vt:variant>
      <vt:variant>
        <vt:i4>5</vt:i4>
      </vt:variant>
      <vt:variant>
        <vt:lpwstr/>
      </vt:variant>
      <vt:variant>
        <vt:lpwstr>_Toc432759303</vt:lpwstr>
      </vt:variant>
      <vt:variant>
        <vt:i4>1703984</vt:i4>
      </vt:variant>
      <vt:variant>
        <vt:i4>1085</vt:i4>
      </vt:variant>
      <vt:variant>
        <vt:i4>0</vt:i4>
      </vt:variant>
      <vt:variant>
        <vt:i4>5</vt:i4>
      </vt:variant>
      <vt:variant>
        <vt:lpwstr/>
      </vt:variant>
      <vt:variant>
        <vt:lpwstr>_Toc432759302</vt:lpwstr>
      </vt:variant>
      <vt:variant>
        <vt:i4>1703984</vt:i4>
      </vt:variant>
      <vt:variant>
        <vt:i4>1079</vt:i4>
      </vt:variant>
      <vt:variant>
        <vt:i4>0</vt:i4>
      </vt:variant>
      <vt:variant>
        <vt:i4>5</vt:i4>
      </vt:variant>
      <vt:variant>
        <vt:lpwstr/>
      </vt:variant>
      <vt:variant>
        <vt:lpwstr>_Toc432759301</vt:lpwstr>
      </vt:variant>
      <vt:variant>
        <vt:i4>1703984</vt:i4>
      </vt:variant>
      <vt:variant>
        <vt:i4>1073</vt:i4>
      </vt:variant>
      <vt:variant>
        <vt:i4>0</vt:i4>
      </vt:variant>
      <vt:variant>
        <vt:i4>5</vt:i4>
      </vt:variant>
      <vt:variant>
        <vt:lpwstr/>
      </vt:variant>
      <vt:variant>
        <vt:lpwstr>_Toc432759300</vt:lpwstr>
      </vt:variant>
      <vt:variant>
        <vt:i4>1245233</vt:i4>
      </vt:variant>
      <vt:variant>
        <vt:i4>1067</vt:i4>
      </vt:variant>
      <vt:variant>
        <vt:i4>0</vt:i4>
      </vt:variant>
      <vt:variant>
        <vt:i4>5</vt:i4>
      </vt:variant>
      <vt:variant>
        <vt:lpwstr/>
      </vt:variant>
      <vt:variant>
        <vt:lpwstr>_Toc432759299</vt:lpwstr>
      </vt:variant>
      <vt:variant>
        <vt:i4>1245233</vt:i4>
      </vt:variant>
      <vt:variant>
        <vt:i4>1061</vt:i4>
      </vt:variant>
      <vt:variant>
        <vt:i4>0</vt:i4>
      </vt:variant>
      <vt:variant>
        <vt:i4>5</vt:i4>
      </vt:variant>
      <vt:variant>
        <vt:lpwstr/>
      </vt:variant>
      <vt:variant>
        <vt:lpwstr>_Toc432759298</vt:lpwstr>
      </vt:variant>
      <vt:variant>
        <vt:i4>1245233</vt:i4>
      </vt:variant>
      <vt:variant>
        <vt:i4>1055</vt:i4>
      </vt:variant>
      <vt:variant>
        <vt:i4>0</vt:i4>
      </vt:variant>
      <vt:variant>
        <vt:i4>5</vt:i4>
      </vt:variant>
      <vt:variant>
        <vt:lpwstr/>
      </vt:variant>
      <vt:variant>
        <vt:lpwstr>_Toc432759297</vt:lpwstr>
      </vt:variant>
      <vt:variant>
        <vt:i4>1245233</vt:i4>
      </vt:variant>
      <vt:variant>
        <vt:i4>1049</vt:i4>
      </vt:variant>
      <vt:variant>
        <vt:i4>0</vt:i4>
      </vt:variant>
      <vt:variant>
        <vt:i4>5</vt:i4>
      </vt:variant>
      <vt:variant>
        <vt:lpwstr/>
      </vt:variant>
      <vt:variant>
        <vt:lpwstr>_Toc432759296</vt:lpwstr>
      </vt:variant>
      <vt:variant>
        <vt:i4>1245233</vt:i4>
      </vt:variant>
      <vt:variant>
        <vt:i4>1043</vt:i4>
      </vt:variant>
      <vt:variant>
        <vt:i4>0</vt:i4>
      </vt:variant>
      <vt:variant>
        <vt:i4>5</vt:i4>
      </vt:variant>
      <vt:variant>
        <vt:lpwstr/>
      </vt:variant>
      <vt:variant>
        <vt:lpwstr>_Toc432759295</vt:lpwstr>
      </vt:variant>
      <vt:variant>
        <vt:i4>1245233</vt:i4>
      </vt:variant>
      <vt:variant>
        <vt:i4>1037</vt:i4>
      </vt:variant>
      <vt:variant>
        <vt:i4>0</vt:i4>
      </vt:variant>
      <vt:variant>
        <vt:i4>5</vt:i4>
      </vt:variant>
      <vt:variant>
        <vt:lpwstr/>
      </vt:variant>
      <vt:variant>
        <vt:lpwstr>_Toc432759294</vt:lpwstr>
      </vt:variant>
      <vt:variant>
        <vt:i4>1245233</vt:i4>
      </vt:variant>
      <vt:variant>
        <vt:i4>1031</vt:i4>
      </vt:variant>
      <vt:variant>
        <vt:i4>0</vt:i4>
      </vt:variant>
      <vt:variant>
        <vt:i4>5</vt:i4>
      </vt:variant>
      <vt:variant>
        <vt:lpwstr/>
      </vt:variant>
      <vt:variant>
        <vt:lpwstr>_Toc432759293</vt:lpwstr>
      </vt:variant>
      <vt:variant>
        <vt:i4>1245233</vt:i4>
      </vt:variant>
      <vt:variant>
        <vt:i4>1025</vt:i4>
      </vt:variant>
      <vt:variant>
        <vt:i4>0</vt:i4>
      </vt:variant>
      <vt:variant>
        <vt:i4>5</vt:i4>
      </vt:variant>
      <vt:variant>
        <vt:lpwstr/>
      </vt:variant>
      <vt:variant>
        <vt:lpwstr>_Toc432759292</vt:lpwstr>
      </vt:variant>
      <vt:variant>
        <vt:i4>1245233</vt:i4>
      </vt:variant>
      <vt:variant>
        <vt:i4>1019</vt:i4>
      </vt:variant>
      <vt:variant>
        <vt:i4>0</vt:i4>
      </vt:variant>
      <vt:variant>
        <vt:i4>5</vt:i4>
      </vt:variant>
      <vt:variant>
        <vt:lpwstr/>
      </vt:variant>
      <vt:variant>
        <vt:lpwstr>_Toc432759291</vt:lpwstr>
      </vt:variant>
      <vt:variant>
        <vt:i4>1245233</vt:i4>
      </vt:variant>
      <vt:variant>
        <vt:i4>1013</vt:i4>
      </vt:variant>
      <vt:variant>
        <vt:i4>0</vt:i4>
      </vt:variant>
      <vt:variant>
        <vt:i4>5</vt:i4>
      </vt:variant>
      <vt:variant>
        <vt:lpwstr/>
      </vt:variant>
      <vt:variant>
        <vt:lpwstr>_Toc432759290</vt:lpwstr>
      </vt:variant>
      <vt:variant>
        <vt:i4>1179697</vt:i4>
      </vt:variant>
      <vt:variant>
        <vt:i4>1007</vt:i4>
      </vt:variant>
      <vt:variant>
        <vt:i4>0</vt:i4>
      </vt:variant>
      <vt:variant>
        <vt:i4>5</vt:i4>
      </vt:variant>
      <vt:variant>
        <vt:lpwstr/>
      </vt:variant>
      <vt:variant>
        <vt:lpwstr>_Toc432759289</vt:lpwstr>
      </vt:variant>
      <vt:variant>
        <vt:i4>1179697</vt:i4>
      </vt:variant>
      <vt:variant>
        <vt:i4>1001</vt:i4>
      </vt:variant>
      <vt:variant>
        <vt:i4>0</vt:i4>
      </vt:variant>
      <vt:variant>
        <vt:i4>5</vt:i4>
      </vt:variant>
      <vt:variant>
        <vt:lpwstr/>
      </vt:variant>
      <vt:variant>
        <vt:lpwstr>_Toc432759288</vt:lpwstr>
      </vt:variant>
      <vt:variant>
        <vt:i4>1179697</vt:i4>
      </vt:variant>
      <vt:variant>
        <vt:i4>995</vt:i4>
      </vt:variant>
      <vt:variant>
        <vt:i4>0</vt:i4>
      </vt:variant>
      <vt:variant>
        <vt:i4>5</vt:i4>
      </vt:variant>
      <vt:variant>
        <vt:lpwstr/>
      </vt:variant>
      <vt:variant>
        <vt:lpwstr>_Toc432759287</vt:lpwstr>
      </vt:variant>
      <vt:variant>
        <vt:i4>1179697</vt:i4>
      </vt:variant>
      <vt:variant>
        <vt:i4>989</vt:i4>
      </vt:variant>
      <vt:variant>
        <vt:i4>0</vt:i4>
      </vt:variant>
      <vt:variant>
        <vt:i4>5</vt:i4>
      </vt:variant>
      <vt:variant>
        <vt:lpwstr/>
      </vt:variant>
      <vt:variant>
        <vt:lpwstr>_Toc432759286</vt:lpwstr>
      </vt:variant>
      <vt:variant>
        <vt:i4>1179697</vt:i4>
      </vt:variant>
      <vt:variant>
        <vt:i4>983</vt:i4>
      </vt:variant>
      <vt:variant>
        <vt:i4>0</vt:i4>
      </vt:variant>
      <vt:variant>
        <vt:i4>5</vt:i4>
      </vt:variant>
      <vt:variant>
        <vt:lpwstr/>
      </vt:variant>
      <vt:variant>
        <vt:lpwstr>_Toc432759285</vt:lpwstr>
      </vt:variant>
      <vt:variant>
        <vt:i4>1179697</vt:i4>
      </vt:variant>
      <vt:variant>
        <vt:i4>977</vt:i4>
      </vt:variant>
      <vt:variant>
        <vt:i4>0</vt:i4>
      </vt:variant>
      <vt:variant>
        <vt:i4>5</vt:i4>
      </vt:variant>
      <vt:variant>
        <vt:lpwstr/>
      </vt:variant>
      <vt:variant>
        <vt:lpwstr>_Toc432759284</vt:lpwstr>
      </vt:variant>
      <vt:variant>
        <vt:i4>1179697</vt:i4>
      </vt:variant>
      <vt:variant>
        <vt:i4>971</vt:i4>
      </vt:variant>
      <vt:variant>
        <vt:i4>0</vt:i4>
      </vt:variant>
      <vt:variant>
        <vt:i4>5</vt:i4>
      </vt:variant>
      <vt:variant>
        <vt:lpwstr/>
      </vt:variant>
      <vt:variant>
        <vt:lpwstr>_Toc432759283</vt:lpwstr>
      </vt:variant>
      <vt:variant>
        <vt:i4>1179697</vt:i4>
      </vt:variant>
      <vt:variant>
        <vt:i4>965</vt:i4>
      </vt:variant>
      <vt:variant>
        <vt:i4>0</vt:i4>
      </vt:variant>
      <vt:variant>
        <vt:i4>5</vt:i4>
      </vt:variant>
      <vt:variant>
        <vt:lpwstr/>
      </vt:variant>
      <vt:variant>
        <vt:lpwstr>_Toc432759282</vt:lpwstr>
      </vt:variant>
      <vt:variant>
        <vt:i4>1179697</vt:i4>
      </vt:variant>
      <vt:variant>
        <vt:i4>959</vt:i4>
      </vt:variant>
      <vt:variant>
        <vt:i4>0</vt:i4>
      </vt:variant>
      <vt:variant>
        <vt:i4>5</vt:i4>
      </vt:variant>
      <vt:variant>
        <vt:lpwstr/>
      </vt:variant>
      <vt:variant>
        <vt:lpwstr>_Toc432759281</vt:lpwstr>
      </vt:variant>
      <vt:variant>
        <vt:i4>1179697</vt:i4>
      </vt:variant>
      <vt:variant>
        <vt:i4>953</vt:i4>
      </vt:variant>
      <vt:variant>
        <vt:i4>0</vt:i4>
      </vt:variant>
      <vt:variant>
        <vt:i4>5</vt:i4>
      </vt:variant>
      <vt:variant>
        <vt:lpwstr/>
      </vt:variant>
      <vt:variant>
        <vt:lpwstr>_Toc432759280</vt:lpwstr>
      </vt:variant>
      <vt:variant>
        <vt:i4>1900593</vt:i4>
      </vt:variant>
      <vt:variant>
        <vt:i4>947</vt:i4>
      </vt:variant>
      <vt:variant>
        <vt:i4>0</vt:i4>
      </vt:variant>
      <vt:variant>
        <vt:i4>5</vt:i4>
      </vt:variant>
      <vt:variant>
        <vt:lpwstr/>
      </vt:variant>
      <vt:variant>
        <vt:lpwstr>_Toc432759279</vt:lpwstr>
      </vt:variant>
      <vt:variant>
        <vt:i4>1900593</vt:i4>
      </vt:variant>
      <vt:variant>
        <vt:i4>941</vt:i4>
      </vt:variant>
      <vt:variant>
        <vt:i4>0</vt:i4>
      </vt:variant>
      <vt:variant>
        <vt:i4>5</vt:i4>
      </vt:variant>
      <vt:variant>
        <vt:lpwstr/>
      </vt:variant>
      <vt:variant>
        <vt:lpwstr>_Toc432759278</vt:lpwstr>
      </vt:variant>
      <vt:variant>
        <vt:i4>1900593</vt:i4>
      </vt:variant>
      <vt:variant>
        <vt:i4>935</vt:i4>
      </vt:variant>
      <vt:variant>
        <vt:i4>0</vt:i4>
      </vt:variant>
      <vt:variant>
        <vt:i4>5</vt:i4>
      </vt:variant>
      <vt:variant>
        <vt:lpwstr/>
      </vt:variant>
      <vt:variant>
        <vt:lpwstr>_Toc432759277</vt:lpwstr>
      </vt:variant>
      <vt:variant>
        <vt:i4>1900593</vt:i4>
      </vt:variant>
      <vt:variant>
        <vt:i4>929</vt:i4>
      </vt:variant>
      <vt:variant>
        <vt:i4>0</vt:i4>
      </vt:variant>
      <vt:variant>
        <vt:i4>5</vt:i4>
      </vt:variant>
      <vt:variant>
        <vt:lpwstr/>
      </vt:variant>
      <vt:variant>
        <vt:lpwstr>_Toc432759276</vt:lpwstr>
      </vt:variant>
      <vt:variant>
        <vt:i4>1900593</vt:i4>
      </vt:variant>
      <vt:variant>
        <vt:i4>923</vt:i4>
      </vt:variant>
      <vt:variant>
        <vt:i4>0</vt:i4>
      </vt:variant>
      <vt:variant>
        <vt:i4>5</vt:i4>
      </vt:variant>
      <vt:variant>
        <vt:lpwstr/>
      </vt:variant>
      <vt:variant>
        <vt:lpwstr>_Toc432759275</vt:lpwstr>
      </vt:variant>
      <vt:variant>
        <vt:i4>1900593</vt:i4>
      </vt:variant>
      <vt:variant>
        <vt:i4>917</vt:i4>
      </vt:variant>
      <vt:variant>
        <vt:i4>0</vt:i4>
      </vt:variant>
      <vt:variant>
        <vt:i4>5</vt:i4>
      </vt:variant>
      <vt:variant>
        <vt:lpwstr/>
      </vt:variant>
      <vt:variant>
        <vt:lpwstr>_Toc432759274</vt:lpwstr>
      </vt:variant>
      <vt:variant>
        <vt:i4>1900593</vt:i4>
      </vt:variant>
      <vt:variant>
        <vt:i4>911</vt:i4>
      </vt:variant>
      <vt:variant>
        <vt:i4>0</vt:i4>
      </vt:variant>
      <vt:variant>
        <vt:i4>5</vt:i4>
      </vt:variant>
      <vt:variant>
        <vt:lpwstr/>
      </vt:variant>
      <vt:variant>
        <vt:lpwstr>_Toc432759273</vt:lpwstr>
      </vt:variant>
      <vt:variant>
        <vt:i4>1900593</vt:i4>
      </vt:variant>
      <vt:variant>
        <vt:i4>905</vt:i4>
      </vt:variant>
      <vt:variant>
        <vt:i4>0</vt:i4>
      </vt:variant>
      <vt:variant>
        <vt:i4>5</vt:i4>
      </vt:variant>
      <vt:variant>
        <vt:lpwstr/>
      </vt:variant>
      <vt:variant>
        <vt:lpwstr>_Toc432759272</vt:lpwstr>
      </vt:variant>
      <vt:variant>
        <vt:i4>1900593</vt:i4>
      </vt:variant>
      <vt:variant>
        <vt:i4>899</vt:i4>
      </vt:variant>
      <vt:variant>
        <vt:i4>0</vt:i4>
      </vt:variant>
      <vt:variant>
        <vt:i4>5</vt:i4>
      </vt:variant>
      <vt:variant>
        <vt:lpwstr/>
      </vt:variant>
      <vt:variant>
        <vt:lpwstr>_Toc432759271</vt:lpwstr>
      </vt:variant>
      <vt:variant>
        <vt:i4>1900593</vt:i4>
      </vt:variant>
      <vt:variant>
        <vt:i4>893</vt:i4>
      </vt:variant>
      <vt:variant>
        <vt:i4>0</vt:i4>
      </vt:variant>
      <vt:variant>
        <vt:i4>5</vt:i4>
      </vt:variant>
      <vt:variant>
        <vt:lpwstr/>
      </vt:variant>
      <vt:variant>
        <vt:lpwstr>_Toc432759270</vt:lpwstr>
      </vt:variant>
      <vt:variant>
        <vt:i4>1835057</vt:i4>
      </vt:variant>
      <vt:variant>
        <vt:i4>887</vt:i4>
      </vt:variant>
      <vt:variant>
        <vt:i4>0</vt:i4>
      </vt:variant>
      <vt:variant>
        <vt:i4>5</vt:i4>
      </vt:variant>
      <vt:variant>
        <vt:lpwstr/>
      </vt:variant>
      <vt:variant>
        <vt:lpwstr>_Toc432759269</vt:lpwstr>
      </vt:variant>
      <vt:variant>
        <vt:i4>1835057</vt:i4>
      </vt:variant>
      <vt:variant>
        <vt:i4>881</vt:i4>
      </vt:variant>
      <vt:variant>
        <vt:i4>0</vt:i4>
      </vt:variant>
      <vt:variant>
        <vt:i4>5</vt:i4>
      </vt:variant>
      <vt:variant>
        <vt:lpwstr/>
      </vt:variant>
      <vt:variant>
        <vt:lpwstr>_Toc432759268</vt:lpwstr>
      </vt:variant>
      <vt:variant>
        <vt:i4>1835057</vt:i4>
      </vt:variant>
      <vt:variant>
        <vt:i4>875</vt:i4>
      </vt:variant>
      <vt:variant>
        <vt:i4>0</vt:i4>
      </vt:variant>
      <vt:variant>
        <vt:i4>5</vt:i4>
      </vt:variant>
      <vt:variant>
        <vt:lpwstr/>
      </vt:variant>
      <vt:variant>
        <vt:lpwstr>_Toc432759267</vt:lpwstr>
      </vt:variant>
      <vt:variant>
        <vt:i4>1835057</vt:i4>
      </vt:variant>
      <vt:variant>
        <vt:i4>869</vt:i4>
      </vt:variant>
      <vt:variant>
        <vt:i4>0</vt:i4>
      </vt:variant>
      <vt:variant>
        <vt:i4>5</vt:i4>
      </vt:variant>
      <vt:variant>
        <vt:lpwstr/>
      </vt:variant>
      <vt:variant>
        <vt:lpwstr>_Toc432759266</vt:lpwstr>
      </vt:variant>
      <vt:variant>
        <vt:i4>1835057</vt:i4>
      </vt:variant>
      <vt:variant>
        <vt:i4>863</vt:i4>
      </vt:variant>
      <vt:variant>
        <vt:i4>0</vt:i4>
      </vt:variant>
      <vt:variant>
        <vt:i4>5</vt:i4>
      </vt:variant>
      <vt:variant>
        <vt:lpwstr/>
      </vt:variant>
      <vt:variant>
        <vt:lpwstr>_Toc432759265</vt:lpwstr>
      </vt:variant>
      <vt:variant>
        <vt:i4>1835057</vt:i4>
      </vt:variant>
      <vt:variant>
        <vt:i4>857</vt:i4>
      </vt:variant>
      <vt:variant>
        <vt:i4>0</vt:i4>
      </vt:variant>
      <vt:variant>
        <vt:i4>5</vt:i4>
      </vt:variant>
      <vt:variant>
        <vt:lpwstr/>
      </vt:variant>
      <vt:variant>
        <vt:lpwstr>_Toc432759264</vt:lpwstr>
      </vt:variant>
      <vt:variant>
        <vt:i4>1835057</vt:i4>
      </vt:variant>
      <vt:variant>
        <vt:i4>851</vt:i4>
      </vt:variant>
      <vt:variant>
        <vt:i4>0</vt:i4>
      </vt:variant>
      <vt:variant>
        <vt:i4>5</vt:i4>
      </vt:variant>
      <vt:variant>
        <vt:lpwstr/>
      </vt:variant>
      <vt:variant>
        <vt:lpwstr>_Toc432759263</vt:lpwstr>
      </vt:variant>
      <vt:variant>
        <vt:i4>1835057</vt:i4>
      </vt:variant>
      <vt:variant>
        <vt:i4>845</vt:i4>
      </vt:variant>
      <vt:variant>
        <vt:i4>0</vt:i4>
      </vt:variant>
      <vt:variant>
        <vt:i4>5</vt:i4>
      </vt:variant>
      <vt:variant>
        <vt:lpwstr/>
      </vt:variant>
      <vt:variant>
        <vt:lpwstr>_Toc432759262</vt:lpwstr>
      </vt:variant>
      <vt:variant>
        <vt:i4>1835057</vt:i4>
      </vt:variant>
      <vt:variant>
        <vt:i4>839</vt:i4>
      </vt:variant>
      <vt:variant>
        <vt:i4>0</vt:i4>
      </vt:variant>
      <vt:variant>
        <vt:i4>5</vt:i4>
      </vt:variant>
      <vt:variant>
        <vt:lpwstr/>
      </vt:variant>
      <vt:variant>
        <vt:lpwstr>_Toc432759261</vt:lpwstr>
      </vt:variant>
      <vt:variant>
        <vt:i4>1835057</vt:i4>
      </vt:variant>
      <vt:variant>
        <vt:i4>833</vt:i4>
      </vt:variant>
      <vt:variant>
        <vt:i4>0</vt:i4>
      </vt:variant>
      <vt:variant>
        <vt:i4>5</vt:i4>
      </vt:variant>
      <vt:variant>
        <vt:lpwstr/>
      </vt:variant>
      <vt:variant>
        <vt:lpwstr>_Toc432759260</vt:lpwstr>
      </vt:variant>
      <vt:variant>
        <vt:i4>2031665</vt:i4>
      </vt:variant>
      <vt:variant>
        <vt:i4>827</vt:i4>
      </vt:variant>
      <vt:variant>
        <vt:i4>0</vt:i4>
      </vt:variant>
      <vt:variant>
        <vt:i4>5</vt:i4>
      </vt:variant>
      <vt:variant>
        <vt:lpwstr/>
      </vt:variant>
      <vt:variant>
        <vt:lpwstr>_Toc432759259</vt:lpwstr>
      </vt:variant>
      <vt:variant>
        <vt:i4>2031665</vt:i4>
      </vt:variant>
      <vt:variant>
        <vt:i4>821</vt:i4>
      </vt:variant>
      <vt:variant>
        <vt:i4>0</vt:i4>
      </vt:variant>
      <vt:variant>
        <vt:i4>5</vt:i4>
      </vt:variant>
      <vt:variant>
        <vt:lpwstr/>
      </vt:variant>
      <vt:variant>
        <vt:lpwstr>_Toc432759258</vt:lpwstr>
      </vt:variant>
      <vt:variant>
        <vt:i4>2031665</vt:i4>
      </vt:variant>
      <vt:variant>
        <vt:i4>815</vt:i4>
      </vt:variant>
      <vt:variant>
        <vt:i4>0</vt:i4>
      </vt:variant>
      <vt:variant>
        <vt:i4>5</vt:i4>
      </vt:variant>
      <vt:variant>
        <vt:lpwstr/>
      </vt:variant>
      <vt:variant>
        <vt:lpwstr>_Toc432759257</vt:lpwstr>
      </vt:variant>
      <vt:variant>
        <vt:i4>2031665</vt:i4>
      </vt:variant>
      <vt:variant>
        <vt:i4>809</vt:i4>
      </vt:variant>
      <vt:variant>
        <vt:i4>0</vt:i4>
      </vt:variant>
      <vt:variant>
        <vt:i4>5</vt:i4>
      </vt:variant>
      <vt:variant>
        <vt:lpwstr/>
      </vt:variant>
      <vt:variant>
        <vt:lpwstr>_Toc432759256</vt:lpwstr>
      </vt:variant>
      <vt:variant>
        <vt:i4>2031665</vt:i4>
      </vt:variant>
      <vt:variant>
        <vt:i4>803</vt:i4>
      </vt:variant>
      <vt:variant>
        <vt:i4>0</vt:i4>
      </vt:variant>
      <vt:variant>
        <vt:i4>5</vt:i4>
      </vt:variant>
      <vt:variant>
        <vt:lpwstr/>
      </vt:variant>
      <vt:variant>
        <vt:lpwstr>_Toc432759255</vt:lpwstr>
      </vt:variant>
      <vt:variant>
        <vt:i4>2031665</vt:i4>
      </vt:variant>
      <vt:variant>
        <vt:i4>797</vt:i4>
      </vt:variant>
      <vt:variant>
        <vt:i4>0</vt:i4>
      </vt:variant>
      <vt:variant>
        <vt:i4>5</vt:i4>
      </vt:variant>
      <vt:variant>
        <vt:lpwstr/>
      </vt:variant>
      <vt:variant>
        <vt:lpwstr>_Toc432759254</vt:lpwstr>
      </vt:variant>
      <vt:variant>
        <vt:i4>2031665</vt:i4>
      </vt:variant>
      <vt:variant>
        <vt:i4>791</vt:i4>
      </vt:variant>
      <vt:variant>
        <vt:i4>0</vt:i4>
      </vt:variant>
      <vt:variant>
        <vt:i4>5</vt:i4>
      </vt:variant>
      <vt:variant>
        <vt:lpwstr/>
      </vt:variant>
      <vt:variant>
        <vt:lpwstr>_Toc432759253</vt:lpwstr>
      </vt:variant>
      <vt:variant>
        <vt:i4>2031665</vt:i4>
      </vt:variant>
      <vt:variant>
        <vt:i4>785</vt:i4>
      </vt:variant>
      <vt:variant>
        <vt:i4>0</vt:i4>
      </vt:variant>
      <vt:variant>
        <vt:i4>5</vt:i4>
      </vt:variant>
      <vt:variant>
        <vt:lpwstr/>
      </vt:variant>
      <vt:variant>
        <vt:lpwstr>_Toc432759252</vt:lpwstr>
      </vt:variant>
      <vt:variant>
        <vt:i4>2031665</vt:i4>
      </vt:variant>
      <vt:variant>
        <vt:i4>779</vt:i4>
      </vt:variant>
      <vt:variant>
        <vt:i4>0</vt:i4>
      </vt:variant>
      <vt:variant>
        <vt:i4>5</vt:i4>
      </vt:variant>
      <vt:variant>
        <vt:lpwstr/>
      </vt:variant>
      <vt:variant>
        <vt:lpwstr>_Toc432759251</vt:lpwstr>
      </vt:variant>
      <vt:variant>
        <vt:i4>2031665</vt:i4>
      </vt:variant>
      <vt:variant>
        <vt:i4>773</vt:i4>
      </vt:variant>
      <vt:variant>
        <vt:i4>0</vt:i4>
      </vt:variant>
      <vt:variant>
        <vt:i4>5</vt:i4>
      </vt:variant>
      <vt:variant>
        <vt:lpwstr/>
      </vt:variant>
      <vt:variant>
        <vt:lpwstr>_Toc432759250</vt:lpwstr>
      </vt:variant>
      <vt:variant>
        <vt:i4>1966129</vt:i4>
      </vt:variant>
      <vt:variant>
        <vt:i4>767</vt:i4>
      </vt:variant>
      <vt:variant>
        <vt:i4>0</vt:i4>
      </vt:variant>
      <vt:variant>
        <vt:i4>5</vt:i4>
      </vt:variant>
      <vt:variant>
        <vt:lpwstr/>
      </vt:variant>
      <vt:variant>
        <vt:lpwstr>_Toc432759249</vt:lpwstr>
      </vt:variant>
      <vt:variant>
        <vt:i4>1966129</vt:i4>
      </vt:variant>
      <vt:variant>
        <vt:i4>761</vt:i4>
      </vt:variant>
      <vt:variant>
        <vt:i4>0</vt:i4>
      </vt:variant>
      <vt:variant>
        <vt:i4>5</vt:i4>
      </vt:variant>
      <vt:variant>
        <vt:lpwstr/>
      </vt:variant>
      <vt:variant>
        <vt:lpwstr>_Toc432759248</vt:lpwstr>
      </vt:variant>
      <vt:variant>
        <vt:i4>1966129</vt:i4>
      </vt:variant>
      <vt:variant>
        <vt:i4>755</vt:i4>
      </vt:variant>
      <vt:variant>
        <vt:i4>0</vt:i4>
      </vt:variant>
      <vt:variant>
        <vt:i4>5</vt:i4>
      </vt:variant>
      <vt:variant>
        <vt:lpwstr/>
      </vt:variant>
      <vt:variant>
        <vt:lpwstr>_Toc432759247</vt:lpwstr>
      </vt:variant>
      <vt:variant>
        <vt:i4>1966129</vt:i4>
      </vt:variant>
      <vt:variant>
        <vt:i4>749</vt:i4>
      </vt:variant>
      <vt:variant>
        <vt:i4>0</vt:i4>
      </vt:variant>
      <vt:variant>
        <vt:i4>5</vt:i4>
      </vt:variant>
      <vt:variant>
        <vt:lpwstr/>
      </vt:variant>
      <vt:variant>
        <vt:lpwstr>_Toc432759246</vt:lpwstr>
      </vt:variant>
      <vt:variant>
        <vt:i4>1966129</vt:i4>
      </vt:variant>
      <vt:variant>
        <vt:i4>743</vt:i4>
      </vt:variant>
      <vt:variant>
        <vt:i4>0</vt:i4>
      </vt:variant>
      <vt:variant>
        <vt:i4>5</vt:i4>
      </vt:variant>
      <vt:variant>
        <vt:lpwstr/>
      </vt:variant>
      <vt:variant>
        <vt:lpwstr>_Toc432759245</vt:lpwstr>
      </vt:variant>
      <vt:variant>
        <vt:i4>1966129</vt:i4>
      </vt:variant>
      <vt:variant>
        <vt:i4>737</vt:i4>
      </vt:variant>
      <vt:variant>
        <vt:i4>0</vt:i4>
      </vt:variant>
      <vt:variant>
        <vt:i4>5</vt:i4>
      </vt:variant>
      <vt:variant>
        <vt:lpwstr/>
      </vt:variant>
      <vt:variant>
        <vt:lpwstr>_Toc432759244</vt:lpwstr>
      </vt:variant>
      <vt:variant>
        <vt:i4>1966129</vt:i4>
      </vt:variant>
      <vt:variant>
        <vt:i4>731</vt:i4>
      </vt:variant>
      <vt:variant>
        <vt:i4>0</vt:i4>
      </vt:variant>
      <vt:variant>
        <vt:i4>5</vt:i4>
      </vt:variant>
      <vt:variant>
        <vt:lpwstr/>
      </vt:variant>
      <vt:variant>
        <vt:lpwstr>_Toc432759243</vt:lpwstr>
      </vt:variant>
      <vt:variant>
        <vt:i4>1966129</vt:i4>
      </vt:variant>
      <vt:variant>
        <vt:i4>722</vt:i4>
      </vt:variant>
      <vt:variant>
        <vt:i4>0</vt:i4>
      </vt:variant>
      <vt:variant>
        <vt:i4>5</vt:i4>
      </vt:variant>
      <vt:variant>
        <vt:lpwstr/>
      </vt:variant>
      <vt:variant>
        <vt:lpwstr>_Toc432759242</vt:lpwstr>
      </vt:variant>
      <vt:variant>
        <vt:i4>1966129</vt:i4>
      </vt:variant>
      <vt:variant>
        <vt:i4>716</vt:i4>
      </vt:variant>
      <vt:variant>
        <vt:i4>0</vt:i4>
      </vt:variant>
      <vt:variant>
        <vt:i4>5</vt:i4>
      </vt:variant>
      <vt:variant>
        <vt:lpwstr/>
      </vt:variant>
      <vt:variant>
        <vt:lpwstr>_Toc432759241</vt:lpwstr>
      </vt:variant>
      <vt:variant>
        <vt:i4>1966129</vt:i4>
      </vt:variant>
      <vt:variant>
        <vt:i4>710</vt:i4>
      </vt:variant>
      <vt:variant>
        <vt:i4>0</vt:i4>
      </vt:variant>
      <vt:variant>
        <vt:i4>5</vt:i4>
      </vt:variant>
      <vt:variant>
        <vt:lpwstr/>
      </vt:variant>
      <vt:variant>
        <vt:lpwstr>_Toc432759240</vt:lpwstr>
      </vt:variant>
      <vt:variant>
        <vt:i4>1638449</vt:i4>
      </vt:variant>
      <vt:variant>
        <vt:i4>704</vt:i4>
      </vt:variant>
      <vt:variant>
        <vt:i4>0</vt:i4>
      </vt:variant>
      <vt:variant>
        <vt:i4>5</vt:i4>
      </vt:variant>
      <vt:variant>
        <vt:lpwstr/>
      </vt:variant>
      <vt:variant>
        <vt:lpwstr>_Toc432759239</vt:lpwstr>
      </vt:variant>
      <vt:variant>
        <vt:i4>1638449</vt:i4>
      </vt:variant>
      <vt:variant>
        <vt:i4>698</vt:i4>
      </vt:variant>
      <vt:variant>
        <vt:i4>0</vt:i4>
      </vt:variant>
      <vt:variant>
        <vt:i4>5</vt:i4>
      </vt:variant>
      <vt:variant>
        <vt:lpwstr/>
      </vt:variant>
      <vt:variant>
        <vt:lpwstr>_Toc432759238</vt:lpwstr>
      </vt:variant>
      <vt:variant>
        <vt:i4>1638449</vt:i4>
      </vt:variant>
      <vt:variant>
        <vt:i4>692</vt:i4>
      </vt:variant>
      <vt:variant>
        <vt:i4>0</vt:i4>
      </vt:variant>
      <vt:variant>
        <vt:i4>5</vt:i4>
      </vt:variant>
      <vt:variant>
        <vt:lpwstr/>
      </vt:variant>
      <vt:variant>
        <vt:lpwstr>_Toc432759237</vt:lpwstr>
      </vt:variant>
      <vt:variant>
        <vt:i4>1638449</vt:i4>
      </vt:variant>
      <vt:variant>
        <vt:i4>686</vt:i4>
      </vt:variant>
      <vt:variant>
        <vt:i4>0</vt:i4>
      </vt:variant>
      <vt:variant>
        <vt:i4>5</vt:i4>
      </vt:variant>
      <vt:variant>
        <vt:lpwstr/>
      </vt:variant>
      <vt:variant>
        <vt:lpwstr>_Toc432759236</vt:lpwstr>
      </vt:variant>
      <vt:variant>
        <vt:i4>1638449</vt:i4>
      </vt:variant>
      <vt:variant>
        <vt:i4>680</vt:i4>
      </vt:variant>
      <vt:variant>
        <vt:i4>0</vt:i4>
      </vt:variant>
      <vt:variant>
        <vt:i4>5</vt:i4>
      </vt:variant>
      <vt:variant>
        <vt:lpwstr/>
      </vt:variant>
      <vt:variant>
        <vt:lpwstr>_Toc432759235</vt:lpwstr>
      </vt:variant>
      <vt:variant>
        <vt:i4>1638449</vt:i4>
      </vt:variant>
      <vt:variant>
        <vt:i4>674</vt:i4>
      </vt:variant>
      <vt:variant>
        <vt:i4>0</vt:i4>
      </vt:variant>
      <vt:variant>
        <vt:i4>5</vt:i4>
      </vt:variant>
      <vt:variant>
        <vt:lpwstr/>
      </vt:variant>
      <vt:variant>
        <vt:lpwstr>_Toc432759234</vt:lpwstr>
      </vt:variant>
      <vt:variant>
        <vt:i4>1638449</vt:i4>
      </vt:variant>
      <vt:variant>
        <vt:i4>668</vt:i4>
      </vt:variant>
      <vt:variant>
        <vt:i4>0</vt:i4>
      </vt:variant>
      <vt:variant>
        <vt:i4>5</vt:i4>
      </vt:variant>
      <vt:variant>
        <vt:lpwstr/>
      </vt:variant>
      <vt:variant>
        <vt:lpwstr>_Toc432759233</vt:lpwstr>
      </vt:variant>
      <vt:variant>
        <vt:i4>1638449</vt:i4>
      </vt:variant>
      <vt:variant>
        <vt:i4>662</vt:i4>
      </vt:variant>
      <vt:variant>
        <vt:i4>0</vt:i4>
      </vt:variant>
      <vt:variant>
        <vt:i4>5</vt:i4>
      </vt:variant>
      <vt:variant>
        <vt:lpwstr/>
      </vt:variant>
      <vt:variant>
        <vt:lpwstr>_Toc432759232</vt:lpwstr>
      </vt:variant>
      <vt:variant>
        <vt:i4>1638449</vt:i4>
      </vt:variant>
      <vt:variant>
        <vt:i4>656</vt:i4>
      </vt:variant>
      <vt:variant>
        <vt:i4>0</vt:i4>
      </vt:variant>
      <vt:variant>
        <vt:i4>5</vt:i4>
      </vt:variant>
      <vt:variant>
        <vt:lpwstr/>
      </vt:variant>
      <vt:variant>
        <vt:lpwstr>_Toc432759231</vt:lpwstr>
      </vt:variant>
      <vt:variant>
        <vt:i4>1638449</vt:i4>
      </vt:variant>
      <vt:variant>
        <vt:i4>650</vt:i4>
      </vt:variant>
      <vt:variant>
        <vt:i4>0</vt:i4>
      </vt:variant>
      <vt:variant>
        <vt:i4>5</vt:i4>
      </vt:variant>
      <vt:variant>
        <vt:lpwstr/>
      </vt:variant>
      <vt:variant>
        <vt:lpwstr>_Toc432759230</vt:lpwstr>
      </vt:variant>
      <vt:variant>
        <vt:i4>1572913</vt:i4>
      </vt:variant>
      <vt:variant>
        <vt:i4>644</vt:i4>
      </vt:variant>
      <vt:variant>
        <vt:i4>0</vt:i4>
      </vt:variant>
      <vt:variant>
        <vt:i4>5</vt:i4>
      </vt:variant>
      <vt:variant>
        <vt:lpwstr/>
      </vt:variant>
      <vt:variant>
        <vt:lpwstr>_Toc432759229</vt:lpwstr>
      </vt:variant>
      <vt:variant>
        <vt:i4>1572913</vt:i4>
      </vt:variant>
      <vt:variant>
        <vt:i4>638</vt:i4>
      </vt:variant>
      <vt:variant>
        <vt:i4>0</vt:i4>
      </vt:variant>
      <vt:variant>
        <vt:i4>5</vt:i4>
      </vt:variant>
      <vt:variant>
        <vt:lpwstr/>
      </vt:variant>
      <vt:variant>
        <vt:lpwstr>_Toc432759228</vt:lpwstr>
      </vt:variant>
      <vt:variant>
        <vt:i4>1572913</vt:i4>
      </vt:variant>
      <vt:variant>
        <vt:i4>632</vt:i4>
      </vt:variant>
      <vt:variant>
        <vt:i4>0</vt:i4>
      </vt:variant>
      <vt:variant>
        <vt:i4>5</vt:i4>
      </vt:variant>
      <vt:variant>
        <vt:lpwstr/>
      </vt:variant>
      <vt:variant>
        <vt:lpwstr>_Toc432759227</vt:lpwstr>
      </vt:variant>
      <vt:variant>
        <vt:i4>1572913</vt:i4>
      </vt:variant>
      <vt:variant>
        <vt:i4>626</vt:i4>
      </vt:variant>
      <vt:variant>
        <vt:i4>0</vt:i4>
      </vt:variant>
      <vt:variant>
        <vt:i4>5</vt:i4>
      </vt:variant>
      <vt:variant>
        <vt:lpwstr/>
      </vt:variant>
      <vt:variant>
        <vt:lpwstr>_Toc432759226</vt:lpwstr>
      </vt:variant>
      <vt:variant>
        <vt:i4>1572913</vt:i4>
      </vt:variant>
      <vt:variant>
        <vt:i4>620</vt:i4>
      </vt:variant>
      <vt:variant>
        <vt:i4>0</vt:i4>
      </vt:variant>
      <vt:variant>
        <vt:i4>5</vt:i4>
      </vt:variant>
      <vt:variant>
        <vt:lpwstr/>
      </vt:variant>
      <vt:variant>
        <vt:lpwstr>_Toc432759225</vt:lpwstr>
      </vt:variant>
      <vt:variant>
        <vt:i4>1572913</vt:i4>
      </vt:variant>
      <vt:variant>
        <vt:i4>614</vt:i4>
      </vt:variant>
      <vt:variant>
        <vt:i4>0</vt:i4>
      </vt:variant>
      <vt:variant>
        <vt:i4>5</vt:i4>
      </vt:variant>
      <vt:variant>
        <vt:lpwstr/>
      </vt:variant>
      <vt:variant>
        <vt:lpwstr>_Toc432759224</vt:lpwstr>
      </vt:variant>
      <vt:variant>
        <vt:i4>1572913</vt:i4>
      </vt:variant>
      <vt:variant>
        <vt:i4>608</vt:i4>
      </vt:variant>
      <vt:variant>
        <vt:i4>0</vt:i4>
      </vt:variant>
      <vt:variant>
        <vt:i4>5</vt:i4>
      </vt:variant>
      <vt:variant>
        <vt:lpwstr/>
      </vt:variant>
      <vt:variant>
        <vt:lpwstr>_Toc432759223</vt:lpwstr>
      </vt:variant>
      <vt:variant>
        <vt:i4>1572913</vt:i4>
      </vt:variant>
      <vt:variant>
        <vt:i4>602</vt:i4>
      </vt:variant>
      <vt:variant>
        <vt:i4>0</vt:i4>
      </vt:variant>
      <vt:variant>
        <vt:i4>5</vt:i4>
      </vt:variant>
      <vt:variant>
        <vt:lpwstr/>
      </vt:variant>
      <vt:variant>
        <vt:lpwstr>_Toc432759222</vt:lpwstr>
      </vt:variant>
      <vt:variant>
        <vt:i4>1572913</vt:i4>
      </vt:variant>
      <vt:variant>
        <vt:i4>596</vt:i4>
      </vt:variant>
      <vt:variant>
        <vt:i4>0</vt:i4>
      </vt:variant>
      <vt:variant>
        <vt:i4>5</vt:i4>
      </vt:variant>
      <vt:variant>
        <vt:lpwstr/>
      </vt:variant>
      <vt:variant>
        <vt:lpwstr>_Toc432759221</vt:lpwstr>
      </vt:variant>
      <vt:variant>
        <vt:i4>1572913</vt:i4>
      </vt:variant>
      <vt:variant>
        <vt:i4>590</vt:i4>
      </vt:variant>
      <vt:variant>
        <vt:i4>0</vt:i4>
      </vt:variant>
      <vt:variant>
        <vt:i4>5</vt:i4>
      </vt:variant>
      <vt:variant>
        <vt:lpwstr/>
      </vt:variant>
      <vt:variant>
        <vt:lpwstr>_Toc432759220</vt:lpwstr>
      </vt:variant>
      <vt:variant>
        <vt:i4>1769521</vt:i4>
      </vt:variant>
      <vt:variant>
        <vt:i4>584</vt:i4>
      </vt:variant>
      <vt:variant>
        <vt:i4>0</vt:i4>
      </vt:variant>
      <vt:variant>
        <vt:i4>5</vt:i4>
      </vt:variant>
      <vt:variant>
        <vt:lpwstr/>
      </vt:variant>
      <vt:variant>
        <vt:lpwstr>_Toc432759219</vt:lpwstr>
      </vt:variant>
      <vt:variant>
        <vt:i4>1769521</vt:i4>
      </vt:variant>
      <vt:variant>
        <vt:i4>578</vt:i4>
      </vt:variant>
      <vt:variant>
        <vt:i4>0</vt:i4>
      </vt:variant>
      <vt:variant>
        <vt:i4>5</vt:i4>
      </vt:variant>
      <vt:variant>
        <vt:lpwstr/>
      </vt:variant>
      <vt:variant>
        <vt:lpwstr>_Toc432759218</vt:lpwstr>
      </vt:variant>
      <vt:variant>
        <vt:i4>1769521</vt:i4>
      </vt:variant>
      <vt:variant>
        <vt:i4>572</vt:i4>
      </vt:variant>
      <vt:variant>
        <vt:i4>0</vt:i4>
      </vt:variant>
      <vt:variant>
        <vt:i4>5</vt:i4>
      </vt:variant>
      <vt:variant>
        <vt:lpwstr/>
      </vt:variant>
      <vt:variant>
        <vt:lpwstr>_Toc432759217</vt:lpwstr>
      </vt:variant>
      <vt:variant>
        <vt:i4>1769521</vt:i4>
      </vt:variant>
      <vt:variant>
        <vt:i4>566</vt:i4>
      </vt:variant>
      <vt:variant>
        <vt:i4>0</vt:i4>
      </vt:variant>
      <vt:variant>
        <vt:i4>5</vt:i4>
      </vt:variant>
      <vt:variant>
        <vt:lpwstr/>
      </vt:variant>
      <vt:variant>
        <vt:lpwstr>_Toc432759216</vt:lpwstr>
      </vt:variant>
      <vt:variant>
        <vt:i4>1769521</vt:i4>
      </vt:variant>
      <vt:variant>
        <vt:i4>560</vt:i4>
      </vt:variant>
      <vt:variant>
        <vt:i4>0</vt:i4>
      </vt:variant>
      <vt:variant>
        <vt:i4>5</vt:i4>
      </vt:variant>
      <vt:variant>
        <vt:lpwstr/>
      </vt:variant>
      <vt:variant>
        <vt:lpwstr>_Toc432759215</vt:lpwstr>
      </vt:variant>
      <vt:variant>
        <vt:i4>1769521</vt:i4>
      </vt:variant>
      <vt:variant>
        <vt:i4>554</vt:i4>
      </vt:variant>
      <vt:variant>
        <vt:i4>0</vt:i4>
      </vt:variant>
      <vt:variant>
        <vt:i4>5</vt:i4>
      </vt:variant>
      <vt:variant>
        <vt:lpwstr/>
      </vt:variant>
      <vt:variant>
        <vt:lpwstr>_Toc432759214</vt:lpwstr>
      </vt:variant>
      <vt:variant>
        <vt:i4>1769521</vt:i4>
      </vt:variant>
      <vt:variant>
        <vt:i4>548</vt:i4>
      </vt:variant>
      <vt:variant>
        <vt:i4>0</vt:i4>
      </vt:variant>
      <vt:variant>
        <vt:i4>5</vt:i4>
      </vt:variant>
      <vt:variant>
        <vt:lpwstr/>
      </vt:variant>
      <vt:variant>
        <vt:lpwstr>_Toc432759213</vt:lpwstr>
      </vt:variant>
      <vt:variant>
        <vt:i4>1769521</vt:i4>
      </vt:variant>
      <vt:variant>
        <vt:i4>542</vt:i4>
      </vt:variant>
      <vt:variant>
        <vt:i4>0</vt:i4>
      </vt:variant>
      <vt:variant>
        <vt:i4>5</vt:i4>
      </vt:variant>
      <vt:variant>
        <vt:lpwstr/>
      </vt:variant>
      <vt:variant>
        <vt:lpwstr>_Toc432759212</vt:lpwstr>
      </vt:variant>
      <vt:variant>
        <vt:i4>1769521</vt:i4>
      </vt:variant>
      <vt:variant>
        <vt:i4>536</vt:i4>
      </vt:variant>
      <vt:variant>
        <vt:i4>0</vt:i4>
      </vt:variant>
      <vt:variant>
        <vt:i4>5</vt:i4>
      </vt:variant>
      <vt:variant>
        <vt:lpwstr/>
      </vt:variant>
      <vt:variant>
        <vt:lpwstr>_Toc432759211</vt:lpwstr>
      </vt:variant>
      <vt:variant>
        <vt:i4>1769521</vt:i4>
      </vt:variant>
      <vt:variant>
        <vt:i4>530</vt:i4>
      </vt:variant>
      <vt:variant>
        <vt:i4>0</vt:i4>
      </vt:variant>
      <vt:variant>
        <vt:i4>5</vt:i4>
      </vt:variant>
      <vt:variant>
        <vt:lpwstr/>
      </vt:variant>
      <vt:variant>
        <vt:lpwstr>_Toc432759210</vt:lpwstr>
      </vt:variant>
      <vt:variant>
        <vt:i4>1703985</vt:i4>
      </vt:variant>
      <vt:variant>
        <vt:i4>524</vt:i4>
      </vt:variant>
      <vt:variant>
        <vt:i4>0</vt:i4>
      </vt:variant>
      <vt:variant>
        <vt:i4>5</vt:i4>
      </vt:variant>
      <vt:variant>
        <vt:lpwstr/>
      </vt:variant>
      <vt:variant>
        <vt:lpwstr>_Toc432759209</vt:lpwstr>
      </vt:variant>
      <vt:variant>
        <vt:i4>1703985</vt:i4>
      </vt:variant>
      <vt:variant>
        <vt:i4>518</vt:i4>
      </vt:variant>
      <vt:variant>
        <vt:i4>0</vt:i4>
      </vt:variant>
      <vt:variant>
        <vt:i4>5</vt:i4>
      </vt:variant>
      <vt:variant>
        <vt:lpwstr/>
      </vt:variant>
      <vt:variant>
        <vt:lpwstr>_Toc432759208</vt:lpwstr>
      </vt:variant>
      <vt:variant>
        <vt:i4>1703985</vt:i4>
      </vt:variant>
      <vt:variant>
        <vt:i4>512</vt:i4>
      </vt:variant>
      <vt:variant>
        <vt:i4>0</vt:i4>
      </vt:variant>
      <vt:variant>
        <vt:i4>5</vt:i4>
      </vt:variant>
      <vt:variant>
        <vt:lpwstr/>
      </vt:variant>
      <vt:variant>
        <vt:lpwstr>_Toc432759207</vt:lpwstr>
      </vt:variant>
      <vt:variant>
        <vt:i4>1703985</vt:i4>
      </vt:variant>
      <vt:variant>
        <vt:i4>506</vt:i4>
      </vt:variant>
      <vt:variant>
        <vt:i4>0</vt:i4>
      </vt:variant>
      <vt:variant>
        <vt:i4>5</vt:i4>
      </vt:variant>
      <vt:variant>
        <vt:lpwstr/>
      </vt:variant>
      <vt:variant>
        <vt:lpwstr>_Toc432759206</vt:lpwstr>
      </vt:variant>
      <vt:variant>
        <vt:i4>1703985</vt:i4>
      </vt:variant>
      <vt:variant>
        <vt:i4>500</vt:i4>
      </vt:variant>
      <vt:variant>
        <vt:i4>0</vt:i4>
      </vt:variant>
      <vt:variant>
        <vt:i4>5</vt:i4>
      </vt:variant>
      <vt:variant>
        <vt:lpwstr/>
      </vt:variant>
      <vt:variant>
        <vt:lpwstr>_Toc432759205</vt:lpwstr>
      </vt:variant>
      <vt:variant>
        <vt:i4>1703985</vt:i4>
      </vt:variant>
      <vt:variant>
        <vt:i4>494</vt:i4>
      </vt:variant>
      <vt:variant>
        <vt:i4>0</vt:i4>
      </vt:variant>
      <vt:variant>
        <vt:i4>5</vt:i4>
      </vt:variant>
      <vt:variant>
        <vt:lpwstr/>
      </vt:variant>
      <vt:variant>
        <vt:lpwstr>_Toc432759204</vt:lpwstr>
      </vt:variant>
      <vt:variant>
        <vt:i4>1703985</vt:i4>
      </vt:variant>
      <vt:variant>
        <vt:i4>488</vt:i4>
      </vt:variant>
      <vt:variant>
        <vt:i4>0</vt:i4>
      </vt:variant>
      <vt:variant>
        <vt:i4>5</vt:i4>
      </vt:variant>
      <vt:variant>
        <vt:lpwstr/>
      </vt:variant>
      <vt:variant>
        <vt:lpwstr>_Toc432759203</vt:lpwstr>
      </vt:variant>
      <vt:variant>
        <vt:i4>1703985</vt:i4>
      </vt:variant>
      <vt:variant>
        <vt:i4>482</vt:i4>
      </vt:variant>
      <vt:variant>
        <vt:i4>0</vt:i4>
      </vt:variant>
      <vt:variant>
        <vt:i4>5</vt:i4>
      </vt:variant>
      <vt:variant>
        <vt:lpwstr/>
      </vt:variant>
      <vt:variant>
        <vt:lpwstr>_Toc432759202</vt:lpwstr>
      </vt:variant>
      <vt:variant>
        <vt:i4>1703985</vt:i4>
      </vt:variant>
      <vt:variant>
        <vt:i4>476</vt:i4>
      </vt:variant>
      <vt:variant>
        <vt:i4>0</vt:i4>
      </vt:variant>
      <vt:variant>
        <vt:i4>5</vt:i4>
      </vt:variant>
      <vt:variant>
        <vt:lpwstr/>
      </vt:variant>
      <vt:variant>
        <vt:lpwstr>_Toc432759201</vt:lpwstr>
      </vt:variant>
      <vt:variant>
        <vt:i4>1703985</vt:i4>
      </vt:variant>
      <vt:variant>
        <vt:i4>470</vt:i4>
      </vt:variant>
      <vt:variant>
        <vt:i4>0</vt:i4>
      </vt:variant>
      <vt:variant>
        <vt:i4>5</vt:i4>
      </vt:variant>
      <vt:variant>
        <vt:lpwstr/>
      </vt:variant>
      <vt:variant>
        <vt:lpwstr>_Toc432759200</vt:lpwstr>
      </vt:variant>
      <vt:variant>
        <vt:i4>1245234</vt:i4>
      </vt:variant>
      <vt:variant>
        <vt:i4>464</vt:i4>
      </vt:variant>
      <vt:variant>
        <vt:i4>0</vt:i4>
      </vt:variant>
      <vt:variant>
        <vt:i4>5</vt:i4>
      </vt:variant>
      <vt:variant>
        <vt:lpwstr/>
      </vt:variant>
      <vt:variant>
        <vt:lpwstr>_Toc432759199</vt:lpwstr>
      </vt:variant>
      <vt:variant>
        <vt:i4>1245234</vt:i4>
      </vt:variant>
      <vt:variant>
        <vt:i4>458</vt:i4>
      </vt:variant>
      <vt:variant>
        <vt:i4>0</vt:i4>
      </vt:variant>
      <vt:variant>
        <vt:i4>5</vt:i4>
      </vt:variant>
      <vt:variant>
        <vt:lpwstr/>
      </vt:variant>
      <vt:variant>
        <vt:lpwstr>_Toc432759198</vt:lpwstr>
      </vt:variant>
      <vt:variant>
        <vt:i4>1245234</vt:i4>
      </vt:variant>
      <vt:variant>
        <vt:i4>452</vt:i4>
      </vt:variant>
      <vt:variant>
        <vt:i4>0</vt:i4>
      </vt:variant>
      <vt:variant>
        <vt:i4>5</vt:i4>
      </vt:variant>
      <vt:variant>
        <vt:lpwstr/>
      </vt:variant>
      <vt:variant>
        <vt:lpwstr>_Toc432759197</vt:lpwstr>
      </vt:variant>
      <vt:variant>
        <vt:i4>1245234</vt:i4>
      </vt:variant>
      <vt:variant>
        <vt:i4>446</vt:i4>
      </vt:variant>
      <vt:variant>
        <vt:i4>0</vt:i4>
      </vt:variant>
      <vt:variant>
        <vt:i4>5</vt:i4>
      </vt:variant>
      <vt:variant>
        <vt:lpwstr/>
      </vt:variant>
      <vt:variant>
        <vt:lpwstr>_Toc432759196</vt:lpwstr>
      </vt:variant>
      <vt:variant>
        <vt:i4>1245234</vt:i4>
      </vt:variant>
      <vt:variant>
        <vt:i4>440</vt:i4>
      </vt:variant>
      <vt:variant>
        <vt:i4>0</vt:i4>
      </vt:variant>
      <vt:variant>
        <vt:i4>5</vt:i4>
      </vt:variant>
      <vt:variant>
        <vt:lpwstr/>
      </vt:variant>
      <vt:variant>
        <vt:lpwstr>_Toc432759195</vt:lpwstr>
      </vt:variant>
      <vt:variant>
        <vt:i4>1245234</vt:i4>
      </vt:variant>
      <vt:variant>
        <vt:i4>434</vt:i4>
      </vt:variant>
      <vt:variant>
        <vt:i4>0</vt:i4>
      </vt:variant>
      <vt:variant>
        <vt:i4>5</vt:i4>
      </vt:variant>
      <vt:variant>
        <vt:lpwstr/>
      </vt:variant>
      <vt:variant>
        <vt:lpwstr>_Toc432759194</vt:lpwstr>
      </vt:variant>
      <vt:variant>
        <vt:i4>1245234</vt:i4>
      </vt:variant>
      <vt:variant>
        <vt:i4>428</vt:i4>
      </vt:variant>
      <vt:variant>
        <vt:i4>0</vt:i4>
      </vt:variant>
      <vt:variant>
        <vt:i4>5</vt:i4>
      </vt:variant>
      <vt:variant>
        <vt:lpwstr/>
      </vt:variant>
      <vt:variant>
        <vt:lpwstr>_Toc432759193</vt:lpwstr>
      </vt:variant>
      <vt:variant>
        <vt:i4>1245234</vt:i4>
      </vt:variant>
      <vt:variant>
        <vt:i4>422</vt:i4>
      </vt:variant>
      <vt:variant>
        <vt:i4>0</vt:i4>
      </vt:variant>
      <vt:variant>
        <vt:i4>5</vt:i4>
      </vt:variant>
      <vt:variant>
        <vt:lpwstr/>
      </vt:variant>
      <vt:variant>
        <vt:lpwstr>_Toc432759192</vt:lpwstr>
      </vt:variant>
      <vt:variant>
        <vt:i4>1245234</vt:i4>
      </vt:variant>
      <vt:variant>
        <vt:i4>416</vt:i4>
      </vt:variant>
      <vt:variant>
        <vt:i4>0</vt:i4>
      </vt:variant>
      <vt:variant>
        <vt:i4>5</vt:i4>
      </vt:variant>
      <vt:variant>
        <vt:lpwstr/>
      </vt:variant>
      <vt:variant>
        <vt:lpwstr>_Toc432759191</vt:lpwstr>
      </vt:variant>
      <vt:variant>
        <vt:i4>1245234</vt:i4>
      </vt:variant>
      <vt:variant>
        <vt:i4>410</vt:i4>
      </vt:variant>
      <vt:variant>
        <vt:i4>0</vt:i4>
      </vt:variant>
      <vt:variant>
        <vt:i4>5</vt:i4>
      </vt:variant>
      <vt:variant>
        <vt:lpwstr/>
      </vt:variant>
      <vt:variant>
        <vt:lpwstr>_Toc432759190</vt:lpwstr>
      </vt:variant>
      <vt:variant>
        <vt:i4>1179698</vt:i4>
      </vt:variant>
      <vt:variant>
        <vt:i4>404</vt:i4>
      </vt:variant>
      <vt:variant>
        <vt:i4>0</vt:i4>
      </vt:variant>
      <vt:variant>
        <vt:i4>5</vt:i4>
      </vt:variant>
      <vt:variant>
        <vt:lpwstr/>
      </vt:variant>
      <vt:variant>
        <vt:lpwstr>_Toc432759189</vt:lpwstr>
      </vt:variant>
      <vt:variant>
        <vt:i4>1179698</vt:i4>
      </vt:variant>
      <vt:variant>
        <vt:i4>398</vt:i4>
      </vt:variant>
      <vt:variant>
        <vt:i4>0</vt:i4>
      </vt:variant>
      <vt:variant>
        <vt:i4>5</vt:i4>
      </vt:variant>
      <vt:variant>
        <vt:lpwstr/>
      </vt:variant>
      <vt:variant>
        <vt:lpwstr>_Toc432759188</vt:lpwstr>
      </vt:variant>
      <vt:variant>
        <vt:i4>1179698</vt:i4>
      </vt:variant>
      <vt:variant>
        <vt:i4>392</vt:i4>
      </vt:variant>
      <vt:variant>
        <vt:i4>0</vt:i4>
      </vt:variant>
      <vt:variant>
        <vt:i4>5</vt:i4>
      </vt:variant>
      <vt:variant>
        <vt:lpwstr/>
      </vt:variant>
      <vt:variant>
        <vt:lpwstr>_Toc432759187</vt:lpwstr>
      </vt:variant>
      <vt:variant>
        <vt:i4>1179698</vt:i4>
      </vt:variant>
      <vt:variant>
        <vt:i4>386</vt:i4>
      </vt:variant>
      <vt:variant>
        <vt:i4>0</vt:i4>
      </vt:variant>
      <vt:variant>
        <vt:i4>5</vt:i4>
      </vt:variant>
      <vt:variant>
        <vt:lpwstr/>
      </vt:variant>
      <vt:variant>
        <vt:lpwstr>_Toc432759186</vt:lpwstr>
      </vt:variant>
      <vt:variant>
        <vt:i4>1179698</vt:i4>
      </vt:variant>
      <vt:variant>
        <vt:i4>380</vt:i4>
      </vt:variant>
      <vt:variant>
        <vt:i4>0</vt:i4>
      </vt:variant>
      <vt:variant>
        <vt:i4>5</vt:i4>
      </vt:variant>
      <vt:variant>
        <vt:lpwstr/>
      </vt:variant>
      <vt:variant>
        <vt:lpwstr>_Toc432759185</vt:lpwstr>
      </vt:variant>
      <vt:variant>
        <vt:i4>1179698</vt:i4>
      </vt:variant>
      <vt:variant>
        <vt:i4>374</vt:i4>
      </vt:variant>
      <vt:variant>
        <vt:i4>0</vt:i4>
      </vt:variant>
      <vt:variant>
        <vt:i4>5</vt:i4>
      </vt:variant>
      <vt:variant>
        <vt:lpwstr/>
      </vt:variant>
      <vt:variant>
        <vt:lpwstr>_Toc432759184</vt:lpwstr>
      </vt:variant>
      <vt:variant>
        <vt:i4>1179698</vt:i4>
      </vt:variant>
      <vt:variant>
        <vt:i4>368</vt:i4>
      </vt:variant>
      <vt:variant>
        <vt:i4>0</vt:i4>
      </vt:variant>
      <vt:variant>
        <vt:i4>5</vt:i4>
      </vt:variant>
      <vt:variant>
        <vt:lpwstr/>
      </vt:variant>
      <vt:variant>
        <vt:lpwstr>_Toc432759183</vt:lpwstr>
      </vt:variant>
      <vt:variant>
        <vt:i4>1179698</vt:i4>
      </vt:variant>
      <vt:variant>
        <vt:i4>362</vt:i4>
      </vt:variant>
      <vt:variant>
        <vt:i4>0</vt:i4>
      </vt:variant>
      <vt:variant>
        <vt:i4>5</vt:i4>
      </vt:variant>
      <vt:variant>
        <vt:lpwstr/>
      </vt:variant>
      <vt:variant>
        <vt:lpwstr>_Toc432759182</vt:lpwstr>
      </vt:variant>
      <vt:variant>
        <vt:i4>1179698</vt:i4>
      </vt:variant>
      <vt:variant>
        <vt:i4>356</vt:i4>
      </vt:variant>
      <vt:variant>
        <vt:i4>0</vt:i4>
      </vt:variant>
      <vt:variant>
        <vt:i4>5</vt:i4>
      </vt:variant>
      <vt:variant>
        <vt:lpwstr/>
      </vt:variant>
      <vt:variant>
        <vt:lpwstr>_Toc432759181</vt:lpwstr>
      </vt:variant>
      <vt:variant>
        <vt:i4>1179698</vt:i4>
      </vt:variant>
      <vt:variant>
        <vt:i4>350</vt:i4>
      </vt:variant>
      <vt:variant>
        <vt:i4>0</vt:i4>
      </vt:variant>
      <vt:variant>
        <vt:i4>5</vt:i4>
      </vt:variant>
      <vt:variant>
        <vt:lpwstr/>
      </vt:variant>
      <vt:variant>
        <vt:lpwstr>_Toc432759180</vt:lpwstr>
      </vt:variant>
      <vt:variant>
        <vt:i4>1900594</vt:i4>
      </vt:variant>
      <vt:variant>
        <vt:i4>344</vt:i4>
      </vt:variant>
      <vt:variant>
        <vt:i4>0</vt:i4>
      </vt:variant>
      <vt:variant>
        <vt:i4>5</vt:i4>
      </vt:variant>
      <vt:variant>
        <vt:lpwstr/>
      </vt:variant>
      <vt:variant>
        <vt:lpwstr>_Toc432759179</vt:lpwstr>
      </vt:variant>
      <vt:variant>
        <vt:i4>1900594</vt:i4>
      </vt:variant>
      <vt:variant>
        <vt:i4>338</vt:i4>
      </vt:variant>
      <vt:variant>
        <vt:i4>0</vt:i4>
      </vt:variant>
      <vt:variant>
        <vt:i4>5</vt:i4>
      </vt:variant>
      <vt:variant>
        <vt:lpwstr/>
      </vt:variant>
      <vt:variant>
        <vt:lpwstr>_Toc432759178</vt:lpwstr>
      </vt:variant>
      <vt:variant>
        <vt:i4>1900594</vt:i4>
      </vt:variant>
      <vt:variant>
        <vt:i4>332</vt:i4>
      </vt:variant>
      <vt:variant>
        <vt:i4>0</vt:i4>
      </vt:variant>
      <vt:variant>
        <vt:i4>5</vt:i4>
      </vt:variant>
      <vt:variant>
        <vt:lpwstr/>
      </vt:variant>
      <vt:variant>
        <vt:lpwstr>_Toc432759177</vt:lpwstr>
      </vt:variant>
      <vt:variant>
        <vt:i4>1900594</vt:i4>
      </vt:variant>
      <vt:variant>
        <vt:i4>326</vt:i4>
      </vt:variant>
      <vt:variant>
        <vt:i4>0</vt:i4>
      </vt:variant>
      <vt:variant>
        <vt:i4>5</vt:i4>
      </vt:variant>
      <vt:variant>
        <vt:lpwstr/>
      </vt:variant>
      <vt:variant>
        <vt:lpwstr>_Toc432759176</vt:lpwstr>
      </vt:variant>
      <vt:variant>
        <vt:i4>1900594</vt:i4>
      </vt:variant>
      <vt:variant>
        <vt:i4>320</vt:i4>
      </vt:variant>
      <vt:variant>
        <vt:i4>0</vt:i4>
      </vt:variant>
      <vt:variant>
        <vt:i4>5</vt:i4>
      </vt:variant>
      <vt:variant>
        <vt:lpwstr/>
      </vt:variant>
      <vt:variant>
        <vt:lpwstr>_Toc432759175</vt:lpwstr>
      </vt:variant>
      <vt:variant>
        <vt:i4>1900594</vt:i4>
      </vt:variant>
      <vt:variant>
        <vt:i4>314</vt:i4>
      </vt:variant>
      <vt:variant>
        <vt:i4>0</vt:i4>
      </vt:variant>
      <vt:variant>
        <vt:i4>5</vt:i4>
      </vt:variant>
      <vt:variant>
        <vt:lpwstr/>
      </vt:variant>
      <vt:variant>
        <vt:lpwstr>_Toc432759174</vt:lpwstr>
      </vt:variant>
      <vt:variant>
        <vt:i4>1900594</vt:i4>
      </vt:variant>
      <vt:variant>
        <vt:i4>308</vt:i4>
      </vt:variant>
      <vt:variant>
        <vt:i4>0</vt:i4>
      </vt:variant>
      <vt:variant>
        <vt:i4>5</vt:i4>
      </vt:variant>
      <vt:variant>
        <vt:lpwstr/>
      </vt:variant>
      <vt:variant>
        <vt:lpwstr>_Toc432759173</vt:lpwstr>
      </vt:variant>
      <vt:variant>
        <vt:i4>1900594</vt:i4>
      </vt:variant>
      <vt:variant>
        <vt:i4>302</vt:i4>
      </vt:variant>
      <vt:variant>
        <vt:i4>0</vt:i4>
      </vt:variant>
      <vt:variant>
        <vt:i4>5</vt:i4>
      </vt:variant>
      <vt:variant>
        <vt:lpwstr/>
      </vt:variant>
      <vt:variant>
        <vt:lpwstr>_Toc432759172</vt:lpwstr>
      </vt:variant>
      <vt:variant>
        <vt:i4>1900594</vt:i4>
      </vt:variant>
      <vt:variant>
        <vt:i4>296</vt:i4>
      </vt:variant>
      <vt:variant>
        <vt:i4>0</vt:i4>
      </vt:variant>
      <vt:variant>
        <vt:i4>5</vt:i4>
      </vt:variant>
      <vt:variant>
        <vt:lpwstr/>
      </vt:variant>
      <vt:variant>
        <vt:lpwstr>_Toc432759171</vt:lpwstr>
      </vt:variant>
      <vt:variant>
        <vt:i4>1900594</vt:i4>
      </vt:variant>
      <vt:variant>
        <vt:i4>290</vt:i4>
      </vt:variant>
      <vt:variant>
        <vt:i4>0</vt:i4>
      </vt:variant>
      <vt:variant>
        <vt:i4>5</vt:i4>
      </vt:variant>
      <vt:variant>
        <vt:lpwstr/>
      </vt:variant>
      <vt:variant>
        <vt:lpwstr>_Toc432759170</vt:lpwstr>
      </vt:variant>
      <vt:variant>
        <vt:i4>1835058</vt:i4>
      </vt:variant>
      <vt:variant>
        <vt:i4>284</vt:i4>
      </vt:variant>
      <vt:variant>
        <vt:i4>0</vt:i4>
      </vt:variant>
      <vt:variant>
        <vt:i4>5</vt:i4>
      </vt:variant>
      <vt:variant>
        <vt:lpwstr/>
      </vt:variant>
      <vt:variant>
        <vt:lpwstr>_Toc432759169</vt:lpwstr>
      </vt:variant>
      <vt:variant>
        <vt:i4>1835058</vt:i4>
      </vt:variant>
      <vt:variant>
        <vt:i4>278</vt:i4>
      </vt:variant>
      <vt:variant>
        <vt:i4>0</vt:i4>
      </vt:variant>
      <vt:variant>
        <vt:i4>5</vt:i4>
      </vt:variant>
      <vt:variant>
        <vt:lpwstr/>
      </vt:variant>
      <vt:variant>
        <vt:lpwstr>_Toc432759168</vt:lpwstr>
      </vt:variant>
      <vt:variant>
        <vt:i4>1835058</vt:i4>
      </vt:variant>
      <vt:variant>
        <vt:i4>272</vt:i4>
      </vt:variant>
      <vt:variant>
        <vt:i4>0</vt:i4>
      </vt:variant>
      <vt:variant>
        <vt:i4>5</vt:i4>
      </vt:variant>
      <vt:variant>
        <vt:lpwstr/>
      </vt:variant>
      <vt:variant>
        <vt:lpwstr>_Toc432759167</vt:lpwstr>
      </vt:variant>
      <vt:variant>
        <vt:i4>1835058</vt:i4>
      </vt:variant>
      <vt:variant>
        <vt:i4>266</vt:i4>
      </vt:variant>
      <vt:variant>
        <vt:i4>0</vt:i4>
      </vt:variant>
      <vt:variant>
        <vt:i4>5</vt:i4>
      </vt:variant>
      <vt:variant>
        <vt:lpwstr/>
      </vt:variant>
      <vt:variant>
        <vt:lpwstr>_Toc432759166</vt:lpwstr>
      </vt:variant>
      <vt:variant>
        <vt:i4>1835058</vt:i4>
      </vt:variant>
      <vt:variant>
        <vt:i4>260</vt:i4>
      </vt:variant>
      <vt:variant>
        <vt:i4>0</vt:i4>
      </vt:variant>
      <vt:variant>
        <vt:i4>5</vt:i4>
      </vt:variant>
      <vt:variant>
        <vt:lpwstr/>
      </vt:variant>
      <vt:variant>
        <vt:lpwstr>_Toc432759165</vt:lpwstr>
      </vt:variant>
      <vt:variant>
        <vt:i4>1835058</vt:i4>
      </vt:variant>
      <vt:variant>
        <vt:i4>254</vt:i4>
      </vt:variant>
      <vt:variant>
        <vt:i4>0</vt:i4>
      </vt:variant>
      <vt:variant>
        <vt:i4>5</vt:i4>
      </vt:variant>
      <vt:variant>
        <vt:lpwstr/>
      </vt:variant>
      <vt:variant>
        <vt:lpwstr>_Toc432759164</vt:lpwstr>
      </vt:variant>
      <vt:variant>
        <vt:i4>1835058</vt:i4>
      </vt:variant>
      <vt:variant>
        <vt:i4>248</vt:i4>
      </vt:variant>
      <vt:variant>
        <vt:i4>0</vt:i4>
      </vt:variant>
      <vt:variant>
        <vt:i4>5</vt:i4>
      </vt:variant>
      <vt:variant>
        <vt:lpwstr/>
      </vt:variant>
      <vt:variant>
        <vt:lpwstr>_Toc432759163</vt:lpwstr>
      </vt:variant>
      <vt:variant>
        <vt:i4>1835058</vt:i4>
      </vt:variant>
      <vt:variant>
        <vt:i4>242</vt:i4>
      </vt:variant>
      <vt:variant>
        <vt:i4>0</vt:i4>
      </vt:variant>
      <vt:variant>
        <vt:i4>5</vt:i4>
      </vt:variant>
      <vt:variant>
        <vt:lpwstr/>
      </vt:variant>
      <vt:variant>
        <vt:lpwstr>_Toc432759162</vt:lpwstr>
      </vt:variant>
      <vt:variant>
        <vt:i4>1835058</vt:i4>
      </vt:variant>
      <vt:variant>
        <vt:i4>236</vt:i4>
      </vt:variant>
      <vt:variant>
        <vt:i4>0</vt:i4>
      </vt:variant>
      <vt:variant>
        <vt:i4>5</vt:i4>
      </vt:variant>
      <vt:variant>
        <vt:lpwstr/>
      </vt:variant>
      <vt:variant>
        <vt:lpwstr>_Toc432759161</vt:lpwstr>
      </vt:variant>
      <vt:variant>
        <vt:i4>1835058</vt:i4>
      </vt:variant>
      <vt:variant>
        <vt:i4>230</vt:i4>
      </vt:variant>
      <vt:variant>
        <vt:i4>0</vt:i4>
      </vt:variant>
      <vt:variant>
        <vt:i4>5</vt:i4>
      </vt:variant>
      <vt:variant>
        <vt:lpwstr/>
      </vt:variant>
      <vt:variant>
        <vt:lpwstr>_Toc432759160</vt:lpwstr>
      </vt:variant>
      <vt:variant>
        <vt:i4>2031666</vt:i4>
      </vt:variant>
      <vt:variant>
        <vt:i4>224</vt:i4>
      </vt:variant>
      <vt:variant>
        <vt:i4>0</vt:i4>
      </vt:variant>
      <vt:variant>
        <vt:i4>5</vt:i4>
      </vt:variant>
      <vt:variant>
        <vt:lpwstr/>
      </vt:variant>
      <vt:variant>
        <vt:lpwstr>_Toc432759159</vt:lpwstr>
      </vt:variant>
      <vt:variant>
        <vt:i4>2031666</vt:i4>
      </vt:variant>
      <vt:variant>
        <vt:i4>218</vt:i4>
      </vt:variant>
      <vt:variant>
        <vt:i4>0</vt:i4>
      </vt:variant>
      <vt:variant>
        <vt:i4>5</vt:i4>
      </vt:variant>
      <vt:variant>
        <vt:lpwstr/>
      </vt:variant>
      <vt:variant>
        <vt:lpwstr>_Toc432759158</vt:lpwstr>
      </vt:variant>
      <vt:variant>
        <vt:i4>2031666</vt:i4>
      </vt:variant>
      <vt:variant>
        <vt:i4>212</vt:i4>
      </vt:variant>
      <vt:variant>
        <vt:i4>0</vt:i4>
      </vt:variant>
      <vt:variant>
        <vt:i4>5</vt:i4>
      </vt:variant>
      <vt:variant>
        <vt:lpwstr/>
      </vt:variant>
      <vt:variant>
        <vt:lpwstr>_Toc432759157</vt:lpwstr>
      </vt:variant>
      <vt:variant>
        <vt:i4>2031666</vt:i4>
      </vt:variant>
      <vt:variant>
        <vt:i4>206</vt:i4>
      </vt:variant>
      <vt:variant>
        <vt:i4>0</vt:i4>
      </vt:variant>
      <vt:variant>
        <vt:i4>5</vt:i4>
      </vt:variant>
      <vt:variant>
        <vt:lpwstr/>
      </vt:variant>
      <vt:variant>
        <vt:lpwstr>_Toc432759156</vt:lpwstr>
      </vt:variant>
      <vt:variant>
        <vt:i4>2031666</vt:i4>
      </vt:variant>
      <vt:variant>
        <vt:i4>200</vt:i4>
      </vt:variant>
      <vt:variant>
        <vt:i4>0</vt:i4>
      </vt:variant>
      <vt:variant>
        <vt:i4>5</vt:i4>
      </vt:variant>
      <vt:variant>
        <vt:lpwstr/>
      </vt:variant>
      <vt:variant>
        <vt:lpwstr>_Toc432759155</vt:lpwstr>
      </vt:variant>
      <vt:variant>
        <vt:i4>2031666</vt:i4>
      </vt:variant>
      <vt:variant>
        <vt:i4>194</vt:i4>
      </vt:variant>
      <vt:variant>
        <vt:i4>0</vt:i4>
      </vt:variant>
      <vt:variant>
        <vt:i4>5</vt:i4>
      </vt:variant>
      <vt:variant>
        <vt:lpwstr/>
      </vt:variant>
      <vt:variant>
        <vt:lpwstr>_Toc432759154</vt:lpwstr>
      </vt:variant>
      <vt:variant>
        <vt:i4>2031666</vt:i4>
      </vt:variant>
      <vt:variant>
        <vt:i4>188</vt:i4>
      </vt:variant>
      <vt:variant>
        <vt:i4>0</vt:i4>
      </vt:variant>
      <vt:variant>
        <vt:i4>5</vt:i4>
      </vt:variant>
      <vt:variant>
        <vt:lpwstr/>
      </vt:variant>
      <vt:variant>
        <vt:lpwstr>_Toc432759153</vt:lpwstr>
      </vt:variant>
      <vt:variant>
        <vt:i4>2031666</vt:i4>
      </vt:variant>
      <vt:variant>
        <vt:i4>182</vt:i4>
      </vt:variant>
      <vt:variant>
        <vt:i4>0</vt:i4>
      </vt:variant>
      <vt:variant>
        <vt:i4>5</vt:i4>
      </vt:variant>
      <vt:variant>
        <vt:lpwstr/>
      </vt:variant>
      <vt:variant>
        <vt:lpwstr>_Toc432759152</vt:lpwstr>
      </vt:variant>
      <vt:variant>
        <vt:i4>2031666</vt:i4>
      </vt:variant>
      <vt:variant>
        <vt:i4>176</vt:i4>
      </vt:variant>
      <vt:variant>
        <vt:i4>0</vt:i4>
      </vt:variant>
      <vt:variant>
        <vt:i4>5</vt:i4>
      </vt:variant>
      <vt:variant>
        <vt:lpwstr/>
      </vt:variant>
      <vt:variant>
        <vt:lpwstr>_Toc432759151</vt:lpwstr>
      </vt:variant>
      <vt:variant>
        <vt:i4>2031666</vt:i4>
      </vt:variant>
      <vt:variant>
        <vt:i4>170</vt:i4>
      </vt:variant>
      <vt:variant>
        <vt:i4>0</vt:i4>
      </vt:variant>
      <vt:variant>
        <vt:i4>5</vt:i4>
      </vt:variant>
      <vt:variant>
        <vt:lpwstr/>
      </vt:variant>
      <vt:variant>
        <vt:lpwstr>_Toc432759150</vt:lpwstr>
      </vt:variant>
      <vt:variant>
        <vt:i4>1966130</vt:i4>
      </vt:variant>
      <vt:variant>
        <vt:i4>164</vt:i4>
      </vt:variant>
      <vt:variant>
        <vt:i4>0</vt:i4>
      </vt:variant>
      <vt:variant>
        <vt:i4>5</vt:i4>
      </vt:variant>
      <vt:variant>
        <vt:lpwstr/>
      </vt:variant>
      <vt:variant>
        <vt:lpwstr>_Toc432759149</vt:lpwstr>
      </vt:variant>
      <vt:variant>
        <vt:i4>1966130</vt:i4>
      </vt:variant>
      <vt:variant>
        <vt:i4>158</vt:i4>
      </vt:variant>
      <vt:variant>
        <vt:i4>0</vt:i4>
      </vt:variant>
      <vt:variant>
        <vt:i4>5</vt:i4>
      </vt:variant>
      <vt:variant>
        <vt:lpwstr/>
      </vt:variant>
      <vt:variant>
        <vt:lpwstr>_Toc432759148</vt:lpwstr>
      </vt:variant>
      <vt:variant>
        <vt:i4>1966130</vt:i4>
      </vt:variant>
      <vt:variant>
        <vt:i4>152</vt:i4>
      </vt:variant>
      <vt:variant>
        <vt:i4>0</vt:i4>
      </vt:variant>
      <vt:variant>
        <vt:i4>5</vt:i4>
      </vt:variant>
      <vt:variant>
        <vt:lpwstr/>
      </vt:variant>
      <vt:variant>
        <vt:lpwstr>_Toc432759147</vt:lpwstr>
      </vt:variant>
      <vt:variant>
        <vt:i4>1966130</vt:i4>
      </vt:variant>
      <vt:variant>
        <vt:i4>146</vt:i4>
      </vt:variant>
      <vt:variant>
        <vt:i4>0</vt:i4>
      </vt:variant>
      <vt:variant>
        <vt:i4>5</vt:i4>
      </vt:variant>
      <vt:variant>
        <vt:lpwstr/>
      </vt:variant>
      <vt:variant>
        <vt:lpwstr>_Toc432759146</vt:lpwstr>
      </vt:variant>
      <vt:variant>
        <vt:i4>1966130</vt:i4>
      </vt:variant>
      <vt:variant>
        <vt:i4>140</vt:i4>
      </vt:variant>
      <vt:variant>
        <vt:i4>0</vt:i4>
      </vt:variant>
      <vt:variant>
        <vt:i4>5</vt:i4>
      </vt:variant>
      <vt:variant>
        <vt:lpwstr/>
      </vt:variant>
      <vt:variant>
        <vt:lpwstr>_Toc432759145</vt:lpwstr>
      </vt:variant>
      <vt:variant>
        <vt:i4>1966130</vt:i4>
      </vt:variant>
      <vt:variant>
        <vt:i4>134</vt:i4>
      </vt:variant>
      <vt:variant>
        <vt:i4>0</vt:i4>
      </vt:variant>
      <vt:variant>
        <vt:i4>5</vt:i4>
      </vt:variant>
      <vt:variant>
        <vt:lpwstr/>
      </vt:variant>
      <vt:variant>
        <vt:lpwstr>_Toc432759144</vt:lpwstr>
      </vt:variant>
      <vt:variant>
        <vt:i4>1966130</vt:i4>
      </vt:variant>
      <vt:variant>
        <vt:i4>128</vt:i4>
      </vt:variant>
      <vt:variant>
        <vt:i4>0</vt:i4>
      </vt:variant>
      <vt:variant>
        <vt:i4>5</vt:i4>
      </vt:variant>
      <vt:variant>
        <vt:lpwstr/>
      </vt:variant>
      <vt:variant>
        <vt:lpwstr>_Toc432759143</vt:lpwstr>
      </vt:variant>
      <vt:variant>
        <vt:i4>1966130</vt:i4>
      </vt:variant>
      <vt:variant>
        <vt:i4>122</vt:i4>
      </vt:variant>
      <vt:variant>
        <vt:i4>0</vt:i4>
      </vt:variant>
      <vt:variant>
        <vt:i4>5</vt:i4>
      </vt:variant>
      <vt:variant>
        <vt:lpwstr/>
      </vt:variant>
      <vt:variant>
        <vt:lpwstr>_Toc432759142</vt:lpwstr>
      </vt:variant>
      <vt:variant>
        <vt:i4>1966130</vt:i4>
      </vt:variant>
      <vt:variant>
        <vt:i4>116</vt:i4>
      </vt:variant>
      <vt:variant>
        <vt:i4>0</vt:i4>
      </vt:variant>
      <vt:variant>
        <vt:i4>5</vt:i4>
      </vt:variant>
      <vt:variant>
        <vt:lpwstr/>
      </vt:variant>
      <vt:variant>
        <vt:lpwstr>_Toc432759141</vt:lpwstr>
      </vt:variant>
      <vt:variant>
        <vt:i4>1966130</vt:i4>
      </vt:variant>
      <vt:variant>
        <vt:i4>110</vt:i4>
      </vt:variant>
      <vt:variant>
        <vt:i4>0</vt:i4>
      </vt:variant>
      <vt:variant>
        <vt:i4>5</vt:i4>
      </vt:variant>
      <vt:variant>
        <vt:lpwstr/>
      </vt:variant>
      <vt:variant>
        <vt:lpwstr>_Toc432759140</vt:lpwstr>
      </vt:variant>
      <vt:variant>
        <vt:i4>1638450</vt:i4>
      </vt:variant>
      <vt:variant>
        <vt:i4>104</vt:i4>
      </vt:variant>
      <vt:variant>
        <vt:i4>0</vt:i4>
      </vt:variant>
      <vt:variant>
        <vt:i4>5</vt:i4>
      </vt:variant>
      <vt:variant>
        <vt:lpwstr/>
      </vt:variant>
      <vt:variant>
        <vt:lpwstr>_Toc432759139</vt:lpwstr>
      </vt:variant>
      <vt:variant>
        <vt:i4>1638450</vt:i4>
      </vt:variant>
      <vt:variant>
        <vt:i4>98</vt:i4>
      </vt:variant>
      <vt:variant>
        <vt:i4>0</vt:i4>
      </vt:variant>
      <vt:variant>
        <vt:i4>5</vt:i4>
      </vt:variant>
      <vt:variant>
        <vt:lpwstr/>
      </vt:variant>
      <vt:variant>
        <vt:lpwstr>_Toc432759138</vt:lpwstr>
      </vt:variant>
      <vt:variant>
        <vt:i4>1638450</vt:i4>
      </vt:variant>
      <vt:variant>
        <vt:i4>92</vt:i4>
      </vt:variant>
      <vt:variant>
        <vt:i4>0</vt:i4>
      </vt:variant>
      <vt:variant>
        <vt:i4>5</vt:i4>
      </vt:variant>
      <vt:variant>
        <vt:lpwstr/>
      </vt:variant>
      <vt:variant>
        <vt:lpwstr>_Toc432759137</vt:lpwstr>
      </vt:variant>
      <vt:variant>
        <vt:i4>1638450</vt:i4>
      </vt:variant>
      <vt:variant>
        <vt:i4>86</vt:i4>
      </vt:variant>
      <vt:variant>
        <vt:i4>0</vt:i4>
      </vt:variant>
      <vt:variant>
        <vt:i4>5</vt:i4>
      </vt:variant>
      <vt:variant>
        <vt:lpwstr/>
      </vt:variant>
      <vt:variant>
        <vt:lpwstr>_Toc432759136</vt:lpwstr>
      </vt:variant>
      <vt:variant>
        <vt:i4>1638450</vt:i4>
      </vt:variant>
      <vt:variant>
        <vt:i4>80</vt:i4>
      </vt:variant>
      <vt:variant>
        <vt:i4>0</vt:i4>
      </vt:variant>
      <vt:variant>
        <vt:i4>5</vt:i4>
      </vt:variant>
      <vt:variant>
        <vt:lpwstr/>
      </vt:variant>
      <vt:variant>
        <vt:lpwstr>_Toc432759135</vt:lpwstr>
      </vt:variant>
      <vt:variant>
        <vt:i4>1638450</vt:i4>
      </vt:variant>
      <vt:variant>
        <vt:i4>74</vt:i4>
      </vt:variant>
      <vt:variant>
        <vt:i4>0</vt:i4>
      </vt:variant>
      <vt:variant>
        <vt:i4>5</vt:i4>
      </vt:variant>
      <vt:variant>
        <vt:lpwstr/>
      </vt:variant>
      <vt:variant>
        <vt:lpwstr>_Toc432759134</vt:lpwstr>
      </vt:variant>
      <vt:variant>
        <vt:i4>1638450</vt:i4>
      </vt:variant>
      <vt:variant>
        <vt:i4>68</vt:i4>
      </vt:variant>
      <vt:variant>
        <vt:i4>0</vt:i4>
      </vt:variant>
      <vt:variant>
        <vt:i4>5</vt:i4>
      </vt:variant>
      <vt:variant>
        <vt:lpwstr/>
      </vt:variant>
      <vt:variant>
        <vt:lpwstr>_Toc432759133</vt:lpwstr>
      </vt:variant>
      <vt:variant>
        <vt:i4>1638450</vt:i4>
      </vt:variant>
      <vt:variant>
        <vt:i4>62</vt:i4>
      </vt:variant>
      <vt:variant>
        <vt:i4>0</vt:i4>
      </vt:variant>
      <vt:variant>
        <vt:i4>5</vt:i4>
      </vt:variant>
      <vt:variant>
        <vt:lpwstr/>
      </vt:variant>
      <vt:variant>
        <vt:lpwstr>_Toc432759132</vt:lpwstr>
      </vt:variant>
      <vt:variant>
        <vt:i4>1638450</vt:i4>
      </vt:variant>
      <vt:variant>
        <vt:i4>56</vt:i4>
      </vt:variant>
      <vt:variant>
        <vt:i4>0</vt:i4>
      </vt:variant>
      <vt:variant>
        <vt:i4>5</vt:i4>
      </vt:variant>
      <vt:variant>
        <vt:lpwstr/>
      </vt:variant>
      <vt:variant>
        <vt:lpwstr>_Toc432759131</vt:lpwstr>
      </vt:variant>
      <vt:variant>
        <vt:i4>1638450</vt:i4>
      </vt:variant>
      <vt:variant>
        <vt:i4>50</vt:i4>
      </vt:variant>
      <vt:variant>
        <vt:i4>0</vt:i4>
      </vt:variant>
      <vt:variant>
        <vt:i4>5</vt:i4>
      </vt:variant>
      <vt:variant>
        <vt:lpwstr/>
      </vt:variant>
      <vt:variant>
        <vt:lpwstr>_Toc432759130</vt:lpwstr>
      </vt:variant>
      <vt:variant>
        <vt:i4>1572914</vt:i4>
      </vt:variant>
      <vt:variant>
        <vt:i4>44</vt:i4>
      </vt:variant>
      <vt:variant>
        <vt:i4>0</vt:i4>
      </vt:variant>
      <vt:variant>
        <vt:i4>5</vt:i4>
      </vt:variant>
      <vt:variant>
        <vt:lpwstr/>
      </vt:variant>
      <vt:variant>
        <vt:lpwstr>_Toc432759129</vt:lpwstr>
      </vt:variant>
      <vt:variant>
        <vt:i4>1572914</vt:i4>
      </vt:variant>
      <vt:variant>
        <vt:i4>38</vt:i4>
      </vt:variant>
      <vt:variant>
        <vt:i4>0</vt:i4>
      </vt:variant>
      <vt:variant>
        <vt:i4>5</vt:i4>
      </vt:variant>
      <vt:variant>
        <vt:lpwstr/>
      </vt:variant>
      <vt:variant>
        <vt:lpwstr>_Toc432759128</vt:lpwstr>
      </vt:variant>
      <vt:variant>
        <vt:i4>1572914</vt:i4>
      </vt:variant>
      <vt:variant>
        <vt:i4>32</vt:i4>
      </vt:variant>
      <vt:variant>
        <vt:i4>0</vt:i4>
      </vt:variant>
      <vt:variant>
        <vt:i4>5</vt:i4>
      </vt:variant>
      <vt:variant>
        <vt:lpwstr/>
      </vt:variant>
      <vt:variant>
        <vt:lpwstr>_Toc432759127</vt:lpwstr>
      </vt:variant>
      <vt:variant>
        <vt:i4>1572914</vt:i4>
      </vt:variant>
      <vt:variant>
        <vt:i4>26</vt:i4>
      </vt:variant>
      <vt:variant>
        <vt:i4>0</vt:i4>
      </vt:variant>
      <vt:variant>
        <vt:i4>5</vt:i4>
      </vt:variant>
      <vt:variant>
        <vt:lpwstr/>
      </vt:variant>
      <vt:variant>
        <vt:lpwstr>_Toc432759126</vt:lpwstr>
      </vt:variant>
      <vt:variant>
        <vt:i4>1572914</vt:i4>
      </vt:variant>
      <vt:variant>
        <vt:i4>20</vt:i4>
      </vt:variant>
      <vt:variant>
        <vt:i4>0</vt:i4>
      </vt:variant>
      <vt:variant>
        <vt:i4>5</vt:i4>
      </vt:variant>
      <vt:variant>
        <vt:lpwstr/>
      </vt:variant>
      <vt:variant>
        <vt:lpwstr>_Toc432759125</vt:lpwstr>
      </vt:variant>
      <vt:variant>
        <vt:i4>1572914</vt:i4>
      </vt:variant>
      <vt:variant>
        <vt:i4>14</vt:i4>
      </vt:variant>
      <vt:variant>
        <vt:i4>0</vt:i4>
      </vt:variant>
      <vt:variant>
        <vt:i4>5</vt:i4>
      </vt:variant>
      <vt:variant>
        <vt:lpwstr/>
      </vt:variant>
      <vt:variant>
        <vt:lpwstr>_Toc432759124</vt:lpwstr>
      </vt:variant>
      <vt:variant>
        <vt:i4>1572914</vt:i4>
      </vt:variant>
      <vt:variant>
        <vt:i4>8</vt:i4>
      </vt:variant>
      <vt:variant>
        <vt:i4>0</vt:i4>
      </vt:variant>
      <vt:variant>
        <vt:i4>5</vt:i4>
      </vt:variant>
      <vt:variant>
        <vt:lpwstr/>
      </vt:variant>
      <vt:variant>
        <vt:lpwstr>_Toc432759123</vt:lpwstr>
      </vt:variant>
      <vt:variant>
        <vt:i4>1572914</vt:i4>
      </vt:variant>
      <vt:variant>
        <vt:i4>2</vt:i4>
      </vt:variant>
      <vt:variant>
        <vt:i4>0</vt:i4>
      </vt:variant>
      <vt:variant>
        <vt:i4>5</vt:i4>
      </vt:variant>
      <vt:variant>
        <vt:lpwstr/>
      </vt:variant>
      <vt:variant>
        <vt:lpwstr>_Toc432759122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SHS</cp:lastModifiedBy>
  <cp:revision>18</cp:revision>
  <cp:lastPrinted>2018-04-12T17:33:00Z</cp:lastPrinted>
  <dcterms:created xsi:type="dcterms:W3CDTF">2018-03-01T12:51:00Z</dcterms:created>
  <dcterms:modified xsi:type="dcterms:W3CDTF">2018-04-12T17:34:00Z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-1324422613</vt:i4>
  </property>
</Properties>
</file>